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Calibri" w:cs="Calibri" w:eastAsia="Calibri" w:hAnsi="Calibri"/>
          <w:sz w:val="32"/>
          <w:szCs w:val="32"/>
          <w:b w:val="1"/>
          <w:bCs w:val="1"/>
          <w:color w:val="auto"/>
        </w:rPr>
        <w:t>UNITED STATES</w:t>
      </w:r>
    </w:p>
    <w:p>
      <w:pPr>
        <w:spacing w:after="0" w:line="1" w:lineRule="exact"/>
        <w:rPr>
          <w:sz w:val="24"/>
          <w:szCs w:val="24"/>
          <w:color w:val="auto"/>
        </w:rPr>
      </w:pPr>
    </w:p>
    <w:p>
      <w:pPr>
        <w:jc w:val="center"/>
        <w:ind w:right="-39"/>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16" w:lineRule="exact"/>
        <w:rPr>
          <w:sz w:val="24"/>
          <w:szCs w:val="24"/>
          <w:color w:val="auto"/>
        </w:rPr>
      </w:pPr>
    </w:p>
    <w:p>
      <w:pPr>
        <w:jc w:val="center"/>
        <w:ind w:right="-39"/>
        <w:spacing w:after="0"/>
        <w:rPr>
          <w:sz w:val="20"/>
          <w:szCs w:val="20"/>
          <w:color w:val="auto"/>
        </w:rPr>
      </w:pPr>
      <w:r>
        <w:rPr>
          <w:rFonts w:ascii="Calibri" w:cs="Calibri" w:eastAsia="Calibri" w:hAnsi="Calibri"/>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34290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4" w:lineRule="exact"/>
        <w:rPr>
          <w:sz w:val="24"/>
          <w:szCs w:val="24"/>
          <w:color w:val="auto"/>
        </w:rPr>
      </w:pPr>
    </w:p>
    <w:p>
      <w:pPr>
        <w:jc w:val="center"/>
        <w:ind w:right="-39"/>
        <w:spacing w:after="0"/>
        <w:rPr>
          <w:sz w:val="20"/>
          <w:szCs w:val="20"/>
          <w:color w:val="auto"/>
        </w:rPr>
      </w:pPr>
      <w:r>
        <w:rPr>
          <w:rFonts w:ascii="Calibri" w:cs="Calibri" w:eastAsia="Calibri" w:hAnsi="Calibri"/>
          <w:sz w:val="32"/>
          <w:szCs w:val="32"/>
          <w:b w:val="1"/>
          <w:bCs w:val="1"/>
          <w:color w:val="auto"/>
        </w:rPr>
        <w:t>FORM 10-Q</w:t>
      </w:r>
    </w:p>
    <w:p>
      <w:pPr>
        <w:spacing w:after="0" w:line="68" w:lineRule="exact"/>
        <w:rPr>
          <w:sz w:val="24"/>
          <w:szCs w:val="24"/>
          <w:color w:val="auto"/>
        </w:rPr>
      </w:pPr>
    </w:p>
    <w:p>
      <w:pPr>
        <w:spacing w:after="0"/>
        <w:rPr>
          <w:sz w:val="20"/>
          <w:szCs w:val="20"/>
          <w:color w:val="auto"/>
        </w:rPr>
      </w:pPr>
      <w:r>
        <w:rPr>
          <w:rFonts w:ascii="Calibri" w:cs="Calibri" w:eastAsia="Calibri" w:hAnsi="Calibri"/>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-130175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1"/>
          <w:szCs w:val="21"/>
          <w:color w:val="auto"/>
          <w:highlight w:val="black"/>
        </w:rPr>
      </w:pPr>
      <w:r>
        <w:rPr>
          <w:rFonts w:ascii="Calibri" w:cs="Calibri" w:eastAsia="Calibri" w:hAnsi="Calibri"/>
          <w:sz w:val="21"/>
          <w:szCs w:val="21"/>
          <w:b w:val="1"/>
          <w:bCs w:val="1"/>
          <w:color w:val="auto"/>
        </w:rPr>
        <w:t>QUARTERLY REPORT PURSUANT TO SECTION 13 OR 15(d) OF THE SECURITIES EXCHANGE ACT OF 1934</w:t>
      </w:r>
    </w:p>
    <w:p>
      <w:pPr>
        <w:spacing w:after="0" w:line="109"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For the quarterly period ended March 31, 2024</w:t>
      </w:r>
    </w:p>
    <w:p>
      <w:pPr>
        <w:spacing w:after="0" w:line="64"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OR</w:t>
      </w:r>
    </w:p>
    <w:p>
      <w:pPr>
        <w:spacing w:after="0" w:line="8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1"/>
          <w:szCs w:val="21"/>
          <w:color w:val="auto"/>
          <w:highlight w:val="black"/>
        </w:rPr>
      </w:pPr>
      <w:r>
        <w:rPr>
          <w:rFonts w:ascii="Calibri" w:cs="Calibri" w:eastAsia="Calibri" w:hAnsi="Calibri"/>
          <w:sz w:val="21"/>
          <w:szCs w:val="21"/>
          <w:b w:val="1"/>
          <w:bCs w:val="1"/>
          <w:color w:val="auto"/>
        </w:rPr>
        <w:t>TRANSITION REPORT PURSUANT TO SECTION 13 OR 15(d) OF THE SECURITIES EXCHANGE ACT OF 1934</w:t>
      </w:r>
    </w:p>
    <w:p>
      <w:pPr>
        <w:spacing w:after="0" w:line="109" w:lineRule="exact"/>
        <w:rPr>
          <w:sz w:val="24"/>
          <w:szCs w:val="24"/>
          <w:color w:val="auto"/>
        </w:rPr>
      </w:pPr>
    </w:p>
    <w:p>
      <w:pPr>
        <w:ind w:left="2920"/>
        <w:spacing w:after="0"/>
        <w:rPr>
          <w:sz w:val="20"/>
          <w:szCs w:val="20"/>
          <w:color w:val="auto"/>
        </w:rPr>
      </w:pPr>
      <w:r>
        <w:rPr>
          <w:rFonts w:ascii="Calibri" w:cs="Calibri" w:eastAsia="Calibri" w:hAnsi="Calibri"/>
          <w:sz w:val="18"/>
          <w:szCs w:val="18"/>
          <w:b w:val="1"/>
          <w:bCs w:val="1"/>
          <w:color w:val="auto"/>
        </w:rPr>
        <w:t>For the transiton period from _________________ to _________________</w:t>
      </w:r>
    </w:p>
    <w:p>
      <w:pPr>
        <w:spacing w:after="0" w:line="64"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40640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92075</wp:posOffset>
            </wp:positionV>
            <wp:extent cx="1285875"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9"/>
        <w:spacing w:after="0"/>
        <w:rPr>
          <w:sz w:val="20"/>
          <w:szCs w:val="20"/>
          <w:color w:val="auto"/>
        </w:rPr>
      </w:pPr>
      <w:r>
        <w:rPr>
          <w:rFonts w:ascii="Calibri" w:cs="Calibri" w:eastAsia="Calibri" w:hAnsi="Calibri"/>
          <w:sz w:val="43"/>
          <w:szCs w:val="43"/>
          <w:b w:val="1"/>
          <w:bCs w:val="1"/>
          <w:color w:val="auto"/>
        </w:rPr>
        <w:t>CARGURUS, INC.</w:t>
      </w:r>
    </w:p>
    <w:p>
      <w:pPr>
        <w:sectPr>
          <w:pgSz w:w="11900" w:h="16838" w:orient="portrait"/>
          <w:cols w:equalWidth="0" w:num="1">
            <w:col w:w="11200"/>
          </w:cols>
          <w:pgMar w:left="320" w:top="1111" w:right="379" w:bottom="1440" w:gutter="0" w:footer="0" w:header="0"/>
        </w:sectPr>
      </w:pPr>
    </w:p>
    <w:p>
      <w:pPr>
        <w:spacing w:after="0" w:line="27" w:lineRule="exact"/>
        <w:rPr>
          <w:sz w:val="24"/>
          <w:szCs w:val="24"/>
          <w:color w:val="auto"/>
        </w:rPr>
      </w:pPr>
    </w:p>
    <w:p>
      <w:pPr>
        <w:jc w:val="right"/>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1880"/>
        <w:spacing w:after="0"/>
        <w:rPr>
          <w:sz w:val="20"/>
          <w:szCs w:val="20"/>
          <w:color w:val="auto"/>
        </w:rPr>
      </w:pPr>
      <w:r>
        <w:rPr>
          <w:rFonts w:ascii="Calibri" w:cs="Calibri" w:eastAsia="Calibri" w:hAnsi="Calibri"/>
          <w:sz w:val="18"/>
          <w:szCs w:val="18"/>
          <w:b w:val="1"/>
          <w:bCs w:val="1"/>
          <w:color w:val="auto"/>
        </w:rPr>
        <w:t>Delaware</w:t>
      </w:r>
    </w:p>
    <w:p>
      <w:pPr>
        <w:spacing w:after="0" w:line="35" w:lineRule="exact"/>
        <w:rPr>
          <w:sz w:val="24"/>
          <w:szCs w:val="24"/>
          <w:color w:val="auto"/>
        </w:rPr>
      </w:pPr>
    </w:p>
    <w:p>
      <w:pPr>
        <w:ind w:left="1960"/>
        <w:spacing w:after="0"/>
        <w:rPr>
          <w:sz w:val="20"/>
          <w:szCs w:val="20"/>
          <w:color w:val="auto"/>
        </w:rPr>
      </w:pPr>
      <w:r>
        <w:rPr>
          <w:rFonts w:ascii="Calibri" w:cs="Calibri" w:eastAsia="Calibri" w:hAnsi="Calibri"/>
          <w:sz w:val="14"/>
          <w:szCs w:val="14"/>
          <w:b w:val="1"/>
          <w:bCs w:val="1"/>
          <w:color w:val="auto"/>
        </w:rPr>
        <w:t>(State or other jurisdicton of</w:t>
      </w:r>
    </w:p>
    <w:p>
      <w:pPr>
        <w:spacing w:after="0" w:line="5" w:lineRule="exact"/>
        <w:rPr>
          <w:sz w:val="24"/>
          <w:szCs w:val="24"/>
          <w:color w:val="auto"/>
        </w:rPr>
      </w:pPr>
    </w:p>
    <w:p>
      <w:pPr>
        <w:ind w:left="1920"/>
        <w:spacing w:after="0"/>
        <w:rPr>
          <w:sz w:val="20"/>
          <w:szCs w:val="20"/>
          <w:color w:val="auto"/>
        </w:rPr>
      </w:pPr>
      <w:r>
        <w:rPr>
          <w:rFonts w:ascii="Calibri" w:cs="Calibri" w:eastAsia="Calibri" w:hAnsi="Calibri"/>
          <w:sz w:val="14"/>
          <w:szCs w:val="14"/>
          <w:b w:val="1"/>
          <w:bCs w:val="1"/>
          <w:color w:val="auto"/>
        </w:rPr>
        <w:t>incorporaton or organizaton)</w:t>
      </w:r>
    </w:p>
    <w:p>
      <w:pPr>
        <w:spacing w:after="0" w:line="1" w:lineRule="exact"/>
        <w:rPr>
          <w:sz w:val="24"/>
          <w:szCs w:val="24"/>
          <w:color w:val="auto"/>
        </w:rPr>
      </w:pPr>
    </w:p>
    <w:p>
      <w:pPr>
        <w:ind w:left="1640"/>
        <w:spacing w:after="0"/>
        <w:rPr>
          <w:sz w:val="20"/>
          <w:szCs w:val="20"/>
          <w:color w:val="auto"/>
        </w:rPr>
      </w:pPr>
      <w:r>
        <w:rPr>
          <w:rFonts w:ascii="Calibri" w:cs="Calibri" w:eastAsia="Calibri" w:hAnsi="Calibri"/>
          <w:sz w:val="18"/>
          <w:szCs w:val="18"/>
          <w:b w:val="1"/>
          <w:bCs w:val="1"/>
          <w:color w:val="auto"/>
        </w:rPr>
        <w:t>55 Cambridge Parkway, 6</w:t>
      </w:r>
      <w:r>
        <w:rPr>
          <w:rFonts w:ascii="Calibri" w:cs="Calibri" w:eastAsia="Calibri" w:hAnsi="Calibri"/>
          <w:sz w:val="24"/>
          <w:szCs w:val="24"/>
          <w:b w:val="1"/>
          <w:bCs w:val="1"/>
          <w:color w:val="auto"/>
          <w:vertAlign w:val="superscript"/>
        </w:rPr>
        <w:t>th</w:t>
      </w:r>
      <w:r>
        <w:rPr>
          <w:rFonts w:ascii="Calibri" w:cs="Calibri" w:eastAsia="Calibri" w:hAnsi="Calibri"/>
          <w:sz w:val="18"/>
          <w:szCs w:val="18"/>
          <w:b w:val="1"/>
          <w:bCs w:val="1"/>
          <w:color w:val="auto"/>
        </w:rPr>
        <w:t xml:space="preserve"> Floor</w:t>
      </w:r>
    </w:p>
    <w:p>
      <w:pPr>
        <w:ind w:left="1820"/>
        <w:spacing w:after="0" w:line="206" w:lineRule="auto"/>
        <w:rPr>
          <w:sz w:val="20"/>
          <w:szCs w:val="20"/>
          <w:color w:val="auto"/>
        </w:rPr>
      </w:pPr>
      <w:r>
        <w:rPr>
          <w:rFonts w:ascii="Calibri" w:cs="Calibri" w:eastAsia="Calibri" w:hAnsi="Calibri"/>
          <w:sz w:val="18"/>
          <w:szCs w:val="18"/>
          <w:b w:val="1"/>
          <w:bCs w:val="1"/>
          <w:color w:val="auto"/>
        </w:rPr>
        <w:t>Cambridge, Massachusets</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ind w:left="100"/>
        <w:spacing w:after="0"/>
        <w:rPr>
          <w:sz w:val="20"/>
          <w:szCs w:val="20"/>
          <w:color w:val="auto"/>
        </w:rPr>
      </w:pPr>
      <w:r>
        <w:rPr>
          <w:rFonts w:ascii="Calibri" w:cs="Calibri" w:eastAsia="Calibri" w:hAnsi="Calibri"/>
          <w:sz w:val="18"/>
          <w:szCs w:val="18"/>
          <w:b w:val="1"/>
          <w:bCs w:val="1"/>
          <w:color w:val="auto"/>
        </w:rPr>
        <w:t>04-3843478</w:t>
      </w:r>
    </w:p>
    <w:p>
      <w:pPr>
        <w:spacing w:after="0" w:line="49" w:lineRule="exact"/>
        <w:rPr>
          <w:sz w:val="24"/>
          <w:szCs w:val="24"/>
          <w:color w:val="auto"/>
        </w:rPr>
      </w:pPr>
    </w:p>
    <w:p>
      <w:pPr>
        <w:jc w:val="center"/>
        <w:ind w:right="2220"/>
        <w:spacing w:after="0"/>
        <w:rPr>
          <w:sz w:val="20"/>
          <w:szCs w:val="20"/>
          <w:color w:val="auto"/>
        </w:rPr>
      </w:pPr>
      <w:r>
        <w:rPr>
          <w:rFonts w:ascii="Calibri" w:cs="Calibri" w:eastAsia="Calibri" w:hAnsi="Calibri"/>
          <w:sz w:val="14"/>
          <w:szCs w:val="14"/>
          <w:b w:val="1"/>
          <w:bCs w:val="1"/>
          <w:color w:val="auto"/>
        </w:rPr>
        <w:t>(I.R.S. Employer</w:t>
      </w:r>
    </w:p>
    <w:p>
      <w:pPr>
        <w:spacing w:after="0" w:line="5" w:lineRule="exact"/>
        <w:rPr>
          <w:sz w:val="24"/>
          <w:szCs w:val="24"/>
          <w:color w:val="auto"/>
        </w:rPr>
      </w:pPr>
    </w:p>
    <w:p>
      <w:pPr>
        <w:jc w:val="center"/>
        <w:ind w:right="2220"/>
        <w:spacing w:after="0"/>
        <w:rPr>
          <w:sz w:val="20"/>
          <w:szCs w:val="20"/>
          <w:color w:val="auto"/>
        </w:rPr>
      </w:pPr>
      <w:r>
        <w:rPr>
          <w:rFonts w:ascii="Calibri" w:cs="Calibri" w:eastAsia="Calibri" w:hAnsi="Calibri"/>
          <w:sz w:val="14"/>
          <w:szCs w:val="14"/>
          <w:b w:val="1"/>
          <w:bCs w:val="1"/>
          <w:color w:val="auto"/>
        </w:rPr>
        <w:t>Identfcaton No.)</w:t>
      </w:r>
    </w:p>
    <w:p>
      <w:pPr>
        <w:spacing w:after="0" w:line="249" w:lineRule="exact"/>
        <w:rPr>
          <w:sz w:val="24"/>
          <w:szCs w:val="24"/>
          <w:color w:val="auto"/>
        </w:rPr>
      </w:pPr>
    </w:p>
    <w:p>
      <w:pPr>
        <w:ind w:left="300"/>
        <w:spacing w:after="0"/>
        <w:rPr>
          <w:sz w:val="20"/>
          <w:szCs w:val="20"/>
          <w:color w:val="auto"/>
        </w:rPr>
      </w:pPr>
      <w:r>
        <w:rPr>
          <w:rFonts w:ascii="Calibri" w:cs="Calibri" w:eastAsia="Calibri" w:hAnsi="Calibri"/>
          <w:sz w:val="18"/>
          <w:szCs w:val="18"/>
          <w:b w:val="1"/>
          <w:bCs w:val="1"/>
          <w:color w:val="auto"/>
        </w:rPr>
        <w:t>02142</w:t>
      </w:r>
    </w:p>
    <w:p>
      <w:pPr>
        <w:spacing w:after="0" w:line="35" w:lineRule="exact"/>
        <w:rPr>
          <w:sz w:val="24"/>
          <w:szCs w:val="24"/>
          <w:color w:val="auto"/>
        </w:rPr>
      </w:pPr>
    </w:p>
    <w:p>
      <w:pPr>
        <w:sectPr>
          <w:pgSz w:w="11900" w:h="16838" w:orient="portrait"/>
          <w:cols w:equalWidth="0" w:num="2">
            <w:col w:w="7520" w:space="380"/>
            <w:col w:w="3300"/>
          </w:cols>
          <w:pgMar w:left="320" w:top="1111" w:right="379" w:bottom="1440" w:gutter="0" w:footer="0" w:header="0"/>
          <w:type w:val="continuous"/>
        </w:sectPr>
      </w:pPr>
    </w:p>
    <w:p>
      <w:pPr>
        <w:ind w:left="1660"/>
        <w:spacing w:after="0"/>
        <w:tabs>
          <w:tab w:leader="none" w:pos="8100" w:val="left"/>
        </w:tabs>
        <w:rPr>
          <w:sz w:val="20"/>
          <w:szCs w:val="20"/>
          <w:color w:val="auto"/>
        </w:rPr>
      </w:pPr>
      <w:r>
        <w:rPr>
          <w:rFonts w:ascii="Calibri" w:cs="Calibri" w:eastAsia="Calibri" w:hAnsi="Calibri"/>
          <w:sz w:val="14"/>
          <w:szCs w:val="14"/>
          <w:b w:val="1"/>
          <w:bCs w:val="1"/>
          <w:color w:val="auto"/>
        </w:rPr>
        <w:t>(Address of principal executve ofces)</w:t>
      </w:r>
      <w:r>
        <w:rPr>
          <w:sz w:val="20"/>
          <w:szCs w:val="20"/>
          <w:color w:val="auto"/>
        </w:rPr>
        <w:tab/>
      </w:r>
      <w:r>
        <w:rPr>
          <w:rFonts w:ascii="Calibri" w:cs="Calibri" w:eastAsia="Calibri" w:hAnsi="Calibri"/>
          <w:sz w:val="14"/>
          <w:szCs w:val="14"/>
          <w:b w:val="1"/>
          <w:bCs w:val="1"/>
          <w:color w:val="auto"/>
        </w:rPr>
        <w:t>(Zip Code)</w:t>
      </w:r>
    </w:p>
    <w:p>
      <w:pPr>
        <w:spacing w:after="0" w:line="54" w:lineRule="exact"/>
        <w:rPr>
          <w:sz w:val="24"/>
          <w:szCs w:val="24"/>
          <w:color w:val="auto"/>
        </w:rPr>
      </w:pPr>
    </w:p>
    <w:p>
      <w:pPr>
        <w:jc w:val="center"/>
        <w:ind w:right="-39"/>
        <w:spacing w:after="0"/>
        <w:rPr>
          <w:sz w:val="20"/>
          <w:szCs w:val="20"/>
          <w:color w:val="auto"/>
        </w:rPr>
      </w:pPr>
      <w:r>
        <w:rPr>
          <w:rFonts w:ascii="Calibri" w:cs="Calibri" w:eastAsia="Calibri" w:hAnsi="Calibri"/>
          <w:sz w:val="16"/>
          <w:szCs w:val="16"/>
          <w:b w:val="1"/>
          <w:bCs w:val="1"/>
          <w:color w:val="auto"/>
        </w:rPr>
        <w:t>(617) 354-0068</w:t>
      </w:r>
    </w:p>
    <w:p>
      <w:pPr>
        <w:spacing w:after="0" w:line="48" w:lineRule="exact"/>
        <w:rPr>
          <w:sz w:val="24"/>
          <w:szCs w:val="24"/>
          <w:color w:val="auto"/>
        </w:rPr>
      </w:pPr>
    </w:p>
    <w:p>
      <w:pPr>
        <w:jc w:val="center"/>
        <w:ind w:right="-39"/>
        <w:spacing w:after="0"/>
        <w:rPr>
          <w:sz w:val="20"/>
          <w:szCs w:val="20"/>
          <w:color w:val="auto"/>
        </w:rPr>
      </w:pPr>
      <w:r>
        <w:rPr>
          <w:rFonts w:ascii="Calibri" w:cs="Calibri" w:eastAsia="Calibri" w:hAnsi="Calibri"/>
          <w:sz w:val="16"/>
          <w:szCs w:val="16"/>
          <w:color w:val="auto"/>
        </w:rPr>
        <w:t>(Registrant’s telephone number, including area code)</w:t>
      </w:r>
    </w:p>
    <w:p>
      <w:pPr>
        <w:spacing w:after="0" w:line="68" w:lineRule="exact"/>
        <w:rPr>
          <w:sz w:val="24"/>
          <w:szCs w:val="24"/>
          <w:color w:val="auto"/>
        </w:rPr>
      </w:pPr>
    </w:p>
    <w:p>
      <w:pPr>
        <w:ind w:left="520"/>
        <w:spacing w:after="0"/>
        <w:rPr>
          <w:sz w:val="20"/>
          <w:szCs w:val="20"/>
          <w:color w:val="auto"/>
        </w:rPr>
      </w:pPr>
      <w:r>
        <w:rPr>
          <w:rFonts w:ascii="Calibri" w:cs="Calibri" w:eastAsia="Calibri" w:hAnsi="Calibri"/>
          <w:sz w:val="18"/>
          <w:szCs w:val="18"/>
          <w:color w:val="auto"/>
        </w:rPr>
        <w:t>Securites registered pursuant to Secton 12(b) of the Act:</w:t>
      </w:r>
    </w:p>
    <w:p>
      <w:pPr>
        <w:spacing w:after="0" w:line="71" w:lineRule="exact"/>
        <w:rPr>
          <w:sz w:val="24"/>
          <w:szCs w:val="24"/>
          <w:color w:val="auto"/>
        </w:rPr>
      </w:pPr>
    </w:p>
    <w:tbl>
      <w:tblPr>
        <w:tblLayout w:type="fixed"/>
        <w:tblInd w:w="820" w:type="dxa"/>
        <w:tblCellMar>
          <w:top w:w="0" w:type="dxa"/>
          <w:left w:w="0" w:type="dxa"/>
          <w:bottom w:w="0" w:type="dxa"/>
          <w:right w:w="0" w:type="dxa"/>
        </w:tblCellMar>
      </w:tblPr>
      <w:tr>
        <w:trPr>
          <w:trHeight w:val="195"/>
        </w:trPr>
        <w:tc>
          <w:tcPr>
            <w:tcW w:w="9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Calibri" w:cs="Calibri" w:eastAsia="Calibri" w:hAnsi="Calibri"/>
                <w:sz w:val="16"/>
                <w:szCs w:val="16"/>
                <w:b w:val="1"/>
                <w:bCs w:val="1"/>
                <w:color w:val="auto"/>
              </w:rPr>
              <w:t>Title of Each Class</w:t>
            </w:r>
          </w:p>
        </w:tc>
        <w:tc>
          <w:tcPr>
            <w:tcW w:w="1540" w:type="dxa"/>
            <w:vAlign w:val="bottom"/>
          </w:tcPr>
          <w:p>
            <w:pPr>
              <w:spacing w:after="0"/>
              <w:rPr>
                <w:sz w:val="16"/>
                <w:szCs w:val="16"/>
                <w:color w:val="auto"/>
              </w:rPr>
            </w:pPr>
          </w:p>
        </w:tc>
        <w:tc>
          <w:tcPr>
            <w:tcW w:w="2180" w:type="dxa"/>
            <w:vAlign w:val="bottom"/>
            <w:gridSpan w:val="3"/>
          </w:tcPr>
          <w:p>
            <w:pPr>
              <w:jc w:val="center"/>
              <w:ind w:left="79"/>
              <w:spacing w:after="0"/>
              <w:rPr>
                <w:sz w:val="20"/>
                <w:szCs w:val="20"/>
                <w:color w:val="auto"/>
              </w:rPr>
            </w:pPr>
            <w:r>
              <w:rPr>
                <w:rFonts w:ascii="Calibri" w:cs="Calibri" w:eastAsia="Calibri" w:hAnsi="Calibri"/>
                <w:sz w:val="16"/>
                <w:szCs w:val="16"/>
                <w:b w:val="1"/>
                <w:bCs w:val="1"/>
                <w:color w:val="auto"/>
                <w:w w:val="98"/>
              </w:rPr>
              <w:t>Trading Symbol</w:t>
            </w:r>
          </w:p>
        </w:tc>
        <w:tc>
          <w:tcPr>
            <w:tcW w:w="4100" w:type="dxa"/>
            <w:vAlign w:val="bottom"/>
            <w:gridSpan w:val="3"/>
          </w:tcPr>
          <w:p>
            <w:pPr>
              <w:jc w:val="center"/>
              <w:ind w:left="404"/>
              <w:spacing w:after="0"/>
              <w:rPr>
                <w:sz w:val="20"/>
                <w:szCs w:val="20"/>
                <w:color w:val="auto"/>
              </w:rPr>
            </w:pPr>
            <w:r>
              <w:rPr>
                <w:rFonts w:ascii="Calibri" w:cs="Calibri" w:eastAsia="Calibri" w:hAnsi="Calibri"/>
                <w:sz w:val="16"/>
                <w:szCs w:val="16"/>
                <w:b w:val="1"/>
                <w:bCs w:val="1"/>
                <w:color w:val="auto"/>
              </w:rPr>
              <w:t>Name of Exchange on Which Registered</w:t>
            </w:r>
          </w:p>
        </w:tc>
      </w:tr>
      <w:tr>
        <w:trPr>
          <w:trHeight w:val="20"/>
        </w:trPr>
        <w:tc>
          <w:tcPr>
            <w:tcW w:w="9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7"/>
        </w:trPr>
        <w:tc>
          <w:tcPr>
            <w:tcW w:w="3640" w:type="dxa"/>
            <w:vAlign w:val="bottom"/>
            <w:gridSpan w:val="3"/>
          </w:tcPr>
          <w:p>
            <w:pPr>
              <w:jc w:val="center"/>
              <w:ind w:right="640"/>
              <w:spacing w:after="0"/>
              <w:rPr>
                <w:sz w:val="20"/>
                <w:szCs w:val="20"/>
                <w:color w:val="auto"/>
              </w:rPr>
            </w:pPr>
            <w:r>
              <w:rPr>
                <w:rFonts w:ascii="Calibri" w:cs="Calibri" w:eastAsia="Calibri" w:hAnsi="Calibri"/>
                <w:sz w:val="14"/>
                <w:szCs w:val="14"/>
                <w:b w:val="1"/>
                <w:bCs w:val="1"/>
                <w:color w:val="auto"/>
              </w:rPr>
              <w:t>Class A Common Stock, par value $0.001 per share</w:t>
            </w:r>
          </w:p>
        </w:tc>
        <w:tc>
          <w:tcPr>
            <w:tcW w:w="66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Calibri" w:cs="Calibri" w:eastAsia="Calibri" w:hAnsi="Calibri"/>
                <w:sz w:val="14"/>
                <w:szCs w:val="14"/>
                <w:b w:val="1"/>
                <w:bCs w:val="1"/>
                <w:color w:val="auto"/>
              </w:rPr>
              <w:t>CARG</w:t>
            </w:r>
          </w:p>
        </w:tc>
        <w:tc>
          <w:tcPr>
            <w:tcW w:w="4100" w:type="dxa"/>
            <w:vAlign w:val="bottom"/>
            <w:gridSpan w:val="3"/>
          </w:tcPr>
          <w:p>
            <w:pPr>
              <w:jc w:val="center"/>
              <w:ind w:left="424"/>
              <w:spacing w:after="0"/>
              <w:rPr>
                <w:sz w:val="20"/>
                <w:szCs w:val="20"/>
                <w:color w:val="auto"/>
              </w:rPr>
            </w:pPr>
            <w:r>
              <w:rPr>
                <w:rFonts w:ascii="Calibri" w:cs="Calibri" w:eastAsia="Calibri" w:hAnsi="Calibri"/>
                <w:sz w:val="14"/>
                <w:szCs w:val="14"/>
                <w:b w:val="1"/>
                <w:bCs w:val="1"/>
                <w:color w:val="auto"/>
              </w:rPr>
              <w:t>The Nasdaq Stock Market LLC (Nasdaq Global Select Market)</w:t>
            </w:r>
          </w:p>
        </w:tc>
      </w:tr>
    </w:tbl>
    <w:p>
      <w:pPr>
        <w:spacing w:after="0" w:line="146" w:lineRule="exact"/>
        <w:rPr>
          <w:sz w:val="24"/>
          <w:szCs w:val="24"/>
          <w:color w:val="auto"/>
        </w:rPr>
      </w:pPr>
    </w:p>
    <w:p>
      <w:pPr>
        <w:ind w:firstLine="509"/>
        <w:spacing w:after="0" w:line="233" w:lineRule="exact"/>
        <w:rPr>
          <w:sz w:val="20"/>
          <w:szCs w:val="20"/>
          <w:color w:val="auto"/>
        </w:rPr>
      </w:pPr>
      <w:r>
        <w:rPr>
          <w:rFonts w:ascii="Calibri" w:cs="Calibri" w:eastAsia="Calibri" w:hAnsi="Calibri"/>
          <w:sz w:val="18"/>
          <w:szCs w:val="18"/>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45" w:lineRule="exact"/>
        <w:rPr>
          <w:sz w:val="24"/>
          <w:szCs w:val="24"/>
          <w:color w:val="auto"/>
        </w:rPr>
      </w:pPr>
    </w:p>
    <w:p>
      <w:pPr>
        <w:ind w:firstLine="509"/>
        <w:spacing w:after="0" w:line="233" w:lineRule="exact"/>
        <w:rPr>
          <w:sz w:val="20"/>
          <w:szCs w:val="20"/>
          <w:color w:val="auto"/>
        </w:rPr>
      </w:pPr>
      <w:r>
        <w:rPr>
          <w:rFonts w:ascii="Calibri" w:cs="Calibri" w:eastAsia="Calibri" w:hAnsi="Calibri"/>
          <w:sz w:val="18"/>
          <w:szCs w:val="18"/>
          <w:color w:val="auto"/>
        </w:rPr>
        <w:t xml:space="preserve">Indicate by check mark whether the registrant has submited electronically every Interactve Data File required to be submited pursuant to Rule 405 of Regulaton S-T (§ 232.405 of this chapter) during the preceding 12 months (or for such shorter period that the registrant was required to submit such fles).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45" w:lineRule="exact"/>
        <w:rPr>
          <w:sz w:val="24"/>
          <w:szCs w:val="24"/>
          <w:color w:val="auto"/>
        </w:rPr>
      </w:pPr>
    </w:p>
    <w:p>
      <w:pPr>
        <w:jc w:val="both"/>
        <w:ind w:right="40" w:firstLine="509"/>
        <w:spacing w:after="0" w:line="235" w:lineRule="auto"/>
        <w:rPr>
          <w:sz w:val="20"/>
          <w:szCs w:val="20"/>
          <w:color w:val="auto"/>
        </w:rPr>
      </w:pPr>
      <w:r>
        <w:rPr>
          <w:rFonts w:ascii="Calibri" w:cs="Calibri" w:eastAsia="Calibri" w:hAnsi="Calibri"/>
          <w:sz w:val="18"/>
          <w:szCs w:val="18"/>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900" w:type="dxa"/>
            <w:vAlign w:val="bottom"/>
          </w:tcPr>
          <w:p>
            <w:pPr>
              <w:spacing w:after="0"/>
              <w:rPr>
                <w:sz w:val="20"/>
                <w:szCs w:val="20"/>
                <w:color w:val="auto"/>
              </w:rPr>
            </w:pPr>
            <w:r>
              <w:rPr>
                <w:rFonts w:ascii="Calibri" w:cs="Calibri" w:eastAsia="Calibri" w:hAnsi="Calibri"/>
                <w:sz w:val="18"/>
                <w:szCs w:val="18"/>
                <w:color w:val="auto"/>
              </w:rPr>
              <w:t>Large accelerated fler</w:t>
            </w:r>
          </w:p>
        </w:tc>
        <w:tc>
          <w:tcPr>
            <w:tcW w:w="31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660"/>
              <w:spacing w:after="0"/>
              <w:rPr>
                <w:sz w:val="20"/>
                <w:szCs w:val="20"/>
                <w:color w:val="auto"/>
              </w:rPr>
            </w:pPr>
            <w:r>
              <w:rPr>
                <w:rFonts w:ascii="Calibri" w:cs="Calibri" w:eastAsia="Calibri" w:hAnsi="Calibri"/>
                <w:sz w:val="18"/>
                <w:szCs w:val="18"/>
                <w:color w:val="auto"/>
              </w:rPr>
              <w:t>Accelerated fler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900" w:type="dxa"/>
            <w:vAlign w:val="bottom"/>
          </w:tcPr>
          <w:p>
            <w:pPr>
              <w:spacing w:after="0"/>
              <w:rPr>
                <w:sz w:val="20"/>
                <w:szCs w:val="20"/>
                <w:color w:val="auto"/>
              </w:rPr>
            </w:pPr>
            <w:r>
              <w:rPr>
                <w:rFonts w:ascii="Calibri" w:cs="Calibri" w:eastAsia="Calibri" w:hAnsi="Calibri"/>
                <w:sz w:val="18"/>
                <w:szCs w:val="18"/>
                <w:color w:val="auto"/>
              </w:rPr>
              <w:t>Non-accelerated fler</w:t>
            </w:r>
          </w:p>
        </w:tc>
        <w:tc>
          <w:tcPr>
            <w:tcW w:w="31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660"/>
              <w:spacing w:after="0"/>
              <w:rPr>
                <w:sz w:val="20"/>
                <w:szCs w:val="20"/>
                <w:color w:val="auto"/>
              </w:rPr>
            </w:pPr>
            <w:r>
              <w:rPr>
                <w:rFonts w:ascii="Calibri" w:cs="Calibri" w:eastAsia="Calibri" w:hAnsi="Calibri"/>
                <w:sz w:val="18"/>
                <w:szCs w:val="18"/>
                <w:color w:val="auto"/>
              </w:rPr>
              <w:t>Small reportng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60" w:type="dxa"/>
            <w:vAlign w:val="bottom"/>
          </w:tcPr>
          <w:p>
            <w:pPr>
              <w:ind w:left="2660"/>
              <w:spacing w:after="0"/>
              <w:rPr>
                <w:sz w:val="20"/>
                <w:szCs w:val="20"/>
                <w:color w:val="auto"/>
              </w:rPr>
            </w:pPr>
            <w:r>
              <w:rPr>
                <w:rFonts w:ascii="Calibri" w:cs="Calibri" w:eastAsia="Calibri" w:hAnsi="Calibri"/>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8" w:lineRule="exact"/>
        <w:rPr>
          <w:sz w:val="24"/>
          <w:szCs w:val="24"/>
          <w:color w:val="auto"/>
        </w:rPr>
      </w:pPr>
    </w:p>
    <w:p>
      <w:pPr>
        <w:ind w:right="100" w:firstLine="509"/>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20" w:lineRule="exact"/>
        <w:rPr>
          <w:sz w:val="20"/>
          <w:szCs w:val="20"/>
          <w:color w:val="auto"/>
        </w:rPr>
      </w:pPr>
      <w:r>
        <w:rPr>
          <w:rFonts w:ascii="Calibri" w:cs="Calibri" w:eastAsia="Calibri" w:hAnsi="Calibri"/>
          <w:sz w:val="18"/>
          <w:szCs w:val="18"/>
          <w:color w:val="auto"/>
        </w:rPr>
        <w:t xml:space="preserve">Indicate by check mark whether the registrant is a shell company (as defned in Rule 12b-2 of the Exchange Act).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121" w:lineRule="exact"/>
        <w:rPr>
          <w:sz w:val="24"/>
          <w:szCs w:val="24"/>
          <w:color w:val="auto"/>
        </w:rPr>
      </w:pPr>
    </w:p>
    <w:p>
      <w:pPr>
        <w:ind w:right="520" w:firstLine="509"/>
        <w:spacing w:after="0" w:line="235" w:lineRule="auto"/>
        <w:rPr>
          <w:sz w:val="20"/>
          <w:szCs w:val="20"/>
          <w:color w:val="auto"/>
        </w:rPr>
      </w:pPr>
      <w:r>
        <w:rPr>
          <w:rFonts w:ascii="Calibri" w:cs="Calibri" w:eastAsia="Calibri" w:hAnsi="Calibri"/>
          <w:sz w:val="18"/>
          <w:szCs w:val="18"/>
          <w:color w:val="auto"/>
        </w:rPr>
        <w:t>As of May 2, 2024, the registrant had 88,193,268 shares of Class A common stock, $0.001 par value per share, and 15,999,173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928370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8"/>
          <w:szCs w:val="18"/>
          <w:b w:val="1"/>
          <w:bCs w:val="1"/>
          <w:color w:val="auto"/>
        </w:rPr>
        <w:t>Table of Contents</w:t>
      </w:r>
    </w:p>
    <w:p>
      <w:pPr>
        <w:spacing w:after="0" w:line="224" w:lineRule="exact"/>
        <w:rPr>
          <w:sz w:val="20"/>
          <w:szCs w:val="20"/>
          <w:color w:val="auto"/>
        </w:rPr>
      </w:pPr>
    </w:p>
    <w:tbl>
      <w:tblPr>
        <w:tblLayout w:type="fixed"/>
        <w:tblInd w:w="3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Calibri" w:cs="Calibri" w:eastAsia="Calibri" w:hAnsi="Calibri"/>
                <w:sz w:val="14"/>
                <w:szCs w:val="14"/>
                <w:b w:val="1"/>
                <w:bCs w:val="1"/>
                <w:color w:val="auto"/>
              </w:rPr>
              <w:t>Page</w:t>
            </w:r>
          </w:p>
        </w:tc>
        <w:tc>
          <w:tcPr>
            <w:tcW w:w="0" w:type="dxa"/>
            <w:vAlign w:val="bottom"/>
          </w:tcPr>
          <w:p>
            <w:pPr>
              <w:spacing w:after="0"/>
              <w:rPr>
                <w:sz w:val="1"/>
                <w:szCs w:val="1"/>
                <w:color w:val="auto"/>
              </w:rPr>
            </w:pPr>
          </w:p>
        </w:tc>
      </w:tr>
      <w:tr>
        <w:trPr>
          <w:trHeight w:val="33"/>
        </w:trPr>
        <w:tc>
          <w:tcPr>
            <w:tcW w:w="1200" w:type="dxa"/>
            <w:vAlign w:val="bottom"/>
            <w:gridSpan w:val="2"/>
            <w:vMerge w:val="restart"/>
          </w:tcPr>
          <w:p>
            <w:pPr>
              <w:spacing w:after="0" w:line="209" w:lineRule="exact"/>
              <w:rPr>
                <w:sz w:val="20"/>
                <w:szCs w:val="20"/>
                <w:color w:val="auto"/>
              </w:rPr>
            </w:pPr>
            <w:r>
              <w:rPr>
                <w:rFonts w:ascii="Calibri" w:cs="Calibri" w:eastAsia="Calibri" w:hAnsi="Calibri"/>
                <w:sz w:val="18"/>
                <w:szCs w:val="18"/>
                <w:b w:val="1"/>
                <w:bCs w:val="1"/>
                <w:color w:val="auto"/>
              </w:rPr>
              <w:t>PART I.</w:t>
            </w:r>
          </w:p>
        </w:tc>
        <w:tc>
          <w:tcPr>
            <w:tcW w:w="9420" w:type="dxa"/>
            <w:vAlign w:val="bottom"/>
            <w:gridSpan w:val="21"/>
            <w:vMerge w:val="restart"/>
          </w:tcPr>
          <w:p>
            <w:pPr>
              <w:spacing w:after="0" w:line="209" w:lineRule="exact"/>
              <w:rPr>
                <w:sz w:val="20"/>
                <w:szCs w:val="20"/>
                <w:color w:val="auto"/>
              </w:rPr>
            </w:pPr>
            <w:r>
              <w:rPr>
                <w:rFonts w:ascii="Calibri" w:cs="Calibri" w:eastAsia="Calibri" w:hAnsi="Calibri"/>
                <w:sz w:val="18"/>
                <w:szCs w:val="18"/>
                <w:b w:val="1"/>
                <w:bCs w:val="1"/>
                <w:color w:val="0000FF"/>
              </w:rPr>
              <w:t>FINANCIAL INFORMATION</w:t>
            </w: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00" w:type="dxa"/>
            <w:vAlign w:val="bottom"/>
            <w:gridSpan w:val="2"/>
            <w:vMerge w:val="continue"/>
          </w:tcPr>
          <w:p>
            <w:pPr>
              <w:spacing w:after="0"/>
              <w:rPr>
                <w:sz w:val="13"/>
                <w:szCs w:val="13"/>
                <w:color w:val="auto"/>
              </w:rPr>
            </w:pPr>
          </w:p>
        </w:tc>
        <w:tc>
          <w:tcPr>
            <w:tcW w:w="9420" w:type="dxa"/>
            <w:vAlign w:val="bottom"/>
            <w:gridSpan w:val="21"/>
            <w:vMerge w:val="continue"/>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Calibri" w:cs="Calibri" w:eastAsia="Calibri" w:hAnsi="Calibri"/>
                <w:sz w:val="16"/>
                <w:szCs w:val="16"/>
                <w:color w:val="auto"/>
              </w:rPr>
              <w:t>1</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line="209" w:lineRule="exact"/>
              <w:rPr>
                <w:sz w:val="20"/>
                <w:szCs w:val="20"/>
                <w:color w:val="auto"/>
              </w:rPr>
            </w:pPr>
            <w:r>
              <w:rPr>
                <w:rFonts w:ascii="Calibri" w:cs="Calibri" w:eastAsia="Calibri" w:hAnsi="Calibri"/>
                <w:sz w:val="18"/>
                <w:szCs w:val="18"/>
                <w:color w:val="auto"/>
              </w:rPr>
              <w:t>Item 1.</w:t>
            </w:r>
          </w:p>
        </w:tc>
        <w:tc>
          <w:tcPr>
            <w:tcW w:w="1900" w:type="dxa"/>
            <w:vAlign w:val="bottom"/>
            <w:tcBorders>
              <w:top w:val="single" w:sz="8" w:color="0000FF"/>
            </w:tcBorders>
            <w:gridSpan w:val="9"/>
          </w:tcPr>
          <w:p>
            <w:pPr>
              <w:spacing w:after="0" w:line="209" w:lineRule="exact"/>
              <w:rPr>
                <w:sz w:val="20"/>
                <w:szCs w:val="20"/>
                <w:color w:val="auto"/>
              </w:rPr>
            </w:pPr>
            <w:r>
              <w:rPr>
                <w:rFonts w:ascii="Calibri" w:cs="Calibri" w:eastAsia="Calibri" w:hAnsi="Calibri"/>
                <w:sz w:val="18"/>
                <w:szCs w:val="18"/>
                <w:color w:val="0000FF"/>
              </w:rPr>
              <w:t>Financial Statements</w:t>
            </w:r>
          </w:p>
        </w:tc>
        <w:tc>
          <w:tcPr>
            <w:tcW w:w="7520" w:type="dxa"/>
            <w:vAlign w:val="bottom"/>
            <w:gridSpan w:val="12"/>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80" w:type="dxa"/>
            <w:vAlign w:val="bottom"/>
            <w:tcBorders>
              <w:bottom w:val="single" w:sz="8" w:color="0000FF"/>
            </w:tcBorders>
            <w:gridSpan w:val="10"/>
          </w:tcPr>
          <w:p>
            <w:pPr>
              <w:spacing w:after="0" w:line="209" w:lineRule="exact"/>
              <w:rPr>
                <w:sz w:val="20"/>
                <w:szCs w:val="20"/>
                <w:color w:val="auto"/>
              </w:rPr>
            </w:pPr>
            <w:r>
              <w:rPr>
                <w:rFonts w:ascii="Calibri" w:cs="Calibri" w:eastAsia="Calibri" w:hAnsi="Calibri"/>
                <w:sz w:val="18"/>
                <w:szCs w:val="18"/>
                <w:color w:val="0000FF"/>
                <w:w w:val="97"/>
              </w:rPr>
              <w:t>Unaudited Condensed Consolidated Balance Sheets</w:t>
            </w:r>
          </w:p>
        </w:tc>
        <w:tc>
          <w:tcPr>
            <w:tcW w:w="20" w:type="dxa"/>
            <w:vAlign w:val="bottom"/>
            <w:tcBorders>
              <w:bottom w:val="single" w:sz="8" w:color="0000EE"/>
            </w:tcBorders>
          </w:tcPr>
          <w:p>
            <w:pPr>
              <w:spacing w:after="0"/>
              <w:rPr>
                <w:sz w:val="18"/>
                <w:szCs w:val="18"/>
                <w:color w:val="auto"/>
              </w:rPr>
            </w:pPr>
          </w:p>
        </w:tc>
        <w:tc>
          <w:tcPr>
            <w:tcW w:w="5720" w:type="dxa"/>
            <w:vAlign w:val="bottom"/>
            <w:gridSpan w:val="10"/>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20" w:type="dxa"/>
            <w:vAlign w:val="bottom"/>
            <w:gridSpan w:val="21"/>
          </w:tcPr>
          <w:p>
            <w:pPr>
              <w:spacing w:after="0" w:line="209" w:lineRule="exact"/>
              <w:rPr>
                <w:sz w:val="20"/>
                <w:szCs w:val="20"/>
                <w:color w:val="auto"/>
              </w:rPr>
            </w:pPr>
            <w:r>
              <w:rPr>
                <w:rFonts w:ascii="Calibri" w:cs="Calibri" w:eastAsia="Calibri" w:hAnsi="Calibri"/>
                <w:sz w:val="18"/>
                <w:szCs w:val="18"/>
                <w:color w:val="0000FF"/>
              </w:rPr>
              <w:t>Unaudited Condensed Consolidated Income Statements</w:t>
            </w: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6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20" w:type="dxa"/>
            <w:vAlign w:val="bottom"/>
            <w:tcBorders>
              <w:bottom w:val="single" w:sz="8" w:color="0000FF"/>
            </w:tcBorders>
            <w:gridSpan w:val="17"/>
          </w:tcPr>
          <w:p>
            <w:pPr>
              <w:spacing w:after="0" w:line="209" w:lineRule="exact"/>
              <w:rPr>
                <w:sz w:val="20"/>
                <w:szCs w:val="20"/>
                <w:color w:val="auto"/>
              </w:rPr>
            </w:pPr>
            <w:r>
              <w:rPr>
                <w:rFonts w:ascii="Calibri" w:cs="Calibri" w:eastAsia="Calibri" w:hAnsi="Calibri"/>
                <w:sz w:val="18"/>
                <w:szCs w:val="18"/>
                <w:color w:val="0000FF"/>
                <w:w w:val="96"/>
              </w:rPr>
              <w:t>Unaudited Condensed Consolidated Statements of Comprehensive Income</w:t>
            </w:r>
          </w:p>
        </w:tc>
        <w:tc>
          <w:tcPr>
            <w:tcW w:w="20" w:type="dxa"/>
            <w:vAlign w:val="bottom"/>
            <w:tcBorders>
              <w:bottom w:val="single" w:sz="8" w:color="0000EE"/>
            </w:tcBorders>
          </w:tcPr>
          <w:p>
            <w:pPr>
              <w:spacing w:after="0"/>
              <w:rPr>
                <w:sz w:val="18"/>
                <w:szCs w:val="18"/>
                <w:color w:val="auto"/>
              </w:rPr>
            </w:pPr>
          </w:p>
        </w:tc>
        <w:tc>
          <w:tcPr>
            <w:tcW w:w="4080" w:type="dxa"/>
            <w:vAlign w:val="bottom"/>
            <w:gridSpan w:val="3"/>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20" w:type="dxa"/>
            <w:vAlign w:val="bottom"/>
            <w:gridSpan w:val="21"/>
          </w:tcPr>
          <w:p>
            <w:pPr>
              <w:spacing w:after="0" w:line="209" w:lineRule="exact"/>
              <w:rPr>
                <w:sz w:val="20"/>
                <w:szCs w:val="20"/>
                <w:color w:val="auto"/>
              </w:rPr>
            </w:pPr>
            <w:r>
              <w:rPr>
                <w:rFonts w:ascii="Calibri" w:cs="Calibri" w:eastAsia="Calibri" w:hAnsi="Calibri"/>
                <w:sz w:val="18"/>
                <w:szCs w:val="18"/>
                <w:color w:val="0000FF"/>
              </w:rPr>
              <w:t>Unaudited Condensed Consolidated Statements of Redeemable Noncontrolling Interest and Stockholders’ Equity</w:t>
            </w: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0" w:type="dxa"/>
            <w:vAlign w:val="bottom"/>
            <w:tcBorders>
              <w:top w:val="single" w:sz="8" w:color="0000FF"/>
            </w:tcBorders>
            <w:gridSpan w:val="20"/>
          </w:tcPr>
          <w:p>
            <w:pPr>
              <w:spacing w:after="0" w:line="209" w:lineRule="exact"/>
              <w:rPr>
                <w:sz w:val="20"/>
                <w:szCs w:val="20"/>
                <w:color w:val="auto"/>
              </w:rPr>
            </w:pPr>
            <w:r>
              <w:rPr>
                <w:rFonts w:ascii="Calibri" w:cs="Calibri" w:eastAsia="Calibri" w:hAnsi="Calibri"/>
                <w:sz w:val="18"/>
                <w:szCs w:val="18"/>
                <w:color w:val="0000FF"/>
              </w:rPr>
              <w:t>Unaudited Condensed Consolidated Statements of Cash Flows</w:t>
            </w:r>
          </w:p>
        </w:tc>
        <w:tc>
          <w:tcPr>
            <w:tcW w:w="1420" w:type="dxa"/>
            <w:vAlign w:val="bottom"/>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20" w:type="dxa"/>
            <w:vAlign w:val="bottom"/>
            <w:gridSpan w:val="21"/>
          </w:tcPr>
          <w:p>
            <w:pPr>
              <w:spacing w:after="0" w:line="209" w:lineRule="exact"/>
              <w:rPr>
                <w:sz w:val="20"/>
                <w:szCs w:val="20"/>
                <w:color w:val="auto"/>
              </w:rPr>
            </w:pPr>
            <w:r>
              <w:rPr>
                <w:rFonts w:ascii="Calibri" w:cs="Calibri" w:eastAsia="Calibri" w:hAnsi="Calibri"/>
                <w:sz w:val="18"/>
                <w:szCs w:val="18"/>
                <w:color w:val="0000FF"/>
              </w:rPr>
              <w:t>Notes to Unaudited Condensed Consolidated Financial Statements</w:t>
            </w: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line="209" w:lineRule="exact"/>
              <w:rPr>
                <w:sz w:val="20"/>
                <w:szCs w:val="20"/>
                <w:color w:val="auto"/>
              </w:rPr>
            </w:pPr>
            <w:r>
              <w:rPr>
                <w:rFonts w:ascii="Calibri" w:cs="Calibri" w:eastAsia="Calibri" w:hAnsi="Calibri"/>
                <w:sz w:val="18"/>
                <w:szCs w:val="18"/>
                <w:color w:val="auto"/>
              </w:rPr>
              <w:t>Item 2.</w:t>
            </w:r>
          </w:p>
        </w:tc>
        <w:tc>
          <w:tcPr>
            <w:tcW w:w="9420" w:type="dxa"/>
            <w:vAlign w:val="bottom"/>
            <w:gridSpan w:val="21"/>
          </w:tcPr>
          <w:p>
            <w:pPr>
              <w:spacing w:after="0" w:line="209" w:lineRule="exact"/>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20</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line="209" w:lineRule="exact"/>
              <w:rPr>
                <w:sz w:val="20"/>
                <w:szCs w:val="20"/>
                <w:color w:val="auto"/>
              </w:rPr>
            </w:pPr>
            <w:r>
              <w:rPr>
                <w:rFonts w:ascii="Calibri" w:cs="Calibri" w:eastAsia="Calibri" w:hAnsi="Calibri"/>
                <w:sz w:val="18"/>
                <w:szCs w:val="18"/>
                <w:color w:val="auto"/>
              </w:rPr>
              <w:t>Item 3.</w:t>
            </w:r>
          </w:p>
        </w:tc>
        <w:tc>
          <w:tcPr>
            <w:tcW w:w="6220" w:type="dxa"/>
            <w:vAlign w:val="bottom"/>
            <w:tcBorders>
              <w:top w:val="single" w:sz="8" w:color="0000FF"/>
            </w:tcBorders>
            <w:gridSpan w:val="19"/>
          </w:tcPr>
          <w:p>
            <w:pPr>
              <w:spacing w:after="0" w:line="209" w:lineRule="exact"/>
              <w:rPr>
                <w:sz w:val="20"/>
                <w:szCs w:val="20"/>
                <w:color w:val="auto"/>
              </w:rPr>
            </w:pPr>
            <w:r>
              <w:rPr>
                <w:rFonts w:ascii="Calibri" w:cs="Calibri" w:eastAsia="Calibri" w:hAnsi="Calibri"/>
                <w:sz w:val="18"/>
                <w:szCs w:val="18"/>
                <w:color w:val="0000FF"/>
              </w:rPr>
              <w:t>Quanttatve and Qualitatve Disclosures About Market Risk</w:t>
            </w:r>
          </w:p>
        </w:tc>
        <w:tc>
          <w:tcPr>
            <w:tcW w:w="3200" w:type="dxa"/>
            <w:vAlign w:val="bottom"/>
            <w:gridSpan w:val="2"/>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39</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line="209" w:lineRule="exact"/>
              <w:rPr>
                <w:sz w:val="20"/>
                <w:szCs w:val="20"/>
                <w:color w:val="auto"/>
              </w:rPr>
            </w:pPr>
            <w:r>
              <w:rPr>
                <w:rFonts w:ascii="Calibri" w:cs="Calibri" w:eastAsia="Calibri" w:hAnsi="Calibri"/>
                <w:sz w:val="18"/>
                <w:szCs w:val="18"/>
                <w:color w:val="auto"/>
              </w:rPr>
              <w:t>Item 4.</w:t>
            </w:r>
          </w:p>
        </w:tc>
        <w:tc>
          <w:tcPr>
            <w:tcW w:w="4200" w:type="dxa"/>
            <w:vAlign w:val="bottom"/>
            <w:tcBorders>
              <w:top w:val="single" w:sz="8" w:color="0000FF"/>
            </w:tcBorders>
            <w:gridSpan w:val="13"/>
          </w:tcPr>
          <w:p>
            <w:pPr>
              <w:spacing w:after="0" w:line="209" w:lineRule="exact"/>
              <w:rPr>
                <w:sz w:val="20"/>
                <w:szCs w:val="20"/>
                <w:color w:val="auto"/>
              </w:rPr>
            </w:pPr>
            <w:r>
              <w:rPr>
                <w:rFonts w:ascii="Calibri" w:cs="Calibri" w:eastAsia="Calibri" w:hAnsi="Calibri"/>
                <w:sz w:val="18"/>
                <w:szCs w:val="18"/>
                <w:color w:val="0000FF"/>
              </w:rPr>
              <w:t>Controls and Procedures</w:t>
            </w:r>
          </w:p>
        </w:tc>
        <w:tc>
          <w:tcPr>
            <w:tcW w:w="5220" w:type="dxa"/>
            <w:vAlign w:val="bottom"/>
            <w:gridSpan w:val="8"/>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40</w:t>
            </w:r>
          </w:p>
        </w:tc>
        <w:tc>
          <w:tcPr>
            <w:tcW w:w="0" w:type="dxa"/>
            <w:vAlign w:val="bottom"/>
          </w:tcPr>
          <w:p>
            <w:pPr>
              <w:spacing w:after="0"/>
              <w:rPr>
                <w:sz w:val="1"/>
                <w:szCs w:val="1"/>
                <w:color w:val="auto"/>
              </w:rPr>
            </w:pPr>
          </w:p>
        </w:tc>
      </w:tr>
      <w:tr>
        <w:trPr>
          <w:trHeight w:val="398"/>
        </w:trPr>
        <w:tc>
          <w:tcPr>
            <w:tcW w:w="1200" w:type="dxa"/>
            <w:vAlign w:val="bottom"/>
            <w:gridSpan w:val="2"/>
          </w:tcPr>
          <w:p>
            <w:pPr>
              <w:spacing w:after="0"/>
              <w:rPr>
                <w:sz w:val="20"/>
                <w:szCs w:val="20"/>
                <w:color w:val="auto"/>
              </w:rPr>
            </w:pPr>
            <w:r>
              <w:rPr>
                <w:rFonts w:ascii="Calibri" w:cs="Calibri" w:eastAsia="Calibri" w:hAnsi="Calibri"/>
                <w:sz w:val="18"/>
                <w:szCs w:val="18"/>
                <w:b w:val="1"/>
                <w:bCs w:val="1"/>
                <w:color w:val="auto"/>
              </w:rPr>
              <w:t>PART II.</w:t>
            </w:r>
          </w:p>
        </w:tc>
        <w:tc>
          <w:tcPr>
            <w:tcW w:w="1620" w:type="dxa"/>
            <w:vAlign w:val="bottom"/>
            <w:tcBorders>
              <w:top w:val="single" w:sz="8" w:color="0000FF"/>
              <w:bottom w:val="single" w:sz="8" w:color="0000FF"/>
            </w:tcBorders>
            <w:gridSpan w:val="7"/>
          </w:tcPr>
          <w:p>
            <w:pPr>
              <w:spacing w:after="0"/>
              <w:rPr>
                <w:sz w:val="20"/>
                <w:szCs w:val="20"/>
                <w:color w:val="auto"/>
              </w:rPr>
            </w:pPr>
            <w:r>
              <w:rPr>
                <w:rFonts w:ascii="Calibri" w:cs="Calibri" w:eastAsia="Calibri" w:hAnsi="Calibri"/>
                <w:sz w:val="18"/>
                <w:szCs w:val="18"/>
                <w:b w:val="1"/>
                <w:bCs w:val="1"/>
                <w:color w:val="0000FF"/>
                <w:w w:val="95"/>
              </w:rPr>
              <w:t>OTHER INFORMATION</w:t>
            </w:r>
          </w:p>
        </w:tc>
        <w:tc>
          <w:tcPr>
            <w:tcW w:w="120" w:type="dxa"/>
            <w:vAlign w:val="bottom"/>
            <w:tcBorders>
              <w:top w:val="single" w:sz="8" w:color="0000FF"/>
            </w:tcBorders>
          </w:tcPr>
          <w:p>
            <w:pPr>
              <w:spacing w:after="0"/>
              <w:rPr>
                <w:sz w:val="24"/>
                <w:szCs w:val="24"/>
                <w:color w:val="auto"/>
              </w:rPr>
            </w:pPr>
          </w:p>
        </w:tc>
        <w:tc>
          <w:tcPr>
            <w:tcW w:w="7680" w:type="dxa"/>
            <w:vAlign w:val="bottom"/>
            <w:gridSpan w:val="13"/>
          </w:tcPr>
          <w:p>
            <w:pPr>
              <w:spacing w:after="0"/>
              <w:rPr>
                <w:sz w:val="24"/>
                <w:szCs w:val="24"/>
                <w:color w:val="auto"/>
              </w:rPr>
            </w:pPr>
          </w:p>
        </w:tc>
        <w:tc>
          <w:tcPr>
            <w:tcW w:w="600" w:type="dxa"/>
            <w:vAlign w:val="bottom"/>
          </w:tcPr>
          <w:p>
            <w:pPr>
              <w:jc w:val="right"/>
              <w:spacing w:after="0"/>
              <w:rPr>
                <w:sz w:val="20"/>
                <w:szCs w:val="20"/>
                <w:color w:val="auto"/>
              </w:rPr>
            </w:pPr>
            <w:r>
              <w:rPr>
                <w:rFonts w:ascii="Calibri" w:cs="Calibri" w:eastAsia="Calibri" w:hAnsi="Calibri"/>
                <w:sz w:val="18"/>
                <w:szCs w:val="18"/>
                <w:color w:val="auto"/>
              </w:rPr>
              <w:t>42</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line="209" w:lineRule="exact"/>
              <w:rPr>
                <w:sz w:val="20"/>
                <w:szCs w:val="20"/>
                <w:color w:val="auto"/>
              </w:rPr>
            </w:pPr>
            <w:r>
              <w:rPr>
                <w:rFonts w:ascii="Calibri" w:cs="Calibri" w:eastAsia="Calibri" w:hAnsi="Calibri"/>
                <w:sz w:val="18"/>
                <w:szCs w:val="18"/>
                <w:color w:val="auto"/>
              </w:rPr>
              <w:t>Item 1.</w:t>
            </w:r>
          </w:p>
        </w:tc>
        <w:tc>
          <w:tcPr>
            <w:tcW w:w="1280" w:type="dxa"/>
            <w:vAlign w:val="bottom"/>
            <w:tcBorders>
              <w:bottom w:val="single" w:sz="8" w:color="0000FF"/>
            </w:tcBorders>
            <w:gridSpan w:val="4"/>
          </w:tcPr>
          <w:p>
            <w:pPr>
              <w:spacing w:after="0" w:line="209" w:lineRule="exact"/>
              <w:rPr>
                <w:sz w:val="20"/>
                <w:szCs w:val="20"/>
                <w:color w:val="auto"/>
              </w:rPr>
            </w:pPr>
            <w:r>
              <w:rPr>
                <w:rFonts w:ascii="Calibri" w:cs="Calibri" w:eastAsia="Calibri" w:hAnsi="Calibri"/>
                <w:sz w:val="18"/>
                <w:szCs w:val="18"/>
                <w:color w:val="0000FF"/>
                <w:w w:val="96"/>
              </w:rPr>
              <w:t>Legal Proceedings</w:t>
            </w:r>
          </w:p>
        </w:tc>
        <w:tc>
          <w:tcPr>
            <w:tcW w:w="8140" w:type="dxa"/>
            <w:vAlign w:val="bottom"/>
            <w:gridSpan w:val="17"/>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42</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line="209" w:lineRule="exact"/>
              <w:rPr>
                <w:sz w:val="20"/>
                <w:szCs w:val="20"/>
                <w:color w:val="auto"/>
              </w:rPr>
            </w:pPr>
            <w:r>
              <w:rPr>
                <w:rFonts w:ascii="Calibri" w:cs="Calibri" w:eastAsia="Calibri" w:hAnsi="Calibri"/>
                <w:sz w:val="18"/>
                <w:szCs w:val="18"/>
                <w:color w:val="auto"/>
              </w:rPr>
              <w:t>Item 1A.</w:t>
            </w:r>
          </w:p>
        </w:tc>
        <w:tc>
          <w:tcPr>
            <w:tcW w:w="840" w:type="dxa"/>
            <w:vAlign w:val="bottom"/>
            <w:tcBorders>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94"/>
              </w:rPr>
              <w:t>Risk Factors</w:t>
            </w:r>
          </w:p>
        </w:tc>
        <w:tc>
          <w:tcPr>
            <w:tcW w:w="20" w:type="dxa"/>
            <w:vAlign w:val="bottom"/>
            <w:tcBorders>
              <w:bottom w:val="single" w:sz="8" w:color="0000EE"/>
            </w:tcBorders>
          </w:tcPr>
          <w:p>
            <w:pPr>
              <w:spacing w:after="0"/>
              <w:rPr>
                <w:sz w:val="18"/>
                <w:szCs w:val="18"/>
                <w:color w:val="auto"/>
              </w:rPr>
            </w:pPr>
          </w:p>
        </w:tc>
        <w:tc>
          <w:tcPr>
            <w:tcW w:w="8560" w:type="dxa"/>
            <w:vAlign w:val="bottom"/>
            <w:gridSpan w:val="18"/>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42</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line="209" w:lineRule="exact"/>
              <w:rPr>
                <w:sz w:val="20"/>
                <w:szCs w:val="20"/>
                <w:color w:val="auto"/>
              </w:rPr>
            </w:pPr>
            <w:r>
              <w:rPr>
                <w:rFonts w:ascii="Calibri" w:cs="Calibri" w:eastAsia="Calibri" w:hAnsi="Calibri"/>
                <w:sz w:val="18"/>
                <w:szCs w:val="18"/>
                <w:color w:val="auto"/>
              </w:rPr>
              <w:t>Item 2.</w:t>
            </w:r>
          </w:p>
        </w:tc>
        <w:tc>
          <w:tcPr>
            <w:tcW w:w="9420" w:type="dxa"/>
            <w:vAlign w:val="bottom"/>
            <w:gridSpan w:val="21"/>
          </w:tcPr>
          <w:p>
            <w:pPr>
              <w:spacing w:after="0" w:line="209" w:lineRule="exact"/>
              <w:rPr>
                <w:sz w:val="20"/>
                <w:szCs w:val="20"/>
                <w:color w:val="auto"/>
              </w:rPr>
            </w:pPr>
            <w:r>
              <w:rPr>
                <w:rFonts w:ascii="Calibri" w:cs="Calibri" w:eastAsia="Calibri" w:hAnsi="Calibri"/>
                <w:sz w:val="18"/>
                <w:szCs w:val="18"/>
                <w:color w:val="0000FF"/>
              </w:rPr>
              <w:t>Unregistered Sales of Equity Securites and Use of Proceeds</w:t>
            </w: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42</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line="209" w:lineRule="exact"/>
              <w:rPr>
                <w:sz w:val="20"/>
                <w:szCs w:val="20"/>
                <w:color w:val="auto"/>
              </w:rPr>
            </w:pPr>
            <w:r>
              <w:rPr>
                <w:rFonts w:ascii="Calibri" w:cs="Calibri" w:eastAsia="Calibri" w:hAnsi="Calibri"/>
                <w:sz w:val="18"/>
                <w:szCs w:val="18"/>
                <w:color w:val="auto"/>
              </w:rPr>
              <w:t>Item 5.</w:t>
            </w:r>
          </w:p>
        </w:tc>
        <w:tc>
          <w:tcPr>
            <w:tcW w:w="4220" w:type="dxa"/>
            <w:vAlign w:val="bottom"/>
            <w:tcBorders>
              <w:top w:val="single" w:sz="8" w:color="0000FF"/>
            </w:tcBorders>
            <w:gridSpan w:val="14"/>
          </w:tcPr>
          <w:p>
            <w:pPr>
              <w:spacing w:after="0" w:line="209" w:lineRule="exact"/>
              <w:rPr>
                <w:sz w:val="20"/>
                <w:szCs w:val="20"/>
                <w:color w:val="auto"/>
              </w:rPr>
            </w:pPr>
            <w:r>
              <w:rPr>
                <w:rFonts w:ascii="Calibri" w:cs="Calibri" w:eastAsia="Calibri" w:hAnsi="Calibri"/>
                <w:sz w:val="18"/>
                <w:szCs w:val="18"/>
                <w:color w:val="0000FF"/>
              </w:rPr>
              <w:t>Other Informaton</w:t>
            </w:r>
          </w:p>
        </w:tc>
        <w:tc>
          <w:tcPr>
            <w:tcW w:w="5200" w:type="dxa"/>
            <w:vAlign w:val="bottom"/>
            <w:gridSpan w:val="7"/>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43</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line="209" w:lineRule="exact"/>
              <w:rPr>
                <w:sz w:val="20"/>
                <w:szCs w:val="20"/>
                <w:color w:val="auto"/>
              </w:rPr>
            </w:pPr>
            <w:r>
              <w:rPr>
                <w:rFonts w:ascii="Calibri" w:cs="Calibri" w:eastAsia="Calibri" w:hAnsi="Calibri"/>
                <w:sz w:val="18"/>
                <w:szCs w:val="18"/>
                <w:color w:val="auto"/>
              </w:rPr>
              <w:t>Item 6.</w:t>
            </w:r>
          </w:p>
        </w:tc>
        <w:tc>
          <w:tcPr>
            <w:tcW w:w="1300" w:type="dxa"/>
            <w:vAlign w:val="bottom"/>
            <w:tcBorders>
              <w:top w:val="single" w:sz="8" w:color="0000FF"/>
            </w:tcBorders>
            <w:gridSpan w:val="5"/>
          </w:tcPr>
          <w:p>
            <w:pPr>
              <w:spacing w:after="0" w:line="209" w:lineRule="exact"/>
              <w:rPr>
                <w:sz w:val="20"/>
                <w:szCs w:val="20"/>
                <w:color w:val="auto"/>
              </w:rPr>
            </w:pPr>
            <w:r>
              <w:rPr>
                <w:rFonts w:ascii="Calibri" w:cs="Calibri" w:eastAsia="Calibri" w:hAnsi="Calibri"/>
                <w:sz w:val="18"/>
                <w:szCs w:val="18"/>
                <w:color w:val="0000FF"/>
              </w:rPr>
              <w:t>Exhibits</w:t>
            </w:r>
          </w:p>
        </w:tc>
        <w:tc>
          <w:tcPr>
            <w:tcW w:w="8120" w:type="dxa"/>
            <w:vAlign w:val="bottom"/>
            <w:gridSpan w:val="16"/>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44</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line="209" w:lineRule="exact"/>
              <w:rPr>
                <w:sz w:val="20"/>
                <w:szCs w:val="20"/>
                <w:color w:val="auto"/>
              </w:rPr>
            </w:pPr>
            <w:r>
              <w:rPr>
                <w:rFonts w:ascii="Calibri" w:cs="Calibri" w:eastAsia="Calibri" w:hAnsi="Calibri"/>
                <w:sz w:val="18"/>
                <w:szCs w:val="18"/>
                <w:color w:val="0000FF"/>
              </w:rPr>
              <w:t>Signatures</w:t>
            </w:r>
          </w:p>
        </w:tc>
        <w:tc>
          <w:tcPr>
            <w:tcW w:w="56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p>
      <w:pPr>
        <w:spacing w:after="0"/>
        <w:rPr>
          <w:sz w:val="20"/>
          <w:szCs w:val="20"/>
          <w:color w:val="auto"/>
        </w:rPr>
      </w:pPr>
      <w:r>
        <w:rPr>
          <w:rFonts w:ascii="MS PGothic" w:cs="MS PGothic" w:eastAsia="MS PGothic" w:hAnsi="MS PGothic"/>
          <w:sz w:val="18"/>
          <w:szCs w:val="18"/>
          <w:b w:val="1"/>
          <w:bCs w:val="1"/>
          <w:color w:val="auto"/>
        </w:rPr>
        <w:t>SPECIAL NOTE REGARDING FORWARD‑LOOKING STATEMENTS</w:t>
      </w:r>
    </w:p>
    <w:p>
      <w:pPr>
        <w:spacing w:after="0" w:line="144" w:lineRule="exact"/>
        <w:rPr>
          <w:sz w:val="20"/>
          <w:szCs w:val="20"/>
          <w:color w:val="auto"/>
        </w:rPr>
      </w:pPr>
    </w:p>
    <w:p>
      <w:pPr>
        <w:jc w:val="both"/>
        <w:ind w:firstLine="509"/>
        <w:spacing w:after="0" w:line="320" w:lineRule="auto"/>
        <w:rPr>
          <w:sz w:val="20"/>
          <w:szCs w:val="20"/>
          <w:color w:val="auto"/>
        </w:rPr>
      </w:pPr>
      <w:r>
        <w:rPr>
          <w:rFonts w:ascii="MS PGothic" w:cs="MS PGothic" w:eastAsia="MS PGothic" w:hAnsi="MS PGothic"/>
          <w:sz w:val="17"/>
          <w:szCs w:val="17"/>
          <w:color w:val="auto"/>
        </w:rPr>
        <w:t>This Quarterly Report on Form 10-Q, or Quarterly Report, contains forward‑looking statements within the meaning of the federal securites laws, which statements involve substantal risks and uncertaintes. Forward‑looking statements generally relate to future events or our future fnancial or operatng performance. In some cases, you can identfy forward‑looking statements because they contain words such as “aim,” “antcipates,” “believes,” “could,” “estmates,” “expects,” “goal,” “intends,” “may,” “might,” “plans,” “potental,” “predicts,” “projects,” “seeks,” “should,” “target,” “will,” “would,” or similar expressions and the negatves of those terms. Forward-looking statements contained in this Quarterly Report include statements about:</w:t>
      </w:r>
    </w:p>
    <w:p>
      <w:pPr>
        <w:spacing w:after="0" w:line="68" w:lineRule="exact"/>
        <w:rPr>
          <w:sz w:val="20"/>
          <w:szCs w:val="20"/>
          <w:color w:val="auto"/>
        </w:rPr>
      </w:pPr>
    </w:p>
    <w:p>
      <w:pPr>
        <w:ind w:left="900" w:hanging="383"/>
        <w:spacing w:after="0" w:line="298" w:lineRule="auto"/>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future fnancial performance, including our expectatons regarding our revenue, cost of revenue, gross proft or gross margin, operatng expenses, ability to generate cash fow, and ability to achieve, and maintain, future proftability;</w:t>
      </w:r>
    </w:p>
    <w:p>
      <w:pPr>
        <w:spacing w:after="0" w:line="7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growth strategies and our ability to efectvely manage any growth;</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the value propositon of our product oferings for dealers and consumers;</w:t>
      </w:r>
    </w:p>
    <w:p>
      <w:pPr>
        <w:spacing w:after="0" w:line="130" w:lineRule="exact"/>
        <w:rPr>
          <w:rFonts w:ascii="Times New Roman" w:cs="Times New Roman" w:eastAsia="Times New Roman" w:hAnsi="Times New Roman"/>
          <w:sz w:val="18"/>
          <w:szCs w:val="18"/>
          <w:color w:val="auto"/>
        </w:rPr>
      </w:pPr>
    </w:p>
    <w:p>
      <w:pPr>
        <w:jc w:val="both"/>
        <w:ind w:left="900" w:hanging="383"/>
        <w:spacing w:after="0" w:line="289" w:lineRule="auto"/>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the ability of our combined suite of oferings to increase a dealer’s return on investment, add scale to our marketplace network, drive powerful network efects, create powerful synergies for dealers, transform the end-to-end car-shopping journey for both consumers and dealers and become the marketplace for all steps of the vehicle acquisiton and sale processes;</w:t>
      </w:r>
    </w:p>
    <w:p>
      <w:pPr>
        <w:spacing w:after="0" w:line="86" w:lineRule="exact"/>
        <w:rPr>
          <w:rFonts w:ascii="Times New Roman" w:cs="Times New Roman" w:eastAsia="Times New Roman" w:hAnsi="Times New Roman"/>
          <w:sz w:val="18"/>
          <w:szCs w:val="18"/>
          <w:color w:val="auto"/>
        </w:rPr>
      </w:pPr>
    </w:p>
    <w:p>
      <w:pPr>
        <w:ind w:left="900" w:hanging="383"/>
        <w:spacing w:after="0" w:line="298" w:lineRule="auto"/>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evoluton to becoming a transacton-enabled platorm where consumers can shop, buy, seek fnancing, and sell their cars and dealers can predict, source, market, and sell their cars;</w:t>
      </w:r>
    </w:p>
    <w:p>
      <w:pPr>
        <w:spacing w:after="0" w:line="72" w:lineRule="exact"/>
        <w:rPr>
          <w:rFonts w:ascii="Times New Roman" w:cs="Times New Roman" w:eastAsia="Times New Roman" w:hAnsi="Times New Roman"/>
          <w:sz w:val="18"/>
          <w:szCs w:val="18"/>
          <w:color w:val="auto"/>
        </w:rPr>
      </w:pPr>
    </w:p>
    <w:p>
      <w:pPr>
        <w:ind w:left="900" w:hanging="383"/>
        <w:spacing w:after="0" w:line="298" w:lineRule="auto"/>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belief that certain of our strengths, including our trusted marketplace for consumers, our strong value propositon for dealers, and our data-driven approach, among other things, will lead to an advantage over our compettors;</w:t>
      </w:r>
    </w:p>
    <w:p>
      <w:pPr>
        <w:spacing w:after="0" w:line="72" w:lineRule="exact"/>
        <w:rPr>
          <w:rFonts w:ascii="Times New Roman" w:cs="Times New Roman" w:eastAsia="Times New Roman" w:hAnsi="Times New Roman"/>
          <w:sz w:val="18"/>
          <w:szCs w:val="18"/>
          <w:color w:val="auto"/>
        </w:rPr>
      </w:pPr>
    </w:p>
    <w:p>
      <w:pPr>
        <w:ind w:left="900" w:hanging="383"/>
        <w:spacing w:after="0" w:line="298" w:lineRule="auto"/>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the value propositon of the CarOfer, LLC, or CarOfer, online wholesale platorm, including our belief that as dealer enrollments increase, dealers will see a corresponding increase in inventory on the platorm, further enabling liquidity, selecton, choice, and business efciencies;</w:t>
      </w:r>
    </w:p>
    <w:p>
      <w:pPr>
        <w:spacing w:after="0" w:line="7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ability to deliver quality leads at a high volume for our dealer customers and to provide the highest return on a dealer’s investment;</w:t>
      </w:r>
    </w:p>
    <w:p>
      <w:pPr>
        <w:spacing w:after="0" w:line="130" w:lineRule="exact"/>
        <w:rPr>
          <w:rFonts w:ascii="Times New Roman" w:cs="Times New Roman" w:eastAsia="Times New Roman" w:hAnsi="Times New Roman"/>
          <w:sz w:val="18"/>
          <w:szCs w:val="18"/>
          <w:color w:val="auto"/>
        </w:rPr>
      </w:pPr>
    </w:p>
    <w:p>
      <w:pPr>
        <w:ind w:left="900" w:hanging="383"/>
        <w:spacing w:after="0" w:line="298" w:lineRule="auto"/>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expectatons for CarGurus Sell My Car (Instant Max Cash Ofer and Top Dealer Ofers) as well as our digital retail oferings and contnued investments;</w:t>
      </w:r>
    </w:p>
    <w:p>
      <w:pPr>
        <w:spacing w:after="0" w:line="7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ability to maintain and acquire new customers;</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ability to maintain and build our brand;</w:t>
      </w:r>
    </w:p>
    <w:p>
      <w:pPr>
        <w:spacing w:after="0" w:line="130" w:lineRule="exact"/>
        <w:rPr>
          <w:rFonts w:ascii="Times New Roman" w:cs="Times New Roman" w:eastAsia="Times New Roman" w:hAnsi="Times New Roman"/>
          <w:sz w:val="18"/>
          <w:szCs w:val="18"/>
          <w:color w:val="auto"/>
        </w:rPr>
      </w:pPr>
    </w:p>
    <w:p>
      <w:pPr>
        <w:ind w:left="900" w:hanging="383"/>
        <w:spacing w:after="0" w:line="298" w:lineRule="auto"/>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belief that our partnerships with automotve lending companies provide more transparency to car shoppers and deliver highly qualifed car shopper leads to partcipatng dealers;</w:t>
      </w:r>
    </w:p>
    <w:p>
      <w:pPr>
        <w:spacing w:after="0" w:line="7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our belief that our Geo Expansion ofering promotes partcipatng dealers’ delivery capabilites and increases non-local vehicle detail page views;</w:t>
      </w:r>
    </w:p>
    <w:p>
      <w:pPr>
        <w:spacing w:after="0" w:line="142"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outlook for our Restricted Listngs product;</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the impact of competton in our industry and innovaton by our compettors;</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ability to adapt to technological change and efectvely enhance, innovate, and scale our platorm and oferings;</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ability to realize benefts from our acquisitons and successfully implement the integraton strategies in connecton therewith;</w:t>
      </w:r>
    </w:p>
    <w:p>
      <w:pPr>
        <w:spacing w:after="0" w:line="130" w:lineRule="exact"/>
        <w:rPr>
          <w:rFonts w:ascii="Times New Roman" w:cs="Times New Roman" w:eastAsia="Times New Roman" w:hAnsi="Times New Roman"/>
          <w:sz w:val="18"/>
          <w:szCs w:val="18"/>
          <w:color w:val="auto"/>
        </w:rPr>
      </w:pPr>
    </w:p>
    <w:p>
      <w:pPr>
        <w:ind w:left="900" w:hanging="383"/>
        <w:spacing w:after="0" w:line="298" w:lineRule="auto"/>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ability to overcome challenges facing the automotve industry ecosystem, including inventory supply problems, global supply chain challenges, changes to trade policies, and other macroeconomic issues;</w:t>
      </w:r>
    </w:p>
    <w:p>
      <w:pPr>
        <w:spacing w:after="0" w:line="7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expectatons regarding cash generaton and the sufciency of our cash to fund our operatons;</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expected returns on investments;</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expectatons regarding our deferred tax assets;</w:t>
      </w:r>
    </w:p>
    <w:p>
      <w:pPr>
        <w:spacing w:after="0" w:line="225"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900" w:hanging="383"/>
        <w:spacing w:after="0" w:line="298" w:lineRule="auto"/>
        <w:tabs>
          <w:tab w:leader="none" w:pos="9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expectatons regarding our expenses generally, including our general and administratve, our product, technology, and development, and our sales and marketng expenses;</w:t>
      </w:r>
    </w:p>
    <w:p>
      <w:pPr>
        <w:spacing w:after="0" w:line="7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domestc and global economic conditons afectng us or our customers;</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expectatons regarding the funding of our share repurchase program;</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revolving credit facility;</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ability to adequately protect our intellectual property;</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ability to hire and retain necessary qualifed employees to expand our operatons;</w:t>
      </w:r>
    </w:p>
    <w:p>
      <w:pPr>
        <w:spacing w:after="0" w:line="130" w:lineRule="exact"/>
        <w:rPr>
          <w:rFonts w:ascii="Times New Roman" w:cs="Times New Roman" w:eastAsia="Times New Roman" w:hAnsi="Times New Roman"/>
          <w:sz w:val="18"/>
          <w:szCs w:val="18"/>
          <w:color w:val="auto"/>
        </w:rPr>
      </w:pPr>
    </w:p>
    <w:p>
      <w:pPr>
        <w:ind w:left="900" w:hanging="383"/>
        <w:spacing w:after="0" w:line="298" w:lineRule="auto"/>
        <w:tabs>
          <w:tab w:leader="none" w:pos="9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the material weakness in our internal control over fnancial reportng that we have identfed, and our ability to remediate such weakness and enhance our internal control environment;</w:t>
      </w:r>
    </w:p>
    <w:p>
      <w:pPr>
        <w:spacing w:after="0" w:line="7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ability to maintain an efectve system of internal controls necessary to accurately report our fnancial results and prevent fraud;</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the impact of accountng pronouncements;</w:t>
      </w:r>
    </w:p>
    <w:p>
      <w:pPr>
        <w:spacing w:after="0" w:line="130" w:lineRule="exact"/>
        <w:rPr>
          <w:rFonts w:ascii="Times New Roman" w:cs="Times New Roman" w:eastAsia="Times New Roman" w:hAnsi="Times New Roman"/>
          <w:sz w:val="18"/>
          <w:szCs w:val="18"/>
          <w:color w:val="auto"/>
        </w:rPr>
      </w:pPr>
    </w:p>
    <w:p>
      <w:pPr>
        <w:ind w:left="900" w:hanging="383"/>
        <w:spacing w:after="0" w:line="298" w:lineRule="auto"/>
        <w:tabs>
          <w:tab w:leader="none" w:pos="9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our ability to stay abreast of, and efectvely comply with, new or modifed laws and regulatons that currently apply or become applicable to our business and our beliefs regarding our compliance therewith;</w:t>
      </w:r>
    </w:p>
    <w:p>
      <w:pPr>
        <w:spacing w:after="0" w:line="7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the impact of litgaton; and</w:t>
      </w:r>
    </w:p>
    <w:p>
      <w:pPr>
        <w:spacing w:after="0" w:line="13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the future trading prices of our Class A common stock.</w:t>
      </w:r>
    </w:p>
    <w:p>
      <w:pPr>
        <w:spacing w:after="0" w:line="225" w:lineRule="exact"/>
        <w:rPr>
          <w:sz w:val="20"/>
          <w:szCs w:val="20"/>
          <w:color w:val="auto"/>
        </w:rPr>
      </w:pPr>
    </w:p>
    <w:p>
      <w:pPr>
        <w:jc w:val="both"/>
        <w:ind w:firstLine="509"/>
        <w:spacing w:after="0" w:line="292" w:lineRule="auto"/>
        <w:rPr>
          <w:sz w:val="20"/>
          <w:szCs w:val="20"/>
          <w:color w:val="auto"/>
        </w:rPr>
      </w:pPr>
      <w:r>
        <w:rPr>
          <w:rFonts w:ascii="MS PGothic" w:cs="MS PGothic" w:eastAsia="MS PGothic" w:hAnsi="MS PGothic"/>
          <w:sz w:val="18"/>
          <w:szCs w:val="18"/>
          <w:color w:val="auto"/>
        </w:rPr>
        <w:t>You should not rely upon forward‑looking statements as predictons of future events. We have based the forward‑looking statements contained in this Quarterly Report primarily on our current expectatons and projectons about future events and trends that we believe may afect our business, fnancial conditon, operatng results, and growth prospects. The outcome of the events described in these forward‑looking statements is subject to risks, uncertaintes, and other factors that are described in this Quarterly Report. We have included important risk factors in the cautonary statements included in our Annual Report on Form 10-K for the fscal year ended December 31, 2023, fled with the U.S. Securites and Exchange Commission, or SEC, on February 26, 2024, or Annual Report, partcularly in the secton “Risk Factors” in Part I, Item 1A, that could cause actual results or events to difer materially from the forward-looking statements that we make. Moreover, we operate in a very compettve and rapidly changing environment. New risks and uncertaintes emerge from tme to tme, and it is not possible for us to predict all risks and uncertaintes that could have an impact on the forward‑looking statements contained in this Quarterly Report. Further, our forward‑looking statements do not refect the potental impact of any future acquisitons, mergers, dispositons, or joint ventures in which we may be involved, or investments we may make. We cannot assure you that the results, events, and circumstances refected in the forward‑looking statements will be achieved or occur, and actual results, events, or circumstances could difer materially from those described in the forward‑looking statements.</w:t>
      </w:r>
    </w:p>
    <w:p>
      <w:pPr>
        <w:spacing w:after="0" w:line="180" w:lineRule="exact"/>
        <w:rPr>
          <w:sz w:val="20"/>
          <w:szCs w:val="20"/>
          <w:color w:val="auto"/>
        </w:rPr>
      </w:pPr>
    </w:p>
    <w:p>
      <w:pPr>
        <w:jc w:val="both"/>
        <w:ind w:firstLine="509"/>
        <w:spacing w:after="0" w:line="311" w:lineRule="auto"/>
        <w:rPr>
          <w:sz w:val="20"/>
          <w:szCs w:val="20"/>
          <w:color w:val="auto"/>
        </w:rPr>
      </w:pPr>
      <w:r>
        <w:rPr>
          <w:rFonts w:ascii="MS PGothic" w:cs="MS PGothic" w:eastAsia="MS PGothic" w:hAnsi="MS PGothic"/>
          <w:sz w:val="18"/>
          <w:szCs w:val="18"/>
          <w:color w:val="auto"/>
        </w:rPr>
        <w:t>The forward‑looking statements made in this Quarterly Report speak only as of the date of this Quarterly Report. We undertake no obligaton to update any forward‑looking statement made in this Quarterly Report to refect events or circumstances afer the date of this Quarterly Report or to refect new informaton or the occurrence of unantcipated events, except as required by law.</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REGARDING TRADEMARKS</w:t>
      </w:r>
    </w:p>
    <w:p>
      <w:pPr>
        <w:spacing w:after="0" w:line="217" w:lineRule="exact"/>
        <w:rPr>
          <w:sz w:val="20"/>
          <w:szCs w:val="20"/>
          <w:color w:val="auto"/>
        </w:rPr>
      </w:pPr>
    </w:p>
    <w:p>
      <w:pPr>
        <w:jc w:val="both"/>
        <w:ind w:firstLine="509"/>
        <w:spacing w:after="0" w:line="311" w:lineRule="auto"/>
        <w:rPr>
          <w:sz w:val="20"/>
          <w:szCs w:val="20"/>
          <w:color w:val="auto"/>
        </w:rPr>
      </w:pPr>
      <w:r>
        <w:rPr>
          <w:rFonts w:ascii="MS PGothic" w:cs="MS PGothic" w:eastAsia="MS PGothic" w:hAnsi="MS PGothic"/>
          <w:sz w:val="18"/>
          <w:szCs w:val="18"/>
          <w:color w:val="auto"/>
        </w:rPr>
        <w:t>CarGurus® is a registered trademark of CarGurus, Inc., and CarOfer® is a registered trademark of CarOfer, LLC. All other product names, trademarks, and registered trademarks are property of their respectve owners. We have omited the ® and ™ designatons, as applicable, for the trademarks used in this Quarterly Report.</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MS PGothic" w:cs="MS PGothic" w:eastAsia="MS PGothic" w:hAnsi="MS PGothic"/>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 w:name="page5"/>
    <w:bookmarkEnd w:id="4"/>
    <w:p>
      <w:pPr>
        <w:jc w:val="center"/>
        <w:ind w:right="-119"/>
        <w:spacing w:after="0"/>
        <w:rPr>
          <w:sz w:val="20"/>
          <w:szCs w:val="20"/>
          <w:color w:val="auto"/>
        </w:rPr>
      </w:pPr>
      <w:r>
        <w:rPr>
          <w:rFonts w:ascii="Calibri" w:cs="Calibri" w:eastAsia="Calibri" w:hAnsi="Calibri"/>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 Financial Statements.</w:t>
      </w:r>
    </w:p>
    <w:p>
      <w:pPr>
        <w:jc w:val="center"/>
        <w:ind w:right="-99"/>
        <w:spacing w:after="0" w:line="235" w:lineRule="auto"/>
        <w:rPr>
          <w:sz w:val="20"/>
          <w:szCs w:val="20"/>
          <w:color w:val="auto"/>
        </w:rPr>
      </w:pPr>
      <w:r>
        <w:rPr>
          <w:rFonts w:ascii="Calibri" w:cs="Calibri" w:eastAsia="Calibri" w:hAnsi="Calibri"/>
          <w:sz w:val="18"/>
          <w:szCs w:val="18"/>
          <w:b w:val="1"/>
          <w:bCs w:val="1"/>
          <w:color w:val="auto"/>
        </w:rPr>
        <w:t>CarGurus, Inc.</w:t>
      </w:r>
    </w:p>
    <w:p>
      <w:pPr>
        <w:spacing w:after="0" w:line="105"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b w:val="1"/>
          <w:bCs w:val="1"/>
          <w:color w:val="auto"/>
        </w:rPr>
        <w:t>Unaudited Condensed Consolidated Balance Sheets</w:t>
      </w:r>
    </w:p>
    <w:p>
      <w:pPr>
        <w:spacing w:after="0" w:line="104"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b w:val="1"/>
          <w:bCs w:val="1"/>
          <w:color w:val="auto"/>
        </w:rPr>
        <w:t>(in thousands, except share and per share data)</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600"/>
              <w:spacing w:after="0"/>
              <w:rPr>
                <w:sz w:val="20"/>
                <w:szCs w:val="20"/>
                <w:color w:val="auto"/>
              </w:rPr>
            </w:pPr>
            <w:r>
              <w:rPr>
                <w:rFonts w:ascii="Calibri" w:cs="Calibri" w:eastAsia="Calibri" w:hAnsi="Calibri"/>
                <w:sz w:val="14"/>
                <w:szCs w:val="14"/>
                <w:b w:val="1"/>
                <w:bCs w:val="1"/>
                <w:color w:val="auto"/>
              </w:rPr>
              <w:t>As of</w:t>
            </w:r>
          </w:p>
        </w:tc>
        <w:tc>
          <w:tcPr>
            <w:tcW w:w="22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As of</w:t>
            </w:r>
          </w:p>
        </w:tc>
      </w:tr>
      <w:tr>
        <w:trPr>
          <w:trHeight w:val="176"/>
        </w:trPr>
        <w:tc>
          <w:tcPr>
            <w:tcW w:w="7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jc w:val="center"/>
              <w:ind w:right="580"/>
              <w:spacing w:after="0"/>
              <w:rPr>
                <w:sz w:val="20"/>
                <w:szCs w:val="20"/>
                <w:color w:val="auto"/>
              </w:rPr>
            </w:pPr>
            <w:r>
              <w:rPr>
                <w:rFonts w:ascii="Calibri" w:cs="Calibri" w:eastAsia="Calibri" w:hAnsi="Calibri"/>
                <w:sz w:val="14"/>
                <w:szCs w:val="14"/>
                <w:b w:val="1"/>
                <w:bCs w:val="1"/>
                <w:color w:val="auto"/>
              </w:rPr>
              <w:t>March 31,</w:t>
            </w:r>
          </w:p>
        </w:tc>
        <w:tc>
          <w:tcPr>
            <w:tcW w:w="22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December 31,</w:t>
            </w:r>
          </w:p>
        </w:tc>
      </w:tr>
      <w:tr>
        <w:trPr>
          <w:trHeight w:val="175"/>
        </w:trPr>
        <w:tc>
          <w:tcPr>
            <w:tcW w:w="7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center"/>
              <w:ind w:right="220"/>
              <w:spacing w:after="0"/>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60"/>
              <w:spacing w:after="0"/>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5"/>
                <w:szCs w:val="15"/>
                <w:color w:val="auto"/>
              </w:rPr>
            </w:pPr>
          </w:p>
        </w:tc>
      </w:tr>
      <w:tr>
        <w:trPr>
          <w:trHeight w:val="33"/>
        </w:trPr>
        <w:tc>
          <w:tcPr>
            <w:tcW w:w="7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52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b w:val="1"/>
                <w:bCs w:val="1"/>
                <w:color w:val="auto"/>
              </w:rPr>
              <w:t>Assets</w:t>
            </w:r>
          </w:p>
        </w:tc>
        <w:tc>
          <w:tcPr>
            <w:tcW w:w="2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r>
      <w:tr>
        <w:trPr>
          <w:trHeight w:val="193"/>
        </w:trPr>
        <w:tc>
          <w:tcPr>
            <w:tcW w:w="752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9"/>
        </w:trPr>
        <w:tc>
          <w:tcPr>
            <w:tcW w:w="7520" w:type="dxa"/>
            <w:vAlign w:val="bottom"/>
            <w:tcBorders>
              <w:bottom w:val="single" w:sz="8" w:color="CFF0FC"/>
            </w:tcBorders>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Cash and cash equivalents</w:t>
            </w:r>
          </w:p>
        </w:tc>
        <w:tc>
          <w:tcPr>
            <w:tcW w:w="280" w:type="dxa"/>
            <w:vAlign w:val="bottom"/>
            <w:tcBorders>
              <w:bottom w:val="single" w:sz="8" w:color="CFF0FC"/>
            </w:tcBorders>
            <w:shd w:val="clear" w:color="auto" w:fill="CFF0FC"/>
          </w:tcPr>
          <w:p>
            <w:pPr>
              <w:jc w:val="right"/>
              <w:ind w:right="119"/>
              <w:spacing w:after="0" w:line="193" w:lineRule="exact"/>
              <w:rPr>
                <w:sz w:val="20"/>
                <w:szCs w:val="20"/>
                <w:color w:val="auto"/>
              </w:rPr>
            </w:pPr>
            <w:r>
              <w:rPr>
                <w:rFonts w:ascii="Calibri" w:cs="Calibri" w:eastAsia="Calibri" w:hAnsi="Calibri"/>
                <w:sz w:val="16"/>
                <w:szCs w:val="16"/>
                <w:color w:val="auto"/>
                <w:w w:val="73"/>
              </w:rPr>
              <w:t>$</w:t>
            </w:r>
          </w:p>
        </w:tc>
        <w:tc>
          <w:tcPr>
            <w:tcW w:w="12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246,342</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w w:val="73"/>
              </w:rPr>
              <w:t>$</w:t>
            </w:r>
          </w:p>
        </w:tc>
        <w:tc>
          <w:tcPr>
            <w:tcW w:w="13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291,363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93"/>
        </w:trPr>
        <w:tc>
          <w:tcPr>
            <w:tcW w:w="7520" w:type="dxa"/>
            <w:vAlign w:val="bottom"/>
          </w:tcPr>
          <w:p>
            <w:pPr>
              <w:ind w:left="200"/>
              <w:spacing w:after="0" w:line="193" w:lineRule="exact"/>
              <w:rPr>
                <w:sz w:val="20"/>
                <w:szCs w:val="20"/>
                <w:color w:val="auto"/>
              </w:rPr>
            </w:pPr>
            <w:r>
              <w:rPr>
                <w:rFonts w:ascii="Calibri" w:cs="Calibri" w:eastAsia="Calibri" w:hAnsi="Calibri"/>
                <w:sz w:val="16"/>
                <w:szCs w:val="16"/>
                <w:color w:val="auto"/>
              </w:rPr>
              <w:t>Short-term investments</w:t>
            </w:r>
          </w:p>
        </w:tc>
        <w:tc>
          <w:tcPr>
            <w:tcW w:w="280" w:type="dxa"/>
            <w:vAlign w:val="bottom"/>
          </w:tcPr>
          <w:p>
            <w:pPr>
              <w:spacing w:after="0"/>
              <w:rPr>
                <w:sz w:val="16"/>
                <w:szCs w:val="16"/>
                <w:color w:val="auto"/>
              </w:rPr>
            </w:pPr>
          </w:p>
        </w:tc>
        <w:tc>
          <w:tcPr>
            <w:tcW w:w="1580" w:type="dxa"/>
            <w:vAlign w:val="bottom"/>
            <w:gridSpan w:val="2"/>
          </w:tcPr>
          <w:p>
            <w:pPr>
              <w:jc w:val="right"/>
              <w:ind w:right="32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20,724</w:t>
            </w:r>
          </w:p>
        </w:tc>
        <w:tc>
          <w:tcPr>
            <w:tcW w:w="120" w:type="dxa"/>
            <w:vAlign w:val="bottom"/>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3"/>
        </w:trPr>
        <w:tc>
          <w:tcPr>
            <w:tcW w:w="7520" w:type="dxa"/>
            <w:vAlign w:val="bottom"/>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Accounts receivable, net of allowance for doubtul accounts of $610</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8"/>
        </w:trPr>
        <w:tc>
          <w:tcPr>
            <w:tcW w:w="752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6"/>
                <w:szCs w:val="16"/>
                <w:color w:val="auto"/>
              </w:rPr>
              <w:t>and $610, respectvely</w:t>
            </w: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44,298</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39,963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193"/>
        </w:trPr>
        <w:tc>
          <w:tcPr>
            <w:tcW w:w="7520" w:type="dxa"/>
            <w:vAlign w:val="bottom"/>
          </w:tcPr>
          <w:p>
            <w:pPr>
              <w:ind w:left="200"/>
              <w:spacing w:after="0" w:line="193" w:lineRule="exact"/>
              <w:rPr>
                <w:sz w:val="20"/>
                <w:szCs w:val="20"/>
                <w:color w:val="auto"/>
              </w:rPr>
            </w:pPr>
            <w:r>
              <w:rPr>
                <w:rFonts w:ascii="Calibri" w:cs="Calibri" w:eastAsia="Calibri" w:hAnsi="Calibri"/>
                <w:sz w:val="16"/>
                <w:szCs w:val="16"/>
                <w:color w:val="auto"/>
              </w:rPr>
              <w:t>Inventory</w:t>
            </w:r>
          </w:p>
        </w:tc>
        <w:tc>
          <w:tcPr>
            <w:tcW w:w="2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391</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331</w:t>
            </w:r>
          </w:p>
        </w:tc>
        <w:tc>
          <w:tcPr>
            <w:tcW w:w="120" w:type="dxa"/>
            <w:vAlign w:val="bottom"/>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9"/>
        </w:trPr>
        <w:tc>
          <w:tcPr>
            <w:tcW w:w="7520" w:type="dxa"/>
            <w:vAlign w:val="bottom"/>
            <w:tcBorders>
              <w:bottom w:val="single" w:sz="8" w:color="CFF0FC"/>
            </w:tcBorders>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Prepaid expenses, prepaid income taxes and other current assets</w:t>
            </w:r>
          </w:p>
        </w:tc>
        <w:tc>
          <w:tcPr>
            <w:tcW w:w="2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18,893</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25,152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93"/>
        </w:trPr>
        <w:tc>
          <w:tcPr>
            <w:tcW w:w="7520" w:type="dxa"/>
            <w:vAlign w:val="bottom"/>
          </w:tcPr>
          <w:p>
            <w:pPr>
              <w:ind w:left="200"/>
              <w:spacing w:after="0" w:line="193" w:lineRule="exact"/>
              <w:rPr>
                <w:sz w:val="20"/>
                <w:szCs w:val="20"/>
                <w:color w:val="auto"/>
              </w:rPr>
            </w:pPr>
            <w:r>
              <w:rPr>
                <w:rFonts w:ascii="Calibri" w:cs="Calibri" w:eastAsia="Calibri" w:hAnsi="Calibri"/>
                <w:sz w:val="16"/>
                <w:szCs w:val="16"/>
                <w:color w:val="auto"/>
              </w:rPr>
              <w:t>Deferred contract costs</w:t>
            </w:r>
          </w:p>
        </w:tc>
        <w:tc>
          <w:tcPr>
            <w:tcW w:w="2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11,106</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11,095</w:t>
            </w:r>
          </w:p>
        </w:tc>
        <w:tc>
          <w:tcPr>
            <w:tcW w:w="120" w:type="dxa"/>
            <w:vAlign w:val="bottom"/>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5"/>
        </w:trPr>
        <w:tc>
          <w:tcPr>
            <w:tcW w:w="7520" w:type="dxa"/>
            <w:vAlign w:val="bottom"/>
            <w:tcBorders>
              <w:bottom w:val="single" w:sz="8" w:color="CFF0FC"/>
            </w:tcBorders>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Restricted cash</w:t>
            </w: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2,786</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2,563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187"/>
        </w:trPr>
        <w:tc>
          <w:tcPr>
            <w:tcW w:w="7520" w:type="dxa"/>
            <w:vAlign w:val="bottom"/>
            <w:tcBorders>
              <w:top w:val="single" w:sz="8" w:color="CFF0FC"/>
            </w:tcBorders>
          </w:tcPr>
          <w:p>
            <w:pPr>
              <w:ind w:left="20"/>
              <w:spacing w:after="0" w:line="187" w:lineRule="exact"/>
              <w:rPr>
                <w:sz w:val="20"/>
                <w:szCs w:val="20"/>
                <w:color w:val="auto"/>
              </w:rPr>
            </w:pPr>
            <w:r>
              <w:rPr>
                <w:rFonts w:ascii="Calibri" w:cs="Calibri" w:eastAsia="Calibri" w:hAnsi="Calibri"/>
                <w:sz w:val="16"/>
                <w:szCs w:val="16"/>
                <w:color w:val="auto"/>
              </w:rPr>
              <w:t>Total current assets</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323,816</w:t>
            </w:r>
          </w:p>
        </w:tc>
        <w:tc>
          <w:tcPr>
            <w:tcW w:w="30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391,191</w:t>
            </w:r>
          </w:p>
        </w:tc>
        <w:tc>
          <w:tcPr>
            <w:tcW w:w="120" w:type="dxa"/>
            <w:vAlign w:val="bottom"/>
            <w:tcBorders>
              <w:top w:val="single" w:sz="8" w:color="CFF0FC"/>
            </w:tcBorders>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10"/>
        </w:trPr>
        <w:tc>
          <w:tcPr>
            <w:tcW w:w="752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Property and equipment, net</w:t>
            </w:r>
          </w:p>
        </w:tc>
        <w:tc>
          <w:tcPr>
            <w:tcW w:w="2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108,143</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83,370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93"/>
        </w:trPr>
        <w:tc>
          <w:tcPr>
            <w:tcW w:w="7520" w:type="dxa"/>
            <w:vAlign w:val="bottom"/>
          </w:tcPr>
          <w:p>
            <w:pPr>
              <w:ind w:left="20"/>
              <w:spacing w:after="0" w:line="193" w:lineRule="exact"/>
              <w:rPr>
                <w:sz w:val="20"/>
                <w:szCs w:val="20"/>
                <w:color w:val="auto"/>
              </w:rPr>
            </w:pPr>
            <w:r>
              <w:rPr>
                <w:rFonts w:ascii="Calibri" w:cs="Calibri" w:eastAsia="Calibri" w:hAnsi="Calibri"/>
                <w:sz w:val="16"/>
                <w:szCs w:val="16"/>
                <w:color w:val="auto"/>
              </w:rPr>
              <w:t>Intangible assets, net</w:t>
            </w:r>
          </w:p>
        </w:tc>
        <w:tc>
          <w:tcPr>
            <w:tcW w:w="2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21,131</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23,056</w:t>
            </w:r>
          </w:p>
        </w:tc>
        <w:tc>
          <w:tcPr>
            <w:tcW w:w="120" w:type="dxa"/>
            <w:vAlign w:val="bottom"/>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9"/>
        </w:trPr>
        <w:tc>
          <w:tcPr>
            <w:tcW w:w="752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Goodwill</w:t>
            </w:r>
          </w:p>
        </w:tc>
        <w:tc>
          <w:tcPr>
            <w:tcW w:w="2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157,566</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157,898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93"/>
        </w:trPr>
        <w:tc>
          <w:tcPr>
            <w:tcW w:w="7520" w:type="dxa"/>
            <w:vAlign w:val="bottom"/>
          </w:tcPr>
          <w:p>
            <w:pPr>
              <w:ind w:left="20"/>
              <w:spacing w:after="0" w:line="193" w:lineRule="exact"/>
              <w:rPr>
                <w:sz w:val="20"/>
                <w:szCs w:val="20"/>
                <w:color w:val="auto"/>
              </w:rPr>
            </w:pPr>
            <w:r>
              <w:rPr>
                <w:rFonts w:ascii="Calibri" w:cs="Calibri" w:eastAsia="Calibri" w:hAnsi="Calibri"/>
                <w:sz w:val="16"/>
                <w:szCs w:val="16"/>
                <w:color w:val="auto"/>
              </w:rPr>
              <w:t>Operatng lease right-of-use assets</w:t>
            </w:r>
          </w:p>
        </w:tc>
        <w:tc>
          <w:tcPr>
            <w:tcW w:w="2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153,711</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169,682</w:t>
            </w:r>
          </w:p>
        </w:tc>
        <w:tc>
          <w:tcPr>
            <w:tcW w:w="120" w:type="dxa"/>
            <w:vAlign w:val="bottom"/>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9"/>
        </w:trPr>
        <w:tc>
          <w:tcPr>
            <w:tcW w:w="752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Deferred tax assets</w:t>
            </w:r>
          </w:p>
        </w:tc>
        <w:tc>
          <w:tcPr>
            <w:tcW w:w="2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82,392</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73,356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94"/>
        </w:trPr>
        <w:tc>
          <w:tcPr>
            <w:tcW w:w="7520" w:type="dxa"/>
            <w:vAlign w:val="bottom"/>
          </w:tcPr>
          <w:p>
            <w:pPr>
              <w:ind w:left="20"/>
              <w:spacing w:after="0" w:line="193" w:lineRule="exact"/>
              <w:rPr>
                <w:sz w:val="20"/>
                <w:szCs w:val="20"/>
                <w:color w:val="auto"/>
              </w:rPr>
            </w:pPr>
            <w:r>
              <w:rPr>
                <w:rFonts w:ascii="Calibri" w:cs="Calibri" w:eastAsia="Calibri" w:hAnsi="Calibri"/>
                <w:sz w:val="16"/>
                <w:szCs w:val="16"/>
                <w:color w:val="auto"/>
              </w:rPr>
              <w:t>Deferred contract costs, net of current porton</w:t>
            </w:r>
          </w:p>
        </w:tc>
        <w:tc>
          <w:tcPr>
            <w:tcW w:w="2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13,015</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12,998</w:t>
            </w:r>
          </w:p>
        </w:tc>
        <w:tc>
          <w:tcPr>
            <w:tcW w:w="120" w:type="dxa"/>
            <w:vAlign w:val="bottom"/>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5"/>
        </w:trPr>
        <w:tc>
          <w:tcPr>
            <w:tcW w:w="752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Other non-current assets</w:t>
            </w: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11,029</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7,376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187"/>
        </w:trPr>
        <w:tc>
          <w:tcPr>
            <w:tcW w:w="7520" w:type="dxa"/>
            <w:vAlign w:val="bottom"/>
            <w:tcBorders>
              <w:top w:val="single" w:sz="8" w:color="CFF0FC"/>
            </w:tcBorders>
          </w:tcPr>
          <w:p>
            <w:pPr>
              <w:ind w:left="20"/>
              <w:spacing w:after="0" w:line="187" w:lineRule="exact"/>
              <w:rPr>
                <w:sz w:val="20"/>
                <w:szCs w:val="20"/>
                <w:color w:val="auto"/>
              </w:rPr>
            </w:pPr>
            <w:r>
              <w:rPr>
                <w:rFonts w:ascii="Calibri" w:cs="Calibri" w:eastAsia="Calibri" w:hAnsi="Calibri"/>
                <w:sz w:val="16"/>
                <w:szCs w:val="16"/>
                <w:color w:val="auto"/>
              </w:rPr>
              <w:t>Total assets</w:t>
            </w:r>
          </w:p>
        </w:tc>
        <w:tc>
          <w:tcPr>
            <w:tcW w:w="28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73"/>
              </w:rPr>
              <w:t>$</w:t>
            </w: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870,803</w:t>
            </w:r>
          </w:p>
        </w:tc>
        <w:tc>
          <w:tcPr>
            <w:tcW w:w="30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w w:val="73"/>
              </w:rPr>
              <w:t>$</w:t>
            </w:r>
          </w:p>
        </w:tc>
        <w:tc>
          <w:tcPr>
            <w:tcW w:w="13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918,927</w:t>
            </w:r>
          </w:p>
        </w:tc>
        <w:tc>
          <w:tcPr>
            <w:tcW w:w="120" w:type="dxa"/>
            <w:vAlign w:val="bottom"/>
            <w:tcBorders>
              <w:top w:val="single" w:sz="8" w:color="CFF0FC"/>
            </w:tcBorders>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7520" w:type="dxa"/>
            <w:vAlign w:val="bottom"/>
            <w:tcBorders>
              <w:bottom w:val="single" w:sz="8" w:color="CFF0FC"/>
            </w:tcBorders>
            <w:shd w:val="clear" w:color="auto" w:fill="CFF0FC"/>
          </w:tcPr>
          <w:p>
            <w:pPr>
              <w:ind w:left="20"/>
              <w:spacing w:after="0" w:line="174" w:lineRule="exact"/>
              <w:rPr>
                <w:sz w:val="20"/>
                <w:szCs w:val="20"/>
                <w:color w:val="auto"/>
              </w:rPr>
            </w:pPr>
            <w:r>
              <w:rPr>
                <w:rFonts w:ascii="Calibri" w:cs="Calibri" w:eastAsia="Calibri" w:hAnsi="Calibri"/>
                <w:sz w:val="16"/>
                <w:szCs w:val="16"/>
                <w:b w:val="1"/>
                <w:bCs w:val="1"/>
                <w:color w:val="auto"/>
              </w:rPr>
              <w:t>Liabilites, redeemable noncontrolling interest and stockholders’ equity</w:t>
            </w:r>
          </w:p>
        </w:tc>
        <w:tc>
          <w:tcPr>
            <w:tcW w:w="28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193"/>
        </w:trPr>
        <w:tc>
          <w:tcPr>
            <w:tcW w:w="752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liabilites: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10"/>
        </w:trPr>
        <w:tc>
          <w:tcPr>
            <w:tcW w:w="7520" w:type="dxa"/>
            <w:vAlign w:val="bottom"/>
            <w:tcBorders>
              <w:bottom w:val="single" w:sz="8" w:color="CFF0FC"/>
            </w:tcBorders>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Accounts payable</w:t>
            </w:r>
          </w:p>
        </w:tc>
        <w:tc>
          <w:tcPr>
            <w:tcW w:w="280" w:type="dxa"/>
            <w:vAlign w:val="bottom"/>
            <w:tcBorders>
              <w:bottom w:val="single" w:sz="8" w:color="CFF0FC"/>
            </w:tcBorders>
            <w:shd w:val="clear" w:color="auto" w:fill="CFF0FC"/>
          </w:tcPr>
          <w:p>
            <w:pPr>
              <w:jc w:val="right"/>
              <w:ind w:right="119"/>
              <w:spacing w:after="0" w:line="193" w:lineRule="exact"/>
              <w:rPr>
                <w:sz w:val="20"/>
                <w:szCs w:val="20"/>
                <w:color w:val="auto"/>
              </w:rPr>
            </w:pPr>
            <w:r>
              <w:rPr>
                <w:rFonts w:ascii="Calibri" w:cs="Calibri" w:eastAsia="Calibri" w:hAnsi="Calibri"/>
                <w:sz w:val="16"/>
                <w:szCs w:val="16"/>
                <w:color w:val="auto"/>
                <w:w w:val="73"/>
              </w:rPr>
              <w:t>$</w:t>
            </w:r>
          </w:p>
        </w:tc>
        <w:tc>
          <w:tcPr>
            <w:tcW w:w="12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46,471</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w w:val="73"/>
              </w:rPr>
              <w:t>$</w:t>
            </w:r>
          </w:p>
        </w:tc>
        <w:tc>
          <w:tcPr>
            <w:tcW w:w="13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47,854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94"/>
        </w:trPr>
        <w:tc>
          <w:tcPr>
            <w:tcW w:w="7520" w:type="dxa"/>
            <w:vAlign w:val="bottom"/>
          </w:tcPr>
          <w:p>
            <w:pPr>
              <w:ind w:left="200"/>
              <w:spacing w:after="0" w:line="193" w:lineRule="exact"/>
              <w:rPr>
                <w:sz w:val="20"/>
                <w:szCs w:val="20"/>
                <w:color w:val="auto"/>
              </w:rPr>
            </w:pPr>
            <w:r>
              <w:rPr>
                <w:rFonts w:ascii="Calibri" w:cs="Calibri" w:eastAsia="Calibri" w:hAnsi="Calibri"/>
                <w:sz w:val="16"/>
                <w:szCs w:val="16"/>
                <w:color w:val="auto"/>
              </w:rPr>
              <w:t>Accrued expenses, accrued income taxes and other current liabilites</w:t>
            </w:r>
          </w:p>
        </w:tc>
        <w:tc>
          <w:tcPr>
            <w:tcW w:w="2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38,353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33,718</w:t>
            </w:r>
          </w:p>
        </w:tc>
        <w:tc>
          <w:tcPr>
            <w:tcW w:w="120" w:type="dxa"/>
            <w:vAlign w:val="bottom"/>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10"/>
        </w:trPr>
        <w:tc>
          <w:tcPr>
            <w:tcW w:w="7520" w:type="dxa"/>
            <w:vAlign w:val="bottom"/>
            <w:tcBorders>
              <w:bottom w:val="single" w:sz="8" w:color="CFF0FC"/>
            </w:tcBorders>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Deferred revenue</w:t>
            </w:r>
          </w:p>
        </w:tc>
        <w:tc>
          <w:tcPr>
            <w:tcW w:w="2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21,432</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21,322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93"/>
        </w:trPr>
        <w:tc>
          <w:tcPr>
            <w:tcW w:w="7520" w:type="dxa"/>
            <w:vAlign w:val="bottom"/>
          </w:tcPr>
          <w:p>
            <w:pPr>
              <w:ind w:left="200"/>
              <w:spacing w:after="0" w:line="193" w:lineRule="exact"/>
              <w:rPr>
                <w:sz w:val="20"/>
                <w:szCs w:val="20"/>
                <w:color w:val="auto"/>
              </w:rPr>
            </w:pPr>
            <w:r>
              <w:rPr>
                <w:rFonts w:ascii="Calibri" w:cs="Calibri" w:eastAsia="Calibri" w:hAnsi="Calibri"/>
                <w:sz w:val="16"/>
                <w:szCs w:val="16"/>
                <w:color w:val="auto"/>
              </w:rPr>
              <w:t>Operatng lease liabilites</w:t>
            </w:r>
          </w:p>
        </w:tc>
        <w:tc>
          <w:tcPr>
            <w:tcW w:w="2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10,063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12,284</w:t>
            </w:r>
          </w:p>
        </w:tc>
        <w:tc>
          <w:tcPr>
            <w:tcW w:w="120" w:type="dxa"/>
            <w:vAlign w:val="bottom"/>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03"/>
        </w:trPr>
        <w:tc>
          <w:tcPr>
            <w:tcW w:w="752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Total current liabilites</w:t>
            </w:r>
          </w:p>
        </w:tc>
        <w:tc>
          <w:tcPr>
            <w:tcW w:w="2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116,319</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115,178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3"/>
        </w:trPr>
        <w:tc>
          <w:tcPr>
            <w:tcW w:w="7520" w:type="dxa"/>
            <w:vAlign w:val="bottom"/>
          </w:tcPr>
          <w:p>
            <w:pPr>
              <w:ind w:left="20"/>
              <w:spacing w:after="0" w:line="193" w:lineRule="exact"/>
              <w:rPr>
                <w:sz w:val="20"/>
                <w:szCs w:val="20"/>
                <w:color w:val="auto"/>
              </w:rPr>
            </w:pPr>
            <w:r>
              <w:rPr>
                <w:rFonts w:ascii="Calibri" w:cs="Calibri" w:eastAsia="Calibri" w:hAnsi="Calibri"/>
                <w:sz w:val="16"/>
                <w:szCs w:val="16"/>
                <w:color w:val="auto"/>
              </w:rPr>
              <w:t>Operatng lease liabilites</w:t>
            </w:r>
          </w:p>
        </w:tc>
        <w:tc>
          <w:tcPr>
            <w:tcW w:w="2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181,052</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182,106</w:t>
            </w:r>
          </w:p>
        </w:tc>
        <w:tc>
          <w:tcPr>
            <w:tcW w:w="120" w:type="dxa"/>
            <w:vAlign w:val="bottom"/>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9"/>
        </w:trPr>
        <w:tc>
          <w:tcPr>
            <w:tcW w:w="752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Deferred tax liabilites</w:t>
            </w:r>
          </w:p>
        </w:tc>
        <w:tc>
          <w:tcPr>
            <w:tcW w:w="2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42</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94"/>
        </w:trPr>
        <w:tc>
          <w:tcPr>
            <w:tcW w:w="7520" w:type="dxa"/>
            <w:vAlign w:val="bottom"/>
          </w:tcPr>
          <w:p>
            <w:pPr>
              <w:ind w:left="20"/>
              <w:spacing w:after="0" w:line="193" w:lineRule="exact"/>
              <w:rPr>
                <w:sz w:val="20"/>
                <w:szCs w:val="20"/>
                <w:color w:val="auto"/>
              </w:rPr>
            </w:pPr>
            <w:r>
              <w:rPr>
                <w:rFonts w:ascii="Calibri" w:cs="Calibri" w:eastAsia="Calibri" w:hAnsi="Calibri"/>
                <w:sz w:val="16"/>
                <w:szCs w:val="16"/>
                <w:color w:val="auto"/>
              </w:rPr>
              <w:t>Other non–current liabilites</w:t>
            </w:r>
          </w:p>
        </w:tc>
        <w:tc>
          <w:tcPr>
            <w:tcW w:w="2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5,028</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4,733</w:t>
            </w:r>
          </w:p>
        </w:tc>
        <w:tc>
          <w:tcPr>
            <w:tcW w:w="120" w:type="dxa"/>
            <w:vAlign w:val="bottom"/>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03"/>
        </w:trPr>
        <w:tc>
          <w:tcPr>
            <w:tcW w:w="752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Total liabilites</w:t>
            </w:r>
          </w:p>
        </w:tc>
        <w:tc>
          <w:tcPr>
            <w:tcW w:w="2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302,441</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302,075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4"/>
        </w:trPr>
        <w:tc>
          <w:tcPr>
            <w:tcW w:w="7520" w:type="dxa"/>
            <w:vAlign w:val="bottom"/>
          </w:tcPr>
          <w:p>
            <w:pPr>
              <w:ind w:left="20"/>
              <w:spacing w:after="0" w:line="193" w:lineRule="exact"/>
              <w:rPr>
                <w:sz w:val="20"/>
                <w:szCs w:val="20"/>
                <w:color w:val="auto"/>
              </w:rPr>
            </w:pPr>
            <w:r>
              <w:rPr>
                <w:rFonts w:ascii="Calibri" w:cs="Calibri" w:eastAsia="Calibri" w:hAnsi="Calibri"/>
                <w:sz w:val="16"/>
                <w:szCs w:val="16"/>
                <w:color w:val="auto"/>
              </w:rPr>
              <w:t>Commitments and contngencies (Note 8)</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10"/>
        </w:trPr>
        <w:tc>
          <w:tcPr>
            <w:tcW w:w="752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Stockholders’ equity:</w:t>
            </w:r>
          </w:p>
        </w:tc>
        <w:tc>
          <w:tcPr>
            <w:tcW w:w="2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r>
      <w:tr>
        <w:trPr>
          <w:trHeight w:val="193"/>
        </w:trPr>
        <w:tc>
          <w:tcPr>
            <w:tcW w:w="7520" w:type="dxa"/>
            <w:vAlign w:val="bottom"/>
          </w:tcPr>
          <w:p>
            <w:pPr>
              <w:ind w:left="200"/>
              <w:spacing w:after="0" w:line="193" w:lineRule="exact"/>
              <w:rPr>
                <w:sz w:val="20"/>
                <w:szCs w:val="20"/>
                <w:color w:val="auto"/>
              </w:rPr>
            </w:pPr>
            <w:r>
              <w:rPr>
                <w:rFonts w:ascii="Calibri" w:cs="Calibri" w:eastAsia="Calibri" w:hAnsi="Calibri"/>
                <w:sz w:val="16"/>
                <w:szCs w:val="16"/>
                <w:color w:val="auto"/>
              </w:rPr>
              <w:t>Preferred stock, $0.001 par value per share; 10,000,000 shares authorized;</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8"/>
        </w:trPr>
        <w:tc>
          <w:tcPr>
            <w:tcW w:w="7520" w:type="dxa"/>
            <w:vAlign w:val="bottom"/>
          </w:tcPr>
          <w:p>
            <w:pPr>
              <w:ind w:left="300"/>
              <w:spacing w:after="0"/>
              <w:rPr>
                <w:sz w:val="20"/>
                <w:szCs w:val="20"/>
                <w:color w:val="auto"/>
              </w:rPr>
            </w:pPr>
            <w:r>
              <w:rPr>
                <w:rFonts w:ascii="Calibri" w:cs="Calibri" w:eastAsia="Calibri" w:hAnsi="Calibri"/>
                <w:sz w:val="16"/>
                <w:szCs w:val="16"/>
                <w:color w:val="auto"/>
              </w:rPr>
              <w:t>no shares issued and outstanding</w:t>
            </w:r>
          </w:p>
        </w:tc>
        <w:tc>
          <w:tcPr>
            <w:tcW w:w="280" w:type="dxa"/>
            <w:vAlign w:val="bottom"/>
          </w:tcPr>
          <w:p>
            <w:pPr>
              <w:spacing w:after="0"/>
              <w:rPr>
                <w:sz w:val="17"/>
                <w:szCs w:val="17"/>
                <w:color w:val="auto"/>
              </w:rPr>
            </w:pPr>
          </w:p>
        </w:tc>
        <w:tc>
          <w:tcPr>
            <w:tcW w:w="1580" w:type="dxa"/>
            <w:vAlign w:val="bottom"/>
            <w:gridSpan w:val="2"/>
          </w:tcPr>
          <w:p>
            <w:pPr>
              <w:jc w:val="right"/>
              <w:ind w:right="320"/>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Calibri" w:cs="Calibri" w:eastAsia="Calibri" w:hAnsi="Calibri"/>
                <w:sz w:val="16"/>
                <w:szCs w:val="16"/>
                <w:color w:val="auto"/>
              </w:rPr>
              <w:t>—</w:t>
            </w:r>
          </w:p>
        </w:tc>
      </w:tr>
      <w:tr>
        <w:trPr>
          <w:trHeight w:val="41"/>
        </w:trPr>
        <w:tc>
          <w:tcPr>
            <w:tcW w:w="7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4"/>
        </w:trPr>
        <w:tc>
          <w:tcPr>
            <w:tcW w:w="7520" w:type="dxa"/>
            <w:vAlign w:val="bottom"/>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Class A common stock, $0.001 par value per share; 500,000,000 shares</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7"/>
        </w:trPr>
        <w:tc>
          <w:tcPr>
            <w:tcW w:w="7520" w:type="dxa"/>
            <w:vAlign w:val="bottom"/>
            <w:shd w:val="clear" w:color="auto" w:fill="CFF0FC"/>
          </w:tcPr>
          <w:p>
            <w:pPr>
              <w:ind w:left="300"/>
              <w:spacing w:after="0"/>
              <w:rPr>
                <w:sz w:val="20"/>
                <w:szCs w:val="20"/>
                <w:color w:val="auto"/>
              </w:rPr>
            </w:pPr>
            <w:r>
              <w:rPr>
                <w:rFonts w:ascii="Calibri" w:cs="Calibri" w:eastAsia="Calibri" w:hAnsi="Calibri"/>
                <w:sz w:val="16"/>
                <w:szCs w:val="16"/>
                <w:color w:val="auto"/>
              </w:rPr>
              <w:t>authorized; 89,075,845 and 92,175,243 shares issued and outstanding</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3"/>
        </w:trPr>
        <w:tc>
          <w:tcPr>
            <w:tcW w:w="752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6"/>
                <w:szCs w:val="16"/>
                <w:color w:val="auto"/>
              </w:rPr>
              <w:t>at March 31, 2024 and December 31, 2023, respectvely</w:t>
            </w: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89</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92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194"/>
        </w:trPr>
        <w:tc>
          <w:tcPr>
            <w:tcW w:w="7520" w:type="dxa"/>
            <w:vAlign w:val="bottom"/>
          </w:tcPr>
          <w:p>
            <w:pPr>
              <w:ind w:left="200"/>
              <w:spacing w:after="0" w:line="193" w:lineRule="exact"/>
              <w:rPr>
                <w:sz w:val="20"/>
                <w:szCs w:val="20"/>
                <w:color w:val="auto"/>
              </w:rPr>
            </w:pPr>
            <w:r>
              <w:rPr>
                <w:rFonts w:ascii="Calibri" w:cs="Calibri" w:eastAsia="Calibri" w:hAnsi="Calibri"/>
                <w:sz w:val="16"/>
                <w:szCs w:val="16"/>
                <w:color w:val="auto"/>
              </w:rPr>
              <w:t>Class B common stock, $0.001 par value per share; 100,000,000 shares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8"/>
        </w:trPr>
        <w:tc>
          <w:tcPr>
            <w:tcW w:w="7520" w:type="dxa"/>
            <w:vAlign w:val="bottom"/>
          </w:tcPr>
          <w:p>
            <w:pPr>
              <w:ind w:left="300"/>
              <w:spacing w:after="0"/>
              <w:rPr>
                <w:sz w:val="20"/>
                <w:szCs w:val="20"/>
                <w:color w:val="auto"/>
              </w:rPr>
            </w:pPr>
            <w:r>
              <w:rPr>
                <w:rFonts w:ascii="Calibri" w:cs="Calibri" w:eastAsia="Calibri" w:hAnsi="Calibri"/>
                <w:sz w:val="16"/>
                <w:szCs w:val="16"/>
                <w:color w:val="auto"/>
              </w:rPr>
              <w:t>authorized; 15,999,173 and 15,999,173 shares issued and outstanding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520" w:type="dxa"/>
            <w:vAlign w:val="bottom"/>
          </w:tcPr>
          <w:p>
            <w:pPr>
              <w:ind w:left="300"/>
              <w:spacing w:after="0"/>
              <w:rPr>
                <w:sz w:val="20"/>
                <w:szCs w:val="20"/>
                <w:color w:val="auto"/>
              </w:rPr>
            </w:pPr>
            <w:r>
              <w:rPr>
                <w:rFonts w:ascii="Calibri" w:cs="Calibri" w:eastAsia="Calibri" w:hAnsi="Calibri"/>
                <w:sz w:val="16"/>
                <w:szCs w:val="16"/>
                <w:color w:val="auto"/>
              </w:rPr>
              <w:t>at March 31, 2024 and December 31, 2023, respectvely</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color w:val="auto"/>
              </w:rPr>
              <w:t>16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alibri" w:cs="Calibri" w:eastAsia="Calibri" w:hAnsi="Calibri"/>
                <w:sz w:val="16"/>
                <w:szCs w:val="16"/>
                <w:color w:val="auto"/>
              </w:rPr>
              <w:t>16</w:t>
            </w:r>
          </w:p>
        </w:tc>
        <w:tc>
          <w:tcPr>
            <w:tcW w:w="120" w:type="dxa"/>
            <w:vAlign w:val="bottom"/>
          </w:tcPr>
          <w:p>
            <w:pPr>
              <w:spacing w:after="0"/>
              <w:rPr>
                <w:sz w:val="17"/>
                <w:szCs w:val="17"/>
                <w:color w:val="auto"/>
              </w:rPr>
            </w:pPr>
          </w:p>
        </w:tc>
      </w:tr>
      <w:tr>
        <w:trPr>
          <w:trHeight w:val="41"/>
        </w:trPr>
        <w:tc>
          <w:tcPr>
            <w:tcW w:w="7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10"/>
        </w:trPr>
        <w:tc>
          <w:tcPr>
            <w:tcW w:w="7520" w:type="dxa"/>
            <w:vAlign w:val="bottom"/>
            <w:tcBorders>
              <w:bottom w:val="single" w:sz="8" w:color="CFF0FC"/>
            </w:tcBorders>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Additonal paid-in capital</w:t>
            </w:r>
          </w:p>
        </w:tc>
        <w:tc>
          <w:tcPr>
            <w:tcW w:w="2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194,309</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263,498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94"/>
        </w:trPr>
        <w:tc>
          <w:tcPr>
            <w:tcW w:w="7520" w:type="dxa"/>
            <w:vAlign w:val="bottom"/>
          </w:tcPr>
          <w:p>
            <w:pPr>
              <w:ind w:left="200"/>
              <w:spacing w:after="0" w:line="193" w:lineRule="exact"/>
              <w:rPr>
                <w:sz w:val="20"/>
                <w:szCs w:val="20"/>
                <w:color w:val="auto"/>
              </w:rPr>
            </w:pPr>
            <w:r>
              <w:rPr>
                <w:rFonts w:ascii="Calibri" w:cs="Calibri" w:eastAsia="Calibri" w:hAnsi="Calibri"/>
                <w:sz w:val="16"/>
                <w:szCs w:val="16"/>
                <w:color w:val="auto"/>
              </w:rPr>
              <w:t>Retained earnings</w:t>
            </w:r>
          </w:p>
        </w:tc>
        <w:tc>
          <w:tcPr>
            <w:tcW w:w="2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375,448</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354,147</w:t>
            </w:r>
          </w:p>
        </w:tc>
        <w:tc>
          <w:tcPr>
            <w:tcW w:w="120" w:type="dxa"/>
            <w:vAlign w:val="bottom"/>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5"/>
        </w:trPr>
        <w:tc>
          <w:tcPr>
            <w:tcW w:w="7520" w:type="dxa"/>
            <w:vAlign w:val="bottom"/>
            <w:tcBorders>
              <w:bottom w:val="single" w:sz="8" w:color="CFF0FC"/>
            </w:tcBorders>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Accumulated other comprehensive loss</w:t>
            </w:r>
          </w:p>
        </w:tc>
        <w:tc>
          <w:tcPr>
            <w:tcW w:w="2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gridSpan w:val="2"/>
            <w:shd w:val="clear" w:color="auto" w:fill="CFF0FC"/>
          </w:tcPr>
          <w:p>
            <w:pPr>
              <w:jc w:val="right"/>
              <w:ind w:right="240"/>
              <w:spacing w:after="0" w:line="193" w:lineRule="exact"/>
              <w:rPr>
                <w:sz w:val="20"/>
                <w:szCs w:val="20"/>
                <w:color w:val="auto"/>
              </w:rPr>
            </w:pPr>
            <w:r>
              <w:rPr>
                <w:rFonts w:ascii="Calibri" w:cs="Calibri" w:eastAsia="Calibri" w:hAnsi="Calibri"/>
                <w:sz w:val="16"/>
                <w:szCs w:val="16"/>
                <w:color w:val="auto"/>
              </w:rPr>
              <w:t>(1,500 )</w:t>
            </w:r>
          </w:p>
        </w:tc>
        <w:tc>
          <w:tcPr>
            <w:tcW w:w="2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60"/>
              <w:spacing w:after="0" w:line="193" w:lineRule="exact"/>
              <w:rPr>
                <w:sz w:val="20"/>
                <w:szCs w:val="20"/>
                <w:color w:val="auto"/>
              </w:rPr>
            </w:pPr>
            <w:r>
              <w:rPr>
                <w:rFonts w:ascii="Calibri" w:cs="Calibri" w:eastAsia="Calibri" w:hAnsi="Calibri"/>
                <w:sz w:val="16"/>
                <w:szCs w:val="16"/>
                <w:color w:val="auto"/>
              </w:rPr>
              <w:t>(901 )</w:t>
            </w:r>
          </w:p>
        </w:tc>
      </w:tr>
      <w:tr>
        <w:trPr>
          <w:trHeight w:val="187"/>
        </w:trPr>
        <w:tc>
          <w:tcPr>
            <w:tcW w:w="7520" w:type="dxa"/>
            <w:vAlign w:val="bottom"/>
            <w:tcBorders>
              <w:top w:val="single" w:sz="8" w:color="CFF0FC"/>
            </w:tcBorders>
          </w:tcPr>
          <w:p>
            <w:pPr>
              <w:ind w:left="20"/>
              <w:spacing w:after="0" w:line="187" w:lineRule="exact"/>
              <w:rPr>
                <w:sz w:val="20"/>
                <w:szCs w:val="20"/>
                <w:color w:val="auto"/>
              </w:rPr>
            </w:pPr>
            <w:r>
              <w:rPr>
                <w:rFonts w:ascii="Calibri" w:cs="Calibri" w:eastAsia="Calibri" w:hAnsi="Calibri"/>
                <w:sz w:val="16"/>
                <w:szCs w:val="16"/>
                <w:color w:val="auto"/>
              </w:rPr>
              <w:t>Total stockholders’ equity</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568,362</w:t>
            </w:r>
          </w:p>
        </w:tc>
        <w:tc>
          <w:tcPr>
            <w:tcW w:w="30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616,852</w:t>
            </w:r>
          </w:p>
        </w:tc>
        <w:tc>
          <w:tcPr>
            <w:tcW w:w="120" w:type="dxa"/>
            <w:vAlign w:val="bottom"/>
            <w:tcBorders>
              <w:top w:val="single" w:sz="8" w:color="CFF0FC"/>
            </w:tcBorders>
          </w:tcPr>
          <w:p>
            <w:pPr>
              <w:spacing w:after="0"/>
              <w:rPr>
                <w:sz w:val="16"/>
                <w:szCs w:val="16"/>
                <w:color w:val="auto"/>
              </w:rPr>
            </w:pPr>
          </w:p>
        </w:tc>
      </w:tr>
      <w:tr>
        <w:trPr>
          <w:trHeight w:val="36"/>
        </w:trPr>
        <w:tc>
          <w:tcPr>
            <w:tcW w:w="75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48"/>
        </w:trPr>
        <w:tc>
          <w:tcPr>
            <w:tcW w:w="752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Total liabilites, redeemable noncontrolling interest and stockholders’ equity</w:t>
            </w:r>
          </w:p>
        </w:tc>
        <w:tc>
          <w:tcPr>
            <w:tcW w:w="280" w:type="dxa"/>
            <w:vAlign w:val="bottom"/>
            <w:tcBorders>
              <w:bottom w:val="single" w:sz="8" w:color="CFF0FC"/>
            </w:tcBorders>
            <w:shd w:val="clear" w:color="auto" w:fill="CFF0FC"/>
          </w:tcPr>
          <w:p>
            <w:pPr>
              <w:jc w:val="right"/>
              <w:ind w:right="119"/>
              <w:spacing w:after="0" w:line="187" w:lineRule="exact"/>
              <w:rPr>
                <w:sz w:val="20"/>
                <w:szCs w:val="20"/>
                <w:color w:val="auto"/>
              </w:rPr>
            </w:pPr>
            <w:r>
              <w:rPr>
                <w:rFonts w:ascii="Calibri" w:cs="Calibri" w:eastAsia="Calibri" w:hAnsi="Calibri"/>
                <w:sz w:val="16"/>
                <w:szCs w:val="16"/>
                <w:color w:val="auto"/>
                <w:w w:val="73"/>
              </w:rPr>
              <w:t>$</w:t>
            </w:r>
          </w:p>
        </w:tc>
        <w:tc>
          <w:tcPr>
            <w:tcW w:w="12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870,803</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59"/>
              <w:spacing w:after="0" w:line="187" w:lineRule="exact"/>
              <w:rPr>
                <w:sz w:val="20"/>
                <w:szCs w:val="20"/>
                <w:color w:val="auto"/>
              </w:rPr>
            </w:pPr>
            <w:r>
              <w:rPr>
                <w:rFonts w:ascii="Calibri" w:cs="Calibri" w:eastAsia="Calibri" w:hAnsi="Calibri"/>
                <w:sz w:val="16"/>
                <w:szCs w:val="16"/>
                <w:color w:val="auto"/>
                <w:w w:val="73"/>
              </w:rPr>
              <w:t>$</w:t>
            </w:r>
          </w:p>
        </w:tc>
        <w:tc>
          <w:tcPr>
            <w:tcW w:w="13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918,927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-5116830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-5116830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-3942715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-3942715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-333375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-333375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76" w:right="439" w:bottom="1440" w:gutter="0" w:footer="0" w:header="0"/>
        </w:sectPr>
      </w:pPr>
    </w:p>
    <w:bookmarkStart w:id="5" w:name="page6"/>
    <w:bookmarkEnd w:id="5"/>
    <w:p>
      <w:pPr>
        <w:jc w:val="center"/>
        <w:ind w:right="40"/>
        <w:spacing w:after="0"/>
        <w:rPr>
          <w:sz w:val="20"/>
          <w:szCs w:val="20"/>
          <w:color w:val="auto"/>
        </w:rPr>
      </w:pPr>
      <w:r>
        <w:rPr>
          <w:rFonts w:ascii="Calibri" w:cs="Calibri" w:eastAsia="Calibri" w:hAnsi="Calibri"/>
          <w:sz w:val="18"/>
          <w:szCs w:val="18"/>
          <w:b w:val="1"/>
          <w:bCs w:val="1"/>
          <w:color w:val="auto"/>
        </w:rPr>
        <w:t>CarGurus, Inc.</w:t>
      </w:r>
    </w:p>
    <w:p>
      <w:pPr>
        <w:spacing w:after="0" w:line="104" w:lineRule="exact"/>
        <w:rPr>
          <w:sz w:val="20"/>
          <w:szCs w:val="20"/>
          <w:color w:val="auto"/>
        </w:rPr>
      </w:pPr>
    </w:p>
    <w:p>
      <w:pPr>
        <w:ind w:left="3600"/>
        <w:spacing w:after="0"/>
        <w:rPr>
          <w:sz w:val="20"/>
          <w:szCs w:val="20"/>
          <w:color w:val="auto"/>
        </w:rPr>
      </w:pPr>
      <w:r>
        <w:rPr>
          <w:rFonts w:ascii="Calibri" w:cs="Calibri" w:eastAsia="Calibri" w:hAnsi="Calibri"/>
          <w:sz w:val="18"/>
          <w:szCs w:val="18"/>
          <w:b w:val="1"/>
          <w:bCs w:val="1"/>
          <w:color w:val="auto"/>
        </w:rPr>
        <w:t>Unaudited Condensed Consolidated Income Statements</w:t>
      </w:r>
    </w:p>
    <w:p>
      <w:pPr>
        <w:spacing w:after="0" w:line="104" w:lineRule="exact"/>
        <w:rPr>
          <w:sz w:val="20"/>
          <w:szCs w:val="20"/>
          <w:color w:val="auto"/>
        </w:rPr>
      </w:pPr>
    </w:p>
    <w:p>
      <w:pPr>
        <w:ind w:left="3880"/>
        <w:spacing w:after="0"/>
        <w:rPr>
          <w:sz w:val="20"/>
          <w:szCs w:val="20"/>
          <w:color w:val="auto"/>
        </w:rPr>
      </w:pPr>
      <w:r>
        <w:rPr>
          <w:rFonts w:ascii="Calibri" w:cs="Calibri" w:eastAsia="Calibri" w:hAnsi="Calibri"/>
          <w:sz w:val="18"/>
          <w:szCs w:val="18"/>
          <w:b w:val="1"/>
          <w:bCs w:val="1"/>
          <w:color w:val="auto"/>
        </w:rPr>
        <w:t>(in thousands, except share and per share data)</w:t>
      </w:r>
    </w:p>
    <w:p>
      <w:pPr>
        <w:spacing w:after="0" w:line="238" w:lineRule="exact"/>
        <w:rPr>
          <w:sz w:val="20"/>
          <w:szCs w:val="20"/>
          <w:color w:val="auto"/>
        </w:rPr>
      </w:pPr>
    </w:p>
    <w:p>
      <w:pPr>
        <w:jc w:val="center"/>
        <w:ind w:left="6880"/>
        <w:spacing w:after="0"/>
        <w:rPr>
          <w:sz w:val="20"/>
          <w:szCs w:val="20"/>
          <w:color w:val="auto"/>
        </w:rPr>
      </w:pPr>
      <w:r>
        <w:rPr>
          <w:rFonts w:ascii="Calibri" w:cs="Calibri" w:eastAsia="Calibri" w:hAnsi="Calibri"/>
          <w:sz w:val="14"/>
          <w:szCs w:val="14"/>
          <w:b w:val="1"/>
          <w:bCs w:val="1"/>
          <w:color w:val="auto"/>
        </w:rPr>
        <w:t>Three Months Ended</w:t>
      </w:r>
    </w:p>
    <w:p>
      <w:pPr>
        <w:spacing w:after="0" w:line="5" w:lineRule="exact"/>
        <w:rPr>
          <w:sz w:val="20"/>
          <w:szCs w:val="20"/>
          <w:color w:val="auto"/>
        </w:rPr>
      </w:pPr>
    </w:p>
    <w:p>
      <w:pPr>
        <w:jc w:val="center"/>
        <w:ind w:left="6920"/>
        <w:spacing w:after="0"/>
        <w:rPr>
          <w:sz w:val="20"/>
          <w:szCs w:val="20"/>
          <w:color w:val="auto"/>
        </w:rPr>
      </w:pPr>
      <w:r>
        <w:rPr>
          <w:rFonts w:ascii="Calibri" w:cs="Calibri" w:eastAsia="Calibri" w:hAnsi="Calibri"/>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20955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711"/>
              <w:spacing w:after="0"/>
              <w:rPr>
                <w:sz w:val="20"/>
                <w:szCs w:val="20"/>
                <w:color w:val="auto"/>
              </w:rPr>
            </w:pPr>
            <w:r>
              <w:rPr>
                <w:rFonts w:ascii="Calibri" w:cs="Calibri" w:eastAsia="Calibri" w:hAnsi="Calibri"/>
                <w:sz w:val="14"/>
                <w:szCs w:val="14"/>
                <w:b w:val="1"/>
                <w:bCs w:val="1"/>
                <w:color w:val="auto"/>
              </w:rPr>
              <w:t>2024</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ind w:right="71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r>
      <w:tr>
        <w:trPr>
          <w:trHeight w:val="47"/>
        </w:trPr>
        <w:tc>
          <w:tcPr>
            <w:tcW w:w="70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17"/>
        </w:trPr>
        <w:tc>
          <w:tcPr>
            <w:tcW w:w="70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Revenue</w:t>
            </w:r>
          </w:p>
        </w:tc>
        <w:tc>
          <w:tcPr>
            <w:tcW w:w="4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040" w:type="dxa"/>
            <w:vAlign w:val="bottom"/>
          </w:tcPr>
          <w:p>
            <w:pPr>
              <w:ind w:left="200"/>
              <w:spacing w:after="0" w:line="215" w:lineRule="exact"/>
              <w:rPr>
                <w:sz w:val="20"/>
                <w:szCs w:val="20"/>
                <w:color w:val="auto"/>
              </w:rPr>
            </w:pPr>
            <w:r>
              <w:rPr>
                <w:rFonts w:ascii="Calibri" w:cs="Calibri" w:eastAsia="Calibri" w:hAnsi="Calibri"/>
                <w:sz w:val="18"/>
                <w:szCs w:val="18"/>
                <w:color w:val="auto"/>
              </w:rPr>
              <w:t>Marketplace</w:t>
            </w:r>
          </w:p>
        </w:tc>
        <w:tc>
          <w:tcPr>
            <w:tcW w:w="46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187,219</w:t>
            </w:r>
          </w:p>
        </w:tc>
        <w:tc>
          <w:tcPr>
            <w:tcW w:w="340" w:type="dxa"/>
            <w:vAlign w:val="bottom"/>
          </w:tcPr>
          <w:p>
            <w:pPr>
              <w:spacing w:after="0"/>
              <w:rPr>
                <w:sz w:val="18"/>
                <w:szCs w:val="18"/>
                <w:color w:val="auto"/>
              </w:rPr>
            </w:pPr>
          </w:p>
        </w:tc>
        <w:tc>
          <w:tcPr>
            <w:tcW w:w="440" w:type="dxa"/>
            <w:vAlign w:val="bottom"/>
          </w:tcPr>
          <w:p>
            <w:pPr>
              <w:jc w:val="right"/>
              <w:ind w:right="25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167,127</w:t>
            </w:r>
          </w:p>
        </w:tc>
        <w:tc>
          <w:tcPr>
            <w:tcW w:w="100" w:type="dxa"/>
            <w:vAlign w:val="bottom"/>
          </w:tcPr>
          <w:p>
            <w:pPr>
              <w:spacing w:after="0"/>
              <w:rPr>
                <w:sz w:val="18"/>
                <w:szCs w:val="18"/>
                <w:color w:val="auto"/>
              </w:rPr>
            </w:pPr>
          </w:p>
        </w:tc>
      </w:tr>
      <w:tr>
        <w:trPr>
          <w:trHeight w:val="28"/>
        </w:trPr>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0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Wholesale</w:t>
            </w:r>
          </w:p>
        </w:tc>
        <w:tc>
          <w:tcPr>
            <w:tcW w:w="4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16,125</w:t>
            </w:r>
          </w:p>
        </w:tc>
        <w:tc>
          <w:tcPr>
            <w:tcW w:w="3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25,186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040" w:type="dxa"/>
            <w:vAlign w:val="bottom"/>
          </w:tcPr>
          <w:p>
            <w:pPr>
              <w:ind w:left="200"/>
              <w:spacing w:after="0" w:line="215" w:lineRule="exact"/>
              <w:rPr>
                <w:sz w:val="20"/>
                <w:szCs w:val="20"/>
                <w:color w:val="auto"/>
              </w:rPr>
            </w:pPr>
            <w:r>
              <w:rPr>
                <w:rFonts w:ascii="Calibri" w:cs="Calibri" w:eastAsia="Calibri" w:hAnsi="Calibri"/>
                <w:sz w:val="18"/>
                <w:szCs w:val="18"/>
                <w:color w:val="auto"/>
              </w:rPr>
              <w:t>Product</w:t>
            </w:r>
          </w:p>
        </w:tc>
        <w:tc>
          <w:tcPr>
            <w:tcW w:w="46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12,452</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39,650</w:t>
            </w:r>
          </w:p>
        </w:tc>
        <w:tc>
          <w:tcPr>
            <w:tcW w:w="100" w:type="dxa"/>
            <w:vAlign w:val="bottom"/>
          </w:tcPr>
          <w:p>
            <w:pPr>
              <w:spacing w:after="0"/>
              <w:rPr>
                <w:sz w:val="18"/>
                <w:szCs w:val="18"/>
                <w:color w:val="auto"/>
              </w:rPr>
            </w:pPr>
          </w:p>
        </w:tc>
      </w:tr>
      <w:tr>
        <w:trPr>
          <w:trHeight w:val="28"/>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40" w:type="dxa"/>
            <w:vAlign w:val="bottom"/>
            <w:tcBorders>
              <w:bottom w:val="single" w:sz="8" w:color="CFF0FC"/>
            </w:tcBorders>
            <w:shd w:val="clear" w:color="auto" w:fill="CFF0FC"/>
          </w:tcPr>
          <w:p>
            <w:pPr>
              <w:ind w:left="300"/>
              <w:spacing w:after="0" w:line="208" w:lineRule="exact"/>
              <w:rPr>
                <w:sz w:val="20"/>
                <w:szCs w:val="20"/>
                <w:color w:val="auto"/>
              </w:rPr>
            </w:pPr>
            <w:r>
              <w:rPr>
                <w:rFonts w:ascii="Calibri" w:cs="Calibri" w:eastAsia="Calibri" w:hAnsi="Calibri"/>
                <w:sz w:val="18"/>
                <w:szCs w:val="18"/>
                <w:color w:val="auto"/>
              </w:rPr>
              <w:t>Total revenue</w:t>
            </w:r>
          </w:p>
        </w:tc>
        <w:tc>
          <w:tcPr>
            <w:tcW w:w="4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215,796</w:t>
            </w:r>
          </w:p>
        </w:tc>
        <w:tc>
          <w:tcPr>
            <w:tcW w:w="3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231,963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43"/>
        </w:trPr>
        <w:tc>
          <w:tcPr>
            <w:tcW w:w="7040" w:type="dxa"/>
            <w:vAlign w:val="bottom"/>
          </w:tcPr>
          <w:p>
            <w:pPr>
              <w:ind w:left="20"/>
              <w:spacing w:after="0" w:line="243" w:lineRule="exact"/>
              <w:rPr>
                <w:sz w:val="20"/>
                <w:szCs w:val="20"/>
                <w:color w:val="auto"/>
              </w:rPr>
            </w:pPr>
            <w:r>
              <w:rPr>
                <w:rFonts w:ascii="Calibri" w:cs="Calibri" w:eastAsia="Calibri" w:hAnsi="Calibri"/>
                <w:sz w:val="18"/>
                <w:szCs w:val="18"/>
                <w:color w:val="auto"/>
              </w:rPr>
              <w:t xml:space="preserve">Cost of revenue </w:t>
            </w:r>
            <w:r>
              <w:rPr>
                <w:rFonts w:ascii="Calibri" w:cs="Calibri" w:eastAsia="Calibri" w:hAnsi="Calibri"/>
                <w:sz w:val="24"/>
                <w:szCs w:val="24"/>
                <w:color w:val="auto"/>
                <w:vertAlign w:val="superscript"/>
              </w:rPr>
              <w:t>(1)</w:t>
            </w:r>
          </w:p>
        </w:tc>
        <w:tc>
          <w:tcPr>
            <w:tcW w:w="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0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Marketplace</w:t>
            </w:r>
          </w:p>
        </w:tc>
        <w:tc>
          <w:tcPr>
            <w:tcW w:w="4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14,385</w:t>
            </w:r>
          </w:p>
        </w:tc>
        <w:tc>
          <w:tcPr>
            <w:tcW w:w="3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15,533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040" w:type="dxa"/>
            <w:vAlign w:val="bottom"/>
          </w:tcPr>
          <w:p>
            <w:pPr>
              <w:ind w:left="200"/>
              <w:spacing w:after="0" w:line="215" w:lineRule="exact"/>
              <w:rPr>
                <w:sz w:val="20"/>
                <w:szCs w:val="20"/>
                <w:color w:val="auto"/>
              </w:rPr>
            </w:pPr>
            <w:r>
              <w:rPr>
                <w:rFonts w:ascii="Calibri" w:cs="Calibri" w:eastAsia="Calibri" w:hAnsi="Calibri"/>
                <w:sz w:val="18"/>
                <w:szCs w:val="18"/>
                <w:color w:val="auto"/>
              </w:rPr>
              <w:t>Wholesale</w:t>
            </w:r>
          </w:p>
        </w:tc>
        <w:tc>
          <w:tcPr>
            <w:tcW w:w="46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14,224</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22,068</w:t>
            </w:r>
          </w:p>
        </w:tc>
        <w:tc>
          <w:tcPr>
            <w:tcW w:w="100" w:type="dxa"/>
            <w:vAlign w:val="bottom"/>
          </w:tcPr>
          <w:p>
            <w:pPr>
              <w:spacing w:after="0"/>
              <w:rPr>
                <w:sz w:val="18"/>
                <w:szCs w:val="18"/>
                <w:color w:val="auto"/>
              </w:rPr>
            </w:pPr>
          </w:p>
        </w:tc>
      </w:tr>
      <w:tr>
        <w:trPr>
          <w:trHeight w:val="28"/>
        </w:trPr>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0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Product</w:t>
            </w:r>
          </w:p>
        </w:tc>
        <w:tc>
          <w:tcPr>
            <w:tcW w:w="4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12,226</w:t>
            </w:r>
          </w:p>
        </w:tc>
        <w:tc>
          <w:tcPr>
            <w:tcW w:w="3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39,382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040" w:type="dxa"/>
            <w:vAlign w:val="bottom"/>
            <w:tcBorders>
              <w:top w:val="single" w:sz="8" w:color="CFF0FC"/>
            </w:tcBorders>
          </w:tcPr>
          <w:p>
            <w:pPr>
              <w:ind w:left="300"/>
              <w:spacing w:after="0" w:line="208" w:lineRule="exact"/>
              <w:rPr>
                <w:sz w:val="20"/>
                <w:szCs w:val="20"/>
                <w:color w:val="auto"/>
              </w:rPr>
            </w:pPr>
            <w:r>
              <w:rPr>
                <w:rFonts w:ascii="Calibri" w:cs="Calibri" w:eastAsia="Calibri" w:hAnsi="Calibri"/>
                <w:sz w:val="18"/>
                <w:szCs w:val="18"/>
                <w:color w:val="auto"/>
              </w:rPr>
              <w:t>Total cost of revenue</w:t>
            </w:r>
          </w:p>
        </w:tc>
        <w:tc>
          <w:tcPr>
            <w:tcW w:w="4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40,835</w:t>
            </w:r>
          </w:p>
        </w:tc>
        <w:tc>
          <w:tcPr>
            <w:tcW w:w="34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76,983</w:t>
            </w:r>
          </w:p>
        </w:tc>
        <w:tc>
          <w:tcPr>
            <w:tcW w:w="100" w:type="dxa"/>
            <w:vAlign w:val="bottom"/>
            <w:tcBorders>
              <w:top w:val="single" w:sz="8" w:color="CFF0FC"/>
            </w:tcBorders>
          </w:tcPr>
          <w:p>
            <w:pPr>
              <w:spacing w:after="0"/>
              <w:rPr>
                <w:sz w:val="18"/>
                <w:szCs w:val="18"/>
                <w:color w:val="auto"/>
              </w:rPr>
            </w:pPr>
          </w:p>
        </w:tc>
      </w:tr>
      <w:tr>
        <w:trPr>
          <w:trHeight w:val="28"/>
        </w:trPr>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0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Gross proft</w:t>
            </w:r>
          </w:p>
        </w:tc>
        <w:tc>
          <w:tcPr>
            <w:tcW w:w="4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174,961</w:t>
            </w:r>
          </w:p>
        </w:tc>
        <w:tc>
          <w:tcPr>
            <w:tcW w:w="3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154,980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04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expenses:</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0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Sales and marketng</w:t>
            </w:r>
          </w:p>
        </w:tc>
        <w:tc>
          <w:tcPr>
            <w:tcW w:w="4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82,274</w:t>
            </w:r>
          </w:p>
        </w:tc>
        <w:tc>
          <w:tcPr>
            <w:tcW w:w="3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75,577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040" w:type="dxa"/>
            <w:vAlign w:val="bottom"/>
          </w:tcPr>
          <w:p>
            <w:pPr>
              <w:ind w:left="200"/>
              <w:spacing w:after="0" w:line="215" w:lineRule="exact"/>
              <w:rPr>
                <w:sz w:val="20"/>
                <w:szCs w:val="20"/>
                <w:color w:val="auto"/>
              </w:rPr>
            </w:pPr>
            <w:r>
              <w:rPr>
                <w:rFonts w:ascii="Calibri" w:cs="Calibri" w:eastAsia="Calibri" w:hAnsi="Calibri"/>
                <w:sz w:val="18"/>
                <w:szCs w:val="18"/>
                <w:color w:val="auto"/>
              </w:rPr>
              <w:t>Product, technology, and development</w:t>
            </w:r>
          </w:p>
        </w:tc>
        <w:tc>
          <w:tcPr>
            <w:tcW w:w="46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35,545</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36,607</w:t>
            </w:r>
          </w:p>
        </w:tc>
        <w:tc>
          <w:tcPr>
            <w:tcW w:w="100" w:type="dxa"/>
            <w:vAlign w:val="bottom"/>
          </w:tcPr>
          <w:p>
            <w:pPr>
              <w:spacing w:after="0"/>
              <w:rPr>
                <w:sz w:val="18"/>
                <w:szCs w:val="18"/>
                <w:color w:val="auto"/>
              </w:rPr>
            </w:pPr>
          </w:p>
        </w:tc>
      </w:tr>
      <w:tr>
        <w:trPr>
          <w:trHeight w:val="28"/>
        </w:trPr>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0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General and administratve</w:t>
            </w:r>
          </w:p>
        </w:tc>
        <w:tc>
          <w:tcPr>
            <w:tcW w:w="4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28,066</w:t>
            </w:r>
          </w:p>
        </w:tc>
        <w:tc>
          <w:tcPr>
            <w:tcW w:w="3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24,919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040" w:type="dxa"/>
            <w:vAlign w:val="bottom"/>
          </w:tcPr>
          <w:p>
            <w:pPr>
              <w:ind w:left="200"/>
              <w:spacing w:after="0" w:line="215" w:lineRule="exact"/>
              <w:rPr>
                <w:sz w:val="20"/>
                <w:szCs w:val="20"/>
                <w:color w:val="auto"/>
              </w:rPr>
            </w:pPr>
            <w:r>
              <w:rPr>
                <w:rFonts w:ascii="Calibri" w:cs="Calibri" w:eastAsia="Calibri" w:hAnsi="Calibri"/>
                <w:sz w:val="18"/>
                <w:szCs w:val="18"/>
                <w:color w:val="auto"/>
              </w:rPr>
              <w:t>Depreciaton and amortzaton</w:t>
            </w:r>
          </w:p>
        </w:tc>
        <w:tc>
          <w:tcPr>
            <w:tcW w:w="46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2,792</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3,818</w:t>
            </w:r>
          </w:p>
        </w:tc>
        <w:tc>
          <w:tcPr>
            <w:tcW w:w="100" w:type="dxa"/>
            <w:vAlign w:val="bottom"/>
          </w:tcPr>
          <w:p>
            <w:pPr>
              <w:spacing w:after="0"/>
              <w:rPr>
                <w:sz w:val="18"/>
                <w:szCs w:val="18"/>
                <w:color w:val="auto"/>
              </w:rPr>
            </w:pPr>
          </w:p>
        </w:tc>
      </w:tr>
      <w:tr>
        <w:trPr>
          <w:trHeight w:val="28"/>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7040" w:type="dxa"/>
            <w:vAlign w:val="bottom"/>
            <w:tcBorders>
              <w:bottom w:val="single" w:sz="8" w:color="CFF0FC"/>
            </w:tcBorders>
            <w:shd w:val="clear" w:color="auto" w:fill="CFF0FC"/>
          </w:tcPr>
          <w:p>
            <w:pPr>
              <w:ind w:left="300"/>
              <w:spacing w:after="0" w:line="208" w:lineRule="exact"/>
              <w:rPr>
                <w:sz w:val="20"/>
                <w:szCs w:val="20"/>
                <w:color w:val="auto"/>
              </w:rPr>
            </w:pPr>
            <w:r>
              <w:rPr>
                <w:rFonts w:ascii="Calibri" w:cs="Calibri" w:eastAsia="Calibri" w:hAnsi="Calibri"/>
                <w:sz w:val="18"/>
                <w:szCs w:val="18"/>
                <w:color w:val="auto"/>
              </w:rPr>
              <w:t>Total operatng expenses</w:t>
            </w:r>
          </w:p>
        </w:tc>
        <w:tc>
          <w:tcPr>
            <w:tcW w:w="4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148,677</w:t>
            </w:r>
          </w:p>
        </w:tc>
        <w:tc>
          <w:tcPr>
            <w:tcW w:w="3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140,921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8"/>
        </w:trPr>
        <w:tc>
          <w:tcPr>
            <w:tcW w:w="70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Income from operatons</w:t>
            </w:r>
          </w:p>
        </w:tc>
        <w:tc>
          <w:tcPr>
            <w:tcW w:w="4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26,284</w:t>
            </w:r>
          </w:p>
        </w:tc>
        <w:tc>
          <w:tcPr>
            <w:tcW w:w="34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14,059</w:t>
            </w:r>
          </w:p>
        </w:tc>
        <w:tc>
          <w:tcPr>
            <w:tcW w:w="100" w:type="dxa"/>
            <w:vAlign w:val="bottom"/>
            <w:tcBorders>
              <w:top w:val="single" w:sz="8" w:color="CFF0FC"/>
            </w:tcBorders>
          </w:tcPr>
          <w:p>
            <w:pPr>
              <w:spacing w:after="0"/>
              <w:rPr>
                <w:sz w:val="18"/>
                <w:szCs w:val="18"/>
                <w:color w:val="auto"/>
              </w:rPr>
            </w:pPr>
          </w:p>
        </w:tc>
      </w:tr>
      <w:tr>
        <w:trPr>
          <w:trHeight w:val="28"/>
        </w:trPr>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0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income, net:</w:t>
            </w:r>
          </w:p>
        </w:tc>
        <w:tc>
          <w:tcPr>
            <w:tcW w:w="4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040" w:type="dxa"/>
            <w:vAlign w:val="bottom"/>
          </w:tcPr>
          <w:p>
            <w:pPr>
              <w:ind w:left="200"/>
              <w:spacing w:after="0" w:line="215" w:lineRule="exact"/>
              <w:rPr>
                <w:sz w:val="20"/>
                <w:szCs w:val="20"/>
                <w:color w:val="auto"/>
              </w:rPr>
            </w:pPr>
            <w:r>
              <w:rPr>
                <w:rFonts w:ascii="Calibri" w:cs="Calibri" w:eastAsia="Calibri" w:hAnsi="Calibri"/>
                <w:sz w:val="18"/>
                <w:szCs w:val="18"/>
                <w:color w:val="auto"/>
              </w:rPr>
              <w:t>Interest income</w:t>
            </w:r>
          </w:p>
        </w:tc>
        <w:tc>
          <w:tcPr>
            <w:tcW w:w="46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3,906</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3,743</w:t>
            </w:r>
          </w:p>
        </w:tc>
        <w:tc>
          <w:tcPr>
            <w:tcW w:w="100" w:type="dxa"/>
            <w:vAlign w:val="bottom"/>
          </w:tcPr>
          <w:p>
            <w:pPr>
              <w:spacing w:after="0"/>
              <w:rPr>
                <w:sz w:val="18"/>
                <w:szCs w:val="18"/>
                <w:color w:val="auto"/>
              </w:rPr>
            </w:pPr>
          </w:p>
        </w:tc>
      </w:tr>
      <w:tr>
        <w:trPr>
          <w:trHeight w:val="28"/>
        </w:trPr>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0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Other (expense) income, net</w:t>
            </w:r>
          </w:p>
        </w:tc>
        <w:tc>
          <w:tcPr>
            <w:tcW w:w="46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(505 )</w:t>
            </w:r>
          </w:p>
        </w:tc>
        <w:tc>
          <w:tcPr>
            <w:tcW w:w="4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040" w:type="dxa"/>
            <w:vAlign w:val="bottom"/>
            <w:tcBorders>
              <w:top w:val="single" w:sz="8" w:color="CFF0FC"/>
            </w:tcBorders>
          </w:tcPr>
          <w:p>
            <w:pPr>
              <w:ind w:left="300"/>
              <w:spacing w:after="0" w:line="208" w:lineRule="exact"/>
              <w:rPr>
                <w:sz w:val="20"/>
                <w:szCs w:val="20"/>
                <w:color w:val="auto"/>
              </w:rPr>
            </w:pPr>
            <w:r>
              <w:rPr>
                <w:rFonts w:ascii="Calibri" w:cs="Calibri" w:eastAsia="Calibri" w:hAnsi="Calibri"/>
                <w:sz w:val="18"/>
                <w:szCs w:val="18"/>
                <w:color w:val="auto"/>
              </w:rPr>
              <w:t>Total other income, net</w:t>
            </w:r>
          </w:p>
        </w:tc>
        <w:tc>
          <w:tcPr>
            <w:tcW w:w="4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3,401</w:t>
            </w:r>
          </w:p>
        </w:tc>
        <w:tc>
          <w:tcPr>
            <w:tcW w:w="34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4,338</w:t>
            </w:r>
          </w:p>
        </w:tc>
        <w:tc>
          <w:tcPr>
            <w:tcW w:w="100" w:type="dxa"/>
            <w:vAlign w:val="bottom"/>
            <w:tcBorders>
              <w:top w:val="single" w:sz="8" w:color="CFF0FC"/>
            </w:tcBorders>
          </w:tcPr>
          <w:p>
            <w:pPr>
              <w:spacing w:after="0"/>
              <w:rPr>
                <w:sz w:val="18"/>
                <w:szCs w:val="18"/>
                <w:color w:val="auto"/>
              </w:rPr>
            </w:pPr>
          </w:p>
        </w:tc>
      </w:tr>
      <w:tr>
        <w:trPr>
          <w:trHeight w:val="28"/>
        </w:trPr>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0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Income before income taxes</w:t>
            </w:r>
          </w:p>
        </w:tc>
        <w:tc>
          <w:tcPr>
            <w:tcW w:w="4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29,685</w:t>
            </w:r>
          </w:p>
        </w:tc>
        <w:tc>
          <w:tcPr>
            <w:tcW w:w="3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18,397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040" w:type="dxa"/>
            <w:vAlign w:val="bottom"/>
          </w:tcPr>
          <w:p>
            <w:pPr>
              <w:ind w:left="20"/>
              <w:spacing w:after="0" w:line="215" w:lineRule="exact"/>
              <w:rPr>
                <w:sz w:val="20"/>
                <w:szCs w:val="20"/>
                <w:color w:val="auto"/>
              </w:rPr>
            </w:pPr>
            <w:r>
              <w:rPr>
                <w:rFonts w:ascii="Calibri" w:cs="Calibri" w:eastAsia="Calibri" w:hAnsi="Calibri"/>
                <w:sz w:val="18"/>
                <w:szCs w:val="18"/>
                <w:color w:val="auto"/>
              </w:rPr>
              <w:t>Provision for income taxes</w:t>
            </w:r>
          </w:p>
        </w:tc>
        <w:tc>
          <w:tcPr>
            <w:tcW w:w="46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8,384</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6,531</w:t>
            </w:r>
          </w:p>
        </w:tc>
        <w:tc>
          <w:tcPr>
            <w:tcW w:w="100" w:type="dxa"/>
            <w:vAlign w:val="bottom"/>
          </w:tcPr>
          <w:p>
            <w:pPr>
              <w:spacing w:after="0"/>
              <w:rPr>
                <w:sz w:val="18"/>
                <w:szCs w:val="18"/>
                <w:color w:val="auto"/>
              </w:rPr>
            </w:pPr>
          </w:p>
        </w:tc>
      </w:tr>
      <w:tr>
        <w:trPr>
          <w:trHeight w:val="28"/>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0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Consolidated net income</w:t>
            </w:r>
          </w:p>
        </w:tc>
        <w:tc>
          <w:tcPr>
            <w:tcW w:w="4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21,301</w:t>
            </w:r>
          </w:p>
        </w:tc>
        <w:tc>
          <w:tcPr>
            <w:tcW w:w="3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11,866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040" w:type="dxa"/>
            <w:vAlign w:val="bottom"/>
          </w:tcPr>
          <w:p>
            <w:pPr>
              <w:ind w:left="20"/>
              <w:spacing w:after="0" w:line="215" w:lineRule="exact"/>
              <w:rPr>
                <w:sz w:val="20"/>
                <w:szCs w:val="20"/>
                <w:color w:val="auto"/>
              </w:rPr>
            </w:pPr>
            <w:r>
              <w:rPr>
                <w:rFonts w:ascii="Calibri" w:cs="Calibri" w:eastAsia="Calibri" w:hAnsi="Calibri"/>
                <w:sz w:val="18"/>
                <w:szCs w:val="18"/>
                <w:color w:val="auto"/>
              </w:rPr>
              <w:t>Net loss atributable to redeemable noncontrolling interest</w:t>
            </w:r>
          </w:p>
        </w:tc>
        <w:tc>
          <w:tcPr>
            <w:tcW w:w="460" w:type="dxa"/>
            <w:vAlign w:val="bottom"/>
          </w:tcPr>
          <w:p>
            <w:pPr>
              <w:spacing w:after="0"/>
              <w:rPr>
                <w:sz w:val="18"/>
                <w:szCs w:val="18"/>
                <w:color w:val="auto"/>
              </w:rPr>
            </w:pPr>
          </w:p>
        </w:tc>
        <w:tc>
          <w:tcPr>
            <w:tcW w:w="1760" w:type="dxa"/>
            <w:vAlign w:val="bottom"/>
            <w:gridSpan w:val="2"/>
          </w:tcPr>
          <w:p>
            <w:pPr>
              <w:jc w:val="right"/>
              <w:ind w:right="360"/>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spacing w:after="0"/>
              <w:rPr>
                <w:sz w:val="18"/>
                <w:szCs w:val="18"/>
                <w:color w:val="auto"/>
              </w:rPr>
            </w:pPr>
          </w:p>
        </w:tc>
        <w:tc>
          <w:tcPr>
            <w:tcW w:w="15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(4,266 )</w:t>
            </w:r>
          </w:p>
        </w:tc>
      </w:tr>
      <w:tr>
        <w:trPr>
          <w:trHeight w:val="28"/>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81"/>
        </w:trPr>
        <w:tc>
          <w:tcPr>
            <w:tcW w:w="70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income atributable to common stockholders</w:t>
            </w:r>
          </w:p>
        </w:tc>
        <w:tc>
          <w:tcPr>
            <w:tcW w:w="460" w:type="dxa"/>
            <w:vAlign w:val="bottom"/>
            <w:tcBorders>
              <w:bottom w:val="single" w:sz="8" w:color="CFF0FC"/>
            </w:tcBorders>
            <w:shd w:val="clear" w:color="auto" w:fill="CFF0FC"/>
          </w:tcPr>
          <w:p>
            <w:pPr>
              <w:jc w:val="right"/>
              <w:ind w:right="270"/>
              <w:spacing w:after="0" w:line="208"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21,301</w:t>
            </w:r>
          </w:p>
        </w:tc>
        <w:tc>
          <w:tcPr>
            <w:tcW w:w="3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line="208"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16,132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95"/>
        </w:trPr>
        <w:tc>
          <w:tcPr>
            <w:tcW w:w="7040" w:type="dxa"/>
            <w:vAlign w:val="bottom"/>
            <w:tcBorders>
              <w:top w:val="single" w:sz="8" w:color="CFF0FC"/>
            </w:tcBorders>
          </w:tcPr>
          <w:p>
            <w:pPr>
              <w:ind w:left="20"/>
              <w:spacing w:after="0" w:line="196" w:lineRule="exact"/>
              <w:rPr>
                <w:sz w:val="20"/>
                <w:szCs w:val="20"/>
                <w:color w:val="auto"/>
              </w:rPr>
            </w:pPr>
            <w:r>
              <w:rPr>
                <w:rFonts w:ascii="Calibri" w:cs="Calibri" w:eastAsia="Calibri" w:hAnsi="Calibri"/>
                <w:sz w:val="18"/>
                <w:szCs w:val="18"/>
                <w:color w:val="auto"/>
              </w:rPr>
              <w:t>Net income per share atributable to common stockholders: (Note 10)</w:t>
            </w:r>
          </w:p>
        </w:tc>
        <w:tc>
          <w:tcPr>
            <w:tcW w:w="4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340" w:type="dxa"/>
            <w:vAlign w:val="bottom"/>
            <w:tcBorders>
              <w:top w:val="single" w:sz="8" w:color="CFF0FC"/>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8"/>
        </w:trPr>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8"/>
        </w:trPr>
        <w:tc>
          <w:tcPr>
            <w:tcW w:w="70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Basic</w:t>
            </w:r>
          </w:p>
        </w:tc>
        <w:tc>
          <w:tcPr>
            <w:tcW w:w="460" w:type="dxa"/>
            <w:vAlign w:val="bottom"/>
            <w:tcBorders>
              <w:bottom w:val="single" w:sz="8" w:color="CFF0FC"/>
            </w:tcBorders>
            <w:shd w:val="clear" w:color="auto" w:fill="CFF0FC"/>
          </w:tcPr>
          <w:p>
            <w:pPr>
              <w:jc w:val="right"/>
              <w:ind w:right="270"/>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0.20</w:t>
            </w:r>
          </w:p>
        </w:tc>
        <w:tc>
          <w:tcPr>
            <w:tcW w:w="3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0.14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95"/>
        </w:trPr>
        <w:tc>
          <w:tcPr>
            <w:tcW w:w="7040" w:type="dxa"/>
            <w:vAlign w:val="bottom"/>
            <w:tcBorders>
              <w:top w:val="single" w:sz="8" w:color="CFF0FC"/>
            </w:tcBorders>
          </w:tcPr>
          <w:p>
            <w:pPr>
              <w:ind w:left="20"/>
              <w:spacing w:after="0" w:line="196" w:lineRule="exact"/>
              <w:rPr>
                <w:sz w:val="20"/>
                <w:szCs w:val="20"/>
                <w:color w:val="auto"/>
              </w:rPr>
            </w:pPr>
            <w:r>
              <w:rPr>
                <w:rFonts w:ascii="Calibri" w:cs="Calibri" w:eastAsia="Calibri" w:hAnsi="Calibri"/>
                <w:sz w:val="18"/>
                <w:szCs w:val="18"/>
                <w:color w:val="auto"/>
              </w:rPr>
              <w:t>Diluted</w:t>
            </w:r>
          </w:p>
        </w:tc>
        <w:tc>
          <w:tcPr>
            <w:tcW w:w="460" w:type="dxa"/>
            <w:vAlign w:val="bottom"/>
            <w:tcBorders>
              <w:top w:val="single" w:sz="8" w:color="auto"/>
            </w:tcBorders>
          </w:tcPr>
          <w:p>
            <w:pPr>
              <w:jc w:val="right"/>
              <w:ind w:right="270"/>
              <w:spacing w:after="0" w:line="196" w:lineRule="exact"/>
              <w:rPr>
                <w:sz w:val="20"/>
                <w:szCs w:val="20"/>
                <w:color w:val="auto"/>
              </w:rPr>
            </w:pPr>
            <w:r>
              <w:rPr>
                <w:rFonts w:ascii="Calibri" w:cs="Calibri" w:eastAsia="Calibri" w:hAnsi="Calibri"/>
                <w:sz w:val="18"/>
                <w:szCs w:val="18"/>
                <w:color w:val="auto"/>
                <w:w w:val="87"/>
              </w:rPr>
              <w:t>$</w:t>
            </w:r>
          </w:p>
        </w:tc>
        <w:tc>
          <w:tcPr>
            <w:tcW w:w="142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0.20</w:t>
            </w:r>
          </w:p>
        </w:tc>
        <w:tc>
          <w:tcPr>
            <w:tcW w:w="340" w:type="dxa"/>
            <w:vAlign w:val="bottom"/>
            <w:tcBorders>
              <w:top w:val="single" w:sz="8" w:color="CFF0FC"/>
            </w:tcBorders>
          </w:tcPr>
          <w:p>
            <w:pPr>
              <w:spacing w:after="0"/>
              <w:rPr>
                <w:sz w:val="16"/>
                <w:szCs w:val="16"/>
                <w:color w:val="auto"/>
              </w:rPr>
            </w:pPr>
          </w:p>
        </w:tc>
        <w:tc>
          <w:tcPr>
            <w:tcW w:w="440" w:type="dxa"/>
            <w:vAlign w:val="bottom"/>
            <w:tcBorders>
              <w:top w:val="single" w:sz="8" w:color="auto"/>
            </w:tcBorders>
          </w:tcPr>
          <w:p>
            <w:pPr>
              <w:jc w:val="right"/>
              <w:ind w:right="250"/>
              <w:spacing w:after="0" w:line="196" w:lineRule="exact"/>
              <w:rPr>
                <w:sz w:val="20"/>
                <w:szCs w:val="20"/>
                <w:color w:val="auto"/>
              </w:rPr>
            </w:pPr>
            <w:r>
              <w:rPr>
                <w:rFonts w:ascii="Calibri" w:cs="Calibri" w:eastAsia="Calibri" w:hAnsi="Calibri"/>
                <w:sz w:val="18"/>
                <w:szCs w:val="18"/>
                <w:color w:val="auto"/>
                <w:w w:val="87"/>
              </w:rPr>
              <w:t>$</w:t>
            </w:r>
          </w:p>
        </w:tc>
        <w:tc>
          <w:tcPr>
            <w:tcW w:w="144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0.10</w:t>
            </w:r>
          </w:p>
        </w:tc>
        <w:tc>
          <w:tcPr>
            <w:tcW w:w="100" w:type="dxa"/>
            <w:vAlign w:val="bottom"/>
            <w:tcBorders>
              <w:top w:val="single" w:sz="8" w:color="CFF0FC"/>
            </w:tcBorders>
          </w:tcPr>
          <w:p>
            <w:pPr>
              <w:spacing w:after="0"/>
              <w:rPr>
                <w:sz w:val="16"/>
                <w:szCs w:val="16"/>
                <w:color w:val="auto"/>
              </w:rPr>
            </w:pPr>
          </w:p>
        </w:tc>
      </w:tr>
      <w:tr>
        <w:trPr>
          <w:trHeight w:val="28"/>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7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7040" w:type="dxa"/>
            <w:vAlign w:val="bottom"/>
            <w:shd w:val="clear" w:color="auto" w:fill="CFF0FC"/>
          </w:tcPr>
          <w:p>
            <w:pPr>
              <w:ind w:left="20"/>
              <w:spacing w:after="0" w:line="187" w:lineRule="exact"/>
              <w:rPr>
                <w:sz w:val="20"/>
                <w:szCs w:val="20"/>
                <w:color w:val="auto"/>
              </w:rPr>
            </w:pPr>
            <w:r>
              <w:rPr>
                <w:rFonts w:ascii="Calibri" w:cs="Calibri" w:eastAsia="Calibri" w:hAnsi="Calibri"/>
                <w:sz w:val="18"/>
                <w:szCs w:val="18"/>
                <w:color w:val="auto"/>
              </w:rPr>
              <w:t>Weighted-average number of shares of common stock used in</w:t>
            </w:r>
          </w:p>
        </w:tc>
        <w:tc>
          <w:tcPr>
            <w:tcW w:w="4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2"/>
        </w:trPr>
        <w:tc>
          <w:tcPr>
            <w:tcW w:w="704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computng net income per share atributable to common stockholders:</w:t>
            </w:r>
          </w:p>
        </w:tc>
        <w:tc>
          <w:tcPr>
            <w:tcW w:w="4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040" w:type="dxa"/>
            <w:vAlign w:val="bottom"/>
          </w:tcPr>
          <w:p>
            <w:pPr>
              <w:ind w:left="20"/>
              <w:spacing w:after="0" w:line="215" w:lineRule="exact"/>
              <w:rPr>
                <w:sz w:val="20"/>
                <w:szCs w:val="20"/>
                <w:color w:val="auto"/>
              </w:rPr>
            </w:pPr>
            <w:r>
              <w:rPr>
                <w:rFonts w:ascii="Calibri" w:cs="Calibri" w:eastAsia="Calibri" w:hAnsi="Calibri"/>
                <w:sz w:val="18"/>
                <w:szCs w:val="18"/>
                <w:color w:val="auto"/>
              </w:rPr>
              <w:t>Basic</w:t>
            </w:r>
          </w:p>
        </w:tc>
        <w:tc>
          <w:tcPr>
            <w:tcW w:w="46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107,174,812</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115,358,475</w:t>
            </w:r>
          </w:p>
        </w:tc>
        <w:tc>
          <w:tcPr>
            <w:tcW w:w="100" w:type="dxa"/>
            <w:vAlign w:val="bottom"/>
          </w:tcPr>
          <w:p>
            <w:pPr>
              <w:spacing w:after="0"/>
              <w:rPr>
                <w:sz w:val="18"/>
                <w:szCs w:val="18"/>
                <w:color w:val="auto"/>
              </w:rPr>
            </w:pPr>
          </w:p>
        </w:tc>
      </w:tr>
      <w:tr>
        <w:trPr>
          <w:trHeight w:val="28"/>
        </w:trPr>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70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Diluted</w:t>
            </w:r>
          </w:p>
        </w:tc>
        <w:tc>
          <w:tcPr>
            <w:tcW w:w="4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108,632,159</w:t>
            </w: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115,915,737</w:t>
            </w:r>
          </w:p>
        </w:tc>
        <w:tc>
          <w:tcPr>
            <w:tcW w:w="100" w:type="dxa"/>
            <w:vAlign w:val="bottom"/>
            <w:shd w:val="clear" w:color="auto" w:fill="CFF0FC"/>
          </w:tcPr>
          <w:p>
            <w:pPr>
              <w:spacing w:after="0"/>
              <w:rPr>
                <w:sz w:val="18"/>
                <w:szCs w:val="18"/>
                <w:color w:val="auto"/>
              </w:rPr>
            </w:pPr>
          </w:p>
        </w:tc>
      </w:tr>
      <w:tr>
        <w:trPr>
          <w:trHeight w:val="28"/>
        </w:trPr>
        <w:tc>
          <w:tcPr>
            <w:tcW w:w="704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-3968115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-3968115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-2716530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-2091055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-1139190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-1122045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-805180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-788035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line="201" w:lineRule="auto"/>
        <w:tabs>
          <w:tab w:leader="none" w:pos="520" w:val="left"/>
        </w:tabs>
        <w:numPr>
          <w:ilvl w:val="0"/>
          <w:numId w:val="5"/>
        </w:numPr>
        <w:rPr>
          <w:rFonts w:ascii="Calibri" w:cs="Calibri" w:eastAsia="Calibri" w:hAnsi="Calibri"/>
          <w:sz w:val="24"/>
          <w:szCs w:val="24"/>
          <w:color w:val="auto"/>
          <w:vertAlign w:val="subscript"/>
        </w:rPr>
      </w:pPr>
      <w:r>
        <w:rPr>
          <w:rFonts w:ascii="Calibri" w:cs="Calibri" w:eastAsia="Calibri" w:hAnsi="Calibri"/>
          <w:sz w:val="12"/>
          <w:szCs w:val="12"/>
          <w:color w:val="auto"/>
        </w:rPr>
        <w:t>Includes depreciaton and amortzaton expense for the three months ended March 31, 2024 and 2023 of $4,689 and $7,758, respectvely.</w:t>
      </w:r>
    </w:p>
    <w:p>
      <w:pPr>
        <w:spacing w:after="0" w:line="200"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18"/>
          <w:szCs w:val="18"/>
          <w:b w:val="1"/>
          <w:bCs w:val="1"/>
          <w:color w:val="auto"/>
        </w:rPr>
        <w:t>CarGurus, Inc.</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Unaudited Condensed Consolidated Statements of Comprehensive Income</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gridSpan w:val="3"/>
          </w:tcPr>
          <w:p>
            <w:pPr>
              <w:jc w:val="right"/>
              <w:ind w:right="310"/>
              <w:spacing w:after="0"/>
              <w:rPr>
                <w:sz w:val="20"/>
                <w:szCs w:val="20"/>
                <w:color w:val="auto"/>
              </w:rPr>
            </w:pPr>
            <w:r>
              <w:rPr>
                <w:rFonts w:ascii="Calibri" w:cs="Calibri" w:eastAsia="Calibri" w:hAnsi="Calibri"/>
                <w:sz w:val="14"/>
                <w:szCs w:val="14"/>
                <w:b w:val="1"/>
                <w:bCs w:val="1"/>
                <w:color w:val="auto"/>
              </w:rPr>
              <w:t>March 31,</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7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772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ind w:right="553"/>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r>
      <w:tr>
        <w:trPr>
          <w:trHeight w:val="33"/>
        </w:trPr>
        <w:tc>
          <w:tcPr>
            <w:tcW w:w="77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Consolidated net income</w:t>
            </w:r>
          </w:p>
        </w:tc>
        <w:tc>
          <w:tcPr>
            <w:tcW w:w="1000" w:type="dxa"/>
            <w:vAlign w:val="bottom"/>
            <w:tcBorders>
              <w:bottom w:val="single" w:sz="8" w:color="CFF0FC"/>
            </w:tcBorders>
            <w:shd w:val="clear" w:color="auto" w:fill="CFF0FC"/>
          </w:tcPr>
          <w:p>
            <w:pPr>
              <w:jc w:val="right"/>
              <w:ind w:right="816"/>
              <w:spacing w:after="0" w:line="208" w:lineRule="exact"/>
              <w:rPr>
                <w:sz w:val="20"/>
                <w:szCs w:val="20"/>
                <w:color w:val="auto"/>
              </w:rPr>
            </w:pPr>
            <w:r>
              <w:rPr>
                <w:rFonts w:ascii="Calibri" w:cs="Calibri" w:eastAsia="Calibri" w:hAnsi="Calibri"/>
                <w:sz w:val="18"/>
                <w:szCs w:val="18"/>
                <w:color w:val="auto"/>
                <w:w w:val="87"/>
              </w:rPr>
              <w:t>$</w:t>
            </w:r>
          </w:p>
        </w:tc>
        <w:tc>
          <w:tcPr>
            <w:tcW w:w="5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21,301</w:t>
            </w:r>
          </w:p>
        </w:tc>
        <w:tc>
          <w:tcPr>
            <w:tcW w:w="3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ind w:right="35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11,866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Foreign currency translaton adjustment</w:t>
            </w:r>
          </w:p>
        </w:tc>
        <w:tc>
          <w:tcPr>
            <w:tcW w:w="10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(599 )</w:t>
            </w:r>
          </w:p>
        </w:tc>
        <w:tc>
          <w:tcPr>
            <w:tcW w:w="5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77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Consolidated comprehensive income</w:t>
            </w: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20,702</w:t>
            </w:r>
          </w:p>
        </w:tc>
        <w:tc>
          <w:tcPr>
            <w:tcW w:w="30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12,281</w:t>
            </w:r>
          </w:p>
        </w:tc>
        <w:tc>
          <w:tcPr>
            <w:tcW w:w="100" w:type="dxa"/>
            <w:vAlign w:val="bottom"/>
            <w:tcBorders>
              <w:top w:val="single" w:sz="8" w:color="CFF0FC"/>
            </w:tcBorders>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Comprehensive loss atributable to redeemable noncontrolling interests</w:t>
            </w:r>
          </w:p>
        </w:tc>
        <w:tc>
          <w:tcPr>
            <w:tcW w:w="10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gridSpan w:val="2"/>
            <w:shd w:val="clear" w:color="auto" w:fill="CFF0FC"/>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(4,266 )</w:t>
            </w:r>
          </w:p>
        </w:tc>
      </w:tr>
      <w:tr>
        <w:trPr>
          <w:trHeight w:val="208"/>
        </w:trPr>
        <w:tc>
          <w:tcPr>
            <w:tcW w:w="77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Comprehensive income atributable to common stockholders</w:t>
            </w:r>
          </w:p>
        </w:tc>
        <w:tc>
          <w:tcPr>
            <w:tcW w:w="1000" w:type="dxa"/>
            <w:vAlign w:val="bottom"/>
            <w:tcBorders>
              <w:top w:val="single" w:sz="8" w:color="auto"/>
            </w:tcBorders>
          </w:tcPr>
          <w:p>
            <w:pPr>
              <w:jc w:val="right"/>
              <w:ind w:right="816"/>
              <w:spacing w:after="0" w:line="208" w:lineRule="exact"/>
              <w:rPr>
                <w:sz w:val="20"/>
                <w:szCs w:val="20"/>
                <w:color w:val="auto"/>
              </w:rPr>
            </w:pPr>
            <w:r>
              <w:rPr>
                <w:rFonts w:ascii="Calibri" w:cs="Calibri" w:eastAsia="Calibri" w:hAnsi="Calibri"/>
                <w:sz w:val="18"/>
                <w:szCs w:val="18"/>
                <w:color w:val="auto"/>
                <w:w w:val="87"/>
              </w:rPr>
              <w:t>$</w:t>
            </w:r>
          </w:p>
        </w:tc>
        <w:tc>
          <w:tcPr>
            <w:tcW w:w="5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20,702</w:t>
            </w:r>
          </w:p>
        </w:tc>
        <w:tc>
          <w:tcPr>
            <w:tcW w:w="30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jc w:val="right"/>
              <w:ind w:right="35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16,547</w:t>
            </w:r>
          </w:p>
        </w:tc>
        <w:tc>
          <w:tcPr>
            <w:tcW w:w="100" w:type="dxa"/>
            <w:vAlign w:val="bottom"/>
            <w:tcBorders>
              <w:top w:val="single" w:sz="8" w:color="CFF0FC"/>
            </w:tcBorders>
          </w:tcPr>
          <w:p>
            <w:pPr>
              <w:spacing w:after="0"/>
              <w:rPr>
                <w:sz w:val="18"/>
                <w:szCs w:val="18"/>
                <w:color w:val="auto"/>
              </w:rPr>
            </w:pPr>
          </w:p>
        </w:tc>
      </w:tr>
      <w:tr>
        <w:trPr>
          <w:trHeight w:val="28"/>
        </w:trPr>
        <w:tc>
          <w:tcPr>
            <w:tcW w:w="77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-505460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13"/>
          <w:szCs w:val="13"/>
          <w:b w:val="1"/>
          <w:bCs w:val="1"/>
          <w:color w:val="auto"/>
        </w:rPr>
        <w:t>CarGurus, Inc.</w:t>
      </w:r>
    </w:p>
    <w:p>
      <w:pPr>
        <w:jc w:val="center"/>
        <w:ind w:right="20"/>
        <w:spacing w:after="0" w:line="224" w:lineRule="auto"/>
        <w:rPr>
          <w:sz w:val="20"/>
          <w:szCs w:val="20"/>
          <w:color w:val="auto"/>
        </w:rPr>
      </w:pPr>
      <w:r>
        <w:rPr>
          <w:rFonts w:ascii="Calibri" w:cs="Calibri" w:eastAsia="Calibri" w:hAnsi="Calibri"/>
          <w:sz w:val="13"/>
          <w:szCs w:val="13"/>
          <w:b w:val="1"/>
          <w:bCs w:val="1"/>
          <w:color w:val="auto"/>
        </w:rPr>
        <w:t>Unaudited Condensed Consolidated Statements of Redeemable Noncontrolling Interest and Stockholders’ Equity</w:t>
      </w:r>
    </w:p>
    <w:p>
      <w:pPr>
        <w:jc w:val="center"/>
        <w:spacing w:after="0" w:line="225" w:lineRule="auto"/>
        <w:rPr>
          <w:sz w:val="20"/>
          <w:szCs w:val="20"/>
          <w:color w:val="auto"/>
        </w:rPr>
      </w:pPr>
      <w:r>
        <w:rPr>
          <w:rFonts w:ascii="Calibri" w:cs="Calibri" w:eastAsia="Calibri" w:hAnsi="Calibri"/>
          <w:sz w:val="13"/>
          <w:szCs w:val="13"/>
          <w:b w:val="1"/>
          <w:bCs w:val="1"/>
          <w:color w:val="auto"/>
        </w:rPr>
        <w:t>(in thousands, except share data)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tcPr>
          <w:p>
            <w:pPr>
              <w:ind w:left="20"/>
              <w:spacing w:after="0"/>
              <w:rPr>
                <w:sz w:val="20"/>
                <w:szCs w:val="20"/>
                <w:color w:val="auto"/>
              </w:rPr>
            </w:pPr>
            <w:r>
              <w:rPr>
                <w:rFonts w:ascii="Calibri" w:cs="Calibri" w:eastAsia="Calibri" w:hAnsi="Calibri"/>
                <w:sz w:val="11"/>
                <w:szCs w:val="11"/>
                <w:b w:val="1"/>
                <w:bCs w:val="1"/>
                <w:color w:val="auto"/>
              </w:rPr>
              <w:t>Accumulated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560" w:type="dxa"/>
            <w:vAlign w:val="bottom"/>
          </w:tcPr>
          <w:p>
            <w:pPr>
              <w:spacing w:after="0"/>
              <w:rPr>
                <w:sz w:val="11"/>
                <w:szCs w:val="11"/>
                <w:color w:val="auto"/>
              </w:rPr>
            </w:pPr>
          </w:p>
        </w:tc>
        <w:tc>
          <w:tcPr>
            <w:tcW w:w="740" w:type="dxa"/>
            <w:vAlign w:val="bottom"/>
            <w:tcBorders>
              <w:right w:val="single" w:sz="8" w:color="auto"/>
            </w:tcBorders>
            <w:gridSpan w:val="3"/>
          </w:tcPr>
          <w:p>
            <w:pPr>
              <w:ind w:left="20"/>
              <w:spacing w:after="0" w:line="127" w:lineRule="exact"/>
              <w:rPr>
                <w:sz w:val="20"/>
                <w:szCs w:val="20"/>
                <w:color w:val="auto"/>
              </w:rPr>
            </w:pPr>
            <w:r>
              <w:rPr>
                <w:rFonts w:ascii="Calibri" w:cs="Calibri" w:eastAsia="Calibri" w:hAnsi="Calibri"/>
                <w:sz w:val="11"/>
                <w:szCs w:val="11"/>
                <w:b w:val="1"/>
                <w:bCs w:val="1"/>
                <w:color w:val="auto"/>
              </w:rPr>
              <w:t>Redeemable</w:t>
            </w:r>
          </w:p>
        </w:tc>
        <w:tc>
          <w:tcPr>
            <w:tcW w:w="100" w:type="dxa"/>
            <w:vAlign w:val="bottom"/>
          </w:tcPr>
          <w:p>
            <w:pPr>
              <w:spacing w:after="0"/>
              <w:rPr>
                <w:sz w:val="11"/>
                <w:szCs w:val="11"/>
                <w:color w:val="auto"/>
              </w:rPr>
            </w:pPr>
          </w:p>
        </w:tc>
        <w:tc>
          <w:tcPr>
            <w:tcW w:w="960" w:type="dxa"/>
            <w:vAlign w:val="bottom"/>
            <w:gridSpan w:val="2"/>
            <w:vMerge w:val="restart"/>
          </w:tcPr>
          <w:p>
            <w:pPr>
              <w:jc w:val="right"/>
              <w:ind w:right="20"/>
              <w:spacing w:after="0"/>
              <w:rPr>
                <w:sz w:val="20"/>
                <w:szCs w:val="20"/>
                <w:color w:val="auto"/>
              </w:rPr>
            </w:pPr>
            <w:r>
              <w:rPr>
                <w:rFonts w:ascii="Calibri" w:cs="Calibri" w:eastAsia="Calibri" w:hAnsi="Calibri"/>
                <w:sz w:val="11"/>
                <w:szCs w:val="11"/>
                <w:b w:val="1"/>
                <w:bCs w:val="1"/>
                <w:color w:val="auto"/>
              </w:rPr>
              <w:t>Class A</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Calibri" w:cs="Calibri" w:eastAsia="Calibri" w:hAnsi="Calibri"/>
                <w:sz w:val="11"/>
                <w:szCs w:val="11"/>
                <w:b w:val="1"/>
                <w:bCs w:val="1"/>
                <w:color w:val="auto"/>
                <w:w w:val="82"/>
              </w:rPr>
              <w:t>Class B</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340"/>
              <w:spacing w:after="0" w:line="127" w:lineRule="exact"/>
              <w:rPr>
                <w:sz w:val="20"/>
                <w:szCs w:val="20"/>
                <w:color w:val="auto"/>
              </w:rPr>
            </w:pPr>
            <w:r>
              <w:rPr>
                <w:rFonts w:ascii="Calibri" w:cs="Calibri" w:eastAsia="Calibri" w:hAnsi="Calibri"/>
                <w:sz w:val="11"/>
                <w:szCs w:val="11"/>
                <w:b w:val="1"/>
                <w:bCs w:val="1"/>
                <w:color w:val="auto"/>
                <w:w w:val="97"/>
              </w:rPr>
              <w:t>Other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560" w:type="dxa"/>
            <w:vAlign w:val="bottom"/>
          </w:tcPr>
          <w:p>
            <w:pPr>
              <w:spacing w:after="0"/>
              <w:rPr>
                <w:sz w:val="11"/>
                <w:szCs w:val="11"/>
                <w:color w:val="auto"/>
              </w:rPr>
            </w:pPr>
          </w:p>
        </w:tc>
        <w:tc>
          <w:tcPr>
            <w:tcW w:w="740" w:type="dxa"/>
            <w:vAlign w:val="bottom"/>
            <w:tcBorders>
              <w:right w:val="single" w:sz="8" w:color="auto"/>
            </w:tcBorders>
            <w:gridSpan w:val="3"/>
          </w:tcPr>
          <w:p>
            <w:pPr>
              <w:ind w:left="20"/>
              <w:spacing w:after="0" w:line="130" w:lineRule="exact"/>
              <w:rPr>
                <w:sz w:val="20"/>
                <w:szCs w:val="20"/>
                <w:color w:val="auto"/>
              </w:rPr>
            </w:pPr>
            <w:r>
              <w:rPr>
                <w:rFonts w:ascii="Calibri" w:cs="Calibri" w:eastAsia="Calibri" w:hAnsi="Calibri"/>
                <w:sz w:val="11"/>
                <w:szCs w:val="11"/>
                <w:b w:val="1"/>
                <w:bCs w:val="1"/>
                <w:color w:val="auto"/>
              </w:rPr>
              <w:t>Noncontrolli</w:t>
            </w: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80"/>
              <w:spacing w:after="0" w:line="130" w:lineRule="exact"/>
              <w:rPr>
                <w:sz w:val="20"/>
                <w:szCs w:val="20"/>
                <w:color w:val="auto"/>
              </w:rPr>
            </w:pPr>
            <w:r>
              <w:rPr>
                <w:rFonts w:ascii="Calibri" w:cs="Calibri" w:eastAsia="Calibri" w:hAnsi="Calibri"/>
                <w:sz w:val="11"/>
                <w:szCs w:val="11"/>
                <w:b w:val="1"/>
                <w:bCs w:val="1"/>
                <w:color w:val="auto"/>
              </w:rPr>
              <w:t>Additonal</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tcPr>
          <w:p>
            <w:pPr>
              <w:ind w:left="20"/>
              <w:spacing w:after="0" w:line="130" w:lineRule="exact"/>
              <w:rPr>
                <w:sz w:val="20"/>
                <w:szCs w:val="20"/>
                <w:color w:val="auto"/>
              </w:rPr>
            </w:pPr>
            <w:r>
              <w:rPr>
                <w:rFonts w:ascii="Calibri" w:cs="Calibri" w:eastAsia="Calibri" w:hAnsi="Calibri"/>
                <w:sz w:val="11"/>
                <w:szCs w:val="11"/>
                <w:b w:val="1"/>
                <w:bCs w:val="1"/>
                <w:color w:val="auto"/>
              </w:rPr>
              <w:t>Comprehensi</w:t>
            </w:r>
          </w:p>
        </w:tc>
        <w:tc>
          <w:tcPr>
            <w:tcW w:w="120" w:type="dxa"/>
            <w:vAlign w:val="bottom"/>
          </w:tcPr>
          <w:p>
            <w:pPr>
              <w:spacing w:after="0"/>
              <w:rPr>
                <w:sz w:val="11"/>
                <w:szCs w:val="11"/>
                <w:color w:val="auto"/>
              </w:rPr>
            </w:pPr>
          </w:p>
        </w:tc>
        <w:tc>
          <w:tcPr>
            <w:tcW w:w="660" w:type="dxa"/>
            <w:vAlign w:val="bottom"/>
            <w:gridSpan w:val="2"/>
          </w:tcPr>
          <w:p>
            <w:pPr>
              <w:jc w:val="center"/>
              <w:ind w:right="240"/>
              <w:spacing w:after="0" w:line="130" w:lineRule="exact"/>
              <w:rPr>
                <w:sz w:val="20"/>
                <w:szCs w:val="20"/>
                <w:color w:val="auto"/>
              </w:rPr>
            </w:pPr>
            <w:r>
              <w:rPr>
                <w:rFonts w:ascii="Calibri" w:cs="Calibri" w:eastAsia="Calibri" w:hAnsi="Calibri"/>
                <w:sz w:val="11"/>
                <w:szCs w:val="11"/>
                <w:b w:val="1"/>
                <w:bCs w:val="1"/>
                <w:color w:val="auto"/>
                <w:w w:val="94"/>
              </w:rPr>
              <w:t>Total</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380"/>
              <w:spacing w:after="0"/>
              <w:rPr>
                <w:sz w:val="20"/>
                <w:szCs w:val="20"/>
                <w:color w:val="auto"/>
              </w:rPr>
            </w:pPr>
            <w:r>
              <w:rPr>
                <w:rFonts w:ascii="Calibri" w:cs="Calibri" w:eastAsia="Calibri" w:hAnsi="Calibri"/>
                <w:sz w:val="11"/>
                <w:szCs w:val="11"/>
                <w:b w:val="1"/>
                <w:bCs w:val="1"/>
                <w:color w:val="auto"/>
              </w:rPr>
              <w:t>ng</w:t>
            </w:r>
          </w:p>
        </w:tc>
        <w:tc>
          <w:tcPr>
            <w:tcW w:w="100" w:type="dxa"/>
            <w:vAlign w:val="bottom"/>
          </w:tcPr>
          <w:p>
            <w:pPr>
              <w:spacing w:after="0"/>
              <w:rPr>
                <w:sz w:val="12"/>
                <w:szCs w:val="12"/>
                <w:color w:val="auto"/>
              </w:rPr>
            </w:pPr>
          </w:p>
        </w:tc>
        <w:tc>
          <w:tcPr>
            <w:tcW w:w="1560" w:type="dxa"/>
            <w:vAlign w:val="bottom"/>
            <w:tcBorders>
              <w:bottom w:val="single" w:sz="8" w:color="auto"/>
            </w:tcBorders>
            <w:gridSpan w:val="4"/>
          </w:tcPr>
          <w:p>
            <w:pPr>
              <w:jc w:val="right"/>
              <w:ind w:right="386"/>
              <w:spacing w:after="0" w:line="127" w:lineRule="exact"/>
              <w:rPr>
                <w:sz w:val="20"/>
                <w:szCs w:val="20"/>
                <w:color w:val="auto"/>
              </w:rPr>
            </w:pPr>
            <w:r>
              <w:rPr>
                <w:rFonts w:ascii="Calibri" w:cs="Calibri" w:eastAsia="Calibri" w:hAnsi="Calibri"/>
                <w:sz w:val="11"/>
                <w:szCs w:val="11"/>
                <w:b w:val="1"/>
                <w:bCs w:val="1"/>
                <w:color w:val="auto"/>
              </w:rPr>
              <w:t>Common Stock</w:t>
            </w:r>
          </w:p>
        </w:tc>
        <w:tc>
          <w:tcPr>
            <w:tcW w:w="240" w:type="dxa"/>
            <w:vAlign w:val="bottom"/>
          </w:tcPr>
          <w:p>
            <w:pPr>
              <w:spacing w:after="0"/>
              <w:rPr>
                <w:sz w:val="12"/>
                <w:szCs w:val="12"/>
                <w:color w:val="auto"/>
              </w:rPr>
            </w:pPr>
          </w:p>
        </w:tc>
        <w:tc>
          <w:tcPr>
            <w:tcW w:w="1400" w:type="dxa"/>
            <w:vAlign w:val="bottom"/>
            <w:tcBorders>
              <w:bottom w:val="single" w:sz="8" w:color="auto"/>
            </w:tcBorders>
            <w:gridSpan w:val="3"/>
          </w:tcPr>
          <w:p>
            <w:pPr>
              <w:jc w:val="right"/>
              <w:ind w:right="246"/>
              <w:spacing w:after="0" w:line="127" w:lineRule="exact"/>
              <w:rPr>
                <w:sz w:val="20"/>
                <w:szCs w:val="20"/>
                <w:color w:val="auto"/>
              </w:rPr>
            </w:pPr>
            <w:r>
              <w:rPr>
                <w:rFonts w:ascii="Calibri" w:cs="Calibri" w:eastAsia="Calibri" w:hAnsi="Calibri"/>
                <w:sz w:val="11"/>
                <w:szCs w:val="11"/>
                <w:b w:val="1"/>
                <w:bCs w:val="1"/>
                <w:color w:val="auto"/>
              </w:rPr>
              <w:t>Common Stock</w:t>
            </w:r>
          </w:p>
        </w:tc>
        <w:tc>
          <w:tcPr>
            <w:tcW w:w="1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80"/>
              <w:spacing w:after="0"/>
              <w:rPr>
                <w:sz w:val="20"/>
                <w:szCs w:val="20"/>
                <w:color w:val="auto"/>
              </w:rPr>
            </w:pPr>
            <w:r>
              <w:rPr>
                <w:rFonts w:ascii="Calibri" w:cs="Calibri" w:eastAsia="Calibri" w:hAnsi="Calibri"/>
                <w:sz w:val="11"/>
                <w:szCs w:val="11"/>
                <w:b w:val="1"/>
                <w:bCs w:val="1"/>
                <w:color w:val="auto"/>
                <w:w w:val="93"/>
              </w:rPr>
              <w:t>Paid–in</w:t>
            </w:r>
          </w:p>
        </w:tc>
        <w:tc>
          <w:tcPr>
            <w:tcW w:w="10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Calibri" w:cs="Calibri" w:eastAsia="Calibri" w:hAnsi="Calibri"/>
                <w:sz w:val="11"/>
                <w:szCs w:val="11"/>
                <w:b w:val="1"/>
                <w:bCs w:val="1"/>
                <w:color w:val="auto"/>
                <w:w w:val="97"/>
              </w:rPr>
              <w:t>Retained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340"/>
              <w:spacing w:after="0"/>
              <w:rPr>
                <w:sz w:val="20"/>
                <w:szCs w:val="20"/>
                <w:color w:val="auto"/>
              </w:rPr>
            </w:pPr>
            <w:r>
              <w:rPr>
                <w:rFonts w:ascii="Calibri" w:cs="Calibri" w:eastAsia="Calibri" w:hAnsi="Calibri"/>
                <w:sz w:val="11"/>
                <w:szCs w:val="11"/>
                <w:b w:val="1"/>
                <w:bCs w:val="1"/>
                <w:color w:val="auto"/>
                <w:w w:val="92"/>
              </w:rPr>
              <w:t>ve</w:t>
            </w:r>
          </w:p>
        </w:tc>
        <w:tc>
          <w:tcPr>
            <w:tcW w:w="780" w:type="dxa"/>
            <w:vAlign w:val="bottom"/>
            <w:gridSpan w:val="3"/>
          </w:tcPr>
          <w:p>
            <w:pPr>
              <w:jc w:val="center"/>
              <w:ind w:right="100"/>
              <w:spacing w:after="0"/>
              <w:rPr>
                <w:sz w:val="20"/>
                <w:szCs w:val="20"/>
                <w:color w:val="auto"/>
              </w:rPr>
            </w:pPr>
            <w:r>
              <w:rPr>
                <w:rFonts w:ascii="Calibri" w:cs="Calibri" w:eastAsia="Calibri" w:hAnsi="Calibri"/>
                <w:sz w:val="11"/>
                <w:szCs w:val="11"/>
                <w:b w:val="1"/>
                <w:bCs w:val="1"/>
                <w:color w:val="auto"/>
                <w:w w:val="96"/>
              </w:rPr>
              <w:t>Stockholders’</w:t>
            </w: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260"/>
              <w:spacing w:after="0"/>
              <w:rPr>
                <w:sz w:val="20"/>
                <w:szCs w:val="20"/>
                <w:color w:val="auto"/>
              </w:rPr>
            </w:pPr>
            <w:r>
              <w:rPr>
                <w:rFonts w:ascii="Calibri" w:cs="Calibri" w:eastAsia="Calibri" w:hAnsi="Calibri"/>
                <w:sz w:val="11"/>
                <w:szCs w:val="11"/>
                <w:b w:val="1"/>
                <w:bCs w:val="1"/>
                <w:color w:val="auto"/>
              </w:rPr>
              <w:t>Interest</w:t>
            </w:r>
          </w:p>
        </w:tc>
        <w:tc>
          <w:tcPr>
            <w:tcW w:w="100" w:type="dxa"/>
            <w:vAlign w:val="bottom"/>
          </w:tcPr>
          <w:p>
            <w:pPr>
              <w:spacing w:after="0"/>
              <w:rPr>
                <w:sz w:val="11"/>
                <w:szCs w:val="11"/>
                <w:color w:val="auto"/>
              </w:rPr>
            </w:pPr>
          </w:p>
        </w:tc>
        <w:tc>
          <w:tcPr>
            <w:tcW w:w="960" w:type="dxa"/>
            <w:vAlign w:val="bottom"/>
            <w:gridSpan w:val="2"/>
          </w:tcPr>
          <w:p>
            <w:pPr>
              <w:jc w:val="right"/>
              <w:ind w:right="460"/>
              <w:spacing w:after="0"/>
              <w:rPr>
                <w:sz w:val="20"/>
                <w:szCs w:val="20"/>
                <w:color w:val="auto"/>
              </w:rPr>
            </w:pPr>
            <w:r>
              <w:rPr>
                <w:rFonts w:ascii="Calibri" w:cs="Calibri" w:eastAsia="Calibri" w:hAnsi="Calibri"/>
                <w:sz w:val="11"/>
                <w:szCs w:val="11"/>
                <w:b w:val="1"/>
                <w:bCs w:val="1"/>
                <w:color w:val="auto"/>
              </w:rPr>
              <w:t>Shares</w:t>
            </w:r>
          </w:p>
        </w:tc>
        <w:tc>
          <w:tcPr>
            <w:tcW w:w="80" w:type="dxa"/>
            <w:vAlign w:val="bottom"/>
          </w:tcPr>
          <w:p>
            <w:pPr>
              <w:spacing w:after="0"/>
              <w:rPr>
                <w:sz w:val="11"/>
                <w:szCs w:val="11"/>
                <w:color w:val="auto"/>
              </w:rPr>
            </w:pPr>
          </w:p>
        </w:tc>
        <w:tc>
          <w:tcPr>
            <w:tcW w:w="760" w:type="dxa"/>
            <w:vAlign w:val="bottom"/>
            <w:gridSpan w:val="2"/>
          </w:tcPr>
          <w:p>
            <w:pPr>
              <w:jc w:val="right"/>
              <w:ind w:right="360"/>
              <w:spacing w:after="0"/>
              <w:rPr>
                <w:sz w:val="20"/>
                <w:szCs w:val="20"/>
                <w:color w:val="auto"/>
              </w:rPr>
            </w:pPr>
            <w:r>
              <w:rPr>
                <w:rFonts w:ascii="Calibri" w:cs="Calibri" w:eastAsia="Calibri" w:hAnsi="Calibri"/>
                <w:sz w:val="11"/>
                <w:szCs w:val="11"/>
                <w:b w:val="1"/>
                <w:bCs w:val="1"/>
                <w:color w:val="auto"/>
              </w:rPr>
              <w:t>Amount</w:t>
            </w:r>
          </w:p>
        </w:tc>
        <w:tc>
          <w:tcPr>
            <w:tcW w:w="920" w:type="dxa"/>
            <w:vAlign w:val="bottom"/>
            <w:gridSpan w:val="2"/>
          </w:tcPr>
          <w:p>
            <w:pPr>
              <w:ind w:left="200"/>
              <w:spacing w:after="0"/>
              <w:rPr>
                <w:sz w:val="20"/>
                <w:szCs w:val="20"/>
                <w:color w:val="auto"/>
              </w:rPr>
            </w:pPr>
            <w:r>
              <w:rPr>
                <w:rFonts w:ascii="Calibri" w:cs="Calibri" w:eastAsia="Calibri" w:hAnsi="Calibri"/>
                <w:sz w:val="11"/>
                <w:szCs w:val="11"/>
                <w:b w:val="1"/>
                <w:bCs w:val="1"/>
                <w:color w:val="auto"/>
              </w:rPr>
              <w:t>Shares</w:t>
            </w:r>
          </w:p>
        </w:tc>
        <w:tc>
          <w:tcPr>
            <w:tcW w:w="480" w:type="dxa"/>
            <w:vAlign w:val="bottom"/>
          </w:tcPr>
          <w:p>
            <w:pPr>
              <w:jc w:val="right"/>
              <w:spacing w:after="0"/>
              <w:rPr>
                <w:sz w:val="20"/>
                <w:szCs w:val="20"/>
                <w:color w:val="auto"/>
              </w:rPr>
            </w:pPr>
            <w:r>
              <w:rPr>
                <w:rFonts w:ascii="Calibri" w:cs="Calibri" w:eastAsia="Calibri" w:hAnsi="Calibri"/>
                <w:sz w:val="11"/>
                <w:szCs w:val="11"/>
                <w:b w:val="1"/>
                <w:bCs w:val="1"/>
                <w:color w:val="auto"/>
              </w:rPr>
              <w:t>Amount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80"/>
              <w:spacing w:after="0"/>
              <w:rPr>
                <w:sz w:val="20"/>
                <w:szCs w:val="20"/>
                <w:color w:val="auto"/>
              </w:rPr>
            </w:pPr>
            <w:r>
              <w:rPr>
                <w:rFonts w:ascii="Calibri" w:cs="Calibri" w:eastAsia="Calibri" w:hAnsi="Calibri"/>
                <w:sz w:val="11"/>
                <w:szCs w:val="11"/>
                <w:b w:val="1"/>
                <w:bCs w:val="1"/>
                <w:color w:val="auto"/>
              </w:rPr>
              <w:t>Capital</w:t>
            </w:r>
          </w:p>
        </w:tc>
        <w:tc>
          <w:tcPr>
            <w:tcW w:w="100" w:type="dxa"/>
            <w:vAlign w:val="bottom"/>
          </w:tcPr>
          <w:p>
            <w:pPr>
              <w:spacing w:after="0"/>
              <w:rPr>
                <w:sz w:val="11"/>
                <w:szCs w:val="11"/>
                <w:color w:val="auto"/>
              </w:rPr>
            </w:pPr>
          </w:p>
        </w:tc>
        <w:tc>
          <w:tcPr>
            <w:tcW w:w="520" w:type="dxa"/>
            <w:vAlign w:val="bottom"/>
          </w:tcPr>
          <w:p>
            <w:pPr>
              <w:jc w:val="right"/>
              <w:ind w:right="66"/>
              <w:spacing w:after="0"/>
              <w:rPr>
                <w:sz w:val="20"/>
                <w:szCs w:val="20"/>
                <w:color w:val="auto"/>
              </w:rPr>
            </w:pPr>
            <w:r>
              <w:rPr>
                <w:rFonts w:ascii="Calibri" w:cs="Calibri" w:eastAsia="Calibri" w:hAnsi="Calibri"/>
                <w:sz w:val="11"/>
                <w:szCs w:val="11"/>
                <w:b w:val="1"/>
                <w:bCs w:val="1"/>
                <w:color w:val="auto"/>
                <w:w w:val="97"/>
              </w:rPr>
              <w:t>Earnings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340"/>
              <w:spacing w:after="0"/>
              <w:rPr>
                <w:sz w:val="20"/>
                <w:szCs w:val="20"/>
                <w:color w:val="auto"/>
              </w:rPr>
            </w:pPr>
            <w:r>
              <w:rPr>
                <w:rFonts w:ascii="Calibri" w:cs="Calibri" w:eastAsia="Calibri" w:hAnsi="Calibri"/>
                <w:sz w:val="11"/>
                <w:szCs w:val="11"/>
                <w:b w:val="1"/>
                <w:bCs w:val="1"/>
                <w:color w:val="auto"/>
                <w:w w:val="92"/>
              </w:rPr>
              <w:t>Loss</w:t>
            </w: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Calibri" w:cs="Calibri" w:eastAsia="Calibri" w:hAnsi="Calibri"/>
                <w:sz w:val="11"/>
                <w:szCs w:val="11"/>
                <w:b w:val="1"/>
                <w:bCs w:val="1"/>
                <w:color w:val="auto"/>
                <w:w w:val="96"/>
              </w:rPr>
              <w:t>Equity</w:t>
            </w:r>
          </w:p>
        </w:tc>
        <w:tc>
          <w:tcPr>
            <w:tcW w:w="0" w:type="dxa"/>
            <w:vAlign w:val="bottom"/>
          </w:tcPr>
          <w:p>
            <w:pPr>
              <w:spacing w:after="0"/>
              <w:rPr>
                <w:sz w:val="1"/>
                <w:szCs w:val="1"/>
                <w:color w:val="auto"/>
              </w:rPr>
            </w:pPr>
          </w:p>
        </w:tc>
      </w:tr>
      <w:tr>
        <w:trPr>
          <w:trHeight w:val="28"/>
        </w:trPr>
        <w:tc>
          <w:tcPr>
            <w:tcW w:w="3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3560" w:type="dxa"/>
            <w:vAlign w:val="bottom"/>
            <w:tcBorders>
              <w:bottom w:val="single" w:sz="8" w:color="CFF0FC"/>
            </w:tcBorders>
            <w:shd w:val="clear" w:color="auto" w:fill="CFF0FC"/>
          </w:tcPr>
          <w:p>
            <w:pPr>
              <w:ind w:left="20"/>
              <w:spacing w:after="0" w:line="128" w:lineRule="exact"/>
              <w:rPr>
                <w:sz w:val="20"/>
                <w:szCs w:val="20"/>
                <w:color w:val="auto"/>
              </w:rPr>
            </w:pPr>
            <w:r>
              <w:rPr>
                <w:rFonts w:ascii="Calibri" w:cs="Calibri" w:eastAsia="Calibri" w:hAnsi="Calibri"/>
                <w:sz w:val="11"/>
                <w:szCs w:val="11"/>
                <w:color w:val="auto"/>
              </w:rPr>
              <w:t>Balance as of December 31, 2023</w:t>
            </w:r>
          </w:p>
        </w:tc>
        <w:tc>
          <w:tcPr>
            <w:tcW w:w="100" w:type="dxa"/>
            <w:vAlign w:val="bottom"/>
            <w:tcBorders>
              <w:bottom w:val="single" w:sz="8" w:color="CFF0FC"/>
            </w:tcBorders>
            <w:shd w:val="clear" w:color="auto" w:fill="CFF0FC"/>
          </w:tcPr>
          <w:p>
            <w:pPr>
              <w:ind w:left="20"/>
              <w:spacing w:after="0" w:line="128" w:lineRule="exact"/>
              <w:rPr>
                <w:sz w:val="20"/>
                <w:szCs w:val="20"/>
                <w:color w:val="auto"/>
              </w:rPr>
            </w:pPr>
            <w:r>
              <w:rPr>
                <w:rFonts w:ascii="Calibri" w:cs="Calibri" w:eastAsia="Calibri" w:hAnsi="Calibri"/>
                <w:sz w:val="11"/>
                <w:szCs w:val="11"/>
                <w:color w:val="auto"/>
              </w:rPr>
              <w:t>$</w:t>
            </w:r>
          </w:p>
        </w:tc>
        <w:tc>
          <w:tcPr>
            <w:tcW w:w="640" w:type="dxa"/>
            <w:vAlign w:val="bottom"/>
            <w:tcBorders>
              <w:bottom w:val="single" w:sz="8" w:color="CFF0FC"/>
              <w:right w:val="single" w:sz="8" w:color="auto"/>
            </w:tcBorders>
            <w:gridSpan w:val="2"/>
            <w:shd w:val="clear" w:color="auto" w:fill="CFF0FC"/>
          </w:tcPr>
          <w:p>
            <w:pPr>
              <w:jc w:val="right"/>
              <w:ind w:right="140"/>
              <w:spacing w:after="0" w:line="128" w:lineRule="exact"/>
              <w:rPr>
                <w:sz w:val="20"/>
                <w:szCs w:val="20"/>
                <w:color w:val="auto"/>
              </w:rPr>
            </w:pPr>
            <w:r>
              <w:rPr>
                <w:rFonts w:ascii="Calibri" w:cs="Calibri" w:eastAsia="Calibri" w:hAnsi="Calibri"/>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92,175,243</w:t>
            </w: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w w:val="70"/>
              </w:rPr>
              <w:t>$</w:t>
            </w:r>
          </w:p>
        </w:tc>
        <w:tc>
          <w:tcPr>
            <w:tcW w:w="52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92</w:t>
            </w:r>
          </w:p>
        </w:tc>
        <w:tc>
          <w:tcPr>
            <w:tcW w:w="24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15,999,173</w:t>
            </w:r>
          </w:p>
        </w:tc>
        <w:tc>
          <w:tcPr>
            <w:tcW w:w="220" w:type="dxa"/>
            <w:vAlign w:val="bottom"/>
            <w:tcBorders>
              <w:bottom w:val="single" w:sz="8" w:color="CFF0FC"/>
              <w:right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jc w:val="right"/>
              <w:ind w:right="366"/>
              <w:spacing w:after="0" w:line="128" w:lineRule="exact"/>
              <w:rPr>
                <w:sz w:val="20"/>
                <w:szCs w:val="20"/>
                <w:color w:val="auto"/>
              </w:rPr>
            </w:pPr>
            <w:r>
              <w:rPr>
                <w:rFonts w:ascii="Calibri" w:cs="Calibri" w:eastAsia="Calibri" w:hAnsi="Calibri"/>
                <w:sz w:val="11"/>
                <w:szCs w:val="11"/>
                <w:color w:val="auto"/>
                <w:w w:val="70"/>
              </w:rPr>
              <w:t>$</w:t>
            </w:r>
          </w:p>
        </w:tc>
        <w:tc>
          <w:tcPr>
            <w:tcW w:w="12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w w:val="89"/>
              </w:rPr>
              <w:t>16</w:t>
            </w:r>
          </w:p>
        </w:tc>
        <w:tc>
          <w:tcPr>
            <w:tcW w:w="300" w:type="dxa"/>
            <w:vAlign w:val="bottom"/>
            <w:tcBorders>
              <w:bottom w:val="single" w:sz="8" w:color="CFF0FC"/>
            </w:tcBorders>
            <w:gridSpan w:val="2"/>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w:t>
            </w:r>
          </w:p>
        </w:tc>
        <w:tc>
          <w:tcPr>
            <w:tcW w:w="54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263,498</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w:t>
            </w:r>
          </w:p>
        </w:tc>
        <w:tc>
          <w:tcPr>
            <w:tcW w:w="52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354,147</w:t>
            </w:r>
          </w:p>
        </w:tc>
        <w:tc>
          <w:tcPr>
            <w:tcW w:w="340" w:type="dxa"/>
            <w:vAlign w:val="bottom"/>
            <w:tcBorders>
              <w:bottom w:val="single" w:sz="8" w:color="CFF0FC"/>
            </w:tcBorders>
            <w:gridSpan w:val="2"/>
            <w:shd w:val="clear" w:color="auto" w:fill="CFF0FC"/>
          </w:tcPr>
          <w:p>
            <w:pPr>
              <w:ind w:left="240"/>
              <w:spacing w:after="0" w:line="128" w:lineRule="exact"/>
              <w:rPr>
                <w:sz w:val="20"/>
                <w:szCs w:val="20"/>
                <w:color w:val="auto"/>
              </w:rPr>
            </w:pPr>
            <w:r>
              <w:rPr>
                <w:rFonts w:ascii="Calibri" w:cs="Calibri" w:eastAsia="Calibri" w:hAnsi="Calibri"/>
                <w:sz w:val="11"/>
                <w:szCs w:val="11"/>
                <w:color w:val="auto"/>
              </w:rPr>
              <w:t>$</w:t>
            </w:r>
          </w:p>
        </w:tc>
        <w:tc>
          <w:tcPr>
            <w:tcW w:w="720" w:type="dxa"/>
            <w:vAlign w:val="bottom"/>
            <w:tcBorders>
              <w:bottom w:val="single" w:sz="8" w:color="CFF0FC"/>
            </w:tcBorders>
            <w:gridSpan w:val="2"/>
            <w:shd w:val="clear" w:color="auto" w:fill="CFF0FC"/>
          </w:tcPr>
          <w:p>
            <w:pPr>
              <w:jc w:val="right"/>
              <w:ind w:right="180"/>
              <w:spacing w:after="0" w:line="128" w:lineRule="exact"/>
              <w:rPr>
                <w:sz w:val="20"/>
                <w:szCs w:val="20"/>
                <w:color w:val="auto"/>
              </w:rPr>
            </w:pPr>
            <w:r>
              <w:rPr>
                <w:rFonts w:ascii="Calibri" w:cs="Calibri" w:eastAsia="Calibri" w:hAnsi="Calibri"/>
                <w:sz w:val="11"/>
                <w:szCs w:val="11"/>
                <w:color w:val="auto"/>
              </w:rPr>
              <w:t>(901 )</w:t>
            </w:r>
          </w:p>
        </w:tc>
        <w:tc>
          <w:tcPr>
            <w:tcW w:w="120" w:type="dxa"/>
            <w:vAlign w:val="bottom"/>
            <w:tcBorders>
              <w:bottom w:val="single" w:sz="8" w:color="CFF0FC"/>
            </w:tcBorders>
            <w:shd w:val="clear" w:color="auto" w:fill="CFF0FC"/>
          </w:tcPr>
          <w:p>
            <w:pPr>
              <w:jc w:val="right"/>
              <w:ind w:right="6"/>
              <w:spacing w:after="0" w:line="128" w:lineRule="exact"/>
              <w:rPr>
                <w:sz w:val="20"/>
                <w:szCs w:val="20"/>
                <w:color w:val="auto"/>
              </w:rPr>
            </w:pPr>
            <w:r>
              <w:rPr>
                <w:rFonts w:ascii="Calibri" w:cs="Calibri" w:eastAsia="Calibri" w:hAnsi="Calibri"/>
                <w:sz w:val="11"/>
                <w:szCs w:val="11"/>
                <w:color w:val="auto"/>
                <w:w w:val="70"/>
              </w:rPr>
              <w:t>$</w:t>
            </w:r>
          </w:p>
        </w:tc>
        <w:tc>
          <w:tcPr>
            <w:tcW w:w="56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616,852</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560" w:type="dxa"/>
            <w:vAlign w:val="bottom"/>
          </w:tcPr>
          <w:p>
            <w:pPr>
              <w:ind w:left="20"/>
              <w:spacing w:after="0"/>
              <w:rPr>
                <w:sz w:val="20"/>
                <w:szCs w:val="20"/>
                <w:color w:val="auto"/>
              </w:rPr>
            </w:pPr>
            <w:r>
              <w:rPr>
                <w:rFonts w:ascii="Calibri" w:cs="Calibri" w:eastAsia="Calibri" w:hAnsi="Calibri"/>
                <w:sz w:val="11"/>
                <w:szCs w:val="11"/>
                <w:color w:val="auto"/>
              </w:rPr>
              <w:t>Net income</w:t>
            </w: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Calibri" w:cs="Calibri" w:eastAsia="Calibri" w:hAnsi="Calibri"/>
                <w:sz w:val="11"/>
                <w:szCs w:val="11"/>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Calibri" w:cs="Calibri" w:eastAsia="Calibri" w:hAnsi="Calibri"/>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Calibri" w:cs="Calibri" w:eastAsia="Calibri" w:hAnsi="Calibri"/>
                <w:sz w:val="11"/>
                <w:szCs w:val="11"/>
                <w:color w:val="auto"/>
              </w:rPr>
              <w:t>—</w:t>
            </w:r>
          </w:p>
        </w:tc>
        <w:tc>
          <w:tcPr>
            <w:tcW w:w="920" w:type="dxa"/>
            <w:vAlign w:val="bottom"/>
            <w:gridSpan w:val="2"/>
          </w:tcPr>
          <w:p>
            <w:pPr>
              <w:jc w:val="right"/>
              <w:ind w:right="240"/>
              <w:spacing w:after="0"/>
              <w:rPr>
                <w:sz w:val="20"/>
                <w:szCs w:val="20"/>
                <w:color w:val="auto"/>
              </w:rPr>
            </w:pPr>
            <w:r>
              <w:rPr>
                <w:rFonts w:ascii="Calibri" w:cs="Calibri" w:eastAsia="Calibri" w:hAnsi="Calibri"/>
                <w:sz w:val="11"/>
                <w:szCs w:val="11"/>
                <w:color w:val="auto"/>
              </w:rPr>
              <w:t>—</w:t>
            </w:r>
          </w:p>
        </w:tc>
        <w:tc>
          <w:tcPr>
            <w:tcW w:w="4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Calibri" w:cs="Calibri" w:eastAsia="Calibri" w:hAnsi="Calibri"/>
                <w:sz w:val="11"/>
                <w:szCs w:val="11"/>
                <w:color w:val="auto"/>
                <w:w w:val="99"/>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Calibri" w:cs="Calibri" w:eastAsia="Calibri" w:hAnsi="Calibri"/>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alibri" w:cs="Calibri" w:eastAsia="Calibri" w:hAnsi="Calibri"/>
                <w:sz w:val="11"/>
                <w:szCs w:val="11"/>
                <w:color w:val="auto"/>
              </w:rPr>
              <w:t>21,301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Calibri" w:cs="Calibri" w:eastAsia="Calibri" w:hAnsi="Calibri"/>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alibri" w:cs="Calibri" w:eastAsia="Calibri" w:hAnsi="Calibri"/>
                <w:sz w:val="11"/>
                <w:szCs w:val="11"/>
                <w:color w:val="auto"/>
              </w:rPr>
              <w:t>21,301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1"/>
                <w:szCs w:val="11"/>
                <w:color w:val="auto"/>
              </w:rPr>
              <w:t>Stock–based compensaton expense</w:t>
            </w: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right w:val="single" w:sz="8" w:color="auto"/>
            </w:tcBorders>
            <w:gridSpan w:val="2"/>
            <w:shd w:val="clear" w:color="auto" w:fill="CFF0FC"/>
          </w:tcPr>
          <w:p>
            <w:pPr>
              <w:jc w:val="right"/>
              <w:ind w:right="140"/>
              <w:spacing w:after="0"/>
              <w:rPr>
                <w:sz w:val="20"/>
                <w:szCs w:val="20"/>
                <w:color w:val="auto"/>
              </w:rPr>
            </w:pPr>
            <w:r>
              <w:rPr>
                <w:rFonts w:ascii="Calibri" w:cs="Calibri" w:eastAsia="Calibri" w:hAnsi="Calibri"/>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Calibri" w:cs="Calibri" w:eastAsia="Calibri" w:hAnsi="Calibri"/>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Calibri" w:cs="Calibri" w:eastAsia="Calibri" w:hAnsi="Calibri"/>
                <w:sz w:val="11"/>
                <w:szCs w:val="11"/>
                <w:color w:val="auto"/>
              </w:rPr>
              <w:t>—</w:t>
            </w:r>
          </w:p>
        </w:tc>
        <w:tc>
          <w:tcPr>
            <w:tcW w:w="920" w:type="dxa"/>
            <w:vAlign w:val="bottom"/>
            <w:tcBorders>
              <w:bottom w:val="single" w:sz="8" w:color="CFF0FC"/>
              <w:right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1"/>
                <w:szCs w:val="11"/>
                <w:color w:val="auto"/>
              </w:rPr>
              <w:t>—</w:t>
            </w:r>
          </w:p>
        </w:tc>
        <w:tc>
          <w:tcPr>
            <w:tcW w:w="4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w w:val="99"/>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17,649</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17,649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60" w:type="dxa"/>
            <w:vAlign w:val="bottom"/>
          </w:tcPr>
          <w:p>
            <w:pPr>
              <w:ind w:left="20"/>
              <w:spacing w:after="0"/>
              <w:rPr>
                <w:sz w:val="20"/>
                <w:szCs w:val="20"/>
                <w:color w:val="auto"/>
              </w:rPr>
            </w:pPr>
            <w:r>
              <w:rPr>
                <w:rFonts w:ascii="Calibri" w:cs="Calibri" w:eastAsia="Calibri" w:hAnsi="Calibri"/>
                <w:sz w:val="11"/>
                <w:szCs w:val="11"/>
                <w:color w:val="auto"/>
              </w:rPr>
              <w:t>Issuance of common stock upon exercise of stock optons</w:t>
            </w: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Calibri" w:cs="Calibri" w:eastAsia="Calibri" w:hAnsi="Calibri"/>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Calibri" w:cs="Calibri" w:eastAsia="Calibri" w:hAnsi="Calibri"/>
                <w:sz w:val="11"/>
                <w:szCs w:val="11"/>
                <w:color w:val="auto"/>
              </w:rPr>
              <w:t>36,455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Calibri" w:cs="Calibri" w:eastAsia="Calibri" w:hAnsi="Calibri"/>
                <w:sz w:val="11"/>
                <w:szCs w:val="11"/>
                <w:color w:val="auto"/>
              </w:rPr>
              <w:t>—</w:t>
            </w:r>
          </w:p>
        </w:tc>
        <w:tc>
          <w:tcPr>
            <w:tcW w:w="920" w:type="dxa"/>
            <w:vAlign w:val="bottom"/>
            <w:gridSpan w:val="2"/>
          </w:tcPr>
          <w:p>
            <w:pPr>
              <w:jc w:val="right"/>
              <w:ind w:right="240"/>
              <w:spacing w:after="0"/>
              <w:rPr>
                <w:sz w:val="20"/>
                <w:szCs w:val="20"/>
                <w:color w:val="auto"/>
              </w:rPr>
            </w:pPr>
            <w:r>
              <w:rPr>
                <w:rFonts w:ascii="Calibri" w:cs="Calibri" w:eastAsia="Calibri" w:hAnsi="Calibri"/>
                <w:sz w:val="11"/>
                <w:szCs w:val="11"/>
                <w:color w:val="auto"/>
              </w:rPr>
              <w:t>—</w:t>
            </w:r>
          </w:p>
        </w:tc>
        <w:tc>
          <w:tcPr>
            <w:tcW w:w="4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Calibri" w:cs="Calibri" w:eastAsia="Calibri" w:hAnsi="Calibri"/>
                <w:sz w:val="11"/>
                <w:szCs w:val="11"/>
                <w:color w:val="auto"/>
                <w:w w:val="99"/>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Calibri" w:cs="Calibri" w:eastAsia="Calibri" w:hAnsi="Calibri"/>
                <w:sz w:val="11"/>
                <w:szCs w:val="11"/>
                <w:color w:val="auto"/>
              </w:rPr>
              <w:t>11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alibri" w:cs="Calibri" w:eastAsia="Calibri" w:hAnsi="Calibri"/>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Calibri" w:cs="Calibri" w:eastAsia="Calibri" w:hAnsi="Calibri"/>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alibri" w:cs="Calibri" w:eastAsia="Calibri" w:hAnsi="Calibri"/>
                <w:sz w:val="11"/>
                <w:szCs w:val="11"/>
                <w:color w:val="auto"/>
              </w:rPr>
              <w:t>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1"/>
                <w:szCs w:val="11"/>
                <w:color w:val="auto"/>
              </w:rPr>
              <w:t>Issuance of common stock upon vestng of restricted stock units</w:t>
            </w: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right w:val="single" w:sz="8" w:color="auto"/>
            </w:tcBorders>
            <w:gridSpan w:val="2"/>
            <w:shd w:val="clear" w:color="auto" w:fill="CFF0FC"/>
          </w:tcPr>
          <w:p>
            <w:pPr>
              <w:jc w:val="right"/>
              <w:ind w:right="140"/>
              <w:spacing w:after="0"/>
              <w:rPr>
                <w:sz w:val="20"/>
                <w:szCs w:val="20"/>
                <w:color w:val="auto"/>
              </w:rPr>
            </w:pPr>
            <w:r>
              <w:rPr>
                <w:rFonts w:ascii="Calibri" w:cs="Calibri" w:eastAsia="Calibri" w:hAnsi="Calibri"/>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615,383</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1</w:t>
            </w:r>
          </w:p>
        </w:tc>
        <w:tc>
          <w:tcPr>
            <w:tcW w:w="2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right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1"/>
                <w:szCs w:val="11"/>
                <w:color w:val="auto"/>
              </w:rPr>
              <w:t>—</w:t>
            </w:r>
          </w:p>
        </w:tc>
        <w:tc>
          <w:tcPr>
            <w:tcW w:w="4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w w:val="99"/>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1"/>
                <w:szCs w:val="11"/>
                <w:color w:val="auto"/>
              </w:rPr>
              <w:t>(1 )</w:t>
            </w: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4"/>
        </w:trPr>
        <w:tc>
          <w:tcPr>
            <w:tcW w:w="3560" w:type="dxa"/>
            <w:vAlign w:val="bottom"/>
          </w:tcPr>
          <w:p>
            <w:pPr>
              <w:ind w:left="20"/>
              <w:spacing w:after="0"/>
              <w:rPr>
                <w:sz w:val="20"/>
                <w:szCs w:val="20"/>
                <w:color w:val="auto"/>
              </w:rPr>
            </w:pPr>
            <w:r>
              <w:rPr>
                <w:rFonts w:ascii="Calibri" w:cs="Calibri" w:eastAsia="Calibri" w:hAnsi="Calibri"/>
                <w:sz w:val="11"/>
                <w:szCs w:val="11"/>
                <w:color w:val="auto"/>
              </w:rPr>
              <w:t>Payment of withholding taxes on net share setlements of restricted stock</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rPr>
                <w:sz w:val="20"/>
                <w:szCs w:val="20"/>
                <w:color w:val="auto"/>
              </w:rPr>
            </w:pPr>
            <w:r>
              <w:rPr>
                <w:rFonts w:ascii="Calibri" w:cs="Calibri" w:eastAsia="Calibri" w:hAnsi="Calibri"/>
                <w:sz w:val="11"/>
                <w:szCs w:val="11"/>
                <w:color w:val="auto"/>
              </w:rPr>
              <w:t>units</w:t>
            </w: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Calibri" w:cs="Calibri" w:eastAsia="Calibri" w:hAnsi="Calibri"/>
                <w:sz w:val="11"/>
                <w:szCs w:val="11"/>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00"/>
              <w:spacing w:after="0"/>
              <w:rPr>
                <w:sz w:val="20"/>
                <w:szCs w:val="20"/>
                <w:color w:val="auto"/>
              </w:rPr>
            </w:pPr>
            <w:r>
              <w:rPr>
                <w:rFonts w:ascii="Calibri" w:cs="Calibri" w:eastAsia="Calibri" w:hAnsi="Calibri"/>
                <w:sz w:val="11"/>
                <w:szCs w:val="11"/>
                <w:color w:val="auto"/>
              </w:rPr>
              <w:t>(213,042 )</w:t>
            </w:r>
          </w:p>
        </w:tc>
        <w:tc>
          <w:tcPr>
            <w:tcW w:w="8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Calibri" w:cs="Calibri" w:eastAsia="Calibri" w:hAnsi="Calibri"/>
                <w:sz w:val="11"/>
                <w:szCs w:val="11"/>
                <w:color w:val="auto"/>
              </w:rPr>
              <w:t>—</w:t>
            </w:r>
          </w:p>
        </w:tc>
        <w:tc>
          <w:tcPr>
            <w:tcW w:w="920" w:type="dxa"/>
            <w:vAlign w:val="bottom"/>
            <w:gridSpan w:val="2"/>
          </w:tcPr>
          <w:p>
            <w:pPr>
              <w:jc w:val="right"/>
              <w:ind w:right="240"/>
              <w:spacing w:after="0"/>
              <w:rPr>
                <w:sz w:val="20"/>
                <w:szCs w:val="20"/>
                <w:color w:val="auto"/>
              </w:rPr>
            </w:pPr>
            <w:r>
              <w:rPr>
                <w:rFonts w:ascii="Calibri" w:cs="Calibri" w:eastAsia="Calibri" w:hAnsi="Calibri"/>
                <w:sz w:val="11"/>
                <w:szCs w:val="11"/>
                <w:color w:val="auto"/>
              </w:rPr>
              <w:t>—</w:t>
            </w:r>
          </w:p>
        </w:tc>
        <w:tc>
          <w:tcPr>
            <w:tcW w:w="4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Calibri" w:cs="Calibri" w:eastAsia="Calibri" w:hAnsi="Calibri"/>
                <w:sz w:val="11"/>
                <w:szCs w:val="11"/>
                <w:color w:val="auto"/>
                <w:w w:val="99"/>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1"/>
                <w:szCs w:val="11"/>
                <w:color w:val="auto"/>
              </w:rPr>
              <w:t>(5,097 )</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alibri" w:cs="Calibri" w:eastAsia="Calibri" w:hAnsi="Calibri"/>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Calibri" w:cs="Calibri" w:eastAsia="Calibri" w:hAnsi="Calibri"/>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Calibri" w:cs="Calibri" w:eastAsia="Calibri" w:hAnsi="Calibri"/>
                <w:sz w:val="11"/>
                <w:szCs w:val="11"/>
                <w:color w:val="auto"/>
              </w:rPr>
              <w:t>(5,097 )</w:t>
            </w:r>
          </w:p>
        </w:tc>
        <w:tc>
          <w:tcPr>
            <w:tcW w:w="0" w:type="dxa"/>
            <w:vAlign w:val="bottom"/>
          </w:tcPr>
          <w:p>
            <w:pPr>
              <w:spacing w:after="0"/>
              <w:rPr>
                <w:sz w:val="1"/>
                <w:szCs w:val="1"/>
                <w:color w:val="auto"/>
              </w:rPr>
            </w:pPr>
          </w:p>
        </w:tc>
      </w:tr>
      <w:tr>
        <w:trPr>
          <w:trHeight w:val="28"/>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1"/>
                <w:szCs w:val="11"/>
                <w:color w:val="auto"/>
              </w:rPr>
              <w:t>Repurchase of common stock</w:t>
            </w: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right w:val="single" w:sz="8" w:color="auto"/>
            </w:tcBorders>
            <w:gridSpan w:val="2"/>
            <w:shd w:val="clear" w:color="auto" w:fill="CFF0FC"/>
          </w:tcPr>
          <w:p>
            <w:pPr>
              <w:jc w:val="right"/>
              <w:ind w:right="140"/>
              <w:spacing w:after="0"/>
              <w:rPr>
                <w:sz w:val="20"/>
                <w:szCs w:val="20"/>
                <w:color w:val="auto"/>
              </w:rPr>
            </w:pPr>
            <w:r>
              <w:rPr>
                <w:rFonts w:ascii="Calibri" w:cs="Calibri" w:eastAsia="Calibri" w:hAnsi="Calibri"/>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Calibri" w:cs="Calibri" w:eastAsia="Calibri" w:hAnsi="Calibri"/>
                <w:sz w:val="11"/>
                <w:szCs w:val="11"/>
                <w:color w:val="auto"/>
              </w:rPr>
              <w:t>(3,538,194 )</w:t>
            </w:r>
          </w:p>
        </w:tc>
        <w:tc>
          <w:tcPr>
            <w:tcW w:w="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Calibri" w:cs="Calibri" w:eastAsia="Calibri" w:hAnsi="Calibri"/>
                <w:sz w:val="11"/>
                <w:szCs w:val="11"/>
                <w:color w:val="auto"/>
              </w:rPr>
              <w:t>(4 )</w:t>
            </w:r>
          </w:p>
        </w:tc>
        <w:tc>
          <w:tcPr>
            <w:tcW w:w="920" w:type="dxa"/>
            <w:vAlign w:val="bottom"/>
            <w:tcBorders>
              <w:bottom w:val="single" w:sz="8" w:color="CFF0FC"/>
              <w:right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1"/>
                <w:szCs w:val="11"/>
                <w:color w:val="auto"/>
              </w:rPr>
              <w:t>—</w:t>
            </w:r>
          </w:p>
        </w:tc>
        <w:tc>
          <w:tcPr>
            <w:tcW w:w="4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w w:val="99"/>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1"/>
                <w:szCs w:val="11"/>
                <w:color w:val="auto"/>
              </w:rPr>
              <w:t>(81,751 )</w:t>
            </w: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1"/>
                <w:szCs w:val="11"/>
                <w:color w:val="auto"/>
              </w:rPr>
              <w:t>(81,755 )</w:t>
            </w:r>
          </w:p>
        </w:tc>
        <w:tc>
          <w:tcPr>
            <w:tcW w:w="0" w:type="dxa"/>
            <w:vAlign w:val="bottom"/>
          </w:tcPr>
          <w:p>
            <w:pPr>
              <w:spacing w:after="0"/>
              <w:rPr>
                <w:sz w:val="1"/>
                <w:szCs w:val="1"/>
                <w:color w:val="auto"/>
              </w:rPr>
            </w:pPr>
          </w:p>
        </w:tc>
      </w:tr>
      <w:tr>
        <w:trPr>
          <w:trHeight w:val="134"/>
        </w:trPr>
        <w:tc>
          <w:tcPr>
            <w:tcW w:w="3560" w:type="dxa"/>
            <w:vAlign w:val="bottom"/>
          </w:tcPr>
          <w:p>
            <w:pPr>
              <w:ind w:left="20"/>
              <w:spacing w:after="0"/>
              <w:rPr>
                <w:sz w:val="20"/>
                <w:szCs w:val="20"/>
                <w:color w:val="auto"/>
              </w:rPr>
            </w:pPr>
            <w:r>
              <w:rPr>
                <w:rFonts w:ascii="Calibri" w:cs="Calibri" w:eastAsia="Calibri" w:hAnsi="Calibri"/>
                <w:sz w:val="11"/>
                <w:szCs w:val="11"/>
                <w:color w:val="auto"/>
              </w:rPr>
              <w:t>Foreign currency translaton adjustment</w:t>
            </w: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Calibri" w:cs="Calibri" w:eastAsia="Calibri" w:hAnsi="Calibri"/>
                <w:sz w:val="11"/>
                <w:szCs w:val="11"/>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Calibri" w:cs="Calibri" w:eastAsia="Calibri" w:hAnsi="Calibri"/>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Calibri" w:cs="Calibri" w:eastAsia="Calibri" w:hAnsi="Calibri"/>
                <w:sz w:val="11"/>
                <w:szCs w:val="11"/>
                <w:color w:val="auto"/>
              </w:rPr>
              <w:t>—</w:t>
            </w:r>
          </w:p>
        </w:tc>
        <w:tc>
          <w:tcPr>
            <w:tcW w:w="920" w:type="dxa"/>
            <w:vAlign w:val="bottom"/>
            <w:gridSpan w:val="2"/>
          </w:tcPr>
          <w:p>
            <w:pPr>
              <w:jc w:val="right"/>
              <w:ind w:right="240"/>
              <w:spacing w:after="0"/>
              <w:rPr>
                <w:sz w:val="20"/>
                <w:szCs w:val="20"/>
                <w:color w:val="auto"/>
              </w:rPr>
            </w:pPr>
            <w:r>
              <w:rPr>
                <w:rFonts w:ascii="Calibri" w:cs="Calibri" w:eastAsia="Calibri" w:hAnsi="Calibri"/>
                <w:sz w:val="11"/>
                <w:szCs w:val="11"/>
                <w:color w:val="auto"/>
              </w:rPr>
              <w:t>—</w:t>
            </w:r>
          </w:p>
        </w:tc>
        <w:tc>
          <w:tcPr>
            <w:tcW w:w="4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Calibri" w:cs="Calibri" w:eastAsia="Calibri" w:hAnsi="Calibri"/>
                <w:sz w:val="11"/>
                <w:szCs w:val="11"/>
                <w:color w:val="auto"/>
                <w:w w:val="99"/>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Calibri" w:cs="Calibri" w:eastAsia="Calibri" w:hAnsi="Calibri"/>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alibri" w:cs="Calibri" w:eastAsia="Calibri" w:hAnsi="Calibri"/>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Calibri" w:cs="Calibri" w:eastAsia="Calibri" w:hAnsi="Calibri"/>
                <w:sz w:val="11"/>
                <w:szCs w:val="11"/>
                <w:color w:val="auto"/>
              </w:rPr>
              <w:t>(599 )</w:t>
            </w:r>
          </w:p>
        </w:tc>
        <w:tc>
          <w:tcPr>
            <w:tcW w:w="12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Calibri" w:cs="Calibri" w:eastAsia="Calibri" w:hAnsi="Calibri"/>
                <w:sz w:val="11"/>
                <w:szCs w:val="11"/>
                <w:color w:val="auto"/>
              </w:rPr>
              <w:t>(599 )</w:t>
            </w:r>
          </w:p>
        </w:tc>
        <w:tc>
          <w:tcPr>
            <w:tcW w:w="0" w:type="dxa"/>
            <w:vAlign w:val="bottom"/>
          </w:tcPr>
          <w:p>
            <w:pPr>
              <w:spacing w:after="0"/>
              <w:rPr>
                <w:sz w:val="1"/>
                <w:szCs w:val="1"/>
                <w:color w:val="auto"/>
              </w:rPr>
            </w:pPr>
          </w:p>
        </w:tc>
      </w:tr>
      <w:tr>
        <w:trPr>
          <w:trHeight w:val="28"/>
        </w:trPr>
        <w:tc>
          <w:tcPr>
            <w:tcW w:w="3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60" w:type="dxa"/>
            <w:vAlign w:val="bottom"/>
            <w:tcBorders>
              <w:bottom w:val="single" w:sz="8" w:color="CFF0FC"/>
            </w:tcBorders>
            <w:shd w:val="clear" w:color="auto" w:fill="CFF0FC"/>
          </w:tcPr>
          <w:p>
            <w:pPr>
              <w:ind w:left="20"/>
              <w:spacing w:after="0" w:line="128" w:lineRule="exact"/>
              <w:rPr>
                <w:sz w:val="20"/>
                <w:szCs w:val="20"/>
                <w:color w:val="auto"/>
              </w:rPr>
            </w:pPr>
            <w:r>
              <w:rPr>
                <w:rFonts w:ascii="Calibri" w:cs="Calibri" w:eastAsia="Calibri" w:hAnsi="Calibri"/>
                <w:sz w:val="11"/>
                <w:szCs w:val="11"/>
                <w:color w:val="auto"/>
              </w:rPr>
              <w:t>Balance as of March 31, 2024</w:t>
            </w:r>
          </w:p>
        </w:tc>
        <w:tc>
          <w:tcPr>
            <w:tcW w:w="100" w:type="dxa"/>
            <w:vAlign w:val="bottom"/>
            <w:tcBorders>
              <w:bottom w:val="single" w:sz="8" w:color="CFF0FC"/>
            </w:tcBorders>
            <w:shd w:val="clear" w:color="auto" w:fill="CFF0FC"/>
          </w:tcPr>
          <w:p>
            <w:pPr>
              <w:ind w:left="20"/>
              <w:spacing w:after="0" w:line="128" w:lineRule="exact"/>
              <w:rPr>
                <w:sz w:val="20"/>
                <w:szCs w:val="20"/>
                <w:color w:val="auto"/>
              </w:rPr>
            </w:pPr>
            <w:r>
              <w:rPr>
                <w:rFonts w:ascii="Calibri" w:cs="Calibri" w:eastAsia="Calibri" w:hAnsi="Calibri"/>
                <w:sz w:val="11"/>
                <w:szCs w:val="11"/>
                <w:color w:val="auto"/>
              </w:rPr>
              <w:t>$</w:t>
            </w:r>
          </w:p>
        </w:tc>
        <w:tc>
          <w:tcPr>
            <w:tcW w:w="640" w:type="dxa"/>
            <w:vAlign w:val="bottom"/>
            <w:tcBorders>
              <w:bottom w:val="single" w:sz="8" w:color="CFF0FC"/>
              <w:right w:val="single" w:sz="8" w:color="auto"/>
            </w:tcBorders>
            <w:gridSpan w:val="2"/>
            <w:shd w:val="clear" w:color="auto" w:fill="CFF0FC"/>
          </w:tcPr>
          <w:p>
            <w:pPr>
              <w:jc w:val="right"/>
              <w:ind w:right="140"/>
              <w:spacing w:after="0" w:line="128" w:lineRule="exact"/>
              <w:rPr>
                <w:sz w:val="20"/>
                <w:szCs w:val="20"/>
                <w:color w:val="auto"/>
              </w:rPr>
            </w:pPr>
            <w:r>
              <w:rPr>
                <w:rFonts w:ascii="Calibri" w:cs="Calibri" w:eastAsia="Calibri" w:hAnsi="Calibri"/>
                <w:sz w:val="11"/>
                <w:szCs w:val="1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89,075,845</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w w:val="70"/>
              </w:rPr>
              <w:t>$</w:t>
            </w:r>
          </w:p>
        </w:tc>
        <w:tc>
          <w:tcPr>
            <w:tcW w:w="52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89</w:t>
            </w:r>
          </w:p>
        </w:tc>
        <w:tc>
          <w:tcPr>
            <w:tcW w:w="24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15,999,173</w:t>
            </w: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jc w:val="right"/>
              <w:ind w:right="366"/>
              <w:spacing w:after="0" w:line="128" w:lineRule="exact"/>
              <w:rPr>
                <w:sz w:val="20"/>
                <w:szCs w:val="20"/>
                <w:color w:val="auto"/>
              </w:rPr>
            </w:pPr>
            <w:r>
              <w:rPr>
                <w:rFonts w:ascii="Calibri" w:cs="Calibri" w:eastAsia="Calibri" w:hAnsi="Calibri"/>
                <w:sz w:val="11"/>
                <w:szCs w:val="11"/>
                <w:color w:val="auto"/>
                <w:w w:val="70"/>
              </w:rPr>
              <w:t>$</w:t>
            </w:r>
          </w:p>
        </w:tc>
        <w:tc>
          <w:tcPr>
            <w:tcW w:w="12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w w:val="89"/>
              </w:rPr>
              <w:t>16</w:t>
            </w:r>
          </w:p>
        </w:tc>
        <w:tc>
          <w:tcPr>
            <w:tcW w:w="300" w:type="dxa"/>
            <w:vAlign w:val="bottom"/>
            <w:tcBorders>
              <w:bottom w:val="single" w:sz="8" w:color="CFF0FC"/>
            </w:tcBorders>
            <w:gridSpan w:val="2"/>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w:t>
            </w:r>
          </w:p>
        </w:tc>
        <w:tc>
          <w:tcPr>
            <w:tcW w:w="54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194,309</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w:t>
            </w:r>
          </w:p>
        </w:tc>
        <w:tc>
          <w:tcPr>
            <w:tcW w:w="52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375,448</w:t>
            </w:r>
          </w:p>
        </w:tc>
        <w:tc>
          <w:tcPr>
            <w:tcW w:w="340" w:type="dxa"/>
            <w:vAlign w:val="bottom"/>
            <w:tcBorders>
              <w:bottom w:val="single" w:sz="8" w:color="CFF0FC"/>
            </w:tcBorders>
            <w:gridSpan w:val="2"/>
            <w:shd w:val="clear" w:color="auto" w:fill="CFF0FC"/>
          </w:tcPr>
          <w:p>
            <w:pPr>
              <w:ind w:left="240"/>
              <w:spacing w:after="0" w:line="128" w:lineRule="exact"/>
              <w:rPr>
                <w:sz w:val="20"/>
                <w:szCs w:val="20"/>
                <w:color w:val="auto"/>
              </w:rPr>
            </w:pPr>
            <w:r>
              <w:rPr>
                <w:rFonts w:ascii="Calibri" w:cs="Calibri" w:eastAsia="Calibri" w:hAnsi="Calibri"/>
                <w:sz w:val="11"/>
                <w:szCs w:val="11"/>
                <w:color w:val="auto"/>
              </w:rPr>
              <w:t>$</w:t>
            </w:r>
          </w:p>
        </w:tc>
        <w:tc>
          <w:tcPr>
            <w:tcW w:w="720" w:type="dxa"/>
            <w:vAlign w:val="bottom"/>
            <w:tcBorders>
              <w:bottom w:val="single" w:sz="8" w:color="CFF0FC"/>
            </w:tcBorders>
            <w:gridSpan w:val="2"/>
            <w:shd w:val="clear" w:color="auto" w:fill="CFF0FC"/>
          </w:tcPr>
          <w:p>
            <w:pPr>
              <w:jc w:val="right"/>
              <w:ind w:right="180"/>
              <w:spacing w:after="0" w:line="128" w:lineRule="exact"/>
              <w:rPr>
                <w:sz w:val="20"/>
                <w:szCs w:val="20"/>
                <w:color w:val="auto"/>
              </w:rPr>
            </w:pPr>
            <w:r>
              <w:rPr>
                <w:rFonts w:ascii="Calibri" w:cs="Calibri" w:eastAsia="Calibri" w:hAnsi="Calibri"/>
                <w:sz w:val="11"/>
                <w:szCs w:val="11"/>
                <w:color w:val="auto"/>
              </w:rPr>
              <w:t>(1,500 )</w:t>
            </w:r>
          </w:p>
        </w:tc>
        <w:tc>
          <w:tcPr>
            <w:tcW w:w="120" w:type="dxa"/>
            <w:vAlign w:val="bottom"/>
            <w:tcBorders>
              <w:bottom w:val="single" w:sz="8" w:color="CFF0FC"/>
            </w:tcBorders>
            <w:shd w:val="clear" w:color="auto" w:fill="CFF0FC"/>
          </w:tcPr>
          <w:p>
            <w:pPr>
              <w:jc w:val="right"/>
              <w:ind w:right="6"/>
              <w:spacing w:after="0" w:line="128" w:lineRule="exact"/>
              <w:rPr>
                <w:sz w:val="20"/>
                <w:szCs w:val="20"/>
                <w:color w:val="auto"/>
              </w:rPr>
            </w:pPr>
            <w:r>
              <w:rPr>
                <w:rFonts w:ascii="Calibri" w:cs="Calibri" w:eastAsia="Calibri" w:hAnsi="Calibri"/>
                <w:sz w:val="11"/>
                <w:szCs w:val="11"/>
                <w:color w:val="auto"/>
                <w:w w:val="70"/>
              </w:rPr>
              <w:t>$</w:t>
            </w:r>
          </w:p>
        </w:tc>
        <w:tc>
          <w:tcPr>
            <w:tcW w:w="560" w:type="dxa"/>
            <w:vAlign w:val="bottom"/>
            <w:tcBorders>
              <w:bottom w:val="single" w:sz="8" w:color="CFF0FC"/>
            </w:tcBorders>
            <w:shd w:val="clear" w:color="auto" w:fill="CFF0FC"/>
          </w:tcPr>
          <w:p>
            <w:pPr>
              <w:jc w:val="right"/>
              <w:spacing w:after="0" w:line="128" w:lineRule="exact"/>
              <w:rPr>
                <w:sz w:val="20"/>
                <w:szCs w:val="20"/>
                <w:color w:val="auto"/>
              </w:rPr>
            </w:pPr>
            <w:r>
              <w:rPr>
                <w:rFonts w:ascii="Calibri" w:cs="Calibri" w:eastAsia="Calibri" w:hAnsi="Calibri"/>
                <w:sz w:val="11"/>
                <w:szCs w:val="11"/>
                <w:color w:val="auto"/>
              </w:rPr>
              <w:t>568,362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CFF0FC"/>
              <w:right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1"/>
                <w:szCs w:val="11"/>
                <w:color w:val="auto"/>
              </w:rPr>
              <w:t>Balance as of December 31, 2022</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1"/>
                <w:szCs w:val="11"/>
                <w:color w:val="auto"/>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36,749</w:t>
            </w:r>
          </w:p>
        </w:tc>
        <w:tc>
          <w:tcPr>
            <w:tcW w:w="140" w:type="dxa"/>
            <w:vAlign w:val="bottom"/>
            <w:tcBorders>
              <w:bottom w:val="single" w:sz="8" w:color="CFF0FC"/>
              <w:right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101,636,649</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w w:val="70"/>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102</w:t>
            </w:r>
          </w:p>
        </w:tc>
        <w:tc>
          <w:tcPr>
            <w:tcW w:w="2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15,999,173</w:t>
            </w: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ind w:right="366"/>
              <w:spacing w:after="0"/>
              <w:rPr>
                <w:sz w:val="20"/>
                <w:szCs w:val="20"/>
                <w:color w:val="auto"/>
              </w:rPr>
            </w:pPr>
            <w:r>
              <w:rPr>
                <w:rFonts w:ascii="Calibri" w:cs="Calibri" w:eastAsia="Calibri" w:hAnsi="Calibri"/>
                <w:sz w:val="11"/>
                <w:szCs w:val="11"/>
                <w:color w:val="auto"/>
                <w:w w:val="70"/>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w w:val="89"/>
              </w:rPr>
              <w:t>16</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1"/>
                <w:szCs w:val="11"/>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413,092</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323,043</w:t>
            </w:r>
          </w:p>
        </w:tc>
        <w:tc>
          <w:tcPr>
            <w:tcW w:w="340" w:type="dxa"/>
            <w:vAlign w:val="bottom"/>
            <w:tcBorders>
              <w:bottom w:val="single" w:sz="8" w:color="CFF0FC"/>
            </w:tcBorders>
            <w:gridSpan w:val="2"/>
            <w:shd w:val="clear" w:color="auto" w:fill="CFF0FC"/>
          </w:tcPr>
          <w:p>
            <w:pPr>
              <w:ind w:left="240"/>
              <w:spacing w:after="0"/>
              <w:rPr>
                <w:sz w:val="20"/>
                <w:szCs w:val="20"/>
                <w:color w:val="auto"/>
              </w:rPr>
            </w:pPr>
            <w:r>
              <w:rPr>
                <w:rFonts w:ascii="Calibri" w:cs="Calibri" w:eastAsia="Calibri" w:hAnsi="Calibri"/>
                <w:sz w:val="11"/>
                <w:szCs w:val="11"/>
                <w:color w:val="auto"/>
              </w:rPr>
              <w:t>$</w:t>
            </w:r>
          </w:p>
        </w:tc>
        <w:tc>
          <w:tcPr>
            <w:tcW w:w="7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1"/>
                <w:szCs w:val="11"/>
                <w:color w:val="auto"/>
              </w:rPr>
              <w:t>(1,644 )</w:t>
            </w:r>
          </w:p>
        </w:tc>
        <w:tc>
          <w:tcPr>
            <w:tcW w:w="120" w:type="dxa"/>
            <w:vAlign w:val="bottom"/>
            <w:tcBorders>
              <w:bottom w:val="single" w:sz="8" w:color="CFF0FC"/>
            </w:tcBorders>
            <w:shd w:val="clear" w:color="auto" w:fill="CFF0FC"/>
          </w:tcPr>
          <w:p>
            <w:pPr>
              <w:jc w:val="right"/>
              <w:ind w:right="6"/>
              <w:spacing w:after="0"/>
              <w:rPr>
                <w:sz w:val="20"/>
                <w:szCs w:val="20"/>
                <w:color w:val="auto"/>
              </w:rPr>
            </w:pPr>
            <w:r>
              <w:rPr>
                <w:rFonts w:ascii="Calibri" w:cs="Calibri" w:eastAsia="Calibri" w:hAnsi="Calibri"/>
                <w:sz w:val="11"/>
                <w:szCs w:val="11"/>
                <w:color w:val="auto"/>
                <w:w w:val="70"/>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734,609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60" w:type="dxa"/>
            <w:vAlign w:val="bottom"/>
          </w:tcPr>
          <w:p>
            <w:pPr>
              <w:ind w:left="20"/>
              <w:spacing w:after="0"/>
              <w:rPr>
                <w:sz w:val="20"/>
                <w:szCs w:val="20"/>
                <w:color w:val="auto"/>
              </w:rPr>
            </w:pPr>
            <w:r>
              <w:rPr>
                <w:rFonts w:ascii="Calibri" w:cs="Calibri" w:eastAsia="Calibri" w:hAnsi="Calibri"/>
                <w:sz w:val="11"/>
                <w:szCs w:val="11"/>
                <w:color w:val="auto"/>
              </w:rPr>
              <w:t>Net (loss) income</w:t>
            </w: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Calibri" w:cs="Calibri" w:eastAsia="Calibri" w:hAnsi="Calibri"/>
                <w:sz w:val="11"/>
                <w:szCs w:val="11"/>
                <w:color w:val="auto"/>
              </w:rPr>
              <w:t>(4,266 )</w:t>
            </w:r>
          </w:p>
        </w:tc>
        <w:tc>
          <w:tcPr>
            <w:tcW w:w="10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Calibri" w:cs="Calibri" w:eastAsia="Calibri" w:hAnsi="Calibri"/>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Calibri" w:cs="Calibri" w:eastAsia="Calibri" w:hAnsi="Calibri"/>
                <w:sz w:val="11"/>
                <w:szCs w:val="11"/>
                <w:color w:val="auto"/>
              </w:rPr>
              <w:t>—</w:t>
            </w:r>
          </w:p>
        </w:tc>
        <w:tc>
          <w:tcPr>
            <w:tcW w:w="920" w:type="dxa"/>
            <w:vAlign w:val="bottom"/>
            <w:gridSpan w:val="2"/>
          </w:tcPr>
          <w:p>
            <w:pPr>
              <w:jc w:val="right"/>
              <w:ind w:right="240"/>
              <w:spacing w:after="0"/>
              <w:rPr>
                <w:sz w:val="20"/>
                <w:szCs w:val="20"/>
                <w:color w:val="auto"/>
              </w:rPr>
            </w:pPr>
            <w:r>
              <w:rPr>
                <w:rFonts w:ascii="Calibri" w:cs="Calibri" w:eastAsia="Calibri" w:hAnsi="Calibri"/>
                <w:sz w:val="11"/>
                <w:szCs w:val="11"/>
                <w:color w:val="auto"/>
              </w:rPr>
              <w:t>—</w:t>
            </w:r>
          </w:p>
        </w:tc>
        <w:tc>
          <w:tcPr>
            <w:tcW w:w="4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Calibri" w:cs="Calibri" w:eastAsia="Calibri" w:hAnsi="Calibri"/>
                <w:sz w:val="11"/>
                <w:szCs w:val="11"/>
                <w:color w:val="auto"/>
                <w:w w:val="99"/>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Calibri" w:cs="Calibri" w:eastAsia="Calibri" w:hAnsi="Calibri"/>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alibri" w:cs="Calibri" w:eastAsia="Calibri" w:hAnsi="Calibri"/>
                <w:sz w:val="11"/>
                <w:szCs w:val="11"/>
                <w:color w:val="auto"/>
              </w:rPr>
              <w:t>16,132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Calibri" w:cs="Calibri" w:eastAsia="Calibri" w:hAnsi="Calibri"/>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alibri" w:cs="Calibri" w:eastAsia="Calibri" w:hAnsi="Calibri"/>
                <w:sz w:val="11"/>
                <w:szCs w:val="11"/>
                <w:color w:val="auto"/>
              </w:rPr>
              <w:t>16,132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1"/>
                <w:szCs w:val="11"/>
                <w:color w:val="auto"/>
              </w:rPr>
              <w:t>Stock–based compensaton expense</w:t>
            </w: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right w:val="single" w:sz="8" w:color="auto"/>
            </w:tcBorders>
            <w:gridSpan w:val="2"/>
            <w:shd w:val="clear" w:color="auto" w:fill="CFF0FC"/>
          </w:tcPr>
          <w:p>
            <w:pPr>
              <w:jc w:val="right"/>
              <w:ind w:right="140"/>
              <w:spacing w:after="0"/>
              <w:rPr>
                <w:sz w:val="20"/>
                <w:szCs w:val="20"/>
                <w:color w:val="auto"/>
              </w:rPr>
            </w:pPr>
            <w:r>
              <w:rPr>
                <w:rFonts w:ascii="Calibri" w:cs="Calibri" w:eastAsia="Calibri" w:hAnsi="Calibri"/>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Calibri" w:cs="Calibri" w:eastAsia="Calibri" w:hAnsi="Calibri"/>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Calibri" w:cs="Calibri" w:eastAsia="Calibri" w:hAnsi="Calibri"/>
                <w:sz w:val="11"/>
                <w:szCs w:val="11"/>
                <w:color w:val="auto"/>
              </w:rPr>
              <w:t>—</w:t>
            </w:r>
          </w:p>
        </w:tc>
        <w:tc>
          <w:tcPr>
            <w:tcW w:w="920" w:type="dxa"/>
            <w:vAlign w:val="bottom"/>
            <w:tcBorders>
              <w:bottom w:val="single" w:sz="8" w:color="CFF0FC"/>
              <w:right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1"/>
                <w:szCs w:val="11"/>
                <w:color w:val="auto"/>
              </w:rPr>
              <w:t>—</w:t>
            </w:r>
          </w:p>
        </w:tc>
        <w:tc>
          <w:tcPr>
            <w:tcW w:w="4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w w:val="99"/>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16,049</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16,049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60" w:type="dxa"/>
            <w:vAlign w:val="bottom"/>
          </w:tcPr>
          <w:p>
            <w:pPr>
              <w:ind w:left="20"/>
              <w:spacing w:after="0"/>
              <w:rPr>
                <w:sz w:val="20"/>
                <w:szCs w:val="20"/>
                <w:color w:val="auto"/>
              </w:rPr>
            </w:pPr>
            <w:r>
              <w:rPr>
                <w:rFonts w:ascii="Calibri" w:cs="Calibri" w:eastAsia="Calibri" w:hAnsi="Calibri"/>
                <w:sz w:val="11"/>
                <w:szCs w:val="11"/>
                <w:color w:val="auto"/>
              </w:rPr>
              <w:t>Issuance of common stock upon exercise of stock optons</w:t>
            </w: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Calibri" w:cs="Calibri" w:eastAsia="Calibri" w:hAnsi="Calibri"/>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Calibri" w:cs="Calibri" w:eastAsia="Calibri" w:hAnsi="Calibri"/>
                <w:sz w:val="11"/>
                <w:szCs w:val="11"/>
                <w:color w:val="auto"/>
              </w:rPr>
              <w:t>7,700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Calibri" w:cs="Calibri" w:eastAsia="Calibri" w:hAnsi="Calibri"/>
                <w:sz w:val="11"/>
                <w:szCs w:val="11"/>
                <w:color w:val="auto"/>
              </w:rPr>
              <w:t>—</w:t>
            </w:r>
          </w:p>
        </w:tc>
        <w:tc>
          <w:tcPr>
            <w:tcW w:w="920" w:type="dxa"/>
            <w:vAlign w:val="bottom"/>
            <w:gridSpan w:val="2"/>
          </w:tcPr>
          <w:p>
            <w:pPr>
              <w:jc w:val="right"/>
              <w:ind w:right="240"/>
              <w:spacing w:after="0"/>
              <w:rPr>
                <w:sz w:val="20"/>
                <w:szCs w:val="20"/>
                <w:color w:val="auto"/>
              </w:rPr>
            </w:pPr>
            <w:r>
              <w:rPr>
                <w:rFonts w:ascii="Calibri" w:cs="Calibri" w:eastAsia="Calibri" w:hAnsi="Calibri"/>
                <w:sz w:val="11"/>
                <w:szCs w:val="11"/>
                <w:color w:val="auto"/>
              </w:rPr>
              <w:t>—</w:t>
            </w:r>
          </w:p>
        </w:tc>
        <w:tc>
          <w:tcPr>
            <w:tcW w:w="4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Calibri" w:cs="Calibri" w:eastAsia="Calibri" w:hAnsi="Calibri"/>
                <w:sz w:val="11"/>
                <w:szCs w:val="11"/>
                <w:color w:val="auto"/>
                <w:w w:val="99"/>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Calibri" w:cs="Calibri" w:eastAsia="Calibri" w:hAnsi="Calibri"/>
                <w:sz w:val="11"/>
                <w:szCs w:val="11"/>
                <w:color w:val="auto"/>
              </w:rPr>
              <w:t>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alibri" w:cs="Calibri" w:eastAsia="Calibri" w:hAnsi="Calibri"/>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Calibri" w:cs="Calibri" w:eastAsia="Calibri" w:hAnsi="Calibri"/>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alibri" w:cs="Calibri" w:eastAsia="Calibri" w:hAnsi="Calibri"/>
                <w:sz w:val="11"/>
                <w:szCs w:val="11"/>
                <w:color w:val="auto"/>
              </w:rPr>
              <w:t>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1"/>
                <w:szCs w:val="11"/>
                <w:color w:val="auto"/>
              </w:rPr>
              <w:t>Issuance of common stock upon vestng of restricted stock units</w:t>
            </w: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right w:val="single" w:sz="8" w:color="auto"/>
            </w:tcBorders>
            <w:gridSpan w:val="2"/>
            <w:shd w:val="clear" w:color="auto" w:fill="CFF0FC"/>
          </w:tcPr>
          <w:p>
            <w:pPr>
              <w:jc w:val="right"/>
              <w:ind w:right="140"/>
              <w:spacing w:after="0"/>
              <w:rPr>
                <w:sz w:val="20"/>
                <w:szCs w:val="20"/>
                <w:color w:val="auto"/>
              </w:rPr>
            </w:pPr>
            <w:r>
              <w:rPr>
                <w:rFonts w:ascii="Calibri" w:cs="Calibri" w:eastAsia="Calibri" w:hAnsi="Calibri"/>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959,935</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Calibri" w:cs="Calibri" w:eastAsia="Calibri" w:hAnsi="Calibri"/>
                <w:sz w:val="11"/>
                <w:szCs w:val="11"/>
                <w:color w:val="auto"/>
              </w:rPr>
              <w:t>—</w:t>
            </w:r>
          </w:p>
        </w:tc>
        <w:tc>
          <w:tcPr>
            <w:tcW w:w="920" w:type="dxa"/>
            <w:vAlign w:val="bottom"/>
            <w:tcBorders>
              <w:bottom w:val="single" w:sz="8" w:color="CFF0FC"/>
              <w:right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1"/>
                <w:szCs w:val="11"/>
                <w:color w:val="auto"/>
              </w:rPr>
              <w:t>—</w:t>
            </w:r>
          </w:p>
        </w:tc>
        <w:tc>
          <w:tcPr>
            <w:tcW w:w="4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w w:val="99"/>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4"/>
        </w:trPr>
        <w:tc>
          <w:tcPr>
            <w:tcW w:w="3560" w:type="dxa"/>
            <w:vAlign w:val="bottom"/>
          </w:tcPr>
          <w:p>
            <w:pPr>
              <w:ind w:left="20"/>
              <w:spacing w:after="0"/>
              <w:rPr>
                <w:sz w:val="20"/>
                <w:szCs w:val="20"/>
                <w:color w:val="auto"/>
              </w:rPr>
            </w:pPr>
            <w:r>
              <w:rPr>
                <w:rFonts w:ascii="Calibri" w:cs="Calibri" w:eastAsia="Calibri" w:hAnsi="Calibri"/>
                <w:sz w:val="11"/>
                <w:szCs w:val="11"/>
                <w:color w:val="auto"/>
              </w:rPr>
              <w:t>Payment of withholding taxes on net share setlements of restricted stock</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rPr>
                <w:sz w:val="20"/>
                <w:szCs w:val="20"/>
                <w:color w:val="auto"/>
              </w:rPr>
            </w:pPr>
            <w:r>
              <w:rPr>
                <w:rFonts w:ascii="Calibri" w:cs="Calibri" w:eastAsia="Calibri" w:hAnsi="Calibri"/>
                <w:sz w:val="11"/>
                <w:szCs w:val="11"/>
                <w:color w:val="auto"/>
              </w:rPr>
              <w:t>units</w:t>
            </w: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Calibri" w:cs="Calibri" w:eastAsia="Calibri" w:hAnsi="Calibri"/>
                <w:sz w:val="11"/>
                <w:szCs w:val="11"/>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00"/>
              <w:spacing w:after="0"/>
              <w:rPr>
                <w:sz w:val="20"/>
                <w:szCs w:val="20"/>
                <w:color w:val="auto"/>
              </w:rPr>
            </w:pPr>
            <w:r>
              <w:rPr>
                <w:rFonts w:ascii="Calibri" w:cs="Calibri" w:eastAsia="Calibri" w:hAnsi="Calibri"/>
                <w:sz w:val="11"/>
                <w:szCs w:val="11"/>
                <w:color w:val="auto"/>
              </w:rPr>
              <w:t>(335,448 )</w:t>
            </w:r>
          </w:p>
        </w:tc>
        <w:tc>
          <w:tcPr>
            <w:tcW w:w="8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Calibri" w:cs="Calibri" w:eastAsia="Calibri" w:hAnsi="Calibri"/>
                <w:sz w:val="11"/>
                <w:szCs w:val="11"/>
                <w:color w:val="auto"/>
              </w:rPr>
              <w:t>—</w:t>
            </w:r>
          </w:p>
        </w:tc>
        <w:tc>
          <w:tcPr>
            <w:tcW w:w="920" w:type="dxa"/>
            <w:vAlign w:val="bottom"/>
            <w:gridSpan w:val="2"/>
          </w:tcPr>
          <w:p>
            <w:pPr>
              <w:jc w:val="right"/>
              <w:ind w:right="240"/>
              <w:spacing w:after="0"/>
              <w:rPr>
                <w:sz w:val="20"/>
                <w:szCs w:val="20"/>
                <w:color w:val="auto"/>
              </w:rPr>
            </w:pPr>
            <w:r>
              <w:rPr>
                <w:rFonts w:ascii="Calibri" w:cs="Calibri" w:eastAsia="Calibri" w:hAnsi="Calibri"/>
                <w:sz w:val="11"/>
                <w:szCs w:val="11"/>
                <w:color w:val="auto"/>
              </w:rPr>
              <w:t>—</w:t>
            </w:r>
          </w:p>
        </w:tc>
        <w:tc>
          <w:tcPr>
            <w:tcW w:w="4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Calibri" w:cs="Calibri" w:eastAsia="Calibri" w:hAnsi="Calibri"/>
                <w:sz w:val="11"/>
                <w:szCs w:val="11"/>
                <w:color w:val="auto"/>
                <w:w w:val="99"/>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1"/>
                <w:szCs w:val="11"/>
                <w:color w:val="auto"/>
              </w:rPr>
              <w:t>(5,652 )</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alibri" w:cs="Calibri" w:eastAsia="Calibri" w:hAnsi="Calibri"/>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Calibri" w:cs="Calibri" w:eastAsia="Calibri" w:hAnsi="Calibri"/>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Calibri" w:cs="Calibri" w:eastAsia="Calibri" w:hAnsi="Calibri"/>
                <w:sz w:val="11"/>
                <w:szCs w:val="11"/>
                <w:color w:val="auto"/>
              </w:rPr>
              <w:t>(5,652 )</w:t>
            </w:r>
          </w:p>
        </w:tc>
        <w:tc>
          <w:tcPr>
            <w:tcW w:w="0" w:type="dxa"/>
            <w:vAlign w:val="bottom"/>
          </w:tcPr>
          <w:p>
            <w:pPr>
              <w:spacing w:after="0"/>
              <w:rPr>
                <w:sz w:val="1"/>
                <w:szCs w:val="1"/>
                <w:color w:val="auto"/>
              </w:rPr>
            </w:pPr>
          </w:p>
        </w:tc>
      </w:tr>
      <w:tr>
        <w:trPr>
          <w:trHeight w:val="28"/>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1"/>
                <w:szCs w:val="11"/>
                <w:color w:val="auto"/>
              </w:rPr>
              <w:t>Repurchase of common stock</w:t>
            </w: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right w:val="single" w:sz="8" w:color="auto"/>
            </w:tcBorders>
            <w:gridSpan w:val="2"/>
            <w:shd w:val="clear" w:color="auto" w:fill="CFF0FC"/>
          </w:tcPr>
          <w:p>
            <w:pPr>
              <w:jc w:val="right"/>
              <w:ind w:right="140"/>
              <w:spacing w:after="0"/>
              <w:rPr>
                <w:sz w:val="20"/>
                <w:szCs w:val="20"/>
                <w:color w:val="auto"/>
              </w:rPr>
            </w:pPr>
            <w:r>
              <w:rPr>
                <w:rFonts w:ascii="Calibri" w:cs="Calibri" w:eastAsia="Calibri" w:hAnsi="Calibri"/>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Calibri" w:cs="Calibri" w:eastAsia="Calibri" w:hAnsi="Calibri"/>
                <w:sz w:val="11"/>
                <w:szCs w:val="11"/>
                <w:color w:val="auto"/>
              </w:rPr>
              <w:t>(3,989,861 )</w:t>
            </w:r>
          </w:p>
        </w:tc>
        <w:tc>
          <w:tcPr>
            <w:tcW w:w="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Calibri" w:cs="Calibri" w:eastAsia="Calibri" w:hAnsi="Calibri"/>
                <w:sz w:val="11"/>
                <w:szCs w:val="11"/>
                <w:color w:val="auto"/>
              </w:rPr>
              <w:t>(4 )</w:t>
            </w:r>
          </w:p>
        </w:tc>
        <w:tc>
          <w:tcPr>
            <w:tcW w:w="920" w:type="dxa"/>
            <w:vAlign w:val="bottom"/>
            <w:tcBorders>
              <w:bottom w:val="single" w:sz="8" w:color="CFF0FC"/>
              <w:right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1"/>
                <w:szCs w:val="11"/>
                <w:color w:val="auto"/>
              </w:rPr>
              <w:t>—</w:t>
            </w:r>
          </w:p>
        </w:tc>
        <w:tc>
          <w:tcPr>
            <w:tcW w:w="4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w w:val="99"/>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1"/>
                <w:szCs w:val="11"/>
                <w:color w:val="auto"/>
              </w:rPr>
              <w:t>(65,760 )</w:t>
            </w: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1"/>
                <w:szCs w:val="11"/>
                <w:color w:val="auto"/>
              </w:rPr>
              <w:t>(65,764 )</w:t>
            </w:r>
          </w:p>
        </w:tc>
        <w:tc>
          <w:tcPr>
            <w:tcW w:w="0" w:type="dxa"/>
            <w:vAlign w:val="bottom"/>
          </w:tcPr>
          <w:p>
            <w:pPr>
              <w:spacing w:after="0"/>
              <w:rPr>
                <w:sz w:val="1"/>
                <w:szCs w:val="1"/>
                <w:color w:val="auto"/>
              </w:rPr>
            </w:pPr>
          </w:p>
        </w:tc>
      </w:tr>
      <w:tr>
        <w:trPr>
          <w:trHeight w:val="134"/>
        </w:trPr>
        <w:tc>
          <w:tcPr>
            <w:tcW w:w="3560" w:type="dxa"/>
            <w:vAlign w:val="bottom"/>
          </w:tcPr>
          <w:p>
            <w:pPr>
              <w:ind w:left="20"/>
              <w:spacing w:after="0"/>
              <w:rPr>
                <w:sz w:val="20"/>
                <w:szCs w:val="20"/>
                <w:color w:val="auto"/>
              </w:rPr>
            </w:pPr>
            <w:r>
              <w:rPr>
                <w:rFonts w:ascii="Calibri" w:cs="Calibri" w:eastAsia="Calibri" w:hAnsi="Calibri"/>
                <w:sz w:val="11"/>
                <w:szCs w:val="11"/>
                <w:color w:val="auto"/>
              </w:rPr>
              <w:t>Tax distributons to redeemable noncontrolling interest holders</w:t>
            </w: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Calibri" w:cs="Calibri" w:eastAsia="Calibri" w:hAnsi="Calibri"/>
                <w:sz w:val="11"/>
                <w:szCs w:val="11"/>
                <w:color w:val="auto"/>
              </w:rPr>
              <w:t>(8 )</w:t>
            </w:r>
          </w:p>
        </w:tc>
        <w:tc>
          <w:tcPr>
            <w:tcW w:w="10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Calibri" w:cs="Calibri" w:eastAsia="Calibri" w:hAnsi="Calibri"/>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Calibri" w:cs="Calibri" w:eastAsia="Calibri" w:hAnsi="Calibri"/>
                <w:sz w:val="11"/>
                <w:szCs w:val="11"/>
                <w:color w:val="auto"/>
              </w:rPr>
              <w:t>—</w:t>
            </w:r>
          </w:p>
        </w:tc>
        <w:tc>
          <w:tcPr>
            <w:tcW w:w="920" w:type="dxa"/>
            <w:vAlign w:val="bottom"/>
            <w:gridSpan w:val="2"/>
          </w:tcPr>
          <w:p>
            <w:pPr>
              <w:jc w:val="right"/>
              <w:ind w:right="240"/>
              <w:spacing w:after="0"/>
              <w:rPr>
                <w:sz w:val="20"/>
                <w:szCs w:val="20"/>
                <w:color w:val="auto"/>
              </w:rPr>
            </w:pPr>
            <w:r>
              <w:rPr>
                <w:rFonts w:ascii="Calibri" w:cs="Calibri" w:eastAsia="Calibri" w:hAnsi="Calibri"/>
                <w:sz w:val="11"/>
                <w:szCs w:val="11"/>
                <w:color w:val="auto"/>
              </w:rPr>
              <w:t>—</w:t>
            </w:r>
          </w:p>
        </w:tc>
        <w:tc>
          <w:tcPr>
            <w:tcW w:w="4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Calibri" w:cs="Calibri" w:eastAsia="Calibri" w:hAnsi="Calibri"/>
                <w:sz w:val="11"/>
                <w:szCs w:val="11"/>
                <w:color w:val="auto"/>
                <w:w w:val="99"/>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Calibri" w:cs="Calibri" w:eastAsia="Calibri" w:hAnsi="Calibri"/>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alibri" w:cs="Calibri" w:eastAsia="Calibri" w:hAnsi="Calibri"/>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Calibri" w:cs="Calibri" w:eastAsia="Calibri" w:hAnsi="Calibri"/>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28"/>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1"/>
                <w:szCs w:val="11"/>
                <w:color w:val="auto"/>
              </w:rPr>
              <w:t>Foreign currency translaton adjustment</w:t>
            </w: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right w:val="single" w:sz="8" w:color="auto"/>
            </w:tcBorders>
            <w:gridSpan w:val="2"/>
            <w:shd w:val="clear" w:color="auto" w:fill="CFF0FC"/>
          </w:tcPr>
          <w:p>
            <w:pPr>
              <w:jc w:val="right"/>
              <w:ind w:right="140"/>
              <w:spacing w:after="0"/>
              <w:rPr>
                <w:sz w:val="20"/>
                <w:szCs w:val="20"/>
                <w:color w:val="auto"/>
              </w:rPr>
            </w:pPr>
            <w:r>
              <w:rPr>
                <w:rFonts w:ascii="Calibri" w:cs="Calibri" w:eastAsia="Calibri" w:hAnsi="Calibri"/>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Calibri" w:cs="Calibri" w:eastAsia="Calibri" w:hAnsi="Calibri"/>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Calibri" w:cs="Calibri" w:eastAsia="Calibri" w:hAnsi="Calibri"/>
                <w:sz w:val="11"/>
                <w:szCs w:val="11"/>
                <w:color w:val="auto"/>
              </w:rPr>
              <w:t>—</w:t>
            </w:r>
          </w:p>
        </w:tc>
        <w:tc>
          <w:tcPr>
            <w:tcW w:w="920" w:type="dxa"/>
            <w:vAlign w:val="bottom"/>
            <w:tcBorders>
              <w:bottom w:val="single" w:sz="8" w:color="CFF0FC"/>
              <w:right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1"/>
                <w:szCs w:val="11"/>
                <w:color w:val="auto"/>
              </w:rPr>
              <w:t>—</w:t>
            </w:r>
          </w:p>
        </w:tc>
        <w:tc>
          <w:tcPr>
            <w:tcW w:w="4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w w:val="99"/>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415</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rPr>
              <w:t>415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60" w:type="dxa"/>
            <w:vAlign w:val="bottom"/>
          </w:tcPr>
          <w:p>
            <w:pPr>
              <w:ind w:left="20"/>
              <w:spacing w:after="0" w:line="128" w:lineRule="exact"/>
              <w:rPr>
                <w:sz w:val="20"/>
                <w:szCs w:val="20"/>
                <w:color w:val="auto"/>
              </w:rPr>
            </w:pPr>
            <w:r>
              <w:rPr>
                <w:rFonts w:ascii="Calibri" w:cs="Calibri" w:eastAsia="Calibri" w:hAnsi="Calibri"/>
                <w:sz w:val="11"/>
                <w:szCs w:val="11"/>
                <w:color w:val="auto"/>
              </w:rPr>
              <w:t>Balance as of March 31, 2023</w:t>
            </w:r>
          </w:p>
        </w:tc>
        <w:tc>
          <w:tcPr>
            <w:tcW w:w="100" w:type="dxa"/>
            <w:vAlign w:val="bottom"/>
          </w:tcPr>
          <w:p>
            <w:pPr>
              <w:ind w:left="20"/>
              <w:spacing w:after="0" w:line="128" w:lineRule="exact"/>
              <w:rPr>
                <w:sz w:val="20"/>
                <w:szCs w:val="20"/>
                <w:color w:val="auto"/>
              </w:rPr>
            </w:pPr>
            <w:r>
              <w:rPr>
                <w:rFonts w:ascii="Calibri" w:cs="Calibri" w:eastAsia="Calibri" w:hAnsi="Calibri"/>
                <w:sz w:val="11"/>
                <w:szCs w:val="11"/>
                <w:color w:val="auto"/>
              </w:rPr>
              <w:t>$</w:t>
            </w:r>
          </w:p>
        </w:tc>
        <w:tc>
          <w:tcPr>
            <w:tcW w:w="500" w:type="dxa"/>
            <w:vAlign w:val="bottom"/>
          </w:tcPr>
          <w:p>
            <w:pPr>
              <w:jc w:val="right"/>
              <w:spacing w:after="0" w:line="128" w:lineRule="exact"/>
              <w:rPr>
                <w:sz w:val="20"/>
                <w:szCs w:val="20"/>
                <w:color w:val="auto"/>
              </w:rPr>
            </w:pPr>
            <w:r>
              <w:rPr>
                <w:rFonts w:ascii="Calibri" w:cs="Calibri" w:eastAsia="Calibri" w:hAnsi="Calibri"/>
                <w:sz w:val="11"/>
                <w:szCs w:val="11"/>
                <w:color w:val="auto"/>
              </w:rPr>
              <w:t>32,475</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Calibri" w:cs="Calibri" w:eastAsia="Calibri" w:hAnsi="Calibri"/>
                <w:sz w:val="11"/>
                <w:szCs w:val="11"/>
                <w:color w:val="auto"/>
              </w:rPr>
              <w:t>98,278,975</w:t>
            </w:r>
          </w:p>
        </w:tc>
        <w:tc>
          <w:tcPr>
            <w:tcW w:w="240" w:type="dxa"/>
            <w:vAlign w:val="bottom"/>
          </w:tcPr>
          <w:p>
            <w:pPr>
              <w:spacing w:after="0"/>
              <w:rPr>
                <w:sz w:val="11"/>
                <w:szCs w:val="11"/>
                <w:color w:val="auto"/>
              </w:rPr>
            </w:pPr>
          </w:p>
        </w:tc>
        <w:tc>
          <w:tcPr>
            <w:tcW w:w="80" w:type="dxa"/>
            <w:vAlign w:val="bottom"/>
          </w:tcPr>
          <w:p>
            <w:pPr>
              <w:jc w:val="right"/>
              <w:spacing w:after="0" w:line="128" w:lineRule="exact"/>
              <w:rPr>
                <w:sz w:val="20"/>
                <w:szCs w:val="20"/>
                <w:color w:val="auto"/>
              </w:rPr>
            </w:pPr>
            <w:r>
              <w:rPr>
                <w:rFonts w:ascii="Calibri" w:cs="Calibri" w:eastAsia="Calibri" w:hAnsi="Calibri"/>
                <w:sz w:val="11"/>
                <w:szCs w:val="11"/>
                <w:color w:val="auto"/>
                <w:w w:val="70"/>
              </w:rPr>
              <w:t>$</w:t>
            </w:r>
          </w:p>
        </w:tc>
        <w:tc>
          <w:tcPr>
            <w:tcW w:w="520" w:type="dxa"/>
            <w:vAlign w:val="bottom"/>
          </w:tcPr>
          <w:p>
            <w:pPr>
              <w:jc w:val="right"/>
              <w:spacing w:after="0" w:line="128" w:lineRule="exact"/>
              <w:rPr>
                <w:sz w:val="20"/>
                <w:szCs w:val="20"/>
                <w:color w:val="auto"/>
              </w:rPr>
            </w:pPr>
            <w:r>
              <w:rPr>
                <w:rFonts w:ascii="Calibri" w:cs="Calibri" w:eastAsia="Calibri" w:hAnsi="Calibri"/>
                <w:sz w:val="11"/>
                <w:szCs w:val="11"/>
                <w:color w:val="auto"/>
              </w:rPr>
              <w:t>98</w:t>
            </w:r>
          </w:p>
        </w:tc>
        <w:tc>
          <w:tcPr>
            <w:tcW w:w="24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Calibri" w:cs="Calibri" w:eastAsia="Calibri" w:hAnsi="Calibri"/>
                <w:sz w:val="11"/>
                <w:szCs w:val="11"/>
                <w:color w:val="auto"/>
              </w:rPr>
              <w:t>15,999,173</w:t>
            </w:r>
          </w:p>
        </w:tc>
        <w:tc>
          <w:tcPr>
            <w:tcW w:w="220" w:type="dxa"/>
            <w:vAlign w:val="bottom"/>
          </w:tcPr>
          <w:p>
            <w:pPr>
              <w:spacing w:after="0"/>
              <w:rPr>
                <w:sz w:val="11"/>
                <w:szCs w:val="11"/>
                <w:color w:val="auto"/>
              </w:rPr>
            </w:pPr>
          </w:p>
        </w:tc>
        <w:tc>
          <w:tcPr>
            <w:tcW w:w="480" w:type="dxa"/>
            <w:vAlign w:val="bottom"/>
          </w:tcPr>
          <w:p>
            <w:pPr>
              <w:jc w:val="right"/>
              <w:ind w:right="366"/>
              <w:spacing w:after="0" w:line="128" w:lineRule="exact"/>
              <w:rPr>
                <w:sz w:val="20"/>
                <w:szCs w:val="20"/>
                <w:color w:val="auto"/>
              </w:rPr>
            </w:pPr>
            <w:r>
              <w:rPr>
                <w:rFonts w:ascii="Calibri" w:cs="Calibri" w:eastAsia="Calibri" w:hAnsi="Calibri"/>
                <w:sz w:val="11"/>
                <w:szCs w:val="11"/>
                <w:color w:val="auto"/>
                <w:w w:val="70"/>
              </w:rPr>
              <w:t>$</w:t>
            </w:r>
          </w:p>
        </w:tc>
        <w:tc>
          <w:tcPr>
            <w:tcW w:w="120" w:type="dxa"/>
            <w:vAlign w:val="bottom"/>
          </w:tcPr>
          <w:p>
            <w:pPr>
              <w:jc w:val="right"/>
              <w:spacing w:after="0" w:line="128" w:lineRule="exact"/>
              <w:rPr>
                <w:sz w:val="20"/>
                <w:szCs w:val="20"/>
                <w:color w:val="auto"/>
              </w:rPr>
            </w:pPr>
            <w:r>
              <w:rPr>
                <w:rFonts w:ascii="Calibri" w:cs="Calibri" w:eastAsia="Calibri" w:hAnsi="Calibri"/>
                <w:sz w:val="11"/>
                <w:szCs w:val="11"/>
                <w:color w:val="auto"/>
                <w:w w:val="89"/>
              </w:rPr>
              <w:t>16</w:t>
            </w:r>
          </w:p>
        </w:tc>
        <w:tc>
          <w:tcPr>
            <w:tcW w:w="220" w:type="dxa"/>
            <w:vAlign w:val="bottom"/>
          </w:tcPr>
          <w:p>
            <w:pPr>
              <w:spacing w:after="0"/>
              <w:rPr>
                <w:sz w:val="11"/>
                <w:szCs w:val="11"/>
                <w:color w:val="auto"/>
              </w:rPr>
            </w:pPr>
          </w:p>
        </w:tc>
        <w:tc>
          <w:tcPr>
            <w:tcW w:w="80" w:type="dxa"/>
            <w:vAlign w:val="bottom"/>
          </w:tcPr>
          <w:p>
            <w:pPr>
              <w:jc w:val="right"/>
              <w:spacing w:after="0" w:line="128" w:lineRule="exact"/>
              <w:rPr>
                <w:sz w:val="20"/>
                <w:szCs w:val="20"/>
                <w:color w:val="auto"/>
              </w:rPr>
            </w:pPr>
            <w:r>
              <w:rPr>
                <w:rFonts w:ascii="Calibri" w:cs="Calibri" w:eastAsia="Calibri" w:hAnsi="Calibri"/>
                <w:sz w:val="11"/>
                <w:szCs w:val="11"/>
                <w:color w:val="auto"/>
              </w:rPr>
              <w:t>$</w:t>
            </w:r>
          </w:p>
        </w:tc>
        <w:tc>
          <w:tcPr>
            <w:tcW w:w="540" w:type="dxa"/>
            <w:vAlign w:val="bottom"/>
          </w:tcPr>
          <w:p>
            <w:pPr>
              <w:jc w:val="right"/>
              <w:spacing w:after="0" w:line="128" w:lineRule="exact"/>
              <w:rPr>
                <w:sz w:val="20"/>
                <w:szCs w:val="20"/>
                <w:color w:val="auto"/>
              </w:rPr>
            </w:pPr>
            <w:r>
              <w:rPr>
                <w:rFonts w:ascii="Calibri" w:cs="Calibri" w:eastAsia="Calibri" w:hAnsi="Calibri"/>
                <w:sz w:val="11"/>
                <w:szCs w:val="11"/>
                <w:color w:val="auto"/>
              </w:rPr>
              <w:t>357,748</w:t>
            </w:r>
          </w:p>
        </w:tc>
        <w:tc>
          <w:tcPr>
            <w:tcW w:w="220" w:type="dxa"/>
            <w:vAlign w:val="bottom"/>
          </w:tcPr>
          <w:p>
            <w:pPr>
              <w:spacing w:after="0"/>
              <w:rPr>
                <w:sz w:val="11"/>
                <w:szCs w:val="11"/>
                <w:color w:val="auto"/>
              </w:rPr>
            </w:pPr>
          </w:p>
        </w:tc>
        <w:tc>
          <w:tcPr>
            <w:tcW w:w="100" w:type="dxa"/>
            <w:vAlign w:val="bottom"/>
          </w:tcPr>
          <w:p>
            <w:pPr>
              <w:jc w:val="right"/>
              <w:spacing w:after="0" w:line="128" w:lineRule="exact"/>
              <w:rPr>
                <w:sz w:val="20"/>
                <w:szCs w:val="20"/>
                <w:color w:val="auto"/>
              </w:rPr>
            </w:pPr>
            <w:r>
              <w:rPr>
                <w:rFonts w:ascii="Calibri" w:cs="Calibri" w:eastAsia="Calibri" w:hAnsi="Calibri"/>
                <w:sz w:val="11"/>
                <w:szCs w:val="11"/>
                <w:color w:val="auto"/>
              </w:rPr>
              <w:t>$</w:t>
            </w:r>
          </w:p>
        </w:tc>
        <w:tc>
          <w:tcPr>
            <w:tcW w:w="520" w:type="dxa"/>
            <w:vAlign w:val="bottom"/>
          </w:tcPr>
          <w:p>
            <w:pPr>
              <w:jc w:val="right"/>
              <w:spacing w:after="0" w:line="128" w:lineRule="exact"/>
              <w:rPr>
                <w:sz w:val="20"/>
                <w:szCs w:val="20"/>
                <w:color w:val="auto"/>
              </w:rPr>
            </w:pPr>
            <w:r>
              <w:rPr>
                <w:rFonts w:ascii="Calibri" w:cs="Calibri" w:eastAsia="Calibri" w:hAnsi="Calibri"/>
                <w:sz w:val="11"/>
                <w:szCs w:val="11"/>
                <w:color w:val="auto"/>
              </w:rPr>
              <w:t>339,175</w:t>
            </w:r>
          </w:p>
        </w:tc>
        <w:tc>
          <w:tcPr>
            <w:tcW w:w="220" w:type="dxa"/>
            <w:vAlign w:val="bottom"/>
          </w:tcPr>
          <w:p>
            <w:pPr>
              <w:spacing w:after="0"/>
              <w:rPr>
                <w:sz w:val="11"/>
                <w:szCs w:val="11"/>
                <w:color w:val="auto"/>
              </w:rPr>
            </w:pPr>
          </w:p>
        </w:tc>
        <w:tc>
          <w:tcPr>
            <w:tcW w:w="120" w:type="dxa"/>
            <w:vAlign w:val="bottom"/>
          </w:tcPr>
          <w:p>
            <w:pPr>
              <w:ind w:left="20"/>
              <w:spacing w:after="0" w:line="128" w:lineRule="exact"/>
              <w:rPr>
                <w:sz w:val="20"/>
                <w:szCs w:val="20"/>
                <w:color w:val="auto"/>
              </w:rPr>
            </w:pPr>
            <w:r>
              <w:rPr>
                <w:rFonts w:ascii="Calibri" w:cs="Calibri" w:eastAsia="Calibri" w:hAnsi="Calibri"/>
                <w:sz w:val="11"/>
                <w:szCs w:val="11"/>
                <w:color w:val="auto"/>
              </w:rPr>
              <w:t>$</w:t>
            </w:r>
          </w:p>
        </w:tc>
        <w:tc>
          <w:tcPr>
            <w:tcW w:w="720" w:type="dxa"/>
            <w:vAlign w:val="bottom"/>
            <w:gridSpan w:val="2"/>
          </w:tcPr>
          <w:p>
            <w:pPr>
              <w:jc w:val="right"/>
              <w:ind w:right="180"/>
              <w:spacing w:after="0" w:line="128" w:lineRule="exact"/>
              <w:rPr>
                <w:sz w:val="20"/>
                <w:szCs w:val="20"/>
                <w:color w:val="auto"/>
              </w:rPr>
            </w:pPr>
            <w:r>
              <w:rPr>
                <w:rFonts w:ascii="Calibri" w:cs="Calibri" w:eastAsia="Calibri" w:hAnsi="Calibri"/>
                <w:sz w:val="11"/>
                <w:szCs w:val="11"/>
                <w:color w:val="auto"/>
              </w:rPr>
              <w:t>(1,229 )</w:t>
            </w:r>
          </w:p>
        </w:tc>
        <w:tc>
          <w:tcPr>
            <w:tcW w:w="120" w:type="dxa"/>
            <w:vAlign w:val="bottom"/>
          </w:tcPr>
          <w:p>
            <w:pPr>
              <w:jc w:val="right"/>
              <w:ind w:right="6"/>
              <w:spacing w:after="0" w:line="128" w:lineRule="exact"/>
              <w:rPr>
                <w:sz w:val="20"/>
                <w:szCs w:val="20"/>
                <w:color w:val="auto"/>
              </w:rPr>
            </w:pPr>
            <w:r>
              <w:rPr>
                <w:rFonts w:ascii="Calibri" w:cs="Calibri" w:eastAsia="Calibri" w:hAnsi="Calibri"/>
                <w:sz w:val="11"/>
                <w:szCs w:val="11"/>
                <w:color w:val="auto"/>
                <w:w w:val="70"/>
              </w:rPr>
              <w:t>$</w:t>
            </w:r>
          </w:p>
        </w:tc>
        <w:tc>
          <w:tcPr>
            <w:tcW w:w="560" w:type="dxa"/>
            <w:vAlign w:val="bottom"/>
          </w:tcPr>
          <w:p>
            <w:pPr>
              <w:jc w:val="right"/>
              <w:spacing w:after="0" w:line="128" w:lineRule="exact"/>
              <w:rPr>
                <w:sz w:val="20"/>
                <w:szCs w:val="20"/>
                <w:color w:val="auto"/>
              </w:rPr>
            </w:pPr>
            <w:r>
              <w:rPr>
                <w:rFonts w:ascii="Calibri" w:cs="Calibri" w:eastAsia="Calibri" w:hAnsi="Calibri"/>
                <w:sz w:val="11"/>
                <w:szCs w:val="11"/>
                <w:color w:val="auto"/>
              </w:rPr>
              <w:t>695,808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-1276985</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-1259205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-1276985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-1259205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-1276985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-1259205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-1276985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-1259205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-1276985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-1259205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-1276985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-1259205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-1276985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-1259205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-1276985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-1259205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-136525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-136525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-136525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-136525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-136525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-136525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-136525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-136525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The accompanying notes are an integral part of these Unaudited Condensed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8" w:name="page9"/>
    <w:bookmarkEnd w:id="8"/>
    <w:p>
      <w:pPr>
        <w:jc w:val="center"/>
        <w:spacing w:after="0"/>
        <w:rPr>
          <w:sz w:val="20"/>
          <w:szCs w:val="20"/>
          <w:color w:val="auto"/>
        </w:rPr>
      </w:pPr>
      <w:r>
        <w:rPr>
          <w:rFonts w:ascii="Calibri" w:cs="Calibri" w:eastAsia="Calibri" w:hAnsi="Calibri"/>
          <w:sz w:val="16"/>
          <w:szCs w:val="16"/>
          <w:b w:val="1"/>
          <w:bCs w:val="1"/>
          <w:color w:val="auto"/>
        </w:rPr>
        <w:t>CarGurus, Inc.</w:t>
      </w:r>
    </w:p>
    <w:p>
      <w:pPr>
        <w:spacing w:after="0" w:line="115"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Unaudited Condensed Consolidated Statements of Cash Flows</w:t>
      </w:r>
    </w:p>
    <w:p>
      <w:pPr>
        <w:spacing w:after="0" w:line="115"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80" w:type="dxa"/>
            <w:vAlign w:val="bottom"/>
            <w:gridSpan w:val="3"/>
          </w:tcPr>
          <w:p>
            <w:pPr>
              <w:jc w:val="right"/>
              <w:ind w:right="148"/>
              <w:spacing w:after="0"/>
              <w:rPr>
                <w:sz w:val="20"/>
                <w:szCs w:val="20"/>
                <w:color w:val="auto"/>
              </w:rPr>
            </w:pPr>
            <w:r>
              <w:rPr>
                <w:rFonts w:ascii="Calibri" w:cs="Calibri" w:eastAsia="Calibri" w:hAnsi="Calibri"/>
                <w:sz w:val="14"/>
                <w:szCs w:val="14"/>
                <w:b w:val="1"/>
                <w:bCs w:val="1"/>
                <w:color w:val="auto"/>
              </w:rPr>
              <w:t>Three Months Ended</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80" w:type="dxa"/>
            <w:vAlign w:val="bottom"/>
            <w:gridSpan w:val="3"/>
          </w:tcPr>
          <w:p>
            <w:pPr>
              <w:jc w:val="right"/>
              <w:ind w:right="468"/>
              <w:spacing w:after="0"/>
              <w:rPr>
                <w:sz w:val="20"/>
                <w:szCs w:val="20"/>
                <w:color w:val="auto"/>
              </w:rPr>
            </w:pPr>
            <w:r>
              <w:rPr>
                <w:rFonts w:ascii="Calibri" w:cs="Calibri" w:eastAsia="Calibri" w:hAnsi="Calibri"/>
                <w:sz w:val="14"/>
                <w:szCs w:val="14"/>
                <w:b w:val="1"/>
                <w:bCs w:val="1"/>
                <w:color w:val="auto"/>
              </w:rPr>
              <w:t>March 31,</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66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680" w:type="dxa"/>
            <w:vAlign w:val="bottom"/>
          </w:tcPr>
          <w:p>
            <w:pPr>
              <w:spacing w:after="0"/>
              <w:rPr>
                <w:sz w:val="14"/>
                <w:szCs w:val="14"/>
                <w:color w:val="auto"/>
              </w:rPr>
            </w:pPr>
          </w:p>
        </w:tc>
        <w:tc>
          <w:tcPr>
            <w:tcW w:w="1380" w:type="dxa"/>
            <w:vAlign w:val="bottom"/>
          </w:tcPr>
          <w:p>
            <w:pPr>
              <w:jc w:val="right"/>
              <w:ind w:right="128"/>
              <w:spacing w:after="0" w:line="164" w:lineRule="exact"/>
              <w:rPr>
                <w:sz w:val="20"/>
                <w:szCs w:val="20"/>
                <w:color w:val="auto"/>
              </w:rPr>
            </w:pPr>
            <w:r>
              <w:rPr>
                <w:rFonts w:ascii="Calibri" w:cs="Calibri" w:eastAsia="Calibri" w:hAnsi="Calibri"/>
                <w:sz w:val="14"/>
                <w:szCs w:val="14"/>
                <w:b w:val="1"/>
                <w:bCs w:val="1"/>
                <w:color w:val="auto"/>
              </w:rPr>
              <w:t>2024</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tcPr>
          <w:p>
            <w:pPr>
              <w:jc w:val="right"/>
              <w:ind w:right="788"/>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668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Operatng Actvites</w:t>
            </w:r>
          </w:p>
        </w:tc>
        <w:tc>
          <w:tcPr>
            <w:tcW w:w="13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Consolidated net income</w:t>
            </w:r>
          </w:p>
        </w:tc>
        <w:tc>
          <w:tcPr>
            <w:tcW w:w="1380" w:type="dxa"/>
            <w:vAlign w:val="bottom"/>
          </w:tcPr>
          <w:p>
            <w:pPr>
              <w:jc w:val="right"/>
              <w:ind w:right="1228"/>
              <w:spacing w:after="0"/>
              <w:rPr>
                <w:sz w:val="20"/>
                <w:szCs w:val="20"/>
                <w:color w:val="auto"/>
              </w:rPr>
            </w:pPr>
            <w:r>
              <w:rPr>
                <w:rFonts w:ascii="Calibri" w:cs="Calibri" w:eastAsia="Calibri" w:hAnsi="Calibri"/>
                <w:sz w:val="14"/>
                <w:szCs w:val="14"/>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21,301</w:t>
            </w:r>
          </w:p>
        </w:tc>
        <w:tc>
          <w:tcPr>
            <w:tcW w:w="400" w:type="dxa"/>
            <w:vAlign w:val="bottom"/>
          </w:tcPr>
          <w:p>
            <w:pPr>
              <w:spacing w:after="0"/>
              <w:rPr>
                <w:sz w:val="14"/>
                <w:szCs w:val="14"/>
                <w:color w:val="auto"/>
              </w:rPr>
            </w:pPr>
          </w:p>
        </w:tc>
        <w:tc>
          <w:tcPr>
            <w:tcW w:w="600" w:type="dxa"/>
            <w:vAlign w:val="bottom"/>
          </w:tcPr>
          <w:p>
            <w:pPr>
              <w:jc w:val="right"/>
              <w:ind w:right="448"/>
              <w:spacing w:after="0"/>
              <w:rPr>
                <w:sz w:val="20"/>
                <w:szCs w:val="20"/>
                <w:color w:val="auto"/>
              </w:rPr>
            </w:pPr>
            <w:r>
              <w:rPr>
                <w:rFonts w:ascii="Calibri" w:cs="Calibri" w:eastAsia="Calibri" w:hAnsi="Calibri"/>
                <w:sz w:val="14"/>
                <w:szCs w:val="14"/>
                <w:color w:val="auto"/>
                <w:w w:val="83"/>
              </w:rPr>
              <w:t>$</w:t>
            </w:r>
          </w:p>
        </w:tc>
        <w:tc>
          <w:tcPr>
            <w:tcW w:w="1400" w:type="dxa"/>
            <w:vAlign w:val="bottom"/>
          </w:tcPr>
          <w:p>
            <w:pPr>
              <w:jc w:val="right"/>
              <w:spacing w:after="0"/>
              <w:rPr>
                <w:sz w:val="20"/>
                <w:szCs w:val="20"/>
                <w:color w:val="auto"/>
              </w:rPr>
            </w:pPr>
            <w:r>
              <w:rPr>
                <w:rFonts w:ascii="Calibri" w:cs="Calibri" w:eastAsia="Calibri" w:hAnsi="Calibri"/>
                <w:sz w:val="14"/>
                <w:szCs w:val="14"/>
                <w:color w:val="auto"/>
              </w:rPr>
              <w:t>11,866</w:t>
            </w:r>
          </w:p>
        </w:tc>
        <w:tc>
          <w:tcPr>
            <w:tcW w:w="100" w:type="dxa"/>
            <w:vAlign w:val="bottom"/>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Adjustments to reconcile consolidated net income to net cash provided by operatng actvites:</w:t>
            </w:r>
          </w:p>
        </w:tc>
        <w:tc>
          <w:tcPr>
            <w:tcW w:w="13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Depreciaton and amortzaton</w:t>
            </w:r>
          </w:p>
        </w:tc>
        <w:tc>
          <w:tcPr>
            <w:tcW w:w="1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7,481</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alibri" w:cs="Calibri" w:eastAsia="Calibri" w:hAnsi="Calibri"/>
                <w:sz w:val="14"/>
                <w:szCs w:val="14"/>
                <w:color w:val="auto"/>
              </w:rPr>
              <w:t>11,576</w:t>
            </w:r>
          </w:p>
        </w:tc>
        <w:tc>
          <w:tcPr>
            <w:tcW w:w="100" w:type="dxa"/>
            <w:vAlign w:val="bottom"/>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Gain on sale of property and equipment</w:t>
            </w:r>
          </w:p>
        </w:tc>
        <w:tc>
          <w:tcPr>
            <w:tcW w:w="13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420"/>
              <w:spacing w:after="0"/>
              <w:rPr>
                <w:sz w:val="20"/>
                <w:szCs w:val="20"/>
                <w:color w:val="auto"/>
              </w:rPr>
            </w:pPr>
            <w:r>
              <w:rPr>
                <w:rFonts w:ascii="Calibri" w:cs="Calibri" w:eastAsia="Calibri" w:hAnsi="Calibri"/>
                <w:sz w:val="14"/>
                <w:szCs w:val="14"/>
                <w:color w:val="auto"/>
              </w:rPr>
              <w:t>—</w:t>
            </w:r>
          </w:p>
        </w:tc>
        <w:tc>
          <w:tcPr>
            <w:tcW w:w="60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(460 )</w:t>
            </w: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Currency loss (gain) on foreign denominated transactons</w:t>
            </w:r>
          </w:p>
        </w:tc>
        <w:tc>
          <w:tcPr>
            <w:tcW w:w="1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384</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(198 )</w:t>
            </w: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Deferred taxes</w:t>
            </w:r>
          </w:p>
        </w:tc>
        <w:tc>
          <w:tcPr>
            <w:tcW w:w="13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Calibri" w:cs="Calibri" w:eastAsia="Calibri" w:hAnsi="Calibri"/>
                <w:sz w:val="14"/>
                <w:szCs w:val="14"/>
                <w:color w:val="auto"/>
              </w:rPr>
              <w:t>(9,052 )</w:t>
            </w:r>
          </w:p>
        </w:tc>
        <w:tc>
          <w:tcPr>
            <w:tcW w:w="60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(11,921 )</w:t>
            </w: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Provision (Recoveries) for doubtul accounts</w:t>
            </w:r>
          </w:p>
        </w:tc>
        <w:tc>
          <w:tcPr>
            <w:tcW w:w="1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290</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(300 )</w:t>
            </w: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Stock-based compensaton expense</w:t>
            </w:r>
          </w:p>
        </w:tc>
        <w:tc>
          <w:tcPr>
            <w:tcW w:w="13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15,822</w:t>
            </w: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14,904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Amortzaton of deferred fnancing costs</w:t>
            </w:r>
          </w:p>
        </w:tc>
        <w:tc>
          <w:tcPr>
            <w:tcW w:w="1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129</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alibri" w:cs="Calibri" w:eastAsia="Calibri" w:hAnsi="Calibri"/>
                <w:sz w:val="14"/>
                <w:szCs w:val="14"/>
                <w:color w:val="auto"/>
              </w:rPr>
              <w:t>129</w:t>
            </w:r>
          </w:p>
        </w:tc>
        <w:tc>
          <w:tcPr>
            <w:tcW w:w="100" w:type="dxa"/>
            <w:vAlign w:val="bottom"/>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Amortzaton of deferred contract costs</w:t>
            </w:r>
          </w:p>
        </w:tc>
        <w:tc>
          <w:tcPr>
            <w:tcW w:w="13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3,258</w:t>
            </w: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2,737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Impairment of long-lived assets</w:t>
            </w:r>
          </w:p>
        </w:tc>
        <w:tc>
          <w:tcPr>
            <w:tcW w:w="13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Calibri" w:cs="Calibri" w:eastAsia="Calibri" w:hAnsi="Calibri"/>
                <w:sz w:val="14"/>
                <w:szCs w:val="14"/>
                <w:color w:val="auto"/>
              </w:rPr>
              <w:t>—</w:t>
            </w:r>
          </w:p>
        </w:tc>
        <w:tc>
          <w:tcPr>
            <w:tcW w:w="6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alibri" w:cs="Calibri" w:eastAsia="Calibri" w:hAnsi="Calibri"/>
                <w:sz w:val="14"/>
                <w:szCs w:val="14"/>
                <w:color w:val="auto"/>
              </w:rPr>
              <w:t>175</w:t>
            </w:r>
          </w:p>
        </w:tc>
        <w:tc>
          <w:tcPr>
            <w:tcW w:w="100" w:type="dxa"/>
            <w:vAlign w:val="bottom"/>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Changes in operatng assets and liabilites:</w:t>
            </w:r>
          </w:p>
        </w:tc>
        <w:tc>
          <w:tcPr>
            <w:tcW w:w="13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680" w:type="dxa"/>
            <w:vAlign w:val="bottom"/>
          </w:tcPr>
          <w:p>
            <w:pPr>
              <w:ind w:left="160"/>
              <w:spacing w:after="0"/>
              <w:rPr>
                <w:sz w:val="20"/>
                <w:szCs w:val="20"/>
                <w:color w:val="auto"/>
              </w:rPr>
            </w:pPr>
            <w:r>
              <w:rPr>
                <w:rFonts w:ascii="Calibri" w:cs="Calibri" w:eastAsia="Calibri" w:hAnsi="Calibri"/>
                <w:sz w:val="14"/>
                <w:szCs w:val="14"/>
                <w:color w:val="auto"/>
              </w:rPr>
              <w:t>Accounts receivable</w:t>
            </w:r>
          </w:p>
        </w:tc>
        <w:tc>
          <w:tcPr>
            <w:tcW w:w="138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Calibri" w:cs="Calibri" w:eastAsia="Calibri" w:hAnsi="Calibri"/>
                <w:sz w:val="14"/>
                <w:szCs w:val="14"/>
                <w:color w:val="auto"/>
              </w:rPr>
              <w:t>(4,182 )</w:t>
            </w:r>
          </w:p>
        </w:tc>
        <w:tc>
          <w:tcPr>
            <w:tcW w:w="6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alibri" w:cs="Calibri" w:eastAsia="Calibri" w:hAnsi="Calibri"/>
                <w:sz w:val="14"/>
                <w:szCs w:val="14"/>
                <w:color w:val="auto"/>
              </w:rPr>
              <w:t>6,858</w:t>
            </w:r>
          </w:p>
        </w:tc>
        <w:tc>
          <w:tcPr>
            <w:tcW w:w="100" w:type="dxa"/>
            <w:vAlign w:val="bottom"/>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4"/>
                <w:szCs w:val="14"/>
                <w:color w:val="auto"/>
              </w:rPr>
              <w:t>Inventory</w:t>
            </w:r>
          </w:p>
        </w:tc>
        <w:tc>
          <w:tcPr>
            <w:tcW w:w="13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Calibri" w:cs="Calibri" w:eastAsia="Calibri" w:hAnsi="Calibri"/>
                <w:sz w:val="14"/>
                <w:szCs w:val="14"/>
                <w:color w:val="auto"/>
              </w:rPr>
              <w:t>(319 )</w:t>
            </w:r>
          </w:p>
        </w:tc>
        <w:tc>
          <w:tcPr>
            <w:tcW w:w="6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3,645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680" w:type="dxa"/>
            <w:vAlign w:val="bottom"/>
          </w:tcPr>
          <w:p>
            <w:pPr>
              <w:ind w:left="160"/>
              <w:spacing w:after="0"/>
              <w:rPr>
                <w:sz w:val="20"/>
                <w:szCs w:val="20"/>
                <w:color w:val="auto"/>
              </w:rPr>
            </w:pPr>
            <w:r>
              <w:rPr>
                <w:rFonts w:ascii="Calibri" w:cs="Calibri" w:eastAsia="Calibri" w:hAnsi="Calibri"/>
                <w:sz w:val="14"/>
                <w:szCs w:val="14"/>
                <w:color w:val="auto"/>
              </w:rPr>
              <w:t>Prepaid expenses, prepaid income taxes, and other assets</w:t>
            </w:r>
          </w:p>
        </w:tc>
        <w:tc>
          <w:tcPr>
            <w:tcW w:w="1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5,974</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alibri" w:cs="Calibri" w:eastAsia="Calibri" w:hAnsi="Calibri"/>
                <w:sz w:val="14"/>
                <w:szCs w:val="14"/>
                <w:color w:val="auto"/>
              </w:rPr>
              <w:t>4,652</w:t>
            </w:r>
          </w:p>
        </w:tc>
        <w:tc>
          <w:tcPr>
            <w:tcW w:w="100" w:type="dxa"/>
            <w:vAlign w:val="bottom"/>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4"/>
                <w:szCs w:val="14"/>
                <w:color w:val="auto"/>
              </w:rPr>
              <w:t>Deferred contract costs</w:t>
            </w:r>
          </w:p>
        </w:tc>
        <w:tc>
          <w:tcPr>
            <w:tcW w:w="13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Calibri" w:cs="Calibri" w:eastAsia="Calibri" w:hAnsi="Calibri"/>
                <w:sz w:val="14"/>
                <w:szCs w:val="14"/>
                <w:color w:val="auto"/>
              </w:rPr>
              <w:t>(3,326 )</w:t>
            </w:r>
          </w:p>
        </w:tc>
        <w:tc>
          <w:tcPr>
            <w:tcW w:w="60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(5,138 )</w:t>
            </w:r>
          </w:p>
        </w:tc>
      </w:tr>
      <w:tr>
        <w:trPr>
          <w:trHeight w:val="170"/>
        </w:trPr>
        <w:tc>
          <w:tcPr>
            <w:tcW w:w="6680" w:type="dxa"/>
            <w:vAlign w:val="bottom"/>
          </w:tcPr>
          <w:p>
            <w:pPr>
              <w:ind w:left="160"/>
              <w:spacing w:after="0"/>
              <w:rPr>
                <w:sz w:val="20"/>
                <w:szCs w:val="20"/>
                <w:color w:val="auto"/>
              </w:rPr>
            </w:pPr>
            <w:r>
              <w:rPr>
                <w:rFonts w:ascii="Calibri" w:cs="Calibri" w:eastAsia="Calibri" w:hAnsi="Calibri"/>
                <w:sz w:val="14"/>
                <w:szCs w:val="14"/>
                <w:color w:val="auto"/>
              </w:rPr>
              <w:t>Accounts payable</w:t>
            </w:r>
          </w:p>
        </w:tc>
        <w:tc>
          <w:tcPr>
            <w:tcW w:w="1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707</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alibri" w:cs="Calibri" w:eastAsia="Calibri" w:hAnsi="Calibri"/>
                <w:sz w:val="14"/>
                <w:szCs w:val="14"/>
                <w:color w:val="auto"/>
              </w:rPr>
              <w:t>10,268</w:t>
            </w:r>
          </w:p>
        </w:tc>
        <w:tc>
          <w:tcPr>
            <w:tcW w:w="100" w:type="dxa"/>
            <w:vAlign w:val="bottom"/>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4"/>
                <w:szCs w:val="14"/>
                <w:color w:val="auto"/>
              </w:rPr>
              <w:t>Accrued expenses, accrued income taxes, and other liabilites</w:t>
            </w:r>
          </w:p>
        </w:tc>
        <w:tc>
          <w:tcPr>
            <w:tcW w:w="13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681</w:t>
            </w: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4,542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680" w:type="dxa"/>
            <w:vAlign w:val="bottom"/>
          </w:tcPr>
          <w:p>
            <w:pPr>
              <w:ind w:left="160"/>
              <w:spacing w:after="0"/>
              <w:rPr>
                <w:sz w:val="20"/>
                <w:szCs w:val="20"/>
                <w:color w:val="auto"/>
              </w:rPr>
            </w:pPr>
            <w:r>
              <w:rPr>
                <w:rFonts w:ascii="Calibri" w:cs="Calibri" w:eastAsia="Calibri" w:hAnsi="Calibri"/>
                <w:sz w:val="14"/>
                <w:szCs w:val="14"/>
                <w:color w:val="auto"/>
              </w:rPr>
              <w:t>Deferred revenue</w:t>
            </w:r>
          </w:p>
        </w:tc>
        <w:tc>
          <w:tcPr>
            <w:tcW w:w="1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120</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alibri" w:cs="Calibri" w:eastAsia="Calibri" w:hAnsi="Calibri"/>
                <w:sz w:val="14"/>
                <w:szCs w:val="14"/>
                <w:color w:val="auto"/>
              </w:rPr>
              <w:t>8,557</w:t>
            </w:r>
          </w:p>
        </w:tc>
        <w:tc>
          <w:tcPr>
            <w:tcW w:w="100" w:type="dxa"/>
            <w:vAlign w:val="bottom"/>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66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4"/>
                <w:szCs w:val="14"/>
                <w:color w:val="auto"/>
              </w:rPr>
              <w:t>Lease obligatons</w:t>
            </w:r>
          </w:p>
        </w:tc>
        <w:tc>
          <w:tcPr>
            <w:tcW w:w="13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12,696</w:t>
            </w:r>
          </w:p>
        </w:tc>
        <w:tc>
          <w:tcPr>
            <w:tcW w:w="4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4,453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63"/>
        </w:trPr>
        <w:tc>
          <w:tcPr>
            <w:tcW w:w="6680" w:type="dxa"/>
            <w:vAlign w:val="bottom"/>
            <w:tcBorders>
              <w:top w:val="single" w:sz="8" w:color="CFF0FC"/>
            </w:tcBorders>
          </w:tcPr>
          <w:p>
            <w:pPr>
              <w:ind w:left="20"/>
              <w:spacing w:after="0" w:line="164" w:lineRule="exact"/>
              <w:rPr>
                <w:sz w:val="20"/>
                <w:szCs w:val="20"/>
                <w:color w:val="auto"/>
              </w:rPr>
            </w:pPr>
            <w:r>
              <w:rPr>
                <w:rFonts w:ascii="Calibri" w:cs="Calibri" w:eastAsia="Calibri" w:hAnsi="Calibri"/>
                <w:sz w:val="14"/>
                <w:szCs w:val="14"/>
                <w:color w:val="auto"/>
              </w:rPr>
              <w:t>Net cash provided by operatng actvites</w:t>
            </w:r>
          </w:p>
        </w:tc>
        <w:tc>
          <w:tcPr>
            <w:tcW w:w="13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51,964</w:t>
            </w:r>
          </w:p>
        </w:tc>
        <w:tc>
          <w:tcPr>
            <w:tcW w:w="400" w:type="dxa"/>
            <w:vAlign w:val="bottom"/>
            <w:tcBorders>
              <w:top w:val="single" w:sz="8" w:color="CFF0FC"/>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66,345</w:t>
            </w:r>
          </w:p>
        </w:tc>
        <w:tc>
          <w:tcPr>
            <w:tcW w:w="100" w:type="dxa"/>
            <w:vAlign w:val="bottom"/>
            <w:tcBorders>
              <w:top w:val="single" w:sz="8" w:color="CFF0FC"/>
            </w:tcBorders>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668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b w:val="1"/>
                <w:bCs w:val="1"/>
                <w:color w:val="auto"/>
              </w:rPr>
              <w:t>Investng Actvites</w:t>
            </w:r>
          </w:p>
        </w:tc>
        <w:tc>
          <w:tcPr>
            <w:tcW w:w="13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Purchases of property and equipment</w:t>
            </w:r>
          </w:p>
        </w:tc>
        <w:tc>
          <w:tcPr>
            <w:tcW w:w="138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Calibri" w:cs="Calibri" w:eastAsia="Calibri" w:hAnsi="Calibri"/>
                <w:sz w:val="14"/>
                <w:szCs w:val="14"/>
                <w:color w:val="auto"/>
              </w:rPr>
              <w:t>(28,665 )</w:t>
            </w:r>
          </w:p>
        </w:tc>
        <w:tc>
          <w:tcPr>
            <w:tcW w:w="600" w:type="dxa"/>
            <w:vAlign w:val="bottom"/>
          </w:tcPr>
          <w:p>
            <w:pPr>
              <w:spacing w:after="0"/>
              <w:rPr>
                <w:sz w:val="14"/>
                <w:szCs w:val="14"/>
                <w:color w:val="auto"/>
              </w:rPr>
            </w:pPr>
          </w:p>
        </w:tc>
        <w:tc>
          <w:tcPr>
            <w:tcW w:w="15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(2,398 )</w:t>
            </w: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Capitalizaton of website development costs</w:t>
            </w:r>
          </w:p>
        </w:tc>
        <w:tc>
          <w:tcPr>
            <w:tcW w:w="13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Calibri" w:cs="Calibri" w:eastAsia="Calibri" w:hAnsi="Calibri"/>
                <w:sz w:val="14"/>
                <w:szCs w:val="14"/>
                <w:color w:val="auto"/>
              </w:rPr>
              <w:t>(5,465 )</w:t>
            </w:r>
          </w:p>
        </w:tc>
        <w:tc>
          <w:tcPr>
            <w:tcW w:w="60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(3,489 )</w:t>
            </w: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Purchases of short-term investments</w:t>
            </w:r>
          </w:p>
        </w:tc>
        <w:tc>
          <w:tcPr>
            <w:tcW w:w="138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Calibri" w:cs="Calibri" w:eastAsia="Calibri" w:hAnsi="Calibri"/>
                <w:sz w:val="14"/>
                <w:szCs w:val="14"/>
                <w:color w:val="auto"/>
              </w:rPr>
              <w:t>(494 )</w:t>
            </w:r>
          </w:p>
        </w:tc>
        <w:tc>
          <w:tcPr>
            <w:tcW w:w="60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Sale of short-term investments</w:t>
            </w:r>
          </w:p>
        </w:tc>
        <w:tc>
          <w:tcPr>
            <w:tcW w:w="13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21,218</w:t>
            </w: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Advance payments to customers, net of collectons</w:t>
            </w:r>
          </w:p>
        </w:tc>
        <w:tc>
          <w:tcPr>
            <w:tcW w:w="1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259</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r>
      <w:tr>
        <w:trPr>
          <w:trHeight w:val="33"/>
        </w:trPr>
        <w:tc>
          <w:tcPr>
            <w:tcW w:w="66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668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color w:val="auto"/>
              </w:rPr>
              <w:t>Net cash used in investng actvites</w:t>
            </w:r>
          </w:p>
        </w:tc>
        <w:tc>
          <w:tcPr>
            <w:tcW w:w="13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gridSpan w:val="2"/>
            <w:shd w:val="clear" w:color="auto" w:fill="CFF0FC"/>
          </w:tcPr>
          <w:p>
            <w:pPr>
              <w:jc w:val="right"/>
              <w:ind w:right="340"/>
              <w:spacing w:after="0" w:line="164" w:lineRule="exact"/>
              <w:rPr>
                <w:sz w:val="20"/>
                <w:szCs w:val="20"/>
                <w:color w:val="auto"/>
              </w:rPr>
            </w:pPr>
            <w:r>
              <w:rPr>
                <w:rFonts w:ascii="Calibri" w:cs="Calibri" w:eastAsia="Calibri" w:hAnsi="Calibri"/>
                <w:sz w:val="14"/>
                <w:szCs w:val="14"/>
                <w:color w:val="auto"/>
              </w:rPr>
              <w:t>(13,147 )</w:t>
            </w:r>
          </w:p>
        </w:tc>
        <w:tc>
          <w:tcPr>
            <w:tcW w:w="60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gridSpan w:val="2"/>
            <w:shd w:val="clear" w:color="auto" w:fill="CFF0FC"/>
          </w:tcPr>
          <w:p>
            <w:pPr>
              <w:jc w:val="right"/>
              <w:ind w:right="60"/>
              <w:spacing w:after="0" w:line="164" w:lineRule="exact"/>
              <w:rPr>
                <w:sz w:val="20"/>
                <w:szCs w:val="20"/>
                <w:color w:val="auto"/>
              </w:rPr>
            </w:pPr>
            <w:r>
              <w:rPr>
                <w:rFonts w:ascii="Calibri" w:cs="Calibri" w:eastAsia="Calibri" w:hAnsi="Calibri"/>
                <w:sz w:val="14"/>
                <w:szCs w:val="14"/>
                <w:color w:val="auto"/>
              </w:rPr>
              <w:t>(5,887 )</w:t>
            </w:r>
          </w:p>
        </w:tc>
      </w:tr>
      <w:tr>
        <w:trPr>
          <w:trHeight w:val="163"/>
        </w:trPr>
        <w:tc>
          <w:tcPr>
            <w:tcW w:w="6680" w:type="dxa"/>
            <w:vAlign w:val="bottom"/>
            <w:tcBorders>
              <w:top w:val="single" w:sz="8" w:color="CFF0FC"/>
            </w:tcBorders>
          </w:tcPr>
          <w:p>
            <w:pPr>
              <w:ind w:left="20"/>
              <w:spacing w:after="0" w:line="164" w:lineRule="exact"/>
              <w:rPr>
                <w:sz w:val="20"/>
                <w:szCs w:val="20"/>
                <w:color w:val="auto"/>
              </w:rPr>
            </w:pPr>
            <w:r>
              <w:rPr>
                <w:rFonts w:ascii="Calibri" w:cs="Calibri" w:eastAsia="Calibri" w:hAnsi="Calibri"/>
                <w:sz w:val="14"/>
                <w:szCs w:val="14"/>
                <w:b w:val="1"/>
                <w:bCs w:val="1"/>
                <w:color w:val="auto"/>
              </w:rPr>
              <w:t>Financing Actvites</w:t>
            </w:r>
          </w:p>
        </w:tc>
        <w:tc>
          <w:tcPr>
            <w:tcW w:w="13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0" w:type="dxa"/>
            <w:vAlign w:val="bottom"/>
            <w:tcBorders>
              <w:top w:val="single" w:sz="8" w:color="CFF0FC"/>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Proceeds from issuance of common stock upon exercise of stock optons</w:t>
            </w:r>
          </w:p>
        </w:tc>
        <w:tc>
          <w:tcPr>
            <w:tcW w:w="13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11</w:t>
            </w: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Payment of withholding taxes on net share setlements of restricted stock units</w:t>
            </w:r>
          </w:p>
        </w:tc>
        <w:tc>
          <w:tcPr>
            <w:tcW w:w="138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Calibri" w:cs="Calibri" w:eastAsia="Calibri" w:hAnsi="Calibri"/>
                <w:sz w:val="14"/>
                <w:szCs w:val="14"/>
                <w:color w:val="auto"/>
              </w:rPr>
              <w:t>(5,115 )</w:t>
            </w:r>
          </w:p>
        </w:tc>
        <w:tc>
          <w:tcPr>
            <w:tcW w:w="600" w:type="dxa"/>
            <w:vAlign w:val="bottom"/>
          </w:tcPr>
          <w:p>
            <w:pPr>
              <w:spacing w:after="0"/>
              <w:rPr>
                <w:sz w:val="14"/>
                <w:szCs w:val="14"/>
                <w:color w:val="auto"/>
              </w:rPr>
            </w:pPr>
          </w:p>
        </w:tc>
        <w:tc>
          <w:tcPr>
            <w:tcW w:w="15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(2,066 )</w:t>
            </w: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Repurchases of common stock</w:t>
            </w:r>
          </w:p>
        </w:tc>
        <w:tc>
          <w:tcPr>
            <w:tcW w:w="13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Calibri" w:cs="Calibri" w:eastAsia="Calibri" w:hAnsi="Calibri"/>
                <w:sz w:val="14"/>
                <w:szCs w:val="14"/>
                <w:color w:val="auto"/>
              </w:rPr>
              <w:t>(77,442 )</w:t>
            </w:r>
          </w:p>
        </w:tc>
        <w:tc>
          <w:tcPr>
            <w:tcW w:w="60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(69,024 )</w:t>
            </w: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Payment of fnance lease obligatons</w:t>
            </w:r>
          </w:p>
        </w:tc>
        <w:tc>
          <w:tcPr>
            <w:tcW w:w="138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Calibri" w:cs="Calibri" w:eastAsia="Calibri" w:hAnsi="Calibri"/>
                <w:sz w:val="14"/>
                <w:szCs w:val="14"/>
                <w:color w:val="auto"/>
              </w:rPr>
              <w:t>(18 )</w:t>
            </w:r>
          </w:p>
        </w:tc>
        <w:tc>
          <w:tcPr>
            <w:tcW w:w="600" w:type="dxa"/>
            <w:vAlign w:val="bottom"/>
          </w:tcPr>
          <w:p>
            <w:pPr>
              <w:spacing w:after="0"/>
              <w:rPr>
                <w:sz w:val="14"/>
                <w:szCs w:val="14"/>
                <w:color w:val="auto"/>
              </w:rPr>
            </w:pPr>
          </w:p>
        </w:tc>
        <w:tc>
          <w:tcPr>
            <w:tcW w:w="15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(17 )</w:t>
            </w: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Payment of tax distributons to redeemable noncontrolling interest holders</w:t>
            </w:r>
          </w:p>
        </w:tc>
        <w:tc>
          <w:tcPr>
            <w:tcW w:w="13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420"/>
              <w:spacing w:after="0"/>
              <w:rPr>
                <w:sz w:val="20"/>
                <w:szCs w:val="20"/>
                <w:color w:val="auto"/>
              </w:rPr>
            </w:pPr>
            <w:r>
              <w:rPr>
                <w:rFonts w:ascii="Calibri" w:cs="Calibri" w:eastAsia="Calibri" w:hAnsi="Calibri"/>
                <w:sz w:val="14"/>
                <w:szCs w:val="14"/>
                <w:color w:val="auto"/>
              </w:rPr>
              <w:t>—</w:t>
            </w:r>
          </w:p>
        </w:tc>
        <w:tc>
          <w:tcPr>
            <w:tcW w:w="60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(28 )</w:t>
            </w: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Change in gross advance payments received from third-party transacton processor</w:t>
            </w:r>
          </w:p>
        </w:tc>
        <w:tc>
          <w:tcPr>
            <w:tcW w:w="138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Calibri" w:cs="Calibri" w:eastAsia="Calibri" w:hAnsi="Calibri"/>
                <w:sz w:val="14"/>
                <w:szCs w:val="14"/>
                <w:color w:val="auto"/>
              </w:rPr>
              <w:t>(474 )</w:t>
            </w:r>
          </w:p>
        </w:tc>
        <w:tc>
          <w:tcPr>
            <w:tcW w:w="600" w:type="dxa"/>
            <w:vAlign w:val="bottom"/>
          </w:tcPr>
          <w:p>
            <w:pPr>
              <w:spacing w:after="0"/>
              <w:rPr>
                <w:sz w:val="14"/>
                <w:szCs w:val="14"/>
                <w:color w:val="auto"/>
              </w:rPr>
            </w:pPr>
          </w:p>
        </w:tc>
        <w:tc>
          <w:tcPr>
            <w:tcW w:w="15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(2,122 )</w:t>
            </w:r>
          </w:p>
        </w:tc>
      </w:tr>
      <w:tr>
        <w:trPr>
          <w:trHeight w:val="33"/>
        </w:trPr>
        <w:tc>
          <w:tcPr>
            <w:tcW w:w="66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668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color w:val="auto"/>
              </w:rPr>
              <w:t>Net cash used in fnancing actvites</w:t>
            </w:r>
          </w:p>
        </w:tc>
        <w:tc>
          <w:tcPr>
            <w:tcW w:w="13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340"/>
              <w:spacing w:after="0" w:line="164" w:lineRule="exact"/>
              <w:rPr>
                <w:sz w:val="20"/>
                <w:szCs w:val="20"/>
                <w:color w:val="auto"/>
              </w:rPr>
            </w:pPr>
            <w:r>
              <w:rPr>
                <w:rFonts w:ascii="Calibri" w:cs="Calibri" w:eastAsia="Calibri" w:hAnsi="Calibri"/>
                <w:sz w:val="14"/>
                <w:szCs w:val="14"/>
                <w:color w:val="auto"/>
              </w:rPr>
              <w:t>(83,038 )</w:t>
            </w:r>
          </w:p>
        </w:tc>
        <w:tc>
          <w:tcPr>
            <w:tcW w:w="60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gridSpan w:val="2"/>
            <w:shd w:val="clear" w:color="auto" w:fill="CFF0FC"/>
          </w:tcPr>
          <w:p>
            <w:pPr>
              <w:jc w:val="right"/>
              <w:ind w:right="60"/>
              <w:spacing w:after="0" w:line="164" w:lineRule="exact"/>
              <w:rPr>
                <w:sz w:val="20"/>
                <w:szCs w:val="20"/>
                <w:color w:val="auto"/>
              </w:rPr>
            </w:pPr>
            <w:r>
              <w:rPr>
                <w:rFonts w:ascii="Calibri" w:cs="Calibri" w:eastAsia="Calibri" w:hAnsi="Calibri"/>
                <w:sz w:val="14"/>
                <w:szCs w:val="14"/>
                <w:color w:val="auto"/>
              </w:rPr>
              <w:t>(73,238 )</w:t>
            </w:r>
          </w:p>
        </w:tc>
      </w:tr>
      <w:tr>
        <w:trPr>
          <w:trHeight w:val="20"/>
        </w:trPr>
        <w:tc>
          <w:tcPr>
            <w:tcW w:w="668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3"/>
        </w:trPr>
        <w:tc>
          <w:tcPr>
            <w:tcW w:w="6680" w:type="dxa"/>
            <w:vAlign w:val="bottom"/>
          </w:tcPr>
          <w:p>
            <w:pPr>
              <w:ind w:left="20"/>
              <w:spacing w:after="0" w:line="164" w:lineRule="exact"/>
              <w:rPr>
                <w:sz w:val="20"/>
                <w:szCs w:val="20"/>
                <w:color w:val="auto"/>
              </w:rPr>
            </w:pPr>
            <w:r>
              <w:rPr>
                <w:rFonts w:ascii="Calibri" w:cs="Calibri" w:eastAsia="Calibri" w:hAnsi="Calibri"/>
                <w:sz w:val="14"/>
                <w:szCs w:val="14"/>
                <w:color w:val="auto"/>
              </w:rPr>
              <w:t>Impact of foreign currency on cash, cash equivalents, and restricted cash</w:t>
            </w:r>
          </w:p>
        </w:tc>
        <w:tc>
          <w:tcPr>
            <w:tcW w:w="1380" w:type="dxa"/>
            <w:vAlign w:val="bottom"/>
          </w:tcPr>
          <w:p>
            <w:pPr>
              <w:spacing w:after="0"/>
              <w:rPr>
                <w:sz w:val="14"/>
                <w:szCs w:val="14"/>
                <w:color w:val="auto"/>
              </w:rPr>
            </w:pPr>
          </w:p>
        </w:tc>
        <w:tc>
          <w:tcPr>
            <w:tcW w:w="1080" w:type="dxa"/>
            <w:vAlign w:val="bottom"/>
            <w:gridSpan w:val="2"/>
          </w:tcPr>
          <w:p>
            <w:pPr>
              <w:jc w:val="right"/>
              <w:ind w:right="340"/>
              <w:spacing w:after="0" w:line="164" w:lineRule="exact"/>
              <w:rPr>
                <w:sz w:val="20"/>
                <w:szCs w:val="20"/>
                <w:color w:val="auto"/>
              </w:rPr>
            </w:pPr>
            <w:r>
              <w:rPr>
                <w:rFonts w:ascii="Calibri" w:cs="Calibri" w:eastAsia="Calibri" w:hAnsi="Calibri"/>
                <w:sz w:val="14"/>
                <w:szCs w:val="14"/>
                <w:color w:val="auto"/>
              </w:rPr>
              <w:t>(577 )</w:t>
            </w:r>
          </w:p>
        </w:tc>
        <w:tc>
          <w:tcPr>
            <w:tcW w:w="600" w:type="dxa"/>
            <w:vAlign w:val="bottom"/>
          </w:tcPr>
          <w:p>
            <w:pPr>
              <w:spacing w:after="0"/>
              <w:rPr>
                <w:sz w:val="14"/>
                <w:szCs w:val="14"/>
                <w:color w:val="auto"/>
              </w:rPr>
            </w:pPr>
          </w:p>
        </w:tc>
        <w:tc>
          <w:tcPr>
            <w:tcW w:w="1400" w:type="dxa"/>
            <w:vAlign w:val="bottom"/>
          </w:tcPr>
          <w:p>
            <w:pPr>
              <w:jc w:val="right"/>
              <w:spacing w:after="0" w:line="164" w:lineRule="exact"/>
              <w:rPr>
                <w:sz w:val="20"/>
                <w:szCs w:val="20"/>
                <w:color w:val="auto"/>
              </w:rPr>
            </w:pPr>
            <w:r>
              <w:rPr>
                <w:rFonts w:ascii="Calibri" w:cs="Calibri" w:eastAsia="Calibri" w:hAnsi="Calibri"/>
                <w:sz w:val="14"/>
                <w:szCs w:val="14"/>
                <w:color w:val="auto"/>
              </w:rPr>
              <w:t>329</w:t>
            </w:r>
          </w:p>
        </w:tc>
        <w:tc>
          <w:tcPr>
            <w:tcW w:w="100" w:type="dxa"/>
            <w:vAlign w:val="bottom"/>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Net decrease in cash, cash equivalents, and restricted cash</w:t>
            </w:r>
          </w:p>
        </w:tc>
        <w:tc>
          <w:tcPr>
            <w:tcW w:w="13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Calibri" w:cs="Calibri" w:eastAsia="Calibri" w:hAnsi="Calibri"/>
                <w:sz w:val="14"/>
                <w:szCs w:val="14"/>
                <w:color w:val="auto"/>
              </w:rPr>
              <w:t>(44,798 )</w:t>
            </w:r>
          </w:p>
        </w:tc>
        <w:tc>
          <w:tcPr>
            <w:tcW w:w="60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(12,451 )</w:t>
            </w: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Cash, cash equivalents, and restricted cash at beginning of period</w:t>
            </w:r>
          </w:p>
        </w:tc>
        <w:tc>
          <w:tcPr>
            <w:tcW w:w="1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293,926</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alibri" w:cs="Calibri" w:eastAsia="Calibri" w:hAnsi="Calibri"/>
                <w:sz w:val="14"/>
                <w:szCs w:val="14"/>
                <w:color w:val="auto"/>
              </w:rPr>
              <w:t>484,132</w:t>
            </w:r>
          </w:p>
        </w:tc>
        <w:tc>
          <w:tcPr>
            <w:tcW w:w="100" w:type="dxa"/>
            <w:vAlign w:val="bottom"/>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6680" w:type="dxa"/>
            <w:vAlign w:val="bottom"/>
            <w:tcBorders>
              <w:bottom w:val="single" w:sz="8" w:color="CFF0FC"/>
            </w:tcBorders>
            <w:shd w:val="clear" w:color="auto" w:fill="CFF0FC"/>
          </w:tcPr>
          <w:p>
            <w:pPr>
              <w:ind w:left="20"/>
              <w:spacing w:after="0" w:line="164" w:lineRule="exact"/>
              <w:rPr>
                <w:sz w:val="20"/>
                <w:szCs w:val="20"/>
                <w:color w:val="auto"/>
              </w:rPr>
            </w:pPr>
            <w:r>
              <w:rPr>
                <w:rFonts w:ascii="Calibri" w:cs="Calibri" w:eastAsia="Calibri" w:hAnsi="Calibri"/>
                <w:sz w:val="14"/>
                <w:szCs w:val="14"/>
                <w:color w:val="auto"/>
              </w:rPr>
              <w:t>Cash, cash equivalents, and restricted cash at end of period</w:t>
            </w:r>
          </w:p>
        </w:tc>
        <w:tc>
          <w:tcPr>
            <w:tcW w:w="1380" w:type="dxa"/>
            <w:vAlign w:val="bottom"/>
            <w:tcBorders>
              <w:bottom w:val="single" w:sz="8" w:color="CFF0FC"/>
            </w:tcBorders>
            <w:shd w:val="clear" w:color="auto" w:fill="CFF0FC"/>
          </w:tcPr>
          <w:p>
            <w:pPr>
              <w:jc w:val="right"/>
              <w:ind w:right="1228"/>
              <w:spacing w:after="0" w:line="164" w:lineRule="exact"/>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249,128</w:t>
            </w:r>
          </w:p>
        </w:tc>
        <w:tc>
          <w:tcPr>
            <w:tcW w:w="4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ind w:right="448"/>
              <w:spacing w:after="0" w:line="164" w:lineRule="exact"/>
              <w:rPr>
                <w:sz w:val="20"/>
                <w:szCs w:val="20"/>
                <w:color w:val="auto"/>
              </w:rPr>
            </w:pPr>
            <w:r>
              <w:rPr>
                <w:rFonts w:ascii="Calibri" w:cs="Calibri" w:eastAsia="Calibri" w:hAnsi="Calibri"/>
                <w:sz w:val="14"/>
                <w:szCs w:val="14"/>
                <w:color w:val="auto"/>
                <w:w w:val="83"/>
              </w:rPr>
              <w:t>$</w:t>
            </w:r>
          </w:p>
        </w:tc>
        <w:tc>
          <w:tcPr>
            <w:tcW w:w="140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471,681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50"/>
        </w:trPr>
        <w:tc>
          <w:tcPr>
            <w:tcW w:w="6680" w:type="dxa"/>
            <w:vAlign w:val="bottom"/>
            <w:tcBorders>
              <w:top w:val="single" w:sz="8" w:color="CFF0FC"/>
            </w:tcBorders>
          </w:tcPr>
          <w:p>
            <w:pPr>
              <w:ind w:left="20"/>
              <w:spacing w:after="0" w:line="151" w:lineRule="exact"/>
              <w:rPr>
                <w:sz w:val="20"/>
                <w:szCs w:val="20"/>
                <w:color w:val="auto"/>
              </w:rPr>
            </w:pPr>
            <w:r>
              <w:rPr>
                <w:rFonts w:ascii="Calibri" w:cs="Calibri" w:eastAsia="Calibri" w:hAnsi="Calibri"/>
                <w:sz w:val="14"/>
                <w:szCs w:val="14"/>
                <w:b w:val="1"/>
                <w:bCs w:val="1"/>
                <w:color w:val="auto"/>
              </w:rPr>
              <w:t>Supplemental disclosure of cash fow informaton:</w:t>
            </w:r>
          </w:p>
        </w:tc>
        <w:tc>
          <w:tcPr>
            <w:tcW w:w="13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0" w:type="dxa"/>
            <w:vAlign w:val="bottom"/>
            <w:tcBorders>
              <w:top w:val="single" w:sz="8" w:color="CFF0FC"/>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Cash paid for income taxes</w:t>
            </w:r>
          </w:p>
        </w:tc>
        <w:tc>
          <w:tcPr>
            <w:tcW w:w="1380" w:type="dxa"/>
            <w:vAlign w:val="bottom"/>
            <w:tcBorders>
              <w:bottom w:val="single" w:sz="8" w:color="CFF0FC"/>
            </w:tcBorders>
            <w:shd w:val="clear" w:color="auto" w:fill="CFF0FC"/>
          </w:tcPr>
          <w:p>
            <w:pPr>
              <w:jc w:val="right"/>
              <w:ind w:right="1228"/>
              <w:spacing w:after="0"/>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1,132</w:t>
            </w: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ind w:right="448"/>
              <w:spacing w:after="0"/>
              <w:rPr>
                <w:sz w:val="20"/>
                <w:szCs w:val="20"/>
                <w:color w:val="auto"/>
              </w:rPr>
            </w:pPr>
            <w:r>
              <w:rPr>
                <w:rFonts w:ascii="Calibri" w:cs="Calibri" w:eastAsia="Calibri" w:hAnsi="Calibri"/>
                <w:sz w:val="14"/>
                <w:szCs w:val="14"/>
                <w:color w:val="auto"/>
                <w:w w:val="83"/>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2,410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Cash paid for operatng lease liabilites</w:t>
            </w:r>
          </w:p>
        </w:tc>
        <w:tc>
          <w:tcPr>
            <w:tcW w:w="1380" w:type="dxa"/>
            <w:vAlign w:val="bottom"/>
          </w:tcPr>
          <w:p>
            <w:pPr>
              <w:jc w:val="right"/>
              <w:ind w:right="1228"/>
              <w:spacing w:after="0"/>
              <w:rPr>
                <w:sz w:val="20"/>
                <w:szCs w:val="20"/>
                <w:color w:val="auto"/>
              </w:rPr>
            </w:pPr>
            <w:r>
              <w:rPr>
                <w:rFonts w:ascii="Calibri" w:cs="Calibri" w:eastAsia="Calibri" w:hAnsi="Calibri"/>
                <w:sz w:val="14"/>
                <w:szCs w:val="14"/>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4,788</w:t>
            </w:r>
          </w:p>
        </w:tc>
        <w:tc>
          <w:tcPr>
            <w:tcW w:w="400" w:type="dxa"/>
            <w:vAlign w:val="bottom"/>
          </w:tcPr>
          <w:p>
            <w:pPr>
              <w:spacing w:after="0"/>
              <w:rPr>
                <w:sz w:val="14"/>
                <w:szCs w:val="14"/>
                <w:color w:val="auto"/>
              </w:rPr>
            </w:pPr>
          </w:p>
        </w:tc>
        <w:tc>
          <w:tcPr>
            <w:tcW w:w="600" w:type="dxa"/>
            <w:vAlign w:val="bottom"/>
          </w:tcPr>
          <w:p>
            <w:pPr>
              <w:jc w:val="right"/>
              <w:ind w:right="448"/>
              <w:spacing w:after="0"/>
              <w:rPr>
                <w:sz w:val="20"/>
                <w:szCs w:val="20"/>
                <w:color w:val="auto"/>
              </w:rPr>
            </w:pPr>
            <w:r>
              <w:rPr>
                <w:rFonts w:ascii="Calibri" w:cs="Calibri" w:eastAsia="Calibri" w:hAnsi="Calibri"/>
                <w:sz w:val="14"/>
                <w:szCs w:val="14"/>
                <w:color w:val="auto"/>
                <w:w w:val="83"/>
              </w:rPr>
              <w:t>$</w:t>
            </w:r>
          </w:p>
        </w:tc>
        <w:tc>
          <w:tcPr>
            <w:tcW w:w="1400" w:type="dxa"/>
            <w:vAlign w:val="bottom"/>
          </w:tcPr>
          <w:p>
            <w:pPr>
              <w:jc w:val="right"/>
              <w:spacing w:after="0"/>
              <w:rPr>
                <w:sz w:val="20"/>
                <w:szCs w:val="20"/>
                <w:color w:val="auto"/>
              </w:rPr>
            </w:pPr>
            <w:r>
              <w:rPr>
                <w:rFonts w:ascii="Calibri" w:cs="Calibri" w:eastAsia="Calibri" w:hAnsi="Calibri"/>
                <w:sz w:val="14"/>
                <w:szCs w:val="14"/>
                <w:color w:val="auto"/>
              </w:rPr>
              <w:t>4,129</w:t>
            </w:r>
          </w:p>
        </w:tc>
        <w:tc>
          <w:tcPr>
            <w:tcW w:w="100" w:type="dxa"/>
            <w:vAlign w:val="bottom"/>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Cash paid for interest</w:t>
            </w:r>
          </w:p>
        </w:tc>
        <w:tc>
          <w:tcPr>
            <w:tcW w:w="1380" w:type="dxa"/>
            <w:vAlign w:val="bottom"/>
            <w:tcBorders>
              <w:bottom w:val="single" w:sz="8" w:color="CFF0FC"/>
            </w:tcBorders>
            <w:shd w:val="clear" w:color="auto" w:fill="CFF0FC"/>
          </w:tcPr>
          <w:p>
            <w:pPr>
              <w:jc w:val="right"/>
              <w:ind w:right="1228"/>
              <w:spacing w:after="0"/>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143</w:t>
            </w: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ind w:right="448"/>
              <w:spacing w:after="0"/>
              <w:rPr>
                <w:sz w:val="20"/>
                <w:szCs w:val="20"/>
                <w:color w:val="auto"/>
              </w:rPr>
            </w:pPr>
            <w:r>
              <w:rPr>
                <w:rFonts w:ascii="Calibri" w:cs="Calibri" w:eastAsia="Calibri" w:hAnsi="Calibri"/>
                <w:sz w:val="14"/>
                <w:szCs w:val="14"/>
                <w:color w:val="auto"/>
                <w:w w:val="83"/>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144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b w:val="1"/>
                <w:bCs w:val="1"/>
                <w:color w:val="auto"/>
              </w:rPr>
              <w:t>Supplemental noncash disclosure of cash fow informaton:</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Unpaid purchases of property and equipment and capitalized hostng arrangements</w:t>
            </w:r>
          </w:p>
        </w:tc>
        <w:tc>
          <w:tcPr>
            <w:tcW w:w="1380" w:type="dxa"/>
            <w:vAlign w:val="bottom"/>
            <w:tcBorders>
              <w:bottom w:val="single" w:sz="8" w:color="CFF0FC"/>
            </w:tcBorders>
            <w:shd w:val="clear" w:color="auto" w:fill="CFF0FC"/>
          </w:tcPr>
          <w:p>
            <w:pPr>
              <w:jc w:val="right"/>
              <w:ind w:right="1228"/>
              <w:spacing w:after="0"/>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16,329</w:t>
            </w: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ind w:right="448"/>
              <w:spacing w:after="0"/>
              <w:rPr>
                <w:sz w:val="20"/>
                <w:szCs w:val="20"/>
                <w:color w:val="auto"/>
              </w:rPr>
            </w:pPr>
            <w:r>
              <w:rPr>
                <w:rFonts w:ascii="Calibri" w:cs="Calibri" w:eastAsia="Calibri" w:hAnsi="Calibri"/>
                <w:sz w:val="14"/>
                <w:szCs w:val="14"/>
                <w:color w:val="auto"/>
                <w:w w:val="83"/>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1,822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Receivable from sale of property and equipment</w:t>
            </w:r>
          </w:p>
        </w:tc>
        <w:tc>
          <w:tcPr>
            <w:tcW w:w="1380" w:type="dxa"/>
            <w:vAlign w:val="bottom"/>
          </w:tcPr>
          <w:p>
            <w:pPr>
              <w:jc w:val="right"/>
              <w:ind w:right="1228"/>
              <w:spacing w:after="0"/>
              <w:rPr>
                <w:sz w:val="20"/>
                <w:szCs w:val="20"/>
                <w:color w:val="auto"/>
              </w:rPr>
            </w:pPr>
            <w:r>
              <w:rPr>
                <w:rFonts w:ascii="Calibri" w:cs="Calibri" w:eastAsia="Calibri" w:hAnsi="Calibri"/>
                <w:sz w:val="14"/>
                <w:szCs w:val="14"/>
                <w:color w:val="auto"/>
                <w:w w:val="83"/>
              </w:rPr>
              <w:t>$</w:t>
            </w:r>
          </w:p>
        </w:tc>
        <w:tc>
          <w:tcPr>
            <w:tcW w:w="1080" w:type="dxa"/>
            <w:vAlign w:val="bottom"/>
            <w:gridSpan w:val="2"/>
          </w:tcPr>
          <w:p>
            <w:pPr>
              <w:jc w:val="right"/>
              <w:ind w:right="420"/>
              <w:spacing w:after="0"/>
              <w:rPr>
                <w:sz w:val="20"/>
                <w:szCs w:val="20"/>
                <w:color w:val="auto"/>
              </w:rPr>
            </w:pPr>
            <w:r>
              <w:rPr>
                <w:rFonts w:ascii="Calibri" w:cs="Calibri" w:eastAsia="Calibri" w:hAnsi="Calibri"/>
                <w:sz w:val="14"/>
                <w:szCs w:val="14"/>
                <w:color w:val="auto"/>
              </w:rPr>
              <w:t>—</w:t>
            </w:r>
          </w:p>
        </w:tc>
        <w:tc>
          <w:tcPr>
            <w:tcW w:w="600" w:type="dxa"/>
            <w:vAlign w:val="bottom"/>
          </w:tcPr>
          <w:p>
            <w:pPr>
              <w:jc w:val="right"/>
              <w:ind w:right="448"/>
              <w:spacing w:after="0"/>
              <w:rPr>
                <w:sz w:val="20"/>
                <w:szCs w:val="20"/>
                <w:color w:val="auto"/>
              </w:rPr>
            </w:pPr>
            <w:r>
              <w:rPr>
                <w:rFonts w:ascii="Calibri" w:cs="Calibri" w:eastAsia="Calibri" w:hAnsi="Calibri"/>
                <w:sz w:val="14"/>
                <w:szCs w:val="14"/>
                <w:color w:val="auto"/>
                <w:w w:val="83"/>
              </w:rPr>
              <w:t>$</w:t>
            </w:r>
          </w:p>
        </w:tc>
        <w:tc>
          <w:tcPr>
            <w:tcW w:w="1400" w:type="dxa"/>
            <w:vAlign w:val="bottom"/>
          </w:tcPr>
          <w:p>
            <w:pPr>
              <w:jc w:val="right"/>
              <w:spacing w:after="0"/>
              <w:rPr>
                <w:sz w:val="20"/>
                <w:szCs w:val="20"/>
                <w:color w:val="auto"/>
              </w:rPr>
            </w:pPr>
            <w:r>
              <w:rPr>
                <w:rFonts w:ascii="Calibri" w:cs="Calibri" w:eastAsia="Calibri" w:hAnsi="Calibri"/>
                <w:sz w:val="14"/>
                <w:szCs w:val="14"/>
                <w:color w:val="auto"/>
              </w:rPr>
              <w:t>460</w:t>
            </w:r>
          </w:p>
        </w:tc>
        <w:tc>
          <w:tcPr>
            <w:tcW w:w="100" w:type="dxa"/>
            <w:vAlign w:val="bottom"/>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Unpaid withholding taxes on net share setlement of restricted stock units</w:t>
            </w:r>
          </w:p>
        </w:tc>
        <w:tc>
          <w:tcPr>
            <w:tcW w:w="1380" w:type="dxa"/>
            <w:vAlign w:val="bottom"/>
            <w:tcBorders>
              <w:bottom w:val="single" w:sz="8" w:color="CFF0FC"/>
            </w:tcBorders>
            <w:shd w:val="clear" w:color="auto" w:fill="CFF0FC"/>
          </w:tcPr>
          <w:p>
            <w:pPr>
              <w:jc w:val="right"/>
              <w:ind w:right="1228"/>
              <w:spacing w:after="0"/>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119</w:t>
            </w: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ind w:right="448"/>
              <w:spacing w:after="0"/>
              <w:rPr>
                <w:sz w:val="20"/>
                <w:szCs w:val="20"/>
                <w:color w:val="auto"/>
              </w:rPr>
            </w:pPr>
            <w:r>
              <w:rPr>
                <w:rFonts w:ascii="Calibri" w:cs="Calibri" w:eastAsia="Calibri" w:hAnsi="Calibri"/>
                <w:sz w:val="14"/>
                <w:szCs w:val="14"/>
                <w:color w:val="auto"/>
                <w:w w:val="83"/>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3,590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Unpaid repurchases of common stock</w:t>
            </w:r>
          </w:p>
        </w:tc>
        <w:tc>
          <w:tcPr>
            <w:tcW w:w="1380" w:type="dxa"/>
            <w:vAlign w:val="bottom"/>
          </w:tcPr>
          <w:p>
            <w:pPr>
              <w:jc w:val="right"/>
              <w:ind w:right="1228"/>
              <w:spacing w:after="0"/>
              <w:rPr>
                <w:sz w:val="20"/>
                <w:szCs w:val="20"/>
                <w:color w:val="auto"/>
              </w:rPr>
            </w:pPr>
            <w:r>
              <w:rPr>
                <w:rFonts w:ascii="Calibri" w:cs="Calibri" w:eastAsia="Calibri" w:hAnsi="Calibri"/>
                <w:sz w:val="14"/>
                <w:szCs w:val="14"/>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3,658</w:t>
            </w:r>
          </w:p>
        </w:tc>
        <w:tc>
          <w:tcPr>
            <w:tcW w:w="400" w:type="dxa"/>
            <w:vAlign w:val="bottom"/>
          </w:tcPr>
          <w:p>
            <w:pPr>
              <w:spacing w:after="0"/>
              <w:rPr>
                <w:sz w:val="14"/>
                <w:szCs w:val="14"/>
                <w:color w:val="auto"/>
              </w:rPr>
            </w:pPr>
          </w:p>
        </w:tc>
        <w:tc>
          <w:tcPr>
            <w:tcW w:w="600" w:type="dxa"/>
            <w:vAlign w:val="bottom"/>
          </w:tcPr>
          <w:p>
            <w:pPr>
              <w:jc w:val="right"/>
              <w:ind w:right="448"/>
              <w:spacing w:after="0"/>
              <w:rPr>
                <w:sz w:val="20"/>
                <w:szCs w:val="20"/>
                <w:color w:val="auto"/>
              </w:rPr>
            </w:pPr>
            <w:r>
              <w:rPr>
                <w:rFonts w:ascii="Calibri" w:cs="Calibri" w:eastAsia="Calibri" w:hAnsi="Calibri"/>
                <w:sz w:val="14"/>
                <w:szCs w:val="14"/>
                <w:color w:val="auto"/>
                <w:w w:val="83"/>
              </w:rPr>
              <w:t>$</w:t>
            </w:r>
          </w:p>
        </w:tc>
        <w:tc>
          <w:tcPr>
            <w:tcW w:w="1400" w:type="dxa"/>
            <w:vAlign w:val="bottom"/>
          </w:tcPr>
          <w:p>
            <w:pPr>
              <w:jc w:val="right"/>
              <w:spacing w:after="0"/>
              <w:rPr>
                <w:sz w:val="20"/>
                <w:szCs w:val="20"/>
                <w:color w:val="auto"/>
              </w:rPr>
            </w:pPr>
            <w:r>
              <w:rPr>
                <w:rFonts w:ascii="Calibri" w:cs="Calibri" w:eastAsia="Calibri" w:hAnsi="Calibri"/>
                <w:sz w:val="14"/>
                <w:szCs w:val="14"/>
                <w:color w:val="auto"/>
              </w:rPr>
              <w:t>456</w:t>
            </w:r>
          </w:p>
        </w:tc>
        <w:tc>
          <w:tcPr>
            <w:tcW w:w="100" w:type="dxa"/>
            <w:vAlign w:val="bottom"/>
          </w:tcPr>
          <w:p>
            <w:pPr>
              <w:spacing w:after="0"/>
              <w:rPr>
                <w:sz w:val="14"/>
                <w:szCs w:val="14"/>
                <w:color w:val="auto"/>
              </w:rPr>
            </w:pPr>
          </w:p>
        </w:tc>
      </w:tr>
      <w:tr>
        <w:trPr>
          <w:trHeight w:val="33"/>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Unpaid excise tax on repurchases of common stock</w:t>
            </w:r>
          </w:p>
        </w:tc>
        <w:tc>
          <w:tcPr>
            <w:tcW w:w="1380" w:type="dxa"/>
            <w:vAlign w:val="bottom"/>
            <w:tcBorders>
              <w:bottom w:val="single" w:sz="8" w:color="CFF0FC"/>
            </w:tcBorders>
            <w:shd w:val="clear" w:color="auto" w:fill="CFF0FC"/>
          </w:tcPr>
          <w:p>
            <w:pPr>
              <w:jc w:val="right"/>
              <w:ind w:right="1228"/>
              <w:spacing w:after="0"/>
              <w:rPr>
                <w:sz w:val="20"/>
                <w:szCs w:val="20"/>
                <w:color w:val="auto"/>
              </w:rPr>
            </w:pPr>
            <w:r>
              <w:rPr>
                <w:rFonts w:ascii="Calibri" w:cs="Calibri" w:eastAsia="Calibri" w:hAnsi="Calibri"/>
                <w:sz w:val="14"/>
                <w:szCs w:val="14"/>
                <w:color w:val="auto"/>
                <w:w w:val="83"/>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2,239</w:t>
            </w: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ind w:right="448"/>
              <w:spacing w:after="0"/>
              <w:rPr>
                <w:sz w:val="20"/>
                <w:szCs w:val="20"/>
                <w:color w:val="auto"/>
              </w:rPr>
            </w:pPr>
            <w:r>
              <w:rPr>
                <w:rFonts w:ascii="Calibri" w:cs="Calibri" w:eastAsia="Calibri" w:hAnsi="Calibri"/>
                <w:sz w:val="14"/>
                <w:szCs w:val="14"/>
                <w:color w:val="auto"/>
                <w:w w:val="83"/>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574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Capitalized stock-based compensaton expense in website development and</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680" w:type="dxa"/>
            <w:vAlign w:val="bottom"/>
          </w:tcPr>
          <w:p>
            <w:pPr>
              <w:ind w:left="120"/>
              <w:spacing w:after="0"/>
              <w:rPr>
                <w:sz w:val="20"/>
                <w:szCs w:val="20"/>
                <w:color w:val="auto"/>
              </w:rPr>
            </w:pPr>
            <w:r>
              <w:rPr>
                <w:rFonts w:ascii="Calibri" w:cs="Calibri" w:eastAsia="Calibri" w:hAnsi="Calibri"/>
                <w:sz w:val="14"/>
                <w:szCs w:val="14"/>
                <w:color w:val="auto"/>
              </w:rPr>
              <w:t>internal-use sofware costs and hostng arrangements</w:t>
            </w:r>
          </w:p>
        </w:tc>
        <w:tc>
          <w:tcPr>
            <w:tcW w:w="1380" w:type="dxa"/>
            <w:vAlign w:val="bottom"/>
          </w:tcPr>
          <w:p>
            <w:pPr>
              <w:jc w:val="right"/>
              <w:ind w:right="1228"/>
              <w:spacing w:after="0"/>
              <w:rPr>
                <w:sz w:val="20"/>
                <w:szCs w:val="20"/>
                <w:color w:val="auto"/>
              </w:rPr>
            </w:pPr>
            <w:r>
              <w:rPr>
                <w:rFonts w:ascii="Calibri" w:cs="Calibri" w:eastAsia="Calibri" w:hAnsi="Calibri"/>
                <w:sz w:val="14"/>
                <w:szCs w:val="14"/>
                <w:color w:val="auto"/>
                <w:w w:val="83"/>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1,827</w:t>
            </w:r>
          </w:p>
        </w:tc>
        <w:tc>
          <w:tcPr>
            <w:tcW w:w="400" w:type="dxa"/>
            <w:vAlign w:val="bottom"/>
          </w:tcPr>
          <w:p>
            <w:pPr>
              <w:spacing w:after="0"/>
              <w:rPr>
                <w:sz w:val="15"/>
                <w:szCs w:val="15"/>
                <w:color w:val="auto"/>
              </w:rPr>
            </w:pPr>
          </w:p>
        </w:tc>
        <w:tc>
          <w:tcPr>
            <w:tcW w:w="600" w:type="dxa"/>
            <w:vAlign w:val="bottom"/>
          </w:tcPr>
          <w:p>
            <w:pPr>
              <w:jc w:val="right"/>
              <w:ind w:right="448"/>
              <w:spacing w:after="0"/>
              <w:rPr>
                <w:sz w:val="20"/>
                <w:szCs w:val="20"/>
                <w:color w:val="auto"/>
              </w:rPr>
            </w:pPr>
            <w:r>
              <w:rPr>
                <w:rFonts w:ascii="Calibri" w:cs="Calibri" w:eastAsia="Calibri" w:hAnsi="Calibri"/>
                <w:sz w:val="14"/>
                <w:szCs w:val="14"/>
                <w:color w:val="auto"/>
                <w:w w:val="83"/>
              </w:rPr>
              <w:t>$</w:t>
            </w:r>
          </w:p>
        </w:tc>
        <w:tc>
          <w:tcPr>
            <w:tcW w:w="1400" w:type="dxa"/>
            <w:vAlign w:val="bottom"/>
          </w:tcPr>
          <w:p>
            <w:pPr>
              <w:jc w:val="right"/>
              <w:spacing w:after="0"/>
              <w:rPr>
                <w:sz w:val="20"/>
                <w:szCs w:val="20"/>
                <w:color w:val="auto"/>
              </w:rPr>
            </w:pPr>
            <w:r>
              <w:rPr>
                <w:rFonts w:ascii="Calibri" w:cs="Calibri" w:eastAsia="Calibri" w:hAnsi="Calibri"/>
                <w:sz w:val="14"/>
                <w:szCs w:val="14"/>
                <w:color w:val="auto"/>
              </w:rPr>
              <w:t>1,145</w:t>
            </w:r>
          </w:p>
        </w:tc>
        <w:tc>
          <w:tcPr>
            <w:tcW w:w="100" w:type="dxa"/>
            <w:vAlign w:val="bottom"/>
          </w:tcPr>
          <w:p>
            <w:pPr>
              <w:spacing w:after="0"/>
              <w:rPr>
                <w:sz w:val="15"/>
                <w:szCs w:val="15"/>
                <w:color w:val="auto"/>
              </w:rPr>
            </w:pPr>
          </w:p>
        </w:tc>
      </w:tr>
      <w:tr>
        <w:trPr>
          <w:trHeight w:val="34"/>
        </w:trPr>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6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Obtaining a right-of-use asset in exchange for an operatng lease liability</w:t>
            </w:r>
          </w:p>
        </w:tc>
        <w:tc>
          <w:tcPr>
            <w:tcW w:w="1380" w:type="dxa"/>
            <w:vAlign w:val="bottom"/>
            <w:tcBorders>
              <w:bottom w:val="single" w:sz="8" w:color="CFF0FC"/>
            </w:tcBorders>
            <w:shd w:val="clear" w:color="auto" w:fill="CFF0FC"/>
          </w:tcPr>
          <w:p>
            <w:pPr>
              <w:jc w:val="right"/>
              <w:ind w:right="1228"/>
              <w:spacing w:after="0"/>
              <w:rPr>
                <w:sz w:val="20"/>
                <w:szCs w:val="20"/>
                <w:color w:val="auto"/>
              </w:rPr>
            </w:pPr>
            <w:r>
              <w:rPr>
                <w:rFonts w:ascii="Calibri" w:cs="Calibri" w:eastAsia="Calibri" w:hAnsi="Calibri"/>
                <w:sz w:val="14"/>
                <w:szCs w:val="14"/>
                <w:color w:val="auto"/>
                <w:w w:val="83"/>
              </w:rPr>
              <w:t>$</w:t>
            </w:r>
          </w:p>
        </w:tc>
        <w:tc>
          <w:tcPr>
            <w:tcW w:w="108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Calibri" w:cs="Calibri" w:eastAsia="Calibri" w:hAnsi="Calibri"/>
                <w:sz w:val="14"/>
                <w:szCs w:val="14"/>
                <w:color w:val="auto"/>
              </w:rPr>
              <w:t>(3,536 )</w:t>
            </w:r>
          </w:p>
        </w:tc>
        <w:tc>
          <w:tcPr>
            <w:tcW w:w="600" w:type="dxa"/>
            <w:vAlign w:val="bottom"/>
            <w:tcBorders>
              <w:bottom w:val="single" w:sz="8" w:color="CFF0FC"/>
            </w:tcBorders>
            <w:shd w:val="clear" w:color="auto" w:fill="CFF0FC"/>
          </w:tcPr>
          <w:p>
            <w:pPr>
              <w:jc w:val="right"/>
              <w:ind w:right="448"/>
              <w:spacing w:after="0"/>
              <w:rPr>
                <w:sz w:val="20"/>
                <w:szCs w:val="20"/>
                <w:color w:val="auto"/>
              </w:rPr>
            </w:pPr>
            <w:r>
              <w:rPr>
                <w:rFonts w:ascii="Calibri" w:cs="Calibri" w:eastAsia="Calibri" w:hAnsi="Calibri"/>
                <w:sz w:val="14"/>
                <w:szCs w:val="14"/>
                <w:color w:val="auto"/>
                <w:w w:val="83"/>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144,556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680" w:type="dxa"/>
            <w:vAlign w:val="bottom"/>
          </w:tcPr>
          <w:p>
            <w:pPr>
              <w:ind w:left="20"/>
              <w:spacing w:after="0"/>
              <w:rPr>
                <w:sz w:val="20"/>
                <w:szCs w:val="20"/>
                <w:color w:val="auto"/>
              </w:rPr>
            </w:pPr>
            <w:r>
              <w:rPr>
                <w:rFonts w:ascii="Calibri" w:cs="Calibri" w:eastAsia="Calibri" w:hAnsi="Calibri"/>
                <w:sz w:val="14"/>
                <w:szCs w:val="14"/>
                <w:color w:val="auto"/>
              </w:rPr>
              <w:t>Accrued tax distributons to redeemable noncontrolling interest holders</w:t>
            </w:r>
          </w:p>
        </w:tc>
        <w:tc>
          <w:tcPr>
            <w:tcW w:w="1380" w:type="dxa"/>
            <w:vAlign w:val="bottom"/>
          </w:tcPr>
          <w:p>
            <w:pPr>
              <w:jc w:val="right"/>
              <w:ind w:right="1228"/>
              <w:spacing w:after="0"/>
              <w:rPr>
                <w:sz w:val="20"/>
                <w:szCs w:val="20"/>
                <w:color w:val="auto"/>
              </w:rPr>
            </w:pPr>
            <w:r>
              <w:rPr>
                <w:rFonts w:ascii="Calibri" w:cs="Calibri" w:eastAsia="Calibri" w:hAnsi="Calibri"/>
                <w:sz w:val="14"/>
                <w:szCs w:val="14"/>
                <w:color w:val="auto"/>
                <w:w w:val="83"/>
              </w:rPr>
              <w:t>$</w:t>
            </w:r>
          </w:p>
        </w:tc>
        <w:tc>
          <w:tcPr>
            <w:tcW w:w="1080" w:type="dxa"/>
            <w:vAlign w:val="bottom"/>
            <w:gridSpan w:val="2"/>
          </w:tcPr>
          <w:p>
            <w:pPr>
              <w:jc w:val="right"/>
              <w:ind w:right="420"/>
              <w:spacing w:after="0"/>
              <w:rPr>
                <w:sz w:val="20"/>
                <w:szCs w:val="20"/>
                <w:color w:val="auto"/>
              </w:rPr>
            </w:pPr>
            <w:r>
              <w:rPr>
                <w:rFonts w:ascii="Calibri" w:cs="Calibri" w:eastAsia="Calibri" w:hAnsi="Calibri"/>
                <w:sz w:val="14"/>
                <w:szCs w:val="14"/>
                <w:color w:val="auto"/>
              </w:rPr>
              <w:t>—</w:t>
            </w:r>
          </w:p>
        </w:tc>
        <w:tc>
          <w:tcPr>
            <w:tcW w:w="600" w:type="dxa"/>
            <w:vAlign w:val="bottom"/>
          </w:tcPr>
          <w:p>
            <w:pPr>
              <w:jc w:val="right"/>
              <w:ind w:right="448"/>
              <w:spacing w:after="0"/>
              <w:rPr>
                <w:sz w:val="20"/>
                <w:szCs w:val="20"/>
                <w:color w:val="auto"/>
              </w:rPr>
            </w:pPr>
            <w:r>
              <w:rPr>
                <w:rFonts w:ascii="Calibri" w:cs="Calibri" w:eastAsia="Calibri" w:hAnsi="Calibri"/>
                <w:sz w:val="14"/>
                <w:szCs w:val="14"/>
                <w:color w:val="auto"/>
                <w:w w:val="83"/>
              </w:rPr>
              <w:t>$</w:t>
            </w:r>
          </w:p>
        </w:tc>
        <w:tc>
          <w:tcPr>
            <w:tcW w:w="1500" w:type="dxa"/>
            <w:vAlign w:val="bottom"/>
            <w:gridSpan w:val="2"/>
          </w:tcPr>
          <w:p>
            <w:pPr>
              <w:jc w:val="right"/>
              <w:ind w:right="60"/>
              <w:spacing w:after="0"/>
              <w:rPr>
                <w:sz w:val="20"/>
                <w:szCs w:val="20"/>
                <w:color w:val="auto"/>
              </w:rPr>
            </w:pPr>
            <w:r>
              <w:rPr>
                <w:rFonts w:ascii="Calibri" w:cs="Calibri" w:eastAsia="Calibri" w:hAnsi="Calibri"/>
                <w:sz w:val="14"/>
                <w:szCs w:val="14"/>
                <w:color w:val="auto"/>
              </w:rPr>
              <w:t>(4 )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-4418965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-4418965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-3364865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-3364865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-2319020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-2319020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-1787525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-1770380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-1787525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-1770380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9" w:name="page10"/>
    <w:bookmarkEnd w:id="9"/>
    <w:p>
      <w:pPr>
        <w:jc w:val="center"/>
        <w:spacing w:after="0"/>
        <w:rPr>
          <w:sz w:val="20"/>
          <w:szCs w:val="20"/>
          <w:color w:val="auto"/>
        </w:rPr>
      </w:pPr>
      <w:r>
        <w:rPr>
          <w:rFonts w:ascii="Calibri" w:cs="Calibri" w:eastAsia="Calibri" w:hAnsi="Calibri"/>
          <w:sz w:val="18"/>
          <w:szCs w:val="18"/>
          <w:b w:val="1"/>
          <w:bCs w:val="1"/>
          <w:color w:val="auto"/>
        </w:rPr>
        <w:t>CarGurus, Inc.</w:t>
      </w:r>
    </w:p>
    <w:p>
      <w:pPr>
        <w:spacing w:after="0" w:line="212"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Notes to Unaudited Condensed Consolidated Financial Statements</w:t>
      </w:r>
    </w:p>
    <w:p>
      <w:pPr>
        <w:spacing w:after="0" w:line="212"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(dollars in thousands, except share and per share data, unless otherwise noted)</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Organizaton and Business Descripton</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CarGurus, Inc. (the "Company") is a multnatonal, online automotve platorm for buying and selling vehicles that is building upon its industry-leading listngs marketplace with both digital retail solutons and the CarOfer, LLC ("CarOfer") online wholesale platorm. The CarGurus platorm gives consumers the confdence to purchase and/or sell a vehicle either online or in-person, and it gives dealerships the power to accurately price, efectvely market, instantly acquire, and quickly sell vehicles, all with a natonwide reach. The Company uses proprietary technology, search algorithms, and data analytcs to bring trust, transparency, and compettve pricing to the automotve shopping experience.</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Company operates principally in the United States (the "U.S."). In the U.S. it also operates as independent brands the Autolist online marketplace and the CarOfer online wholesale platorm. In additon to the U.S., the Company operates online marketplaces under the CarGurus brand in Canada and the United Kingdom (the "U.K."). In the U.K. it also operates as an independent brand the PistonHeads online marketplace.</w:t>
      </w:r>
    </w:p>
    <w:p>
      <w:pPr>
        <w:spacing w:after="0" w:line="219"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The Company has subsidiaries in the U.S., Canada, Ireland, and the U.K. and it has two reportable segments, U.S. Marketplace and Digital Wholesale.</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See Note 12 of the Unaudited Condensed Consolidated Financial Statements (as defned below) for further segment reportng and geographic informaton.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 Summary of Signifcant Accountng Policies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Basis of Presentaton</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accompanying interim condensed consolidated fnancial statements are unaudited (the “Unaudited Condensed Consolidated Financial Statements”). The Unaudited Condensed Consolidated Financial Statements and related disclosures have been prepared in conformity with accountng principles generally accepted in the U.S. (“GAAP”). Any reference in these notes to applicable guidance is meant to refer to GAAP as found in the Accountng Standards Codifcaton (“ASC”) and Accountng Standards Update ("ASU") of the Financial Accountng Standards Board (“FASB”).</w:t>
      </w:r>
    </w:p>
    <w:p>
      <w:pPr>
        <w:spacing w:after="0" w:line="219" w:lineRule="exact"/>
        <w:rPr>
          <w:sz w:val="20"/>
          <w:szCs w:val="20"/>
          <w:color w:val="auto"/>
        </w:rPr>
      </w:pPr>
    </w:p>
    <w:p>
      <w:pPr>
        <w:jc w:val="both"/>
        <w:ind w:firstLine="509"/>
        <w:spacing w:after="0" w:line="251" w:lineRule="auto"/>
        <w:rPr>
          <w:sz w:val="20"/>
          <w:szCs w:val="20"/>
          <w:color w:val="auto"/>
        </w:rPr>
      </w:pPr>
      <w:r>
        <w:rPr>
          <w:rFonts w:ascii="Calibri" w:cs="Calibri" w:eastAsia="Calibri" w:hAnsi="Calibri"/>
          <w:sz w:val="17"/>
          <w:szCs w:val="17"/>
          <w:color w:val="auto"/>
        </w:rPr>
        <w:t>The Unaudited Condensed Consolidated Financial Statements have also been prepared pursuant to the rules and regulatons of the U.S. Securites and Exchange Commission (“SEC”). Accordingly, certain informaton and footnote disclosures normally included in fnancial statements prepared in accordance with GAAP have been condensed or omited pursuant to such rules and regulatons. The Unaudited Condensed Consolidated Financial Statements refect all adjustments, consistng of only normal recurring adjustments, necessary for the fair presentaton of the Company’s fnancial statements for interim periods. These interim period results are not necessarily indicatve of the results to be expected for any other interim period or the full year.</w:t>
      </w:r>
    </w:p>
    <w:p>
      <w:pPr>
        <w:spacing w:after="0" w:line="211"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Unaudited Condensed Consolidated Financial Statements should be read in conjuncton with the Company’s audited consolidated fnancial statements and the notes thereto included in the Company’s Annual Report on Form 10-K for the fscal year ended December 31, 2023, fled with the SEC on February 26, 2024 (the “Annual Report”).</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While the Company disclosed unpaid excise tax on repurchases of common stock within unpaid repurchases of common stock in the Unaudited Condensed Consolidated Statements of Cash Flows in the Company's Quarterly Report on Form 10-Q for the quarter ended March 31, 2023, fled with the SEC on May 9, 2023, the accompanying Unaudited Condensed Consolidated Statements of Cash Flows for the quarter ended March 31, 2023 present unpaid excise tax on repurchases of common stock separately from unpaid repurchases of common stock to conform to the current year presentaton.</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Principles of Consolidaton</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Unaudited Condensed Consolidated Financial Statements include the accounts of the Company and its subsidiaries. All intercompany balances and transactons have been eliminated in consolidaton.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b w:val="1"/>
          <w:bCs w:val="1"/>
          <w:i w:val="1"/>
          <w:iCs w:val="1"/>
          <w:color w:val="auto"/>
        </w:rPr>
        <w:t>Subsequent Event Consideratons</w:t>
      </w:r>
    </w:p>
    <w:p>
      <w:pPr>
        <w:spacing w:after="0" w:line="217" w:lineRule="exact"/>
        <w:rPr>
          <w:sz w:val="20"/>
          <w:szCs w:val="20"/>
          <w:color w:val="auto"/>
        </w:rPr>
      </w:pPr>
    </w:p>
    <w:p>
      <w:pPr>
        <w:jc w:val="both"/>
        <w:ind w:firstLine="509"/>
        <w:spacing w:after="0" w:line="254" w:lineRule="auto"/>
        <w:rPr>
          <w:sz w:val="20"/>
          <w:szCs w:val="20"/>
          <w:color w:val="auto"/>
        </w:rPr>
      </w:pPr>
      <w:r>
        <w:rPr>
          <w:rFonts w:ascii="Calibri" w:cs="Calibri" w:eastAsia="Calibri" w:hAnsi="Calibri"/>
          <w:sz w:val="17"/>
          <w:szCs w:val="17"/>
          <w:color w:val="auto"/>
        </w:rPr>
        <w:t>The Company considers events or transactons that occur afer the balance sheet date but prior to the issuance of the Unaudited Condensed Consolidated Financial Statements to provide additonal evidence for certain estmates or to identfy maters that require additonal disclosure. The Company has evaluated all subsequent events and determined that there are no material recognized or unrecognized subsequent events requiring disclosure.</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Use of Estmates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preparaton of the Unaudited Condensed Consolidated Financial Statements in conformity with GAAP requires management to make estmates and assumptons that afect the reported amounts of assets and liabilites, and the disclosure of contngent assets and liabilites at the date of the fnancial statements, and the reported amounts of revenue and expenses during the reportng period.</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Although the Company regularly assesses these estmates, actual results could difer materially from these estmates. The Company bases its estmates on historical experience and various other assumptons that it believes to be reasonable under the circumstances. Actual results may difer from management’s estmates if these results difer from historical experience, or other assumptons do not turn out to be substantally accurate, even if such assumptons are reasonable when made. Changes in estmates are recognized in the period in which they become known.</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Critcal estmates relied upon in preparing the Unaudited Condensed Consolidated Financial Statements include the determinaton of sales allowance and variable consideraton in the Company’s revenue recogniton, allowance for doubtul accounts, the impairment of long-lived assets, the capitalizaton of product, technology, and development costs for website development, internal-use sofware, and hostng arrangements, the valuaton of acquired assets and liabilites, the valuaton and recoverability of intangible assets and goodwill, the valuaton of redeemable noncontrolling interest, the recoverability of the Company’s net deferred tax assets and related valuaton allowance, the valuaton of inventory, and the valuaton of liability-classifed compensaton awards. Accordingly, the Company considers these to be its critcal accountng estmates, and believes that of the Company’s signifcant accountng policies, these involve the greatest degree of judgment and complexity. For the three months ended March 31, 2024, there were no estmates related to the valuaton of redeemable noncontrolling interest and the valuaton of liability-classifed compensaton awards.</w:t>
      </w:r>
    </w:p>
    <w:p>
      <w:pPr>
        <w:spacing w:after="0" w:line="223"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Although no impairment was identfed during the annual impairment test as of October 1, 2023, the excess of the fair value over the carrying value declined for the CarOfer reportng unit in the Digital Wholesale segment. If projected future operatng results further decline, including as a result of economic conditons or operatonal challenges, the Company may need to record an impairment charge to reduce its goodwill at CarOfer, which could be material and negatvely afect the Company's operatons. During the three months ended March 31, 2024, the Company did not identfy any triggering events that would require an interim impairment assessment.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Concentraton of Credit Risk</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Company has no signifcant of-balance sheet risk, such as foreign exchange contracts, opton contracts, or other foreign hedging arrangements. Financial instruments that potentally expose the Company to concentratons of credit risk consist primarily of cash, cash equivalents, short-term investments, trade accounts receivable, and other receivables.</w:t>
      </w:r>
    </w:p>
    <w:p>
      <w:pPr>
        <w:spacing w:after="0" w:line="219" w:lineRule="exact"/>
        <w:rPr>
          <w:sz w:val="20"/>
          <w:szCs w:val="20"/>
          <w:color w:val="auto"/>
        </w:rPr>
      </w:pPr>
    </w:p>
    <w:p>
      <w:pPr>
        <w:jc w:val="both"/>
        <w:ind w:firstLine="509"/>
        <w:spacing w:after="0" w:line="258" w:lineRule="auto"/>
        <w:rPr>
          <w:sz w:val="20"/>
          <w:szCs w:val="20"/>
          <w:color w:val="auto"/>
        </w:rPr>
      </w:pPr>
      <w:r>
        <w:rPr>
          <w:rFonts w:ascii="Calibri" w:cs="Calibri" w:eastAsia="Calibri" w:hAnsi="Calibri"/>
          <w:sz w:val="17"/>
          <w:szCs w:val="17"/>
          <w:color w:val="auto"/>
        </w:rPr>
        <w:t>The Company maintains its cash and cash equivalents principally with accredited fnancial insttutons of high credit standing. Although the Company deposits its cash and cash equivalents with multple fnancial insttutons, its deposits with each such fnancial insttuton exceed governmental insured limits.</w:t>
      </w:r>
    </w:p>
    <w:p>
      <w:pPr>
        <w:spacing w:after="0" w:line="202"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Company routnely assesses the creditworthiness of its customers and does not require collateral. The Company generally has not experienced any material losses related to receivables from individual customers or groups of customers.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1" w:name="page12"/>
    <w:bookmarkEnd w:id="11"/>
    <w:p>
      <w:pPr>
        <w:jc w:val="both"/>
        <w:ind w:firstLine="509"/>
        <w:spacing w:after="0" w:line="235" w:lineRule="auto"/>
        <w:rPr>
          <w:sz w:val="20"/>
          <w:szCs w:val="20"/>
          <w:color w:val="auto"/>
        </w:rPr>
      </w:pPr>
      <w:r>
        <w:rPr>
          <w:rFonts w:ascii="Calibri" w:cs="Calibri" w:eastAsia="Calibri" w:hAnsi="Calibri"/>
          <w:sz w:val="18"/>
          <w:szCs w:val="18"/>
          <w:color w:val="auto"/>
        </w:rPr>
        <w:t>The Company has had no material losses related to marketplace receivables as it was dispersed across a large number of customers. The Company has had no material losses related to wholesale and product receivables as the third-party transacton processor does not release the ttle to the vehicle untl successfully collectng funds from the buying dealer. Titling is handled by the Company's third-party transacton processor and ttles are held in escrow untl it collects funds from the buying dealer (i.e., ttle is legally transferred from the selling party to the buying party upon signing of bill of sale, but ttle is held in escrow by the third-party transacton processor untl payment is received). Due to these factors, no additonal credit risk beyond amounts provided for collecton losses was believed by management to be probable in the Company’s accounts receivable and other receivables.</w:t>
      </w:r>
    </w:p>
    <w:p>
      <w:pPr>
        <w:spacing w:after="0" w:line="221"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As of March 31, 2024 and December 31, 2023, no customer accounted for more than 10% of net accounts receivable and other receivables. All of accounts receivable was dispersed among more than 1,000 customers. Therefore, there is no signifcant credit risk with respect to accounts receivable because credit risk is dispersed due to the large number of customers.</w:t>
      </w:r>
    </w:p>
    <w:p>
      <w:pPr>
        <w:spacing w:after="0" w:line="21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For the three months ended March 31, 2024 and 2023, no customer accounted for more than 10% of total revenue.</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Company is exposed to credit losses primarily through its trade accounts receivable, which includes receivables in transit, net of payables due, from a third-party transacton processor. The third-party transacton processor collects customer payments on the Company's behalf and remits them to the Company. Customer payments received by the third-party transacton processor, but not remited to the Company as of period end, are deemed to be receivables in transit, net of payables due. Additonally, the third-party transacton processor provides payments in advance for certain selling dealers. If the third-party transacton processor does not receive buying dealer payments associated with the transacton paid in advance, the Company would guarantee losses incurred by the third-party transacton processor and the balance would be deducted from future remitances to the Company. To date, losses associated with these guarantees have not been material.</w:t>
      </w:r>
    </w:p>
    <w:p>
      <w:pPr>
        <w:spacing w:after="0" w:line="222"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Company ofsets trade accounts receivables in transit, net of payables due, from the third-party transacton processor with payments received in advance from the third-party transacton processor as it has the right of ofset. At any point in tme, the Company could have amounts due from the third-party transacton processor for funds the third-party transacton processor has collected from buying dealers and has not yet remited to the Company (i.e., receivables in transit, net of payables due), as well as amounts paid by the third-party transacton processor to the Company in advance of collectng payments from buying dealers (i.e., payments received in advance). Therefore, as the Company has the right to ofset, the Company can either have a net receivable balance due from the third-party transacton processor which is recognized within accounts receivable, net in the Unaudited Condensed Consolidated Balance Sheets, or the Company can have a net liability which is recognized within accrued expenses, accrued income taxes, and other current liabilites in the Unaudited Condensed Consolidated Balance Sheets if the advance payments exceed the receivable positon from the third-party transacton processor as of the balance sheet date. The change in payments received in advance from the third-party transacton processor is presented as cash fows from fnancing actvites in the Unaudited Condensed Consolidated Statements of Cash Flows.</w:t>
      </w:r>
    </w:p>
    <w:p>
      <w:pPr>
        <w:spacing w:after="0" w:line="22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As of March 31, 2024, trade accounts receivable from receivables in transit, net of payables due, from the third-party transacton processor was $3,916, ofset by payments received in advance of $1,541, which resulted in a net receivable of $2,375 recognized within accounts receivable, net in the Unaudited Condensed Consolidated Balance Sheets. As of December 31, 2023, trade accounts receivable from receivables in transit, net of payables due, from the third-party transacton processor was $2,868, ofset by payments received in advance of $2,015, which resulted in a net receivable of $853 recognized within accounts receivable, net in the consolidated balance sheets.</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 xml:space="preserve">As of March 31, 2024 and December 31, 2023, $10,401 and $9,581, respectvely, was included in net accounts receivable, representng unbilled accounts receivable relatng primarily to both advertsing customers and dealers invoiced in the period subsequent to services rendered and revenue recogniton adjustments for Company ofered discounts given to dealers in accordance with ASC Topic 606, </w:t>
      </w:r>
      <w:r>
        <w:rPr>
          <w:rFonts w:ascii="Calibri" w:cs="Calibri" w:eastAsia="Calibri" w:hAnsi="Calibri"/>
          <w:sz w:val="18"/>
          <w:szCs w:val="18"/>
          <w:i w:val="1"/>
          <w:iCs w:val="1"/>
          <w:color w:val="auto"/>
        </w:rPr>
        <w:t>Revenue from Contracts with Customers</w:t>
      </w:r>
      <w:r>
        <w:rPr>
          <w:rFonts w:ascii="Calibri" w:cs="Calibri" w:eastAsia="Calibri" w:hAnsi="Calibri"/>
          <w:sz w:val="18"/>
          <w:szCs w:val="18"/>
          <w:color w:val="auto"/>
        </w:rPr>
        <w:t xml:space="preserve"> ("ASC 606").</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Signifcant Accountng Policies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Unaudited Condensed Consolidated Financial Statements refect the applicaton of certain signifcant accountng policies as described below and elsewhere in these notes to the Unaudited Condensed Consolidated Financial Statements. As of March 31, 2024, there have been no material changes in the Company’s signifcant accountng policies, which are detailed in the Annual Report.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b w:val="1"/>
          <w:bCs w:val="1"/>
          <w:i w:val="1"/>
          <w:iCs w:val="1"/>
          <w:color w:val="auto"/>
        </w:rPr>
        <w:t>Recent Accountng Pronouncements Not Yet Adopted</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From tme to tme, new accountng pronouncements are issued by the FASB or other standard setng bodies and adopted by the Company on or prior to the specifed efectve date. Unless otherwise discussed, the Company believes that the impact of recently issued standards that are not yet efectve will not have a material impact on its fnancial positon or results of operatons upon adopton. As of March 31, 2024, there are no new accountng pronouncements that the Company is considering adoptng, other than those described below.</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 xml:space="preserve">In December 2023 the FASB issued ASU 2023-09, </w:t>
      </w:r>
      <w:r>
        <w:rPr>
          <w:rFonts w:ascii="Calibri" w:cs="Calibri" w:eastAsia="Calibri" w:hAnsi="Calibri"/>
          <w:sz w:val="18"/>
          <w:szCs w:val="18"/>
          <w:i w:val="1"/>
          <w:iCs w:val="1"/>
          <w:color w:val="auto"/>
        </w:rPr>
        <w:t>Income Taxes (Topic 740): Improvements to Income Tax Disclosures</w:t>
      </w:r>
      <w:r>
        <w:rPr>
          <w:rFonts w:ascii="Calibri" w:cs="Calibri" w:eastAsia="Calibri" w:hAnsi="Calibri"/>
          <w:sz w:val="18"/>
          <w:szCs w:val="18"/>
          <w:color w:val="auto"/>
        </w:rPr>
        <w:t xml:space="preserve"> ("ASU 2023-09")</w:t>
      </w:r>
      <w:r>
        <w:rPr>
          <w:rFonts w:ascii="Calibri" w:cs="Calibri" w:eastAsia="Calibri" w:hAnsi="Calibri"/>
          <w:sz w:val="18"/>
          <w:szCs w:val="18"/>
          <w:i w:val="1"/>
          <w:iCs w:val="1"/>
          <w:color w:val="auto"/>
        </w:rPr>
        <w:t>.</w:t>
      </w:r>
      <w:r>
        <w:rPr>
          <w:rFonts w:ascii="Calibri" w:cs="Calibri" w:eastAsia="Calibri" w:hAnsi="Calibri"/>
          <w:sz w:val="18"/>
          <w:szCs w:val="18"/>
          <w:color w:val="auto"/>
        </w:rPr>
        <w:t xml:space="preserve"> </w:t>
      </w:r>
      <w:r>
        <w:rPr>
          <w:rFonts w:ascii="Calibri" w:cs="Calibri" w:eastAsia="Calibri" w:hAnsi="Calibri"/>
          <w:sz w:val="18"/>
          <w:szCs w:val="18"/>
          <w:color w:val="1D1C1D"/>
        </w:rPr>
        <w:t>ASU 2023-09 is</w:t>
      </w:r>
      <w:r>
        <w:rPr>
          <w:rFonts w:ascii="Calibri" w:cs="Calibri" w:eastAsia="Calibri" w:hAnsi="Calibri"/>
          <w:sz w:val="18"/>
          <w:szCs w:val="18"/>
          <w:color w:val="auto"/>
        </w:rPr>
        <w:t xml:space="preserve"> </w:t>
      </w:r>
      <w:r>
        <w:rPr>
          <w:rFonts w:ascii="Calibri" w:cs="Calibri" w:eastAsia="Calibri" w:hAnsi="Calibri"/>
          <w:sz w:val="18"/>
          <w:szCs w:val="18"/>
          <w:color w:val="1D1C1D"/>
        </w:rPr>
        <w:t>intended to enhance the transparency and decision usefulness of income tax disclosures. ASU 2023-09 addresses investor requests for enhanced income tax informaton primarily through changes to the rate reconciliaton and income taxes paid informaton. Early adopton is permited. A public entty should apply ASU 2023-09 prospectvely to all annual periods beginning afer December 15, 2024. The Company is currently evaluatng the impact of ASU 2023-09 on its future consolidated fnancial statements and related disclosures.</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 xml:space="preserve">In November 2023 the FASB issued ASU 2023-07, </w:t>
      </w:r>
      <w:r>
        <w:rPr>
          <w:rFonts w:ascii="Calibri" w:cs="Calibri" w:eastAsia="Calibri" w:hAnsi="Calibri"/>
          <w:sz w:val="18"/>
          <w:szCs w:val="18"/>
          <w:i w:val="1"/>
          <w:iCs w:val="1"/>
          <w:color w:val="auto"/>
        </w:rPr>
        <w:t>Segment Reportng (Topic 280): Improvements to Reportable Segment Disclosures</w:t>
      </w:r>
      <w:r>
        <w:rPr>
          <w:rFonts w:ascii="Calibri" w:cs="Calibri" w:eastAsia="Calibri" w:hAnsi="Calibri"/>
          <w:sz w:val="18"/>
          <w:szCs w:val="18"/>
          <w:color w:val="auto"/>
        </w:rPr>
        <w:t xml:space="preserve"> ("ASU 2023-07"). ASU 2023-07 is intended to enhance disclosures for signifcant segment expenses for all public enttes required to report segment informaton in accordance with ASC Topic 280, </w:t>
      </w:r>
      <w:r>
        <w:rPr>
          <w:rFonts w:ascii="Calibri" w:cs="Calibri" w:eastAsia="Calibri" w:hAnsi="Calibri"/>
          <w:sz w:val="18"/>
          <w:szCs w:val="18"/>
          <w:i w:val="1"/>
          <w:iCs w:val="1"/>
          <w:color w:val="auto"/>
        </w:rPr>
        <w:t>Segment Reportng</w:t>
      </w:r>
      <w:r>
        <w:rPr>
          <w:rFonts w:ascii="Calibri" w:cs="Calibri" w:eastAsia="Calibri" w:hAnsi="Calibri"/>
          <w:sz w:val="18"/>
          <w:szCs w:val="18"/>
          <w:color w:val="auto"/>
        </w:rPr>
        <w:t xml:space="preserve"> ("ASC 280"). ASC 280 requires a public entty to report for each reportable segment a measure of segment proft or loss that its chief operatng decision maker (“CODM”) uses to assess segment performance and to make decisions about resource allocatons. ASU 2023-07 is intended to improve fnancial reportng by requiring disclosure of incremental segment informaton on an annual and interim basis for all public enttes to enable investors to develop more useful fnancial analyses. ASU 2023-07 is efectve for fscal years beginning afer December 15, 2023, and interim periods within fscal years beginning afer December 15, 2024. Early adopton is permited. A public entty should apply ASU 2023-07 retrospectvely to all prior periods presented in the consolidated fnancial statements. The Company is currently evaluatng the impact of </w:t>
      </w:r>
      <w:r>
        <w:rPr>
          <w:rFonts w:ascii="Calibri" w:cs="Calibri" w:eastAsia="Calibri" w:hAnsi="Calibri"/>
          <w:sz w:val="18"/>
          <w:szCs w:val="18"/>
          <w:color w:val="1D1C1D"/>
        </w:rPr>
        <w:t>ASU 2023-07</w:t>
      </w:r>
      <w:r>
        <w:rPr>
          <w:rFonts w:ascii="Calibri" w:cs="Calibri" w:eastAsia="Calibri" w:hAnsi="Calibri"/>
          <w:sz w:val="18"/>
          <w:szCs w:val="18"/>
          <w:color w:val="auto"/>
        </w:rPr>
        <w:t xml:space="preserve"> on its future consolidated fnancial statements and related disclosures.</w:t>
      </w:r>
    </w:p>
    <w:p>
      <w:pPr>
        <w:spacing w:after="0" w:line="22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 xml:space="preserve">In October 2023 the FASB issued ASU 2023-06, </w:t>
      </w:r>
      <w:r>
        <w:rPr>
          <w:rFonts w:ascii="Calibri" w:cs="Calibri" w:eastAsia="Calibri" w:hAnsi="Calibri"/>
          <w:sz w:val="18"/>
          <w:szCs w:val="18"/>
          <w:i w:val="1"/>
          <w:iCs w:val="1"/>
          <w:color w:val="auto"/>
        </w:rPr>
        <w:t>Disclosure Improvements – Codifcaton Amendments in Response to the SEC's Disclosure Update and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Simplifcaton Initatve </w:t>
      </w:r>
      <w:r>
        <w:rPr>
          <w:rFonts w:ascii="Calibri" w:cs="Calibri" w:eastAsia="Calibri" w:hAnsi="Calibri"/>
          <w:sz w:val="18"/>
          <w:szCs w:val="18"/>
          <w:color w:val="auto"/>
        </w:rPr>
        <w:t>("ASU 2023-06"). ASU 2023-06 modifes the disclosure and presentaton requirements for a variety of topics in the ASC. The Company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is currently evaluatng the impact of ASU 2023-06 on its future consolidated fnancial statements and related disclosures.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 Revenue Recogniton</w:t>
      </w:r>
    </w:p>
    <w:p>
      <w:pPr>
        <w:spacing w:after="0" w:line="21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revenue from contracts with customers by services and products for the three months ended March 31, 2024 and</w:t>
      </w:r>
    </w:p>
    <w:p>
      <w:pPr>
        <w:spacing w:after="0" w:line="235" w:lineRule="auto"/>
        <w:rPr>
          <w:sz w:val="20"/>
          <w:szCs w:val="20"/>
          <w:color w:val="auto"/>
        </w:rPr>
      </w:pPr>
      <w:r>
        <w:rPr>
          <w:rFonts w:ascii="Calibri" w:cs="Calibri" w:eastAsia="Calibri" w:hAnsi="Calibri"/>
          <w:sz w:val="18"/>
          <w:szCs w:val="18"/>
          <w:color w:val="auto"/>
        </w:rPr>
        <w:t>2023:</w:t>
      </w:r>
    </w:p>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gridSpan w:val="3"/>
          </w:tcPr>
          <w:p>
            <w:pPr>
              <w:jc w:val="right"/>
              <w:ind w:right="270"/>
              <w:spacing w:after="0"/>
              <w:rPr>
                <w:sz w:val="20"/>
                <w:szCs w:val="20"/>
                <w:color w:val="auto"/>
              </w:rPr>
            </w:pPr>
            <w:r>
              <w:rPr>
                <w:rFonts w:ascii="Calibri" w:cs="Calibri" w:eastAsia="Calibri" w:hAnsi="Calibri"/>
                <w:sz w:val="14"/>
                <w:szCs w:val="14"/>
                <w:b w:val="1"/>
                <w:bCs w:val="1"/>
                <w:color w:val="auto"/>
              </w:rPr>
              <w:t>March 31,</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98"/>
              <w:spacing w:after="0"/>
              <w:rPr>
                <w:sz w:val="20"/>
                <w:szCs w:val="20"/>
                <w:color w:val="auto"/>
              </w:rPr>
            </w:pPr>
            <w:r>
              <w:rPr>
                <w:rFonts w:ascii="Calibri" w:cs="Calibri" w:eastAsia="Calibri" w:hAnsi="Calibri"/>
                <w:sz w:val="14"/>
                <w:szCs w:val="14"/>
                <w:b w:val="1"/>
                <w:bCs w:val="1"/>
                <w:color w:val="auto"/>
              </w:rPr>
              <w:t>2024</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474"/>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5"/>
                <w:szCs w:val="15"/>
                <w:color w:val="auto"/>
              </w:rPr>
            </w:pPr>
          </w:p>
        </w:tc>
      </w:tr>
      <w:tr>
        <w:trPr>
          <w:trHeight w:val="47"/>
        </w:trPr>
        <w:tc>
          <w:tcPr>
            <w:tcW w:w="7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17"/>
        </w:trPr>
        <w:tc>
          <w:tcPr>
            <w:tcW w:w="71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Marketplace</w:t>
            </w:r>
          </w:p>
        </w:tc>
        <w:tc>
          <w:tcPr>
            <w:tcW w:w="320" w:type="dxa"/>
            <w:vAlign w:val="bottom"/>
            <w:tcBorders>
              <w:bottom w:val="single" w:sz="8" w:color="CFF0FC"/>
            </w:tcBorders>
            <w:shd w:val="clear" w:color="auto" w:fill="CFF0FC"/>
          </w:tcPr>
          <w:p>
            <w:pPr>
              <w:jc w:val="right"/>
              <w:ind w:right="13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187,219</w:t>
            </w:r>
          </w:p>
        </w:tc>
        <w:tc>
          <w:tcPr>
            <w:tcW w:w="780" w:type="dxa"/>
            <w:vAlign w:val="bottom"/>
            <w:tcBorders>
              <w:bottom w:val="single" w:sz="8" w:color="CFF0FC"/>
            </w:tcBorders>
            <w:gridSpan w:val="2"/>
            <w:shd w:val="clear" w:color="auto" w:fill="CFF0FC"/>
          </w:tcPr>
          <w:p>
            <w:pPr>
              <w:jc w:val="right"/>
              <w:ind w:right="310"/>
              <w:spacing w:after="0" w:line="208"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167,127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100" w:type="dxa"/>
            <w:vAlign w:val="bottom"/>
          </w:tcPr>
          <w:p>
            <w:pPr>
              <w:ind w:left="20"/>
              <w:spacing w:after="0" w:line="215" w:lineRule="exact"/>
              <w:rPr>
                <w:sz w:val="20"/>
                <w:szCs w:val="20"/>
                <w:color w:val="auto"/>
              </w:rPr>
            </w:pPr>
            <w:r>
              <w:rPr>
                <w:rFonts w:ascii="Calibri" w:cs="Calibri" w:eastAsia="Calibri" w:hAnsi="Calibri"/>
                <w:sz w:val="18"/>
                <w:szCs w:val="18"/>
                <w:color w:val="auto"/>
              </w:rPr>
              <w:t>Dealer-to-Dealer</w:t>
            </w:r>
          </w:p>
        </w:tc>
        <w:tc>
          <w:tcPr>
            <w:tcW w:w="32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18,499</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28,705</w:t>
            </w:r>
          </w:p>
        </w:tc>
        <w:tc>
          <w:tcPr>
            <w:tcW w:w="100" w:type="dxa"/>
            <w:vAlign w:val="bottom"/>
          </w:tcPr>
          <w:p>
            <w:pPr>
              <w:spacing w:after="0"/>
              <w:rPr>
                <w:sz w:val="18"/>
                <w:szCs w:val="18"/>
                <w:color w:val="auto"/>
              </w:rPr>
            </w:pPr>
          </w:p>
        </w:tc>
      </w:tr>
      <w:tr>
        <w:trPr>
          <w:trHeight w:val="28"/>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1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Sell My Car - Instant Max Cash Ofer</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10,078</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36,131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00" w:type="dxa"/>
            <w:vAlign w:val="bottom"/>
            <w:tcBorders>
              <w:top w:val="single" w:sz="8" w:color="CFF0FC"/>
            </w:tcBorders>
          </w:tcPr>
          <w:p>
            <w:pPr>
              <w:ind w:left="380"/>
              <w:spacing w:after="0"/>
              <w:rPr>
                <w:sz w:val="20"/>
                <w:szCs w:val="20"/>
                <w:color w:val="auto"/>
              </w:rPr>
            </w:pPr>
            <w:r>
              <w:rPr>
                <w:rFonts w:ascii="Calibri" w:cs="Calibri" w:eastAsia="Calibri" w:hAnsi="Calibri"/>
                <w:sz w:val="18"/>
                <w:szCs w:val="18"/>
                <w:color w:val="auto"/>
              </w:rPr>
              <w:t>Total</w:t>
            </w:r>
          </w:p>
        </w:tc>
        <w:tc>
          <w:tcPr>
            <w:tcW w:w="320" w:type="dxa"/>
            <w:vAlign w:val="bottom"/>
            <w:tcBorders>
              <w:top w:val="single" w:sz="8" w:color="auto"/>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215,796</w:t>
            </w: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231,963</w:t>
            </w:r>
          </w:p>
        </w:tc>
        <w:tc>
          <w:tcPr>
            <w:tcW w:w="100" w:type="dxa"/>
            <w:vAlign w:val="bottom"/>
            <w:tcBorders>
              <w:top w:val="single" w:sz="8" w:color="CFF0FC"/>
            </w:tcBorders>
          </w:tcPr>
          <w:p>
            <w:pPr>
              <w:spacing w:after="0"/>
              <w:rPr>
                <w:sz w:val="20"/>
                <w:szCs w:val="20"/>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-187960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-187960</wp:posOffset>
            </wp:positionV>
            <wp:extent cx="596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The Company provides disaggregaton of revenue by services and products, by income statement presentaton, by segment, and by geographic region.</w:t>
      </w:r>
    </w:p>
    <w:p>
      <w:pPr>
        <w:spacing w:after="0" w:line="22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Revenue by services and products is disaggregated by (i) marketplace services, (ii) Dealer-to-Dealer services and products, and (iii) Sell My Car - Instant Max Cash Ofer ("IMCO") services and products as disclosed above.</w:t>
      </w:r>
    </w:p>
    <w:p>
      <w:pPr>
        <w:spacing w:after="0" w:line="218"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Revenue by income statement presentaton is disaggregated by (i) marketplace, (ii) wholesale, and (iii) product revenue sources as disclosed in the Unaudited Condensed Consolidated Income Statements. Marketplace services are included within marketplace revenue in the Unaudited Condensed Consolidated Income Statements. Dealer-to-Dealer and IMCO services and products are included within both wholesale revenue and product revenue in the Unaudited Condensed Consolidated Income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3" w:name="page14"/>
    <w:bookmarkEnd w:id="13"/>
    <w:p>
      <w:pPr>
        <w:jc w:val="both"/>
        <w:ind w:firstLine="509"/>
        <w:spacing w:after="0" w:line="235" w:lineRule="auto"/>
        <w:rPr>
          <w:sz w:val="20"/>
          <w:szCs w:val="20"/>
          <w:color w:val="auto"/>
        </w:rPr>
      </w:pPr>
      <w:r>
        <w:rPr>
          <w:rFonts w:ascii="Calibri" w:cs="Calibri" w:eastAsia="Calibri" w:hAnsi="Calibri"/>
          <w:sz w:val="18"/>
          <w:szCs w:val="18"/>
          <w:color w:val="auto"/>
        </w:rPr>
        <w:t>Revenue by segment is disaggregated by (i) U.S. Marketplace and (ii) Digital Wholesale segments as disclosed in Note 12 of the Unaudited Condensed Consolidated Financial Statements. Marketplace services are included in the U.S. Marketplace segment and in the Other category of segment reportng. Dealer-to-Dealer and IMCO services and products are included in the Digital Wholesale segment.</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Revenue by geographic region is disaggregated by (i) U.S. and (ii) Internatonal regions as disclosed in Note 12 of the Unaudited Condensed Consolidated Financial Statements. Marketplace services are provided in the U.S. and Internatonal regions. Dealer-to-Dealer and IMCO services and products are provided in the U.S. region.</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Company believes these categories best depict how the nature, amount, tming, and uncertainty of revenue and cash fows are afected by economic factors.</w:t>
      </w:r>
    </w:p>
    <w:p>
      <w:pPr>
        <w:spacing w:after="0" w:line="218"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ASC 606 requires that the Company disclose the aggregate amount of transacton price that is allocated to performance obligatons that have not yet been satsfed as of the relevant quarter end.</w:t>
      </w:r>
    </w:p>
    <w:p>
      <w:pPr>
        <w:spacing w:after="0" w:line="218"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For contracts with an original expected duraton greater than one year, the aggregate amount of the transacton price allocated to the performance obligatons that were unsatsfed as of March 31, 2024, was approximately $53.6 million, which the Company expects to recognize over the next twelve months.</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For contracts with an original expected duraton of one year or less, the Company has applied the practcal expedient available under ASC 606 to not disclose the amount of transacton price allocated to unsatsfed performance obligatons as of March 31, 2024. For performance obligatons not satsfed as of March 31, 2024, and to which this expedient applies, the nature of the performance obligatons, the variable consideraton, and any consideraton from contracts with customers not included in the transacton price is consistent with performance obligatons satsfed as of March 31, 2024.</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For the three months ended March 31, 2024 and 2023, revenue recognized from amounts included in deferred revenue at the beginning of the period was $21,322 and $12,249, respectvely.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4. Fair Value of Financial Instruments</w:t>
      </w:r>
    </w:p>
    <w:p>
      <w:pPr>
        <w:spacing w:after="0" w:line="21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As of March 31, 2024 and December 31, 2023, assets measured at fair value on a recurring basis consist of the following:</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As of March 31, 2024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52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200" w:type="dxa"/>
            <w:vAlign w:val="bottom"/>
          </w:tcPr>
          <w:p>
            <w:pPr>
              <w:spacing w:after="0"/>
              <w:rPr>
                <w:sz w:val="14"/>
                <w:szCs w:val="14"/>
                <w:color w:val="auto"/>
              </w:rPr>
            </w:pPr>
          </w:p>
        </w:tc>
        <w:tc>
          <w:tcPr>
            <w:tcW w:w="1040" w:type="dxa"/>
            <w:vAlign w:val="bottom"/>
            <w:gridSpan w:val="2"/>
          </w:tcPr>
          <w:p>
            <w:pPr>
              <w:jc w:val="center"/>
              <w:spacing w:after="0" w:line="164" w:lineRule="exact"/>
              <w:rPr>
                <w:sz w:val="20"/>
                <w:szCs w:val="20"/>
                <w:color w:val="auto"/>
              </w:rPr>
            </w:pPr>
            <w:r>
              <w:rPr>
                <w:rFonts w:ascii="Calibri" w:cs="Calibri" w:eastAsia="Calibri" w:hAnsi="Calibri"/>
                <w:sz w:val="14"/>
                <w:szCs w:val="14"/>
                <w:b w:val="1"/>
                <w:bCs w:val="1"/>
                <w:color w:val="auto"/>
              </w:rPr>
              <w:t>Quoted Prices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81"/>
              <w:spacing w:after="0"/>
              <w:rPr>
                <w:sz w:val="20"/>
                <w:szCs w:val="20"/>
                <w:color w:val="auto"/>
              </w:rPr>
            </w:pPr>
            <w:r>
              <w:rPr>
                <w:rFonts w:ascii="Calibri" w:cs="Calibri" w:eastAsia="Calibri" w:hAnsi="Calibri"/>
                <w:sz w:val="14"/>
                <w:szCs w:val="14"/>
                <w:b w:val="1"/>
                <w:bCs w:val="1"/>
                <w:color w:val="auto"/>
              </w:rPr>
              <w:t>in Actve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1"/>
              <w:spacing w:after="0"/>
              <w:rPr>
                <w:sz w:val="20"/>
                <w:szCs w:val="20"/>
                <w:color w:val="auto"/>
              </w:rPr>
            </w:pPr>
            <w:r>
              <w:rPr>
                <w:rFonts w:ascii="Calibri" w:cs="Calibri" w:eastAsia="Calibri" w:hAnsi="Calibri"/>
                <w:sz w:val="14"/>
                <w:szCs w:val="14"/>
                <w:b w:val="1"/>
                <w:bCs w:val="1"/>
                <w:color w:val="auto"/>
              </w:rPr>
              <w:t>Markets</w:t>
            </w:r>
          </w:p>
        </w:tc>
        <w:tc>
          <w:tcPr>
            <w:tcW w:w="24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Signifcant Other</w:t>
            </w:r>
          </w:p>
        </w:tc>
        <w:tc>
          <w:tcPr>
            <w:tcW w:w="240" w:type="dxa"/>
            <w:vAlign w:val="bottom"/>
          </w:tcPr>
          <w:p>
            <w:pPr>
              <w:spacing w:after="0"/>
              <w:rPr>
                <w:sz w:val="15"/>
                <w:szCs w:val="15"/>
                <w:color w:val="auto"/>
              </w:rPr>
            </w:pPr>
          </w:p>
        </w:tc>
        <w:tc>
          <w:tcPr>
            <w:tcW w:w="820" w:type="dxa"/>
            <w:vAlign w:val="bottom"/>
          </w:tcPr>
          <w:p>
            <w:pPr>
              <w:jc w:val="center"/>
              <w:ind w:left="126"/>
              <w:spacing w:after="0"/>
              <w:rPr>
                <w:sz w:val="20"/>
                <w:szCs w:val="20"/>
                <w:color w:val="auto"/>
              </w:rPr>
            </w:pPr>
            <w:r>
              <w:rPr>
                <w:rFonts w:ascii="Calibri" w:cs="Calibri" w:eastAsia="Calibri" w:hAnsi="Calibri"/>
                <w:sz w:val="14"/>
                <w:szCs w:val="14"/>
                <w:b w:val="1"/>
                <w:bCs w:val="1"/>
                <w:color w:val="auto"/>
              </w:rPr>
              <w:t>Signifcant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81"/>
              <w:spacing w:after="0"/>
              <w:rPr>
                <w:sz w:val="20"/>
                <w:szCs w:val="20"/>
                <w:color w:val="auto"/>
              </w:rPr>
            </w:pPr>
            <w:r>
              <w:rPr>
                <w:rFonts w:ascii="Calibri" w:cs="Calibri" w:eastAsia="Calibri" w:hAnsi="Calibri"/>
                <w:sz w:val="14"/>
                <w:szCs w:val="14"/>
                <w:b w:val="1"/>
                <w:bCs w:val="1"/>
                <w:color w:val="auto"/>
              </w:rPr>
              <w:t>for Identcal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80"/>
              <w:spacing w:after="0"/>
              <w:rPr>
                <w:sz w:val="20"/>
                <w:szCs w:val="20"/>
                <w:color w:val="auto"/>
              </w:rPr>
            </w:pPr>
            <w:r>
              <w:rPr>
                <w:rFonts w:ascii="Calibri" w:cs="Calibri" w:eastAsia="Calibri" w:hAnsi="Calibri"/>
                <w:sz w:val="14"/>
                <w:szCs w:val="14"/>
                <w:b w:val="1"/>
                <w:bCs w:val="1"/>
                <w:color w:val="auto"/>
              </w:rPr>
              <w:t>Observable</w:t>
            </w:r>
          </w:p>
        </w:tc>
        <w:tc>
          <w:tcPr>
            <w:tcW w:w="24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Unobservable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1"/>
              <w:spacing w:after="0"/>
              <w:rPr>
                <w:sz w:val="20"/>
                <w:szCs w:val="20"/>
                <w:color w:val="auto"/>
              </w:rPr>
            </w:pPr>
            <w:r>
              <w:rPr>
                <w:rFonts w:ascii="Calibri" w:cs="Calibri" w:eastAsia="Calibri" w:hAnsi="Calibri"/>
                <w:sz w:val="14"/>
                <w:szCs w:val="14"/>
                <w:b w:val="1"/>
                <w:bCs w:val="1"/>
                <w:color w:val="auto"/>
              </w:rPr>
              <w:t>Assets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0"/>
              <w:spacing w:after="0"/>
              <w:rPr>
                <w:sz w:val="20"/>
                <w:szCs w:val="20"/>
                <w:color w:val="auto"/>
              </w:rPr>
            </w:pPr>
            <w:r>
              <w:rPr>
                <w:rFonts w:ascii="Calibri" w:cs="Calibri" w:eastAsia="Calibri" w:hAnsi="Calibri"/>
                <w:sz w:val="14"/>
                <w:szCs w:val="14"/>
                <w:b w:val="1"/>
                <w:bCs w:val="1"/>
                <w:color w:val="auto"/>
              </w:rPr>
              <w:t>Inputs</w:t>
            </w:r>
          </w:p>
        </w:tc>
        <w:tc>
          <w:tcPr>
            <w:tcW w:w="240" w:type="dxa"/>
            <w:vAlign w:val="bottom"/>
          </w:tcPr>
          <w:p>
            <w:pPr>
              <w:spacing w:after="0"/>
              <w:rPr>
                <w:sz w:val="15"/>
                <w:szCs w:val="15"/>
                <w:color w:val="auto"/>
              </w:rPr>
            </w:pPr>
          </w:p>
        </w:tc>
        <w:tc>
          <w:tcPr>
            <w:tcW w:w="820" w:type="dxa"/>
            <w:vAlign w:val="bottom"/>
          </w:tcPr>
          <w:p>
            <w:pPr>
              <w:jc w:val="center"/>
              <w:ind w:left="126"/>
              <w:spacing w:after="0"/>
              <w:rPr>
                <w:sz w:val="20"/>
                <w:szCs w:val="20"/>
                <w:color w:val="auto"/>
              </w:rPr>
            </w:pPr>
            <w:r>
              <w:rPr>
                <w:rFonts w:ascii="Calibri" w:cs="Calibri" w:eastAsia="Calibri" w:hAnsi="Calibri"/>
                <w:sz w:val="14"/>
                <w:szCs w:val="14"/>
                <w:b w:val="1"/>
                <w:bCs w:val="1"/>
                <w:color w:val="auto"/>
              </w:rPr>
              <w:t>Inputs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0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(Level 1 Inputs)</w:t>
            </w:r>
          </w:p>
        </w:tc>
        <w:tc>
          <w:tcPr>
            <w:tcW w:w="24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(Level 2 Inputs)</w:t>
            </w:r>
          </w:p>
        </w:tc>
        <w:tc>
          <w:tcPr>
            <w:tcW w:w="24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(Level 3 Inputs)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Cash equivalents:</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200" w:type="dxa"/>
            <w:vAlign w:val="bottom"/>
          </w:tcPr>
          <w:p>
            <w:pPr>
              <w:ind w:left="180"/>
              <w:spacing w:after="0" w:line="215" w:lineRule="exact"/>
              <w:rPr>
                <w:sz w:val="20"/>
                <w:szCs w:val="20"/>
                <w:color w:val="auto"/>
              </w:rPr>
            </w:pPr>
            <w:r>
              <w:rPr>
                <w:rFonts w:ascii="Calibri" w:cs="Calibri" w:eastAsia="Calibri" w:hAnsi="Calibri"/>
                <w:sz w:val="18"/>
                <w:szCs w:val="18"/>
                <w:color w:val="auto"/>
              </w:rPr>
              <w:t>Mutual funds</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115,980</w:t>
            </w:r>
          </w:p>
        </w:tc>
        <w:tc>
          <w:tcPr>
            <w:tcW w:w="360" w:type="dxa"/>
            <w:vAlign w:val="bottom"/>
            <w:gridSpan w:val="2"/>
          </w:tcPr>
          <w:p>
            <w:pPr>
              <w:ind w:left="24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ind w:left="740"/>
              <w:spacing w:after="0" w:line="215" w:lineRule="exact"/>
              <w:rPr>
                <w:sz w:val="20"/>
                <w:szCs w:val="20"/>
                <w:color w:val="auto"/>
              </w:rPr>
            </w:pPr>
            <w:r>
              <w:rPr>
                <w:rFonts w:ascii="Calibri" w:cs="Calibri" w:eastAsia="Calibri" w:hAnsi="Calibri"/>
                <w:sz w:val="18"/>
                <w:szCs w:val="18"/>
                <w:color w:val="auto"/>
                <w:w w:val="97"/>
              </w:rPr>
              <w:t>—</w:t>
            </w:r>
          </w:p>
        </w:tc>
        <w:tc>
          <w:tcPr>
            <w:tcW w:w="1060" w:type="dxa"/>
            <w:vAlign w:val="bottom"/>
            <w:gridSpan w:val="2"/>
          </w:tcPr>
          <w:p>
            <w:pPr>
              <w:jc w:val="right"/>
              <w:ind w:right="646"/>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ind w:left="20"/>
              <w:spacing w:after="0" w:line="215" w:lineRule="exact"/>
              <w:rPr>
                <w:sz w:val="20"/>
                <w:szCs w:val="20"/>
                <w:color w:val="auto"/>
              </w:rPr>
            </w:pPr>
            <w:r>
              <w:rPr>
                <w:rFonts w:ascii="Calibri" w:cs="Calibri" w:eastAsia="Calibri" w:hAnsi="Calibri"/>
                <w:sz w:val="18"/>
                <w:szCs w:val="18"/>
                <w:color w:val="auto"/>
                <w:w w:val="85"/>
              </w:rPr>
              <w:t>—</w:t>
            </w:r>
          </w:p>
        </w:tc>
        <w:tc>
          <w:tcPr>
            <w:tcW w:w="46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115,980</w:t>
            </w:r>
          </w:p>
        </w:tc>
        <w:tc>
          <w:tcPr>
            <w:tcW w:w="100" w:type="dxa"/>
            <w:vAlign w:val="bottom"/>
          </w:tcPr>
          <w:p>
            <w:pPr>
              <w:spacing w:after="0"/>
              <w:rPr>
                <w:sz w:val="18"/>
                <w:szCs w:val="18"/>
                <w:color w:val="auto"/>
              </w:rPr>
            </w:pPr>
          </w:p>
        </w:tc>
      </w:tr>
      <w:tr>
        <w:trPr>
          <w:trHeight w:val="28"/>
        </w:trPr>
        <w:tc>
          <w:tcPr>
            <w:tcW w:w="52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62"/>
        </w:trPr>
        <w:tc>
          <w:tcPr>
            <w:tcW w:w="5200" w:type="dxa"/>
            <w:vAlign w:val="bottom"/>
            <w:tcBorders>
              <w:bottom w:val="single" w:sz="8" w:color="CFF0FC"/>
            </w:tcBorders>
            <w:shd w:val="clear" w:color="auto" w:fill="CFF0FC"/>
          </w:tcPr>
          <w:p>
            <w:pPr>
              <w:spacing w:after="0" w:line="195" w:lineRule="exact"/>
              <w:rPr>
                <w:sz w:val="20"/>
                <w:szCs w:val="20"/>
                <w:color w:val="auto"/>
              </w:rPr>
            </w:pPr>
            <w:r>
              <w:rPr>
                <w:rFonts w:ascii="Calibri" w:cs="Calibri" w:eastAsia="Calibri" w:hAnsi="Calibri"/>
                <w:sz w:val="18"/>
                <w:szCs w:val="18"/>
                <w:color w:val="auto"/>
              </w:rPr>
              <w:t>Total</w:t>
            </w:r>
          </w:p>
        </w:tc>
        <w:tc>
          <w:tcPr>
            <w:tcW w:w="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115,980</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CFF0FC"/>
            </w:tcBorders>
            <w:shd w:val="clear" w:color="auto" w:fill="CFF0FC"/>
          </w:tcPr>
          <w:p>
            <w:pPr>
              <w:ind w:left="740"/>
              <w:spacing w:after="0" w:line="208" w:lineRule="exact"/>
              <w:rPr>
                <w:sz w:val="20"/>
                <w:szCs w:val="20"/>
                <w:color w:val="auto"/>
              </w:rPr>
            </w:pPr>
            <w:r>
              <w:rPr>
                <w:rFonts w:ascii="Calibri" w:cs="Calibri" w:eastAsia="Calibri" w:hAnsi="Calibri"/>
                <w:sz w:val="18"/>
                <w:szCs w:val="18"/>
                <w:color w:val="auto"/>
                <w:w w:val="97"/>
              </w:rPr>
              <w:t>—</w:t>
            </w:r>
          </w:p>
        </w:tc>
        <w:tc>
          <w:tcPr>
            <w:tcW w:w="2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ind w:right="646"/>
              <w:spacing w:after="0" w:line="208" w:lineRule="exact"/>
              <w:rPr>
                <w:sz w:val="20"/>
                <w:szCs w:val="20"/>
                <w:color w:val="auto"/>
              </w:rPr>
            </w:pPr>
            <w:r>
              <w:rPr>
                <w:rFonts w:ascii="Calibri" w:cs="Calibri" w:eastAsia="Calibri" w:hAnsi="Calibri"/>
                <w:sz w:val="18"/>
                <w:szCs w:val="18"/>
                <w:color w:val="auto"/>
                <w:w w:val="87"/>
              </w:rPr>
              <w:t>$</w:t>
            </w:r>
          </w:p>
        </w:tc>
        <w:tc>
          <w:tcPr>
            <w:tcW w:w="1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w w:val="85"/>
              </w:rPr>
              <w:t>—</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115,980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20"/>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As of December 31, 2023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
        </w:trPr>
        <w:tc>
          <w:tcPr>
            <w:tcW w:w="52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200" w:type="dxa"/>
            <w:vAlign w:val="bottom"/>
          </w:tcPr>
          <w:p>
            <w:pPr>
              <w:spacing w:after="0"/>
              <w:rPr>
                <w:sz w:val="14"/>
                <w:szCs w:val="14"/>
                <w:color w:val="auto"/>
              </w:rPr>
            </w:pPr>
          </w:p>
        </w:tc>
        <w:tc>
          <w:tcPr>
            <w:tcW w:w="1040" w:type="dxa"/>
            <w:vAlign w:val="bottom"/>
            <w:gridSpan w:val="2"/>
          </w:tcPr>
          <w:p>
            <w:pPr>
              <w:jc w:val="center"/>
              <w:spacing w:after="0" w:line="164" w:lineRule="exact"/>
              <w:rPr>
                <w:sz w:val="20"/>
                <w:szCs w:val="20"/>
                <w:color w:val="auto"/>
              </w:rPr>
            </w:pPr>
            <w:r>
              <w:rPr>
                <w:rFonts w:ascii="Calibri" w:cs="Calibri" w:eastAsia="Calibri" w:hAnsi="Calibri"/>
                <w:sz w:val="14"/>
                <w:szCs w:val="14"/>
                <w:b w:val="1"/>
                <w:bCs w:val="1"/>
                <w:color w:val="auto"/>
              </w:rPr>
              <w:t>Quoted Prices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81"/>
              <w:spacing w:after="0"/>
              <w:rPr>
                <w:sz w:val="20"/>
                <w:szCs w:val="20"/>
                <w:color w:val="auto"/>
              </w:rPr>
            </w:pPr>
            <w:r>
              <w:rPr>
                <w:rFonts w:ascii="Calibri" w:cs="Calibri" w:eastAsia="Calibri" w:hAnsi="Calibri"/>
                <w:sz w:val="14"/>
                <w:szCs w:val="14"/>
                <w:b w:val="1"/>
                <w:bCs w:val="1"/>
                <w:color w:val="auto"/>
              </w:rPr>
              <w:t>in Actve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1"/>
              <w:spacing w:after="0"/>
              <w:rPr>
                <w:sz w:val="20"/>
                <w:szCs w:val="20"/>
                <w:color w:val="auto"/>
              </w:rPr>
            </w:pPr>
            <w:r>
              <w:rPr>
                <w:rFonts w:ascii="Calibri" w:cs="Calibri" w:eastAsia="Calibri" w:hAnsi="Calibri"/>
                <w:sz w:val="14"/>
                <w:szCs w:val="14"/>
                <w:b w:val="1"/>
                <w:bCs w:val="1"/>
                <w:color w:val="auto"/>
              </w:rPr>
              <w:t>Markets</w:t>
            </w:r>
          </w:p>
        </w:tc>
        <w:tc>
          <w:tcPr>
            <w:tcW w:w="24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Signifcant Other</w:t>
            </w:r>
          </w:p>
        </w:tc>
        <w:tc>
          <w:tcPr>
            <w:tcW w:w="240" w:type="dxa"/>
            <w:vAlign w:val="bottom"/>
          </w:tcPr>
          <w:p>
            <w:pPr>
              <w:spacing w:after="0"/>
              <w:rPr>
                <w:sz w:val="15"/>
                <w:szCs w:val="15"/>
                <w:color w:val="auto"/>
              </w:rPr>
            </w:pPr>
          </w:p>
        </w:tc>
        <w:tc>
          <w:tcPr>
            <w:tcW w:w="820" w:type="dxa"/>
            <w:vAlign w:val="bottom"/>
          </w:tcPr>
          <w:p>
            <w:pPr>
              <w:jc w:val="center"/>
              <w:ind w:left="126"/>
              <w:spacing w:after="0"/>
              <w:rPr>
                <w:sz w:val="20"/>
                <w:szCs w:val="20"/>
                <w:color w:val="auto"/>
              </w:rPr>
            </w:pPr>
            <w:r>
              <w:rPr>
                <w:rFonts w:ascii="Calibri" w:cs="Calibri" w:eastAsia="Calibri" w:hAnsi="Calibri"/>
                <w:sz w:val="14"/>
                <w:szCs w:val="14"/>
                <w:b w:val="1"/>
                <w:bCs w:val="1"/>
                <w:color w:val="auto"/>
              </w:rPr>
              <w:t>Signifcant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81"/>
              <w:spacing w:after="0"/>
              <w:rPr>
                <w:sz w:val="20"/>
                <w:szCs w:val="20"/>
                <w:color w:val="auto"/>
              </w:rPr>
            </w:pPr>
            <w:r>
              <w:rPr>
                <w:rFonts w:ascii="Calibri" w:cs="Calibri" w:eastAsia="Calibri" w:hAnsi="Calibri"/>
                <w:sz w:val="14"/>
                <w:szCs w:val="14"/>
                <w:b w:val="1"/>
                <w:bCs w:val="1"/>
                <w:color w:val="auto"/>
              </w:rPr>
              <w:t>for Identcal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80"/>
              <w:spacing w:after="0"/>
              <w:rPr>
                <w:sz w:val="20"/>
                <w:szCs w:val="20"/>
                <w:color w:val="auto"/>
              </w:rPr>
            </w:pPr>
            <w:r>
              <w:rPr>
                <w:rFonts w:ascii="Calibri" w:cs="Calibri" w:eastAsia="Calibri" w:hAnsi="Calibri"/>
                <w:sz w:val="14"/>
                <w:szCs w:val="14"/>
                <w:b w:val="1"/>
                <w:bCs w:val="1"/>
                <w:color w:val="auto"/>
              </w:rPr>
              <w:t>Observable</w:t>
            </w:r>
          </w:p>
        </w:tc>
        <w:tc>
          <w:tcPr>
            <w:tcW w:w="24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Unobservable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1"/>
              <w:spacing w:after="0"/>
              <w:rPr>
                <w:sz w:val="20"/>
                <w:szCs w:val="20"/>
                <w:color w:val="auto"/>
              </w:rPr>
            </w:pPr>
            <w:r>
              <w:rPr>
                <w:rFonts w:ascii="Calibri" w:cs="Calibri" w:eastAsia="Calibri" w:hAnsi="Calibri"/>
                <w:sz w:val="14"/>
                <w:szCs w:val="14"/>
                <w:b w:val="1"/>
                <w:bCs w:val="1"/>
                <w:color w:val="auto"/>
              </w:rPr>
              <w:t>Assets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0"/>
              <w:spacing w:after="0"/>
              <w:rPr>
                <w:sz w:val="20"/>
                <w:szCs w:val="20"/>
                <w:color w:val="auto"/>
              </w:rPr>
            </w:pPr>
            <w:r>
              <w:rPr>
                <w:rFonts w:ascii="Calibri" w:cs="Calibri" w:eastAsia="Calibri" w:hAnsi="Calibri"/>
                <w:sz w:val="14"/>
                <w:szCs w:val="14"/>
                <w:b w:val="1"/>
                <w:bCs w:val="1"/>
                <w:color w:val="auto"/>
              </w:rPr>
              <w:t>Inputs</w:t>
            </w:r>
          </w:p>
        </w:tc>
        <w:tc>
          <w:tcPr>
            <w:tcW w:w="240" w:type="dxa"/>
            <w:vAlign w:val="bottom"/>
          </w:tcPr>
          <w:p>
            <w:pPr>
              <w:spacing w:after="0"/>
              <w:rPr>
                <w:sz w:val="15"/>
                <w:szCs w:val="15"/>
                <w:color w:val="auto"/>
              </w:rPr>
            </w:pPr>
          </w:p>
        </w:tc>
        <w:tc>
          <w:tcPr>
            <w:tcW w:w="820" w:type="dxa"/>
            <w:vAlign w:val="bottom"/>
          </w:tcPr>
          <w:p>
            <w:pPr>
              <w:jc w:val="center"/>
              <w:ind w:left="126"/>
              <w:spacing w:after="0"/>
              <w:rPr>
                <w:sz w:val="20"/>
                <w:szCs w:val="20"/>
                <w:color w:val="auto"/>
              </w:rPr>
            </w:pPr>
            <w:r>
              <w:rPr>
                <w:rFonts w:ascii="Calibri" w:cs="Calibri" w:eastAsia="Calibri" w:hAnsi="Calibri"/>
                <w:sz w:val="14"/>
                <w:szCs w:val="14"/>
                <w:b w:val="1"/>
                <w:bCs w:val="1"/>
                <w:color w:val="auto"/>
              </w:rPr>
              <w:t>Inputs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0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(Level 1 Inputs)</w:t>
            </w:r>
          </w:p>
        </w:tc>
        <w:tc>
          <w:tcPr>
            <w:tcW w:w="24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(Level 2 Inputs)</w:t>
            </w:r>
          </w:p>
        </w:tc>
        <w:tc>
          <w:tcPr>
            <w:tcW w:w="24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(Level 3 Inputs)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52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Cash equivalents:</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200" w:type="dxa"/>
            <w:vAlign w:val="bottom"/>
          </w:tcPr>
          <w:p>
            <w:pPr>
              <w:ind w:left="180"/>
              <w:spacing w:after="0" w:line="215" w:lineRule="exact"/>
              <w:rPr>
                <w:sz w:val="20"/>
                <w:szCs w:val="20"/>
                <w:color w:val="auto"/>
              </w:rPr>
            </w:pPr>
            <w:r>
              <w:rPr>
                <w:rFonts w:ascii="Calibri" w:cs="Calibri" w:eastAsia="Calibri" w:hAnsi="Calibri"/>
                <w:sz w:val="18"/>
                <w:szCs w:val="18"/>
                <w:color w:val="auto"/>
              </w:rPr>
              <w:t>Mutual funds</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73,449</w:t>
            </w:r>
          </w:p>
        </w:tc>
        <w:tc>
          <w:tcPr>
            <w:tcW w:w="360" w:type="dxa"/>
            <w:vAlign w:val="bottom"/>
            <w:gridSpan w:val="2"/>
          </w:tcPr>
          <w:p>
            <w:pPr>
              <w:ind w:left="24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ind w:left="740"/>
              <w:spacing w:after="0" w:line="215" w:lineRule="exact"/>
              <w:rPr>
                <w:sz w:val="20"/>
                <w:szCs w:val="20"/>
                <w:color w:val="auto"/>
              </w:rPr>
            </w:pPr>
            <w:r>
              <w:rPr>
                <w:rFonts w:ascii="Calibri" w:cs="Calibri" w:eastAsia="Calibri" w:hAnsi="Calibri"/>
                <w:sz w:val="18"/>
                <w:szCs w:val="18"/>
                <w:color w:val="auto"/>
                <w:w w:val="97"/>
              </w:rPr>
              <w:t>—</w:t>
            </w:r>
          </w:p>
        </w:tc>
        <w:tc>
          <w:tcPr>
            <w:tcW w:w="1060" w:type="dxa"/>
            <w:vAlign w:val="bottom"/>
            <w:gridSpan w:val="2"/>
          </w:tcPr>
          <w:p>
            <w:pPr>
              <w:jc w:val="right"/>
              <w:ind w:right="646"/>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ind w:left="20"/>
              <w:spacing w:after="0" w:line="215" w:lineRule="exact"/>
              <w:rPr>
                <w:sz w:val="20"/>
                <w:szCs w:val="20"/>
                <w:color w:val="auto"/>
              </w:rPr>
            </w:pPr>
            <w:r>
              <w:rPr>
                <w:rFonts w:ascii="Calibri" w:cs="Calibri" w:eastAsia="Calibri" w:hAnsi="Calibri"/>
                <w:sz w:val="18"/>
                <w:szCs w:val="18"/>
                <w:color w:val="auto"/>
                <w:w w:val="85"/>
              </w:rPr>
              <w:t>—</w:t>
            </w:r>
          </w:p>
        </w:tc>
        <w:tc>
          <w:tcPr>
            <w:tcW w:w="46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73,449</w:t>
            </w:r>
          </w:p>
        </w:tc>
        <w:tc>
          <w:tcPr>
            <w:tcW w:w="100" w:type="dxa"/>
            <w:vAlign w:val="bottom"/>
          </w:tcPr>
          <w:p>
            <w:pPr>
              <w:spacing w:after="0"/>
              <w:rPr>
                <w:sz w:val="18"/>
                <w:szCs w:val="18"/>
                <w:color w:val="auto"/>
              </w:rPr>
            </w:pPr>
          </w:p>
        </w:tc>
      </w:tr>
      <w:tr>
        <w:trPr>
          <w:trHeight w:val="28"/>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Short-term investments:</w:t>
            </w: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200" w:type="dxa"/>
            <w:vAlign w:val="bottom"/>
          </w:tcPr>
          <w:p>
            <w:pPr>
              <w:ind w:left="180"/>
              <w:spacing w:after="0" w:line="215" w:lineRule="exact"/>
              <w:rPr>
                <w:sz w:val="20"/>
                <w:szCs w:val="20"/>
                <w:color w:val="auto"/>
              </w:rPr>
            </w:pPr>
            <w:r>
              <w:rPr>
                <w:rFonts w:ascii="Calibri" w:cs="Calibri" w:eastAsia="Calibri" w:hAnsi="Calibri"/>
                <w:sz w:val="18"/>
                <w:szCs w:val="18"/>
                <w:color w:val="auto"/>
              </w:rPr>
              <w:t>Mutual funds</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20,724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74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ind w:left="20"/>
              <w:spacing w:after="0" w:line="215" w:lineRule="exact"/>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20,724</w:t>
            </w:r>
          </w:p>
        </w:tc>
        <w:tc>
          <w:tcPr>
            <w:tcW w:w="100" w:type="dxa"/>
            <w:vAlign w:val="bottom"/>
          </w:tcPr>
          <w:p>
            <w:pPr>
              <w:spacing w:after="0"/>
              <w:rPr>
                <w:sz w:val="18"/>
                <w:szCs w:val="18"/>
                <w:color w:val="auto"/>
              </w:rPr>
            </w:pPr>
          </w:p>
        </w:tc>
      </w:tr>
      <w:tr>
        <w:trPr>
          <w:trHeight w:val="28"/>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52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Total</w:t>
            </w:r>
          </w:p>
        </w:tc>
        <w:tc>
          <w:tcPr>
            <w:tcW w:w="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94,173</w:t>
            </w:r>
          </w:p>
        </w:tc>
        <w:tc>
          <w:tcPr>
            <w:tcW w:w="360" w:type="dxa"/>
            <w:vAlign w:val="bottom"/>
            <w:tcBorders>
              <w:bottom w:val="single" w:sz="8" w:color="CFF0FC"/>
            </w:tcBorders>
            <w:gridSpan w:val="2"/>
            <w:shd w:val="clear" w:color="auto" w:fill="CFF0FC"/>
          </w:tcPr>
          <w:p>
            <w:pPr>
              <w:ind w:left="240"/>
              <w:spacing w:after="0" w:line="208"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CFF0FC"/>
            </w:tcBorders>
            <w:shd w:val="clear" w:color="auto" w:fill="CFF0FC"/>
          </w:tcPr>
          <w:p>
            <w:pPr>
              <w:ind w:left="740"/>
              <w:spacing w:after="0" w:line="208" w:lineRule="exact"/>
              <w:rPr>
                <w:sz w:val="20"/>
                <w:szCs w:val="20"/>
                <w:color w:val="auto"/>
              </w:rPr>
            </w:pPr>
            <w:r>
              <w:rPr>
                <w:rFonts w:ascii="Calibri" w:cs="Calibri" w:eastAsia="Calibri" w:hAnsi="Calibri"/>
                <w:sz w:val="18"/>
                <w:szCs w:val="18"/>
                <w:color w:val="auto"/>
                <w:w w:val="97"/>
              </w:rPr>
              <w:t>—</w:t>
            </w:r>
          </w:p>
        </w:tc>
        <w:tc>
          <w:tcPr>
            <w:tcW w:w="1060" w:type="dxa"/>
            <w:vAlign w:val="bottom"/>
            <w:tcBorders>
              <w:bottom w:val="single" w:sz="8" w:color="CFF0FC"/>
            </w:tcBorders>
            <w:gridSpan w:val="2"/>
            <w:shd w:val="clear" w:color="auto" w:fill="CFF0FC"/>
          </w:tcPr>
          <w:p>
            <w:pPr>
              <w:jc w:val="right"/>
              <w:ind w:right="646"/>
              <w:spacing w:after="0" w:line="208"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w w:val="85"/>
              </w:rPr>
              <w:t>—</w:t>
            </w:r>
          </w:p>
        </w:tc>
        <w:tc>
          <w:tcPr>
            <w:tcW w:w="460" w:type="dxa"/>
            <w:vAlign w:val="bottom"/>
            <w:tcBorders>
              <w:bottom w:val="single" w:sz="8" w:color="CFF0FC"/>
            </w:tcBorders>
            <w:gridSpan w:val="2"/>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94,173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-1833880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-1816735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-1996440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-1833880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-1816735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-1996440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-1833880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-1816735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-1996440</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-1833880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-1816735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-1996440</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ind w:right="220" w:firstLine="509"/>
        <w:spacing w:after="0" w:line="258" w:lineRule="auto"/>
        <w:rPr>
          <w:sz w:val="20"/>
          <w:szCs w:val="20"/>
          <w:color w:val="auto"/>
        </w:rPr>
      </w:pPr>
      <w:r>
        <w:rPr>
          <w:rFonts w:ascii="Calibri" w:cs="Calibri" w:eastAsia="Calibri" w:hAnsi="Calibri"/>
          <w:sz w:val="17"/>
          <w:szCs w:val="17"/>
          <w:color w:val="auto"/>
        </w:rPr>
        <w:t>For the three months ended March 31, 2024, dividend income recognized within interest income in the Unaudited Condensed Consolidated Income Statements was immaterial. For the three months ended March 31, 2023, there was no dividend income as the Company did not hold any investments.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ind w:right="40" w:firstLine="509"/>
        <w:spacing w:after="0" w:line="235" w:lineRule="auto"/>
        <w:rPr>
          <w:sz w:val="20"/>
          <w:szCs w:val="20"/>
          <w:color w:val="auto"/>
        </w:rPr>
      </w:pPr>
      <w:r>
        <w:rPr>
          <w:rFonts w:ascii="Calibri" w:cs="Calibri" w:eastAsia="Calibri" w:hAnsi="Calibri"/>
          <w:sz w:val="18"/>
          <w:szCs w:val="18"/>
          <w:color w:val="auto"/>
        </w:rPr>
        <w:t>For the three months ended March 31, 2024, unrealized and realized gain on short-term investments in equity securites was immaterial. For the three months ended March 31, 2023, there was no gain or loss investments in equity securites as the Company did not hold any investments.</w:t>
      </w:r>
    </w:p>
    <w:p>
      <w:pPr>
        <w:spacing w:after="0" w:line="21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As of March 31, 2024, the Company did not have any short-term investments as all were sold during the three months ended March 31, 2024.</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Property and Equipment, Net</w:t>
      </w:r>
    </w:p>
    <w:p>
      <w:pPr>
        <w:spacing w:after="0" w:line="21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As of March 31, 2024 and December 31, 2023, property and equipment, net consist of the following:</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Calibri" w:cs="Calibri" w:eastAsia="Calibri" w:hAnsi="Calibri"/>
                <w:sz w:val="14"/>
                <w:szCs w:val="14"/>
                <w:b w:val="1"/>
                <w:bCs w:val="1"/>
                <w:color w:val="auto"/>
              </w:rPr>
              <w:t>As of</w:t>
            </w:r>
          </w:p>
        </w:tc>
        <w:tc>
          <w:tcPr>
            <w:tcW w:w="2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As of</w:t>
            </w:r>
          </w:p>
        </w:tc>
      </w:tr>
      <w:tr>
        <w:trPr>
          <w:trHeight w:val="175"/>
        </w:trPr>
        <w:tc>
          <w:tcPr>
            <w:tcW w:w="6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520"/>
              <w:spacing w:after="0"/>
              <w:rPr>
                <w:sz w:val="20"/>
                <w:szCs w:val="20"/>
                <w:color w:val="auto"/>
              </w:rPr>
            </w:pPr>
            <w:r>
              <w:rPr>
                <w:rFonts w:ascii="Calibri" w:cs="Calibri" w:eastAsia="Calibri" w:hAnsi="Calibri"/>
                <w:sz w:val="14"/>
                <w:szCs w:val="14"/>
                <w:b w:val="1"/>
                <w:bCs w:val="1"/>
                <w:color w:val="auto"/>
                <w:w w:val="99"/>
              </w:rPr>
              <w:t>March 31,</w:t>
            </w:r>
          </w:p>
        </w:tc>
        <w:tc>
          <w:tcPr>
            <w:tcW w:w="20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December 31,</w:t>
            </w:r>
          </w:p>
        </w:tc>
      </w:tr>
      <w:tr>
        <w:trPr>
          <w:trHeight w:val="176"/>
        </w:trPr>
        <w:tc>
          <w:tcPr>
            <w:tcW w:w="6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174"/>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14"/>
              <w:spacing w:after="0"/>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5"/>
                <w:szCs w:val="15"/>
                <w:color w:val="auto"/>
              </w:rPr>
            </w:pPr>
          </w:p>
        </w:tc>
      </w:tr>
      <w:tr>
        <w:trPr>
          <w:trHeight w:val="33"/>
        </w:trPr>
        <w:tc>
          <w:tcPr>
            <w:tcW w:w="6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69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Capitalized equipment</w:t>
            </w:r>
          </w:p>
        </w:tc>
        <w:tc>
          <w:tcPr>
            <w:tcW w:w="26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1,081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1,326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Capitalized internal-use sofware</w:t>
            </w:r>
          </w:p>
        </w:tc>
        <w:tc>
          <w:tcPr>
            <w:tcW w:w="2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13,957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12,279</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Capitalized website development</w:t>
            </w:r>
          </w:p>
        </w:tc>
        <w:tc>
          <w:tcPr>
            <w:tcW w:w="2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64,016</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57,158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Furniture and fxtures</w:t>
            </w:r>
          </w:p>
        </w:tc>
        <w:tc>
          <w:tcPr>
            <w:tcW w:w="2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8,174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8,149</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Leasehold improvements</w:t>
            </w:r>
          </w:p>
        </w:tc>
        <w:tc>
          <w:tcPr>
            <w:tcW w:w="2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23,336</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23,308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Constructon in progress</w:t>
            </w:r>
          </w:p>
        </w:tc>
        <w:tc>
          <w:tcPr>
            <w:tcW w:w="2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61,601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39,835</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69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Finance lease right-of-use assets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254</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69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172,419</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142,343</w:t>
            </w:r>
          </w:p>
        </w:tc>
        <w:tc>
          <w:tcPr>
            <w:tcW w:w="100" w:type="dxa"/>
            <w:vAlign w:val="bottom"/>
            <w:tcBorders>
              <w:top w:val="single" w:sz="8" w:color="CFF0FC"/>
            </w:tcBorders>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69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Less accumulated depreciaton and amortzaton</w:t>
            </w:r>
          </w:p>
        </w:tc>
        <w:tc>
          <w:tcPr>
            <w:tcW w:w="2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(64,276 )</w:t>
            </w:r>
          </w:p>
        </w:tc>
        <w:tc>
          <w:tcPr>
            <w:tcW w:w="2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(58,973 )</w:t>
            </w:r>
          </w:p>
        </w:tc>
      </w:tr>
      <w:tr>
        <w:trPr>
          <w:trHeight w:val="208"/>
        </w:trPr>
        <w:tc>
          <w:tcPr>
            <w:tcW w:w="6920" w:type="dxa"/>
            <w:vAlign w:val="bottom"/>
            <w:tcBorders>
              <w:top w:val="single" w:sz="8" w:color="CFF0FC"/>
            </w:tcBorders>
          </w:tcPr>
          <w:p>
            <w:pPr>
              <w:ind w:left="180"/>
              <w:spacing w:after="0" w:line="208" w:lineRule="exact"/>
              <w:rPr>
                <w:sz w:val="20"/>
                <w:szCs w:val="20"/>
                <w:color w:val="auto"/>
              </w:rPr>
            </w:pPr>
            <w:r>
              <w:rPr>
                <w:rFonts w:ascii="Calibri" w:cs="Calibri" w:eastAsia="Calibri" w:hAnsi="Calibri"/>
                <w:sz w:val="18"/>
                <w:szCs w:val="18"/>
                <w:color w:val="auto"/>
              </w:rPr>
              <w:t>Total</w:t>
            </w:r>
          </w:p>
        </w:tc>
        <w:tc>
          <w:tcPr>
            <w:tcW w:w="260" w:type="dxa"/>
            <w:vAlign w:val="bottom"/>
            <w:tcBorders>
              <w:top w:val="single" w:sz="8" w:color="auto"/>
            </w:tcBorders>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108,143</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2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83,370</w:t>
            </w:r>
          </w:p>
        </w:tc>
        <w:tc>
          <w:tcPr>
            <w:tcW w:w="100" w:type="dxa"/>
            <w:vAlign w:val="bottom"/>
            <w:tcBorders>
              <w:top w:val="single" w:sz="8" w:color="CFF0FC"/>
            </w:tcBorders>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6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-505460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For the three months ended March 31, 2024 and 2023, depreciaton and amortzaton expense, excluding amortzaton of intangible assets, amortzaton of capitalized hostng arrangements, and impairments, was $5,599 and $4,042, respectvely.</w:t>
      </w:r>
    </w:p>
    <w:p>
      <w:pPr>
        <w:spacing w:after="0" w:line="218"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For the three months ended March 31, 2024, the Company did not have any impairments. For the three months ended March 31, 2023, the Company impaired $175 of Digital Wholesale segment capitalized website development costs within wholesale cost of revenue in the Unaudited Condensed Consolidated Income Statements related to certain developed technology in which the Company decided to cease investment.</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During the three months ended March 31, 2024, capitalized website development costs increased $6,858 due to contnued net investment in the Company's product oferings.</w:t>
      </w:r>
    </w:p>
    <w:p>
      <w:pPr>
        <w:spacing w:after="0" w:line="218"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During the three months ended March 31, 2024, constructon in progress costs increased $21,766 due to the buildout of the Company's future headquarters located at 1001 Boylston Street.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6. Accrued Expenses, Accrued Income Taxes, and Other Current Liabilites</w:t>
      </w:r>
    </w:p>
    <w:p>
      <w:pPr>
        <w:spacing w:after="0" w:line="21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As of March 31, 2024 and December 31, 2023, accrued expenses, accrued income taxes, and other current liabilites consist of the following:</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177"/>
              <w:spacing w:after="0"/>
              <w:rPr>
                <w:sz w:val="20"/>
                <w:szCs w:val="20"/>
                <w:color w:val="auto"/>
              </w:rPr>
            </w:pPr>
            <w:r>
              <w:rPr>
                <w:rFonts w:ascii="Calibri" w:cs="Calibri" w:eastAsia="Calibri" w:hAnsi="Calibri"/>
                <w:sz w:val="14"/>
                <w:szCs w:val="14"/>
                <w:b w:val="1"/>
                <w:bCs w:val="1"/>
                <w:color w:val="auto"/>
              </w:rPr>
              <w:t>As of</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As of</w:t>
            </w:r>
          </w:p>
        </w:tc>
      </w:tr>
      <w:tr>
        <w:trPr>
          <w:trHeight w:val="175"/>
        </w:trPr>
        <w:tc>
          <w:tcPr>
            <w:tcW w:w="6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177"/>
              <w:spacing w:after="0"/>
              <w:rPr>
                <w:sz w:val="20"/>
                <w:szCs w:val="20"/>
                <w:color w:val="auto"/>
              </w:rPr>
            </w:pPr>
            <w:r>
              <w:rPr>
                <w:rFonts w:ascii="Calibri" w:cs="Calibri" w:eastAsia="Calibri" w:hAnsi="Calibri"/>
                <w:sz w:val="14"/>
                <w:szCs w:val="14"/>
                <w:b w:val="1"/>
                <w:bCs w:val="1"/>
                <w:color w:val="auto"/>
                <w:w w:val="99"/>
              </w:rPr>
              <w:t>March 31,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December 31,</w:t>
            </w:r>
          </w:p>
        </w:tc>
      </w:tr>
      <w:tr>
        <w:trPr>
          <w:trHeight w:val="175"/>
        </w:trPr>
        <w:tc>
          <w:tcPr>
            <w:tcW w:w="6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177"/>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17"/>
              <w:spacing w:after="0"/>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5"/>
                <w:szCs w:val="15"/>
                <w:color w:val="auto"/>
              </w:rPr>
            </w:pPr>
          </w:p>
        </w:tc>
      </w:tr>
      <w:tr>
        <w:trPr>
          <w:trHeight w:val="33"/>
        </w:trPr>
        <w:tc>
          <w:tcPr>
            <w:tcW w:w="6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69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Accrued bonus</w:t>
            </w:r>
          </w:p>
        </w:tc>
        <w:tc>
          <w:tcPr>
            <w:tcW w:w="26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6,114</w:t>
            </w:r>
          </w:p>
        </w:tc>
        <w:tc>
          <w:tcPr>
            <w:tcW w:w="460" w:type="dxa"/>
            <w:vAlign w:val="bottom"/>
            <w:tcBorders>
              <w:bottom w:val="single" w:sz="8" w:color="CFF0FC"/>
            </w:tcBorders>
            <w:gridSpan w:val="2"/>
            <w:shd w:val="clear" w:color="auto" w:fill="CFF0FC"/>
          </w:tcPr>
          <w:p>
            <w:pPr>
              <w:jc w:val="right"/>
              <w:ind w:right="80"/>
              <w:spacing w:after="0" w:line="208"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15,247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Accrued repurchases of common stock, including excise taxes</w:t>
            </w:r>
          </w:p>
        </w:tc>
        <w:tc>
          <w:tcPr>
            <w:tcW w:w="2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5,897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1,584</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Accrued income taxes</w:t>
            </w:r>
          </w:p>
        </w:tc>
        <w:tc>
          <w:tcPr>
            <w:tcW w:w="2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8,942</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Other accrued expenses and other current liabilites</w:t>
            </w:r>
          </w:p>
        </w:tc>
        <w:tc>
          <w:tcPr>
            <w:tcW w:w="2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17,400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15,792</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2"/>
        </w:trPr>
        <w:tc>
          <w:tcPr>
            <w:tcW w:w="6920" w:type="dxa"/>
            <w:vAlign w:val="bottom"/>
            <w:tcBorders>
              <w:bottom w:val="single" w:sz="8" w:color="CFF0FC"/>
            </w:tcBorders>
            <w:shd w:val="clear" w:color="auto" w:fill="CFF0FC"/>
          </w:tcPr>
          <w:p>
            <w:pPr>
              <w:ind w:left="280"/>
              <w:spacing w:after="0" w:line="208" w:lineRule="exact"/>
              <w:rPr>
                <w:sz w:val="20"/>
                <w:szCs w:val="20"/>
                <w:color w:val="auto"/>
              </w:rPr>
            </w:pPr>
            <w:r>
              <w:rPr>
                <w:rFonts w:ascii="Calibri" w:cs="Calibri" w:eastAsia="Calibri" w:hAnsi="Calibri"/>
                <w:sz w:val="18"/>
                <w:szCs w:val="18"/>
                <w:color w:val="auto"/>
              </w:rPr>
              <w:t>Total</w:t>
            </w:r>
          </w:p>
        </w:tc>
        <w:tc>
          <w:tcPr>
            <w:tcW w:w="26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38,353</w:t>
            </w:r>
          </w:p>
        </w:tc>
        <w:tc>
          <w:tcPr>
            <w:tcW w:w="460" w:type="dxa"/>
            <w:vAlign w:val="bottom"/>
            <w:tcBorders>
              <w:bottom w:val="single" w:sz="8" w:color="CFF0FC"/>
            </w:tcBorders>
            <w:gridSpan w:val="2"/>
            <w:shd w:val="clear" w:color="auto" w:fill="CFF0FC"/>
          </w:tcPr>
          <w:p>
            <w:pPr>
              <w:jc w:val="right"/>
              <w:ind w:right="80"/>
              <w:spacing w:after="0" w:line="208"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33,718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6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decrease of $9,133 in accrued bonus was due primarily to the payout of the second porton of the fscal year 2023 bonuses in the frst quarter of 2024, ofset in part by the accrual for the fscal year 2024 bonuses.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jc w:val="both"/>
        <w:ind w:firstLine="509"/>
        <w:spacing w:after="0" w:line="235" w:lineRule="auto"/>
        <w:rPr>
          <w:sz w:val="20"/>
          <w:szCs w:val="20"/>
          <w:color w:val="auto"/>
        </w:rPr>
      </w:pPr>
      <w:r>
        <w:rPr>
          <w:rFonts w:ascii="Calibri" w:cs="Calibri" w:eastAsia="Calibri" w:hAnsi="Calibri"/>
          <w:sz w:val="18"/>
          <w:szCs w:val="18"/>
          <w:color w:val="auto"/>
        </w:rPr>
        <w:t>The increase of $4,313 in accrued repurchases of common stock, including excise taxes was due primarily to shares purchased but not yet setled as of March 31, 2024, under the Company’s 2024 Share Repurchase Program (as defned below) as well as unpaid excise taxes.</w:t>
      </w:r>
    </w:p>
    <w:p>
      <w:pPr>
        <w:spacing w:after="0" w:line="21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increase of $7,847 in accrued income taxes was due primarily to the tming of income tax payments, which were paid subsequent to March 31,</w:t>
      </w:r>
    </w:p>
    <w:p>
      <w:pPr>
        <w:spacing w:after="0" w:line="235" w:lineRule="auto"/>
        <w:rPr>
          <w:sz w:val="20"/>
          <w:szCs w:val="20"/>
          <w:color w:val="auto"/>
        </w:rPr>
      </w:pPr>
      <w:r>
        <w:rPr>
          <w:rFonts w:ascii="Calibri" w:cs="Calibri" w:eastAsia="Calibri" w:hAnsi="Calibri"/>
          <w:sz w:val="18"/>
          <w:szCs w:val="18"/>
          <w:color w:val="auto"/>
        </w:rPr>
        <w:t>2024.</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7. Debt</w:t>
      </w:r>
    </w:p>
    <w:p>
      <w:pPr>
        <w:spacing w:after="0" w:line="21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As of March 31, 2024 and December 31, 2023, the Company had no long-term debt outstanding.</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Revolving Credit Facility</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On September 26, 2022, the Company entered into a Credit Agreement (the “Credit Agreement”) with PNC Bank, Natonal Associaton, as administratve agent and collateral agent and an L/C Issuer (as defned in the Credit Agreement), and the other lenders, L/C Issuers, and partes thereto from tme to tme. The Credit Agreement consists of a revolving credit facility (the “2022 Revolver”), which allows the Company to borrow up to $400.0 million, $50.0 million of which may be comprised of a leter of credit sub-facility (the "2022 Revolver Sub-facility"). The borrowing capacity under the Credit Agreement may be increased in accordance with the terms and subject to the adjustments as set forth in the Credit Agreement. Specifcally, the borrowing capacity may be increased by an amount up to the greater of $250.0 million or 100% of Four Quarter Consolidated EBITDA (as defned in the Credit Agreement) if certain criteria are met and subject to certain restrictons. Any such increase requires lender approval. Proceeds of any borrowings may be used for general corporate purposes. The 2022 Revolver is scheduled to mature on September 26, 2027.</w:t>
      </w:r>
    </w:p>
    <w:p>
      <w:pPr>
        <w:spacing w:after="0" w:line="223"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applicable interest rate is, at the Company's opton, based on a number of diferent benchmark rates and applicable spreads, based on the rato of the outstanding principal amount of the Company’s secured indebtedness to the trailing four quarters of consolidated EBITDA (as determined under the Credit Agreement, the “Consolidated Secured Net Leverage Rato”). The Credit Agreement also requires the Company to pay a commitment fee to the lenders with respect of the unutlized revolving commitments at a rate ranging from 0.125% to 0.175% per annum based on the Consolidated Secured Net Leverage Rato, as determined on a quarterly basis.</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2022 Revolver is secured by a frst priority lien on substantally all tangible and intangible property of the Company, as well as any future guarantors, and pledges of the equity of certain wholly-owned subsidiaries, in each case subject to certain exceptons, limitatons, and exclusions from the collateral. The Credit Agreement includes customary events of default and requires the Company to comply with customary afrmatve and negatve covenants, including a fnancial covenant requiring that the Company not exceed certain Consolidated Secured Net Leverage Rato ranges at the end of each fscal quarter. The Company was in compliance with all covenants as of March 31, 2024.</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As of both March 31, 2024 and December 31, 2023, there were no borrowings and $9,627 in leters of credit outstanding under the 2022 Revolver associated with the Company's leases, which reduces the borrowing capacity under the 2022 Revolver to $390,373.</w:t>
      </w:r>
    </w:p>
    <w:p>
      <w:pPr>
        <w:spacing w:after="0" w:line="21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As of March 31, 2024 and December 31, 2023, deferred fnancing costs were $1,798 and $1,927, respectvely.</w:t>
      </w:r>
    </w:p>
    <w:p>
      <w:pPr>
        <w:spacing w:after="0" w:line="21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For both the three months ended March 31, 2024 and 2023, amortzaton expense associated with deferred fnancing costs was $129.</w:t>
      </w:r>
    </w:p>
    <w:p>
      <w:pPr>
        <w:spacing w:after="0" w:line="21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For the three months ended March 31, 2024 and 2023, commitment fees under the 2022 Revolver were immaterial.</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8. Commitments and Contngencies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Contractual Obligatons and Commitments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As of March 31, 2024, all of the Company’s property and equipment and hostng arrangements have been purchased with cash with the excepton of unpaid amounts as disclosed in the Unaudited Condensed Consolidated Statements of Cash Flows.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jc w:val="both"/>
        <w:ind w:firstLine="509"/>
        <w:spacing w:after="0" w:line="235" w:lineRule="auto"/>
        <w:rPr>
          <w:sz w:val="20"/>
          <w:szCs w:val="20"/>
          <w:color w:val="auto"/>
        </w:rPr>
      </w:pPr>
      <w:r>
        <w:rPr>
          <w:rFonts w:ascii="Calibri" w:cs="Calibri" w:eastAsia="Calibri" w:hAnsi="Calibri"/>
          <w:sz w:val="18"/>
          <w:szCs w:val="18"/>
          <w:color w:val="auto"/>
        </w:rPr>
        <w:t>In connecton with the Company’s operatng lease agreement in Boston, Massachusets for 225,428 square feet at 1001 Boylston Street (the “1001 Boylston Street Lease"), the Company expects to spend an additonal $35,171 to complete its buildout, of which $26,285 has been commited and remains unspent as of March 31, 2024. These costs will be partally reimbursable under the tenant improvement allowance.</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Company is subject to a number of risks and uncertaintes common to companies in its and similar industries and stages of development including, but not limited to, rapid technological changes, competton from substtute products and services from larger companies, management of internatonal actvites, protecton of proprietary rights, patent litgaton, and dependence on key individuals.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Leases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Company’s material lease obligatons consist of various leases for ofce space in: Boston, Massachusets; Cambridge, Massachusets; Addison, Texas; and Dublin, Ireland.</w:t>
      </w:r>
    </w:p>
    <w:p>
      <w:pPr>
        <w:spacing w:after="0" w:line="218"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As of March 31, 2024, there were no material changes in the Company’s leases from those disclosed in the Annual Report, other than those described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below.</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On March 19, 2024, the Company entered into a leter agreement regarding the 1001 Boylston Street Lease (the "2024 Leter Agreement"). The 2024 Leter Agreement memorializes the Substantal Completon Date, Commencement Date, Fixed Rent Commencement Date (as each term is defned in the 1001 Boylston Street Lease), and the rental credits and holdover compensaton owed to the Company per the 1001 Boylston Street Lease. The 2024 Leter Agreement also modifes the parking privileges and payments, which will now commence on June 1, 2024. The 2024 Leter Agreement also provides reimbursement from the landlord to the Company for additonal unexpected costs incurred. The Company accounted for the 2024 Leter Agreement as a remeasurement of the 1001 Boylston Street Lease, using an incremental borrowing rate as of the modifcaton date. The lease remeasurement resulted in a decrease in the lease liability and right-of-use asset on the Unaudited Condensed Consolidated Balance Sheets of $3,536. There was not a material impact on the Unaudited Condensed Consolidated Income Statement or future minimum lease payments.</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Restricted Cash</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As of March 31, 2024 and December 31, 2023, restricted cash was $2,786 and $2,563, respectvely, and in each case primarily related to pass-through payments from customers related to the Company’s Digital Wholesale business.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Legal Maters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From tme to tme, the Company may become involved in legal proceedings or be subject to claims arising in the ordinary course of its business. The Company recognizes a liability when it believes that it is both probable that a liability has been incurred and the amount of loss can be reasonably estmated. Judgment is required to determine both the probability of having incurred a liability and the estmated amount of the liability. The Company is not presently subject to any pending or threatened litgaton that it believes, if determined adversely to the Company, individually, or taken together, would reasonably be expected to have a material adverse efect on its business or fnancial results. However, litgaton is inherently unpredictable and the future outcome of legal proceedings and other contngencies may be unexpected or difer from the Company’s estmated liabilites, which could have a material adverse efect on the Company’s future fnancial results.</w:t>
      </w: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Guarantees and Indemnifcaton Obligatons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In the ordinary course of business, the Company enters into agreements with its customers, partners, and service providers that include commercial provisions with respect to licensing, infringement, guarantees, indemnifcaton, and other common provisions.</w:t>
      </w:r>
    </w:p>
    <w:p>
      <w:pPr>
        <w:spacing w:after="0" w:line="218"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 xml:space="preserve">The Company provides certain guarantees to dealers through products such as its 45-Day Guarantee and OferGuard service oferings on the CarOfer platorm, which are accounted for under ASC Topic 460, </w:t>
      </w:r>
      <w:r>
        <w:rPr>
          <w:rFonts w:ascii="Calibri" w:cs="Calibri" w:eastAsia="Calibri" w:hAnsi="Calibri"/>
          <w:sz w:val="18"/>
          <w:szCs w:val="18"/>
          <w:i w:val="1"/>
          <w:iCs w:val="1"/>
          <w:color w:val="auto"/>
        </w:rPr>
        <w:t>Guarantees</w:t>
      </w:r>
      <w:r>
        <w:rPr>
          <w:rFonts w:ascii="Calibri" w:cs="Calibri" w:eastAsia="Calibri" w:hAnsi="Calibri"/>
          <w:sz w:val="18"/>
          <w:szCs w:val="18"/>
          <w:color w:val="auto"/>
        </w:rPr>
        <w: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jc w:val="both"/>
        <w:ind w:firstLine="509"/>
        <w:spacing w:after="0" w:line="235" w:lineRule="auto"/>
        <w:rPr>
          <w:sz w:val="20"/>
          <w:szCs w:val="20"/>
          <w:color w:val="auto"/>
        </w:rPr>
      </w:pPr>
      <w:r>
        <w:rPr>
          <w:rFonts w:ascii="Calibri" w:cs="Calibri" w:eastAsia="Calibri" w:hAnsi="Calibri"/>
          <w:sz w:val="18"/>
          <w:szCs w:val="18"/>
          <w:color w:val="auto"/>
        </w:rPr>
        <w:t>45-Day Guarantee is an arrangement through which a selling dealer lists a car on the CarOfer platorm, and the Company provides an ofer to purchase the vehicle listed at a specifed price at any tme over a 45-day period. This provides the seller with a put opton, where they have the right, but not the obligaton, to require the Company to purchase the vehicle during this window. OferGuard is an arrangement through which a buying dealer purchases a car on the CarOfer platorm, and the Company provides an ofer to purchase the vehicle at a specifed price between days 1 and 3, and days 42 and 45 if the dealer is not able to sell the vehicle afer 42 days.</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For the three months ended March 31, 2024 and 2023, income for guarantees purchased by dealers was $236 and $614, respectvely. For the three months ended March 31, 2024 and 2023, the net gains or losses recognized within cost of revenue in the Unaudited Condensed Consolidated Income Statements resultng from dealers' exercise of guarantees was immaterial.</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As of March 31, 2024, the maximum potental amount of future payments that the Company could be required to make under these guarantees was $5,887. Of the maximum potental amount of future payments, the losses that were probable were not material. As such, as of March 31, 2024, the Company had no material contngent loss liabilites.</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As of December 31, 2023, the maximum potental amount of future payments that the Company could be required to make under these guarantees was $10,158. Of the maximum potental amount of future payments, the losses that were probable were not material. As such, as of December 31, 2023, the Company had no material contngent loss liabilites.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9. Stock-based Compensaton and Common Stock Share Repurchases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 Expense</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For the three months ended March 31, 2024 and 2023, stock-based compensaton expense by award type and where the stock-based compensaton expense was recognized in the Unaudited Condensed Consolidated Income Statements is as follows: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March 31,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69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92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74"/>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r>
      <w:tr>
        <w:trPr>
          <w:trHeight w:val="33"/>
        </w:trPr>
        <w:tc>
          <w:tcPr>
            <w:tcW w:w="69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69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Optons</w:t>
            </w:r>
          </w:p>
        </w:tc>
        <w:tc>
          <w:tcPr>
            <w:tcW w:w="880" w:type="dxa"/>
            <w:vAlign w:val="bottom"/>
            <w:tcBorders>
              <w:bottom w:val="single" w:sz="8" w:color="CFF0FC"/>
            </w:tcBorders>
            <w:shd w:val="clear" w:color="auto" w:fill="CFF0FC"/>
          </w:tcPr>
          <w:p>
            <w:pPr>
              <w:jc w:val="right"/>
              <w:ind w:right="696"/>
              <w:spacing w:after="0" w:line="208" w:lineRule="exact"/>
              <w:rPr>
                <w:sz w:val="20"/>
                <w:szCs w:val="20"/>
                <w:color w:val="auto"/>
              </w:rPr>
            </w:pPr>
            <w:r>
              <w:rPr>
                <w:rFonts w:ascii="Calibri" w:cs="Calibri" w:eastAsia="Calibri" w:hAnsi="Calibri"/>
                <w:sz w:val="18"/>
                <w:szCs w:val="18"/>
                <w:color w:val="auto"/>
                <w:w w:val="87"/>
              </w:rPr>
              <w:t>$</w:t>
            </w:r>
          </w:p>
        </w:tc>
        <w:tc>
          <w:tcPr>
            <w:tcW w:w="5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591</w:t>
            </w:r>
          </w:p>
        </w:tc>
        <w:tc>
          <w:tcPr>
            <w:tcW w:w="780" w:type="dxa"/>
            <w:vAlign w:val="bottom"/>
            <w:tcBorders>
              <w:bottom w:val="single" w:sz="8" w:color="CFF0FC"/>
            </w:tcBorders>
            <w:gridSpan w:val="2"/>
            <w:shd w:val="clear" w:color="auto" w:fill="CFF0FC"/>
          </w:tcPr>
          <w:p>
            <w:pPr>
              <w:jc w:val="right"/>
              <w:ind w:right="310"/>
              <w:spacing w:after="0" w:line="208"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Restricted Stock Units</w:t>
            </w:r>
          </w:p>
        </w:tc>
        <w:tc>
          <w:tcPr>
            <w:tcW w:w="88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w w:val="99"/>
              </w:rPr>
              <w:t>15,231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14,363</w:t>
            </w:r>
          </w:p>
        </w:tc>
        <w:tc>
          <w:tcPr>
            <w:tcW w:w="100" w:type="dxa"/>
            <w:vAlign w:val="bottom"/>
          </w:tcPr>
          <w:p>
            <w:pPr>
              <w:spacing w:after="0"/>
              <w:rPr>
                <w:sz w:val="18"/>
                <w:szCs w:val="18"/>
                <w:color w:val="auto"/>
              </w:rPr>
            </w:pPr>
          </w:p>
        </w:tc>
      </w:tr>
      <w:tr>
        <w:trPr>
          <w:trHeight w:val="28"/>
        </w:trPr>
        <w:tc>
          <w:tcPr>
            <w:tcW w:w="692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62"/>
        </w:trPr>
        <w:tc>
          <w:tcPr>
            <w:tcW w:w="6920" w:type="dxa"/>
            <w:vAlign w:val="bottom"/>
            <w:tcBorders>
              <w:bottom w:val="single" w:sz="8" w:color="CFF0FC"/>
            </w:tcBorders>
            <w:shd w:val="clear" w:color="auto" w:fill="CFF0FC"/>
          </w:tcPr>
          <w:p>
            <w:pPr>
              <w:ind w:left="180"/>
              <w:spacing w:after="0" w:line="195" w:lineRule="exact"/>
              <w:rPr>
                <w:sz w:val="20"/>
                <w:szCs w:val="20"/>
                <w:color w:val="auto"/>
              </w:rPr>
            </w:pPr>
            <w:r>
              <w:rPr>
                <w:rFonts w:ascii="Calibri" w:cs="Calibri" w:eastAsia="Calibri" w:hAnsi="Calibri"/>
                <w:sz w:val="18"/>
                <w:szCs w:val="18"/>
                <w:color w:val="auto"/>
              </w:rPr>
              <w:t>Total</w:t>
            </w:r>
          </w:p>
        </w:tc>
        <w:tc>
          <w:tcPr>
            <w:tcW w:w="880" w:type="dxa"/>
            <w:vAlign w:val="bottom"/>
            <w:tcBorders>
              <w:bottom w:val="single" w:sz="8" w:color="CFF0FC"/>
            </w:tcBorders>
            <w:shd w:val="clear" w:color="auto" w:fill="CFF0FC"/>
          </w:tcPr>
          <w:p>
            <w:pPr>
              <w:jc w:val="right"/>
              <w:ind w:right="696"/>
              <w:spacing w:after="0" w:line="208" w:lineRule="exact"/>
              <w:rPr>
                <w:sz w:val="20"/>
                <w:szCs w:val="20"/>
                <w:color w:val="auto"/>
              </w:rPr>
            </w:pPr>
            <w:r>
              <w:rPr>
                <w:rFonts w:ascii="Calibri" w:cs="Calibri" w:eastAsia="Calibri" w:hAnsi="Calibri"/>
                <w:sz w:val="18"/>
                <w:szCs w:val="18"/>
                <w:color w:val="auto"/>
                <w:w w:val="87"/>
              </w:rPr>
              <w:t>$</w:t>
            </w:r>
          </w:p>
        </w:tc>
        <w:tc>
          <w:tcPr>
            <w:tcW w:w="5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99"/>
              </w:rPr>
              <w:t>15,822</w:t>
            </w:r>
          </w:p>
        </w:tc>
        <w:tc>
          <w:tcPr>
            <w:tcW w:w="2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jc w:val="right"/>
              <w:ind w:right="310"/>
              <w:spacing w:after="0" w:line="208"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14,977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69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798"/>
        </w:trPr>
        <w:tc>
          <w:tcPr>
            <w:tcW w:w="6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Three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6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March 31,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69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92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74"/>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r>
      <w:tr>
        <w:trPr>
          <w:trHeight w:val="33"/>
        </w:trPr>
        <w:tc>
          <w:tcPr>
            <w:tcW w:w="69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Cost of revenue</w:t>
            </w:r>
          </w:p>
        </w:tc>
        <w:tc>
          <w:tcPr>
            <w:tcW w:w="880" w:type="dxa"/>
            <w:vAlign w:val="bottom"/>
            <w:tcBorders>
              <w:bottom w:val="single" w:sz="8" w:color="CFF0FC"/>
            </w:tcBorders>
            <w:shd w:val="clear" w:color="auto" w:fill="CFF0FC"/>
          </w:tcPr>
          <w:p>
            <w:pPr>
              <w:jc w:val="right"/>
              <w:ind w:right="696"/>
              <w:spacing w:after="0" w:line="208" w:lineRule="exact"/>
              <w:rPr>
                <w:sz w:val="20"/>
                <w:szCs w:val="20"/>
                <w:color w:val="auto"/>
              </w:rPr>
            </w:pPr>
            <w:r>
              <w:rPr>
                <w:rFonts w:ascii="Calibri" w:cs="Calibri" w:eastAsia="Calibri" w:hAnsi="Calibri"/>
                <w:sz w:val="18"/>
                <w:szCs w:val="18"/>
                <w:color w:val="auto"/>
                <w:w w:val="87"/>
              </w:rPr>
              <w:t>$</w:t>
            </w:r>
          </w:p>
        </w:tc>
        <w:tc>
          <w:tcPr>
            <w:tcW w:w="5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231</w:t>
            </w:r>
          </w:p>
        </w:tc>
        <w:tc>
          <w:tcPr>
            <w:tcW w:w="780" w:type="dxa"/>
            <w:vAlign w:val="bottom"/>
            <w:tcBorders>
              <w:bottom w:val="single" w:sz="8" w:color="CFF0FC"/>
            </w:tcBorders>
            <w:gridSpan w:val="2"/>
            <w:shd w:val="clear" w:color="auto" w:fill="CFF0FC"/>
          </w:tcPr>
          <w:p>
            <w:pPr>
              <w:jc w:val="right"/>
              <w:ind w:right="310"/>
              <w:spacing w:after="0" w:line="208"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Sales and marketng expense</w:t>
            </w:r>
          </w:p>
        </w:tc>
        <w:tc>
          <w:tcPr>
            <w:tcW w:w="88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2,874</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3,084</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Product, technology, and development expense</w:t>
            </w:r>
          </w:p>
        </w:tc>
        <w:tc>
          <w:tcPr>
            <w:tcW w:w="8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5,977</w:t>
            </w: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6,289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General and administratve expense</w:t>
            </w:r>
          </w:p>
        </w:tc>
        <w:tc>
          <w:tcPr>
            <w:tcW w:w="88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6,740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5,461</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6920" w:type="dxa"/>
            <w:vAlign w:val="bottom"/>
            <w:tcBorders>
              <w:bottom w:val="single" w:sz="8" w:color="CFF0FC"/>
            </w:tcBorders>
            <w:shd w:val="clear" w:color="auto" w:fill="CFF0FC"/>
          </w:tcPr>
          <w:p>
            <w:pPr>
              <w:ind w:left="180"/>
              <w:spacing w:after="0" w:line="208" w:lineRule="exact"/>
              <w:rPr>
                <w:sz w:val="20"/>
                <w:szCs w:val="20"/>
                <w:color w:val="auto"/>
              </w:rPr>
            </w:pPr>
            <w:r>
              <w:rPr>
                <w:rFonts w:ascii="Calibri" w:cs="Calibri" w:eastAsia="Calibri" w:hAnsi="Calibri"/>
                <w:sz w:val="18"/>
                <w:szCs w:val="18"/>
                <w:color w:val="auto"/>
              </w:rPr>
              <w:t>Total</w:t>
            </w:r>
          </w:p>
        </w:tc>
        <w:tc>
          <w:tcPr>
            <w:tcW w:w="880" w:type="dxa"/>
            <w:vAlign w:val="bottom"/>
            <w:tcBorders>
              <w:bottom w:val="single" w:sz="8" w:color="CFF0FC"/>
            </w:tcBorders>
            <w:shd w:val="clear" w:color="auto" w:fill="CFF0FC"/>
          </w:tcPr>
          <w:p>
            <w:pPr>
              <w:jc w:val="right"/>
              <w:ind w:right="696"/>
              <w:spacing w:after="0" w:line="208" w:lineRule="exact"/>
              <w:rPr>
                <w:sz w:val="20"/>
                <w:szCs w:val="20"/>
                <w:color w:val="auto"/>
              </w:rPr>
            </w:pPr>
            <w:r>
              <w:rPr>
                <w:rFonts w:ascii="Calibri" w:cs="Calibri" w:eastAsia="Calibri" w:hAnsi="Calibri"/>
                <w:sz w:val="18"/>
                <w:szCs w:val="18"/>
                <w:color w:val="auto"/>
                <w:w w:val="87"/>
              </w:rPr>
              <w:t>$</w:t>
            </w:r>
          </w:p>
        </w:tc>
        <w:tc>
          <w:tcPr>
            <w:tcW w:w="5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99"/>
              </w:rPr>
              <w:t>15,822</w:t>
            </w:r>
          </w:p>
        </w:tc>
        <w:tc>
          <w:tcPr>
            <w:tcW w:w="780" w:type="dxa"/>
            <w:vAlign w:val="bottom"/>
            <w:tcBorders>
              <w:bottom w:val="single" w:sz="8" w:color="CFF0FC"/>
            </w:tcBorders>
            <w:gridSpan w:val="2"/>
            <w:shd w:val="clear" w:color="auto" w:fill="CFF0FC"/>
          </w:tcPr>
          <w:p>
            <w:pPr>
              <w:jc w:val="right"/>
              <w:ind w:right="310"/>
              <w:spacing w:after="0" w:line="208"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14,977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69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-1628140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-1610995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-1790700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-1628140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-1610995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-1790700</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For the three months ended March 31, 2024 and 2023, stock-based compensaton expense excluded $1,827 and $1,145, respectvely, of capitalized website development costs, capitalized internal-use sofware costs, and capitalized hostng arrangements.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b w:val="1"/>
          <w:bCs w:val="1"/>
          <w:i w:val="1"/>
          <w:iCs w:val="1"/>
          <w:color w:val="auto"/>
        </w:rPr>
        <w:t>Common Stock Share Repurchases</w:t>
      </w:r>
    </w:p>
    <w:p>
      <w:pPr>
        <w:spacing w:after="0" w:line="217" w:lineRule="exact"/>
        <w:rPr>
          <w:sz w:val="20"/>
          <w:szCs w:val="20"/>
          <w:color w:val="auto"/>
        </w:rPr>
      </w:pPr>
    </w:p>
    <w:p>
      <w:pPr>
        <w:jc w:val="both"/>
        <w:ind w:firstLine="509"/>
        <w:spacing w:after="0" w:line="312" w:lineRule="auto"/>
        <w:rPr>
          <w:sz w:val="20"/>
          <w:szCs w:val="20"/>
          <w:color w:val="auto"/>
        </w:rPr>
      </w:pPr>
      <w:r>
        <w:rPr>
          <w:rFonts w:ascii="MS PGothic" w:cs="MS PGothic" w:eastAsia="MS PGothic" w:hAnsi="MS PGothic"/>
          <w:sz w:val="17"/>
          <w:szCs w:val="17"/>
          <w:color w:val="auto"/>
        </w:rPr>
        <w:t>On November 7, 2023, the Company announced that the Board of Directors authorized a share repurchase program (the "2024 Share Repurchase Program") pursuant to which the Company may, from tme to tme, purchase shares of its Class A common stock for an aggregate purchase price not to exceed $250.0 million. Share repurchases under the 2024 Share Repurchase Program may be made through a variety of methods, including but not limited to open market purchases, privately negotated transactons, and transactons that may be efected pursuant to one or more plans under Rule 10b5-1 and/or Rule 10b-18 of the Securites Exchange Act of 1934, as amended. The 2024 Share Repurchase Program does not obligate the Company to repurchase any minimum dollar amount or number of shares. The 2024 Share Repurchase Program has an efectve date of January 1, 2024, and an expiraton date of December 31, 2024, and prior to its expiraton may be modifed, suspended, or discontnued by the Board of Directors at any tme without prior notce. All repurchased shares of Class A common stock under the 2024 Share Repurchase Program will be retred. The Company has funded and expects to contnue to fund any additonal share repurchases under the 2024 Share Repurchase Program through cash on hand and cash generated from operatons.</w:t>
      </w:r>
    </w:p>
    <w:p>
      <w:pPr>
        <w:spacing w:after="0" w:line="171" w:lineRule="exact"/>
        <w:rPr>
          <w:sz w:val="20"/>
          <w:szCs w:val="20"/>
          <w:color w:val="auto"/>
        </w:rPr>
      </w:pPr>
    </w:p>
    <w:p>
      <w:pPr>
        <w:jc w:val="both"/>
        <w:ind w:firstLine="509"/>
        <w:spacing w:after="0" w:line="297" w:lineRule="auto"/>
        <w:rPr>
          <w:sz w:val="20"/>
          <w:szCs w:val="20"/>
          <w:color w:val="auto"/>
        </w:rPr>
      </w:pPr>
      <w:r>
        <w:rPr>
          <w:rFonts w:ascii="MS PGothic" w:cs="MS PGothic" w:eastAsia="MS PGothic" w:hAnsi="MS PGothic"/>
          <w:sz w:val="18"/>
          <w:szCs w:val="18"/>
          <w:color w:val="auto"/>
        </w:rPr>
        <w:t>On December 8, 2022, the Company announced that the Board of Directors authorized a share repurchase program (the “2022 Share Repurchase Program”) pursuant to which the Company could, from tme to tme, purchase shares of its Class A common stock for an aggregate purchase price not to exceed $250.0 million. The 2022 Share Repurchase Program expired on December 31, 2023. The 2022 Share Repurchase Program did not obligate the Company to repurchase any minimum dollar amount or number of shares. All repurchased shares of Class A common stock under the 2022 Share Repurchase Program were retred. The Company funded share repurchases under the 2022 Share Repurchase Program through cash on hand and cash generated from operatons.</w:t>
      </w:r>
    </w:p>
    <w:p>
      <w:pPr>
        <w:spacing w:after="0" w:line="175" w:lineRule="exact"/>
        <w:rPr>
          <w:sz w:val="20"/>
          <w:szCs w:val="20"/>
          <w:color w:val="auto"/>
        </w:rPr>
      </w:pPr>
    </w:p>
    <w:p>
      <w:pPr>
        <w:jc w:val="both"/>
        <w:ind w:firstLine="509"/>
        <w:spacing w:after="0" w:line="311" w:lineRule="auto"/>
        <w:rPr>
          <w:sz w:val="20"/>
          <w:szCs w:val="20"/>
          <w:color w:val="auto"/>
        </w:rPr>
      </w:pPr>
      <w:r>
        <w:rPr>
          <w:rFonts w:ascii="MS PGothic" w:cs="MS PGothic" w:eastAsia="MS PGothic" w:hAnsi="MS PGothic"/>
          <w:sz w:val="18"/>
          <w:szCs w:val="18"/>
          <w:color w:val="auto"/>
        </w:rPr>
        <w:t>During the three months ended March 31, 2024, the Company repurchased and retred 3,538,194 shares for $81,067, exclusive of commissions and excise tax, at an average cost of $22.91 per share, under the 2024 Share Repurchase Program. As of March 31, 2024, the Company had remaining authorizaton to purchase up to $168,933 of the Company's Class A common stock under the 2024 Share Repurchase Program.</w:t>
      </w:r>
    </w:p>
    <w:p>
      <w:pPr>
        <w:spacing w:after="0" w:line="164" w:lineRule="exact"/>
        <w:rPr>
          <w:sz w:val="20"/>
          <w:szCs w:val="20"/>
          <w:color w:val="auto"/>
        </w:rPr>
      </w:pPr>
    </w:p>
    <w:p>
      <w:pPr>
        <w:jc w:val="both"/>
        <w:ind w:firstLine="509"/>
        <w:spacing w:after="0" w:line="334" w:lineRule="auto"/>
        <w:rPr>
          <w:sz w:val="20"/>
          <w:szCs w:val="20"/>
          <w:color w:val="auto"/>
        </w:rPr>
      </w:pPr>
      <w:r>
        <w:rPr>
          <w:rFonts w:ascii="MS PGothic" w:cs="MS PGothic" w:eastAsia="MS PGothic" w:hAnsi="MS PGothic"/>
          <w:sz w:val="18"/>
          <w:szCs w:val="18"/>
          <w:color w:val="auto"/>
        </w:rPr>
        <w:t>During the three months ended March 31, 2023, the Company repurchased and retred 3,989,861 shares for $65,151, exclusive of commissions and excise tax, at an average cost of $16.33 per share, under the 2022 Share Repurchase Program.</w:t>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 Earnings Per Share</w:t>
      </w:r>
    </w:p>
    <w:p>
      <w:pPr>
        <w:spacing w:after="0" w:line="217" w:lineRule="exact"/>
        <w:rPr>
          <w:sz w:val="20"/>
          <w:szCs w:val="20"/>
          <w:color w:val="auto"/>
        </w:rPr>
      </w:pPr>
    </w:p>
    <w:p>
      <w:pPr>
        <w:jc w:val="both"/>
        <w:ind w:firstLine="509"/>
        <w:spacing w:after="0" w:line="325" w:lineRule="auto"/>
        <w:rPr>
          <w:sz w:val="20"/>
          <w:szCs w:val="20"/>
          <w:color w:val="auto"/>
        </w:rPr>
      </w:pPr>
      <w:r>
        <w:rPr>
          <w:rFonts w:ascii="MS PGothic" w:cs="MS PGothic" w:eastAsia="MS PGothic" w:hAnsi="MS PGothic"/>
          <w:sz w:val="17"/>
          <w:szCs w:val="17"/>
          <w:color w:val="auto"/>
        </w:rPr>
        <w:t>The Company has two classes of common stock authorized: Class A common stock and Class B common stock. The rights of the holders of Class A and Class B common stock are identcal, except with respect to votng and conversion. Each share of Class A common stock is enttled to one vote per share and each share of Class B common stock is enttled to ten votes per share. Each share of Class B common stock is convertble into one share of Class A common stock at the opton of the holder at any tme or automatcally upon certain events described in the Company’s fourth amended and restated certfcate of incorporaton, including upon either the death or voluntary terminaton of the Company’s Executve Chair. The Company allocates undistributed earnings atributable to common stock between the common stock classes on a one‑to‑one basis when computng net income per share. As a result, basic and diluted net income per share of Class A common stock and per share of Class B common stock are equivalent.</w:t>
      </w:r>
    </w:p>
    <w:p>
      <w:pPr>
        <w:spacing w:after="0" w:line="171" w:lineRule="exact"/>
        <w:rPr>
          <w:sz w:val="20"/>
          <w:szCs w:val="20"/>
          <w:color w:val="auto"/>
        </w:rPr>
      </w:pPr>
    </w:p>
    <w:p>
      <w:pPr>
        <w:ind w:left="520"/>
        <w:spacing w:after="0"/>
        <w:rPr>
          <w:sz w:val="20"/>
          <w:szCs w:val="20"/>
          <w:color w:val="auto"/>
        </w:rPr>
      </w:pPr>
      <w:r>
        <w:rPr>
          <w:rFonts w:ascii="MS PGothic" w:cs="MS PGothic" w:eastAsia="MS PGothic" w:hAnsi="MS PGothic"/>
          <w:sz w:val="18"/>
          <w:szCs w:val="18"/>
          <w:color w:val="auto"/>
        </w:rPr>
        <w:t>During the three months ended March 31, 2024 and 2023, no shares of Class B common stock were converted into Class A common stock.</w:t>
      </w:r>
    </w:p>
    <w:p>
      <w:pPr>
        <w:spacing w:after="0" w:line="252" w:lineRule="exact"/>
        <w:rPr>
          <w:sz w:val="20"/>
          <w:szCs w:val="20"/>
          <w:color w:val="auto"/>
        </w:rPr>
      </w:pPr>
    </w:p>
    <w:p>
      <w:pPr>
        <w:jc w:val="both"/>
        <w:ind w:firstLine="509"/>
        <w:spacing w:after="0" w:line="297" w:lineRule="auto"/>
        <w:rPr>
          <w:sz w:val="20"/>
          <w:szCs w:val="20"/>
          <w:color w:val="auto"/>
        </w:rPr>
      </w:pPr>
      <w:r>
        <w:rPr>
          <w:rFonts w:ascii="MS PGothic" w:cs="MS PGothic" w:eastAsia="MS PGothic" w:hAnsi="MS PGothic"/>
          <w:sz w:val="18"/>
          <w:szCs w:val="18"/>
          <w:color w:val="auto"/>
        </w:rPr>
        <w:t>Basic net income per share (“Basic EPS”) is computed by dividing consolidated net income adjusted for net loss atributable to redeemable noncontrolling interest and changes in the redempton value of redeemable noncontrolling interest, if applicable, by the weighted-average number of common shares outstanding during the reportng period. The Company computes the weighted-average number of common shares outstanding during the reportng period using the total number of shares of Class A common stock and Class B common stock outstanding as of the last day of the previous year plus the weighted-average of any additonal shares issued and outstanding during the reportng period, less the weighted-average of any shares repurchased during the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9" w:name="page20"/>
    <w:bookmarkEnd w:id="19"/>
    <w:p>
      <w:pPr>
        <w:jc w:val="both"/>
        <w:ind w:firstLine="509"/>
        <w:spacing w:after="0" w:line="235" w:lineRule="auto"/>
        <w:rPr>
          <w:sz w:val="20"/>
          <w:szCs w:val="20"/>
          <w:color w:val="auto"/>
        </w:rPr>
      </w:pPr>
      <w:r>
        <w:rPr>
          <w:rFonts w:ascii="Calibri" w:cs="Calibri" w:eastAsia="Calibri" w:hAnsi="Calibri"/>
          <w:sz w:val="18"/>
          <w:szCs w:val="18"/>
          <w:color w:val="auto"/>
        </w:rPr>
        <w:t>Diluted net income per share (“Diluted EPS”) gives efect to all potentally dilutve securites. Diluted EPS is computed by dividing consolidated net income adjusted for net loss atributable to redeemable noncontrolling interest and changes in the redempton value of redeemable noncontrolling interest, if applicable and dilutve, by the weighted-average number of common shares outstanding during the reportng period using (i) the number of shares of common stock used in the Basic EPS calculaton as indicated above, and (ii) if dilutve, the incremental weighted-average common stock that the Company would issue upon the exercise of stock optons and the vestng of RSUs. The dilutve efect of these common stock equivalents is refected in diluted earnings per share by applicaton of the treasury stock method. For previous periods, the if-converted method was used to calculate the number of shares issuable upon exercise of the 2024 Put Right (as defned in Note 2 to the consolidated fnancial statements contained within the Annual Report), inclusive of CarOfer noncontrolling interest and CO Incentve and Subject Units (as each term is defned in Note 2 to the consolidated fnancial statements contained within the Annual Report), that would have been issuable as of the end of the reportng period assuming the end of the reportng period was also the end of the contngency period.</w:t>
      </w:r>
    </w:p>
    <w:p>
      <w:pPr>
        <w:spacing w:after="0" w:line="22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For the three months ended March 31, 2024 and 2023, a reconciliaton of the numerator and denominator used in the calculaton of basic and diluted net income per share is as follows: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4"/>
          </w:tcPr>
          <w:p>
            <w:pPr>
              <w:jc w:val="right"/>
              <w:ind w:right="230"/>
              <w:spacing w:after="0"/>
              <w:rPr>
                <w:sz w:val="20"/>
                <w:szCs w:val="20"/>
                <w:color w:val="auto"/>
              </w:rPr>
            </w:pPr>
            <w:r>
              <w:rPr>
                <w:rFonts w:ascii="Calibri" w:cs="Calibri" w:eastAsia="Calibri" w:hAnsi="Calibri"/>
                <w:sz w:val="14"/>
                <w:szCs w:val="14"/>
                <w:b w:val="1"/>
                <w:bCs w:val="1"/>
                <w:color w:val="auto"/>
              </w:rPr>
              <w:t>March 31,</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6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74"/>
              <w:spacing w:after="0" w:line="164" w:lineRule="exact"/>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72"/>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r>
      <w:tr>
        <w:trPr>
          <w:trHeight w:val="33"/>
        </w:trPr>
        <w:tc>
          <w:tcPr>
            <w:tcW w:w="6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69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b w:val="1"/>
                <w:bCs w:val="1"/>
                <w:color w:val="auto"/>
              </w:rPr>
              <w:t>Numerator:</w:t>
            </w: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Consolidated net income</w:t>
            </w: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21,301</w:t>
            </w:r>
          </w:p>
        </w:tc>
        <w:tc>
          <w:tcPr>
            <w:tcW w:w="740" w:type="dxa"/>
            <w:vAlign w:val="bottom"/>
            <w:gridSpan w:val="3"/>
          </w:tcPr>
          <w:p>
            <w:pPr>
              <w:jc w:val="right"/>
              <w:ind w:right="27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11,866</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9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Net loss atributable to redeemable noncontrolling interest</w:t>
            </w: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(4,266 )</w:t>
            </w:r>
          </w:p>
        </w:tc>
      </w:tr>
      <w:tr>
        <w:trPr>
          <w:trHeight w:val="208"/>
        </w:trPr>
        <w:tc>
          <w:tcPr>
            <w:tcW w:w="6920" w:type="dxa"/>
            <w:vAlign w:val="bottom"/>
          </w:tcPr>
          <w:p>
            <w:pPr>
              <w:spacing w:after="0" w:line="195" w:lineRule="exact"/>
              <w:rPr>
                <w:sz w:val="20"/>
                <w:szCs w:val="20"/>
                <w:color w:val="auto"/>
              </w:rPr>
            </w:pPr>
            <w:r>
              <w:rPr>
                <w:rFonts w:ascii="Calibri" w:cs="Calibri" w:eastAsia="Calibri" w:hAnsi="Calibri"/>
                <w:sz w:val="18"/>
                <w:szCs w:val="18"/>
                <w:color w:val="auto"/>
              </w:rPr>
              <w:t>Net income atributable to common stockholders — basic</w:t>
            </w:r>
          </w:p>
        </w:tc>
        <w:tc>
          <w:tcPr>
            <w:tcW w:w="320" w:type="dxa"/>
            <w:vAlign w:val="bottom"/>
            <w:tcBorders>
              <w:top w:val="single" w:sz="8" w:color="auto"/>
            </w:tcBorders>
          </w:tcPr>
          <w:p>
            <w:pPr>
              <w:jc w:val="right"/>
              <w:ind w:right="130"/>
              <w:spacing w:after="0" w:line="208" w:lineRule="exact"/>
              <w:rPr>
                <w:sz w:val="20"/>
                <w:szCs w:val="20"/>
                <w:color w:val="auto"/>
              </w:rPr>
            </w:pPr>
            <w:r>
              <w:rPr>
                <w:rFonts w:ascii="Calibri" w:cs="Calibri" w:eastAsia="Calibri" w:hAnsi="Calibri"/>
                <w:sz w:val="18"/>
                <w:szCs w:val="18"/>
                <w:color w:val="auto"/>
                <w:w w:val="87"/>
              </w:rPr>
              <w:t>$</w:t>
            </w:r>
          </w:p>
        </w:tc>
        <w:tc>
          <w:tcPr>
            <w:tcW w:w="11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21,301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jc w:val="right"/>
              <w:ind w:right="270"/>
              <w:spacing w:after="0" w:line="208" w:lineRule="exact"/>
              <w:rPr>
                <w:sz w:val="20"/>
                <w:szCs w:val="20"/>
                <w:color w:val="auto"/>
              </w:rPr>
            </w:pPr>
            <w:r>
              <w:rPr>
                <w:rFonts w:ascii="Calibri" w:cs="Calibri" w:eastAsia="Calibri" w:hAnsi="Calibri"/>
                <w:sz w:val="18"/>
                <w:szCs w:val="18"/>
                <w:color w:val="auto"/>
              </w:rPr>
              <w:t>$</w:t>
            </w:r>
          </w:p>
        </w:tc>
        <w:tc>
          <w:tcPr>
            <w:tcW w:w="9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16,132</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20" w:type="dxa"/>
            <w:vAlign w:val="bottom"/>
            <w:tcBorders>
              <w:bottom w:val="single" w:sz="8" w:color="CFF0FC"/>
            </w:tcBorders>
            <w:shd w:val="clear" w:color="auto" w:fill="CFF0FC"/>
          </w:tcPr>
          <w:p>
            <w:pPr>
              <w:spacing w:after="0" w:line="196" w:lineRule="exact"/>
              <w:rPr>
                <w:sz w:val="20"/>
                <w:szCs w:val="20"/>
                <w:color w:val="auto"/>
              </w:rPr>
            </w:pPr>
            <w:r>
              <w:rPr>
                <w:rFonts w:ascii="Calibri" w:cs="Calibri" w:eastAsia="Calibri" w:hAnsi="Calibri"/>
                <w:sz w:val="18"/>
                <w:szCs w:val="18"/>
                <w:color w:val="auto"/>
              </w:rPr>
              <w:t>Net loss atributable to redeemable noncontrolling interest</w:t>
            </w:r>
          </w:p>
        </w:tc>
        <w:tc>
          <w:tcPr>
            <w:tcW w:w="3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Calibri" w:cs="Calibri" w:eastAsia="Calibri" w:hAnsi="Calibri"/>
                <w:sz w:val="18"/>
                <w:szCs w:val="18"/>
                <w:color w:val="auto"/>
              </w:rPr>
              <w:t>(4,266 )</w:t>
            </w:r>
          </w:p>
        </w:tc>
      </w:tr>
      <w:tr>
        <w:trPr>
          <w:trHeight w:val="208"/>
        </w:trPr>
        <w:tc>
          <w:tcPr>
            <w:tcW w:w="6920" w:type="dxa"/>
            <w:vAlign w:val="bottom"/>
          </w:tcPr>
          <w:p>
            <w:pPr>
              <w:spacing w:after="0" w:line="195" w:lineRule="exact"/>
              <w:rPr>
                <w:sz w:val="20"/>
                <w:szCs w:val="20"/>
                <w:color w:val="auto"/>
              </w:rPr>
            </w:pPr>
            <w:r>
              <w:rPr>
                <w:rFonts w:ascii="Calibri" w:cs="Calibri" w:eastAsia="Calibri" w:hAnsi="Calibri"/>
                <w:sz w:val="18"/>
                <w:szCs w:val="18"/>
                <w:color w:val="auto"/>
              </w:rPr>
              <w:t>Net income atributable to common stockholders — diluted</w:t>
            </w:r>
          </w:p>
        </w:tc>
        <w:tc>
          <w:tcPr>
            <w:tcW w:w="320" w:type="dxa"/>
            <w:vAlign w:val="bottom"/>
            <w:tcBorders>
              <w:top w:val="single" w:sz="8" w:color="auto"/>
            </w:tcBorders>
          </w:tcPr>
          <w:p>
            <w:pPr>
              <w:jc w:val="right"/>
              <w:ind w:right="130"/>
              <w:spacing w:after="0" w:line="208" w:lineRule="exact"/>
              <w:rPr>
                <w:sz w:val="20"/>
                <w:szCs w:val="20"/>
                <w:color w:val="auto"/>
              </w:rPr>
            </w:pPr>
            <w:r>
              <w:rPr>
                <w:rFonts w:ascii="Calibri" w:cs="Calibri" w:eastAsia="Calibri" w:hAnsi="Calibri"/>
                <w:sz w:val="18"/>
                <w:szCs w:val="18"/>
                <w:color w:val="auto"/>
                <w:w w:val="87"/>
              </w:rPr>
              <w:t>$</w:t>
            </w:r>
          </w:p>
        </w:tc>
        <w:tc>
          <w:tcPr>
            <w:tcW w:w="11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21,301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jc w:val="right"/>
              <w:ind w:right="270"/>
              <w:spacing w:after="0" w:line="208" w:lineRule="exact"/>
              <w:rPr>
                <w:sz w:val="20"/>
                <w:szCs w:val="20"/>
                <w:color w:val="auto"/>
              </w:rPr>
            </w:pPr>
            <w:r>
              <w:rPr>
                <w:rFonts w:ascii="Calibri" w:cs="Calibri" w:eastAsia="Calibri" w:hAnsi="Calibri"/>
                <w:sz w:val="18"/>
                <w:szCs w:val="18"/>
                <w:color w:val="auto"/>
              </w:rPr>
              <w:t>$</w:t>
            </w:r>
          </w:p>
        </w:tc>
        <w:tc>
          <w:tcPr>
            <w:tcW w:w="9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11,866</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6920" w:type="dxa"/>
            <w:vAlign w:val="bottom"/>
            <w:tcBorders>
              <w:bottom w:val="single" w:sz="8" w:color="CFF0FC"/>
            </w:tcBorders>
            <w:shd w:val="clear" w:color="auto" w:fill="CFF0FC"/>
          </w:tcPr>
          <w:p>
            <w:pPr>
              <w:spacing w:after="0" w:line="196" w:lineRule="exact"/>
              <w:rPr>
                <w:sz w:val="20"/>
                <w:szCs w:val="20"/>
                <w:color w:val="auto"/>
              </w:rPr>
            </w:pPr>
            <w:r>
              <w:rPr>
                <w:rFonts w:ascii="Calibri" w:cs="Calibri" w:eastAsia="Calibri" w:hAnsi="Calibri"/>
                <w:sz w:val="18"/>
                <w:szCs w:val="18"/>
                <w:b w:val="1"/>
                <w:bCs w:val="1"/>
                <w:color w:val="auto"/>
              </w:rPr>
              <w:t>Denominator:</w:t>
            </w:r>
          </w:p>
        </w:tc>
        <w:tc>
          <w:tcPr>
            <w:tcW w:w="3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07"/>
        </w:trPr>
        <w:tc>
          <w:tcPr>
            <w:tcW w:w="6920" w:type="dxa"/>
            <w:vAlign w:val="bottom"/>
          </w:tcPr>
          <w:p>
            <w:pPr>
              <w:spacing w:after="0" w:line="207" w:lineRule="exact"/>
              <w:rPr>
                <w:sz w:val="20"/>
                <w:szCs w:val="20"/>
                <w:color w:val="auto"/>
              </w:rPr>
            </w:pPr>
            <w:r>
              <w:rPr>
                <w:rFonts w:ascii="Calibri" w:cs="Calibri" w:eastAsia="Calibri" w:hAnsi="Calibri"/>
                <w:sz w:val="18"/>
                <w:szCs w:val="18"/>
                <w:color w:val="auto"/>
              </w:rPr>
              <w:t>Weighted-average number of shares of common stock used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920" w:type="dxa"/>
            <w:vAlign w:val="bottom"/>
          </w:tcPr>
          <w:p>
            <w:pPr>
              <w:ind w:left="120"/>
              <w:spacing w:after="0" w:line="215" w:lineRule="exact"/>
              <w:rPr>
                <w:sz w:val="20"/>
                <w:szCs w:val="20"/>
                <w:color w:val="auto"/>
              </w:rPr>
            </w:pPr>
            <w:r>
              <w:rPr>
                <w:rFonts w:ascii="Calibri" w:cs="Calibri" w:eastAsia="Calibri" w:hAnsi="Calibri"/>
                <w:sz w:val="18"/>
                <w:szCs w:val="18"/>
                <w:color w:val="auto"/>
              </w:rPr>
              <w:t>in computng net income per share atributable to</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tcPr>
          <w:p>
            <w:pPr>
              <w:ind w:left="120"/>
              <w:spacing w:after="0" w:line="216" w:lineRule="exact"/>
              <w:rPr>
                <w:sz w:val="20"/>
                <w:szCs w:val="20"/>
                <w:color w:val="auto"/>
              </w:rPr>
            </w:pPr>
            <w:r>
              <w:rPr>
                <w:rFonts w:ascii="Calibri" w:cs="Calibri" w:eastAsia="Calibri" w:hAnsi="Calibri"/>
                <w:sz w:val="18"/>
                <w:szCs w:val="18"/>
                <w:color w:val="auto"/>
              </w:rPr>
              <w:t>common stockholders — basic</w:t>
            </w:r>
          </w:p>
        </w:tc>
        <w:tc>
          <w:tcPr>
            <w:tcW w:w="3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Calibri" w:cs="Calibri" w:eastAsia="Calibri" w:hAnsi="Calibri"/>
                <w:sz w:val="18"/>
                <w:szCs w:val="18"/>
                <w:color w:val="auto"/>
              </w:rPr>
              <w:t>107,174,812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Calibri" w:cs="Calibri" w:eastAsia="Calibri" w:hAnsi="Calibri"/>
                <w:sz w:val="18"/>
                <w:szCs w:val="18"/>
                <w:color w:val="auto"/>
                <w:w w:val="96"/>
              </w:rPr>
              <w:t>115,358,475</w:t>
            </w:r>
          </w:p>
        </w:tc>
        <w:tc>
          <w:tcPr>
            <w:tcW w:w="100" w:type="dxa"/>
            <w:vAlign w:val="bottom"/>
          </w:tcPr>
          <w:p>
            <w:pPr>
              <w:spacing w:after="0"/>
              <w:rPr>
                <w:sz w:val="18"/>
                <w:szCs w:val="18"/>
                <w:color w:val="auto"/>
              </w:rPr>
            </w:pPr>
          </w:p>
        </w:tc>
      </w:tr>
      <w:tr>
        <w:trPr>
          <w:trHeight w:val="37"/>
        </w:trPr>
        <w:tc>
          <w:tcPr>
            <w:tcW w:w="6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7"/>
        </w:trPr>
        <w:tc>
          <w:tcPr>
            <w:tcW w:w="6920" w:type="dxa"/>
            <w:vAlign w:val="bottom"/>
            <w:shd w:val="clear" w:color="auto" w:fill="CFF0FC"/>
          </w:tcPr>
          <w:p>
            <w:pPr>
              <w:ind w:left="180"/>
              <w:spacing w:after="0" w:line="207" w:lineRule="exact"/>
              <w:rPr>
                <w:sz w:val="20"/>
                <w:szCs w:val="20"/>
                <w:color w:val="auto"/>
              </w:rPr>
            </w:pPr>
            <w:r>
              <w:rPr>
                <w:rFonts w:ascii="Calibri" w:cs="Calibri" w:eastAsia="Calibri" w:hAnsi="Calibri"/>
                <w:sz w:val="18"/>
                <w:szCs w:val="18"/>
                <w:color w:val="auto"/>
              </w:rPr>
              <w:t>Dilutve efect of share equivalents resultng from stock</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6920" w:type="dxa"/>
            <w:vAlign w:val="bottom"/>
            <w:tcBorders>
              <w:bottom w:val="single" w:sz="8" w:color="CFF0FC"/>
            </w:tcBorders>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optons</w:t>
            </w: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215,891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229,679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7"/>
        </w:trPr>
        <w:tc>
          <w:tcPr>
            <w:tcW w:w="6920" w:type="dxa"/>
            <w:vAlign w:val="bottom"/>
          </w:tcPr>
          <w:p>
            <w:pPr>
              <w:ind w:left="180"/>
              <w:spacing w:after="0" w:line="207" w:lineRule="exact"/>
              <w:rPr>
                <w:sz w:val="20"/>
                <w:szCs w:val="20"/>
                <w:color w:val="auto"/>
              </w:rPr>
            </w:pPr>
            <w:r>
              <w:rPr>
                <w:rFonts w:ascii="Calibri" w:cs="Calibri" w:eastAsia="Calibri" w:hAnsi="Calibri"/>
                <w:sz w:val="18"/>
                <w:szCs w:val="18"/>
                <w:color w:val="auto"/>
              </w:rPr>
              <w:t>Dilutve efect of share equivalents resultng from</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920" w:type="dxa"/>
            <w:vAlign w:val="bottom"/>
          </w:tcPr>
          <w:p>
            <w:pPr>
              <w:ind w:left="300"/>
              <w:spacing w:after="0" w:line="215" w:lineRule="exact"/>
              <w:rPr>
                <w:sz w:val="20"/>
                <w:szCs w:val="20"/>
                <w:color w:val="auto"/>
              </w:rPr>
            </w:pPr>
            <w:r>
              <w:rPr>
                <w:rFonts w:ascii="Calibri" w:cs="Calibri" w:eastAsia="Calibri" w:hAnsi="Calibri"/>
                <w:sz w:val="18"/>
                <w:szCs w:val="18"/>
                <w:color w:val="auto"/>
              </w:rPr>
              <w:t>unvested restricted stock units</w:t>
            </w:r>
          </w:p>
        </w:tc>
        <w:tc>
          <w:tcPr>
            <w:tcW w:w="32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1,241,456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327,583</w:t>
            </w:r>
          </w:p>
        </w:tc>
        <w:tc>
          <w:tcPr>
            <w:tcW w:w="100" w:type="dxa"/>
            <w:vAlign w:val="bottom"/>
          </w:tcPr>
          <w:p>
            <w:pPr>
              <w:spacing w:after="0"/>
              <w:rPr>
                <w:sz w:val="18"/>
                <w:szCs w:val="18"/>
                <w:color w:val="auto"/>
              </w:rPr>
            </w:pPr>
          </w:p>
        </w:tc>
      </w:tr>
      <w:tr>
        <w:trPr>
          <w:trHeight w:val="37"/>
        </w:trPr>
        <w:tc>
          <w:tcPr>
            <w:tcW w:w="692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187"/>
        </w:trPr>
        <w:tc>
          <w:tcPr>
            <w:tcW w:w="6920" w:type="dxa"/>
            <w:vAlign w:val="bottom"/>
            <w:shd w:val="clear" w:color="auto" w:fill="CFF0FC"/>
          </w:tcPr>
          <w:p>
            <w:pPr>
              <w:ind w:left="180"/>
              <w:spacing w:after="0" w:line="187" w:lineRule="exact"/>
              <w:rPr>
                <w:sz w:val="20"/>
                <w:szCs w:val="20"/>
                <w:color w:val="auto"/>
              </w:rPr>
            </w:pPr>
            <w:r>
              <w:rPr>
                <w:rFonts w:ascii="Calibri" w:cs="Calibri" w:eastAsia="Calibri" w:hAnsi="Calibri"/>
                <w:sz w:val="18"/>
                <w:szCs w:val="18"/>
                <w:color w:val="auto"/>
              </w:rPr>
              <w:t>Weighted-average number of shares of common stock</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5"/>
        </w:trPr>
        <w:tc>
          <w:tcPr>
            <w:tcW w:w="6920" w:type="dxa"/>
            <w:vAlign w:val="bottom"/>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used in computng net income per share atributable to</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3"/>
        </w:trPr>
        <w:tc>
          <w:tcPr>
            <w:tcW w:w="6920" w:type="dxa"/>
            <w:vAlign w:val="bottom"/>
            <w:tcBorders>
              <w:bottom w:val="single" w:sz="8" w:color="CFF0FC"/>
            </w:tcBorders>
            <w:shd w:val="clear" w:color="auto" w:fill="CFF0FC"/>
          </w:tcPr>
          <w:p>
            <w:pPr>
              <w:ind w:left="300"/>
              <w:spacing w:after="0" w:line="216" w:lineRule="exact"/>
              <w:rPr>
                <w:sz w:val="20"/>
                <w:szCs w:val="20"/>
                <w:color w:val="auto"/>
              </w:rPr>
            </w:pPr>
            <w:r>
              <w:rPr>
                <w:rFonts w:ascii="Calibri" w:cs="Calibri" w:eastAsia="Calibri" w:hAnsi="Calibri"/>
                <w:sz w:val="18"/>
                <w:szCs w:val="18"/>
                <w:color w:val="auto"/>
              </w:rPr>
              <w:t>common stockholders — diluted</w:t>
            </w: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108,632,159</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96"/>
              </w:rPr>
              <w:t>115,915,737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Net income per share atributable to common stockholders: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8"/>
        </w:trPr>
        <w:tc>
          <w:tcPr>
            <w:tcW w:w="69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Basic</w:t>
            </w:r>
          </w:p>
        </w:tc>
        <w:tc>
          <w:tcPr>
            <w:tcW w:w="320" w:type="dxa"/>
            <w:vAlign w:val="bottom"/>
            <w:tcBorders>
              <w:bottom w:val="single" w:sz="8" w:color="CFF0FC"/>
            </w:tcBorders>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0.20</w:t>
            </w:r>
          </w:p>
        </w:tc>
        <w:tc>
          <w:tcPr>
            <w:tcW w:w="740" w:type="dxa"/>
            <w:vAlign w:val="bottom"/>
            <w:tcBorders>
              <w:bottom w:val="single" w:sz="8" w:color="CFF0FC"/>
            </w:tcBorders>
            <w:gridSpan w:val="3"/>
            <w:shd w:val="clear" w:color="auto" w:fill="CFF0FC"/>
          </w:tcPr>
          <w:p>
            <w:pPr>
              <w:jc w:val="right"/>
              <w:ind w:right="27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0.14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95"/>
        </w:trPr>
        <w:tc>
          <w:tcPr>
            <w:tcW w:w="6920" w:type="dxa"/>
            <w:vAlign w:val="bottom"/>
            <w:tcBorders>
              <w:top w:val="single" w:sz="8" w:color="CFF0FC"/>
            </w:tcBorders>
          </w:tcPr>
          <w:p>
            <w:pPr>
              <w:spacing w:after="0" w:line="196" w:lineRule="exact"/>
              <w:rPr>
                <w:sz w:val="20"/>
                <w:szCs w:val="20"/>
                <w:color w:val="auto"/>
              </w:rPr>
            </w:pPr>
            <w:r>
              <w:rPr>
                <w:rFonts w:ascii="Calibri" w:cs="Calibri" w:eastAsia="Calibri" w:hAnsi="Calibri"/>
                <w:sz w:val="18"/>
                <w:szCs w:val="18"/>
                <w:color w:val="auto"/>
              </w:rPr>
              <w:t>Diluted</w:t>
            </w:r>
          </w:p>
        </w:tc>
        <w:tc>
          <w:tcPr>
            <w:tcW w:w="320" w:type="dxa"/>
            <w:vAlign w:val="bottom"/>
            <w:tcBorders>
              <w:top w:val="single" w:sz="8" w:color="auto"/>
            </w:tcBorders>
          </w:tcPr>
          <w:p>
            <w:pPr>
              <w:jc w:val="right"/>
              <w:ind w:right="130"/>
              <w:spacing w:after="0" w:line="196" w:lineRule="exact"/>
              <w:rPr>
                <w:sz w:val="20"/>
                <w:szCs w:val="20"/>
                <w:color w:val="auto"/>
              </w:rPr>
            </w:pPr>
            <w:r>
              <w:rPr>
                <w:rFonts w:ascii="Calibri" w:cs="Calibri" w:eastAsia="Calibri" w:hAnsi="Calibri"/>
                <w:sz w:val="18"/>
                <w:szCs w:val="18"/>
                <w:color w:val="auto"/>
                <w:w w:val="87"/>
              </w:rPr>
              <w:t>$</w:t>
            </w:r>
          </w:p>
        </w:tc>
        <w:tc>
          <w:tcPr>
            <w:tcW w:w="110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0.20</w:t>
            </w:r>
          </w:p>
        </w:tc>
        <w:tc>
          <w:tcPr>
            <w:tcW w:w="260" w:type="dxa"/>
            <w:vAlign w:val="bottom"/>
            <w:tcBorders>
              <w:top w:val="single" w:sz="8" w:color="CFF0FC"/>
            </w:tcBorders>
            <w:gridSpan w:val="2"/>
          </w:tcPr>
          <w:p>
            <w:pPr>
              <w:spacing w:after="0"/>
              <w:rPr>
                <w:sz w:val="16"/>
                <w:szCs w:val="16"/>
                <w:color w:val="auto"/>
              </w:rPr>
            </w:pPr>
          </w:p>
        </w:tc>
        <w:tc>
          <w:tcPr>
            <w:tcW w:w="480" w:type="dxa"/>
            <w:vAlign w:val="bottom"/>
            <w:tcBorders>
              <w:top w:val="single" w:sz="8" w:color="auto"/>
            </w:tcBorders>
          </w:tcPr>
          <w:p>
            <w:pPr>
              <w:jc w:val="right"/>
              <w:ind w:right="270"/>
              <w:spacing w:after="0" w:line="196" w:lineRule="exact"/>
              <w:rPr>
                <w:sz w:val="20"/>
                <w:szCs w:val="20"/>
                <w:color w:val="auto"/>
              </w:rPr>
            </w:pPr>
            <w:r>
              <w:rPr>
                <w:rFonts w:ascii="Calibri" w:cs="Calibri" w:eastAsia="Calibri" w:hAnsi="Calibri"/>
                <w:sz w:val="18"/>
                <w:szCs w:val="18"/>
                <w:color w:val="auto"/>
              </w:rPr>
              <w:t>$</w:t>
            </w:r>
          </w:p>
        </w:tc>
        <w:tc>
          <w:tcPr>
            <w:tcW w:w="92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0.10</w:t>
            </w:r>
          </w:p>
        </w:tc>
        <w:tc>
          <w:tcPr>
            <w:tcW w:w="100" w:type="dxa"/>
            <w:vAlign w:val="bottom"/>
            <w:tcBorders>
              <w:top w:val="single" w:sz="8" w:color="CFF0FC"/>
            </w:tcBorders>
          </w:tcPr>
          <w:p>
            <w:pPr>
              <w:spacing w:after="0"/>
              <w:rPr>
                <w:sz w:val="16"/>
                <w:szCs w:val="16"/>
                <w:color w:val="auto"/>
              </w:rPr>
            </w:pPr>
          </w:p>
        </w:tc>
      </w:tr>
      <w:tr>
        <w:trPr>
          <w:trHeight w:val="28"/>
        </w:trPr>
        <w:tc>
          <w:tcPr>
            <w:tcW w:w="6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-942340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-942340</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-205105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-205105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For the three months ended March 31, 2024 and 2023, potentally dilutve common stock equivalents that have been excluded from the calculaton of diluted weighted-average shares outstanding as their efect would have been ant-dilutve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00" w:type="dxa"/>
            <w:vAlign w:val="bottom"/>
            <w:gridSpan w:val="3"/>
          </w:tcPr>
          <w:p>
            <w:pPr>
              <w:jc w:val="center"/>
              <w:ind w:left="788"/>
              <w:spacing w:after="0"/>
              <w:rPr>
                <w:sz w:val="20"/>
                <w:szCs w:val="20"/>
                <w:color w:val="auto"/>
              </w:rPr>
            </w:pPr>
            <w:r>
              <w:rPr>
                <w:rFonts w:ascii="Calibri" w:cs="Calibri" w:eastAsia="Calibri" w:hAnsi="Calibri"/>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5"/>
        </w:trPr>
        <w:tc>
          <w:tcPr>
            <w:tcW w:w="5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200" w:type="dxa"/>
            <w:vAlign w:val="bottom"/>
            <w:gridSpan w:val="3"/>
          </w:tcPr>
          <w:p>
            <w:pPr>
              <w:jc w:val="center"/>
              <w:ind w:left="808"/>
              <w:spacing w:after="0"/>
              <w:rPr>
                <w:sz w:val="20"/>
                <w:szCs w:val="20"/>
                <w:color w:val="auto"/>
              </w:rPr>
            </w:pPr>
            <w:r>
              <w:rPr>
                <w:rFonts w:ascii="Calibri" w:cs="Calibri" w:eastAsia="Calibri" w:hAnsi="Calibri"/>
                <w:sz w:val="14"/>
                <w:szCs w:val="14"/>
                <w:b w:val="1"/>
                <w:bCs w:val="1"/>
                <w:color w:val="auto"/>
              </w:rPr>
              <w:t>March 31,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3"/>
        </w:trPr>
        <w:tc>
          <w:tcPr>
            <w:tcW w:w="5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3"/>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40" w:type="dxa"/>
            <w:vAlign w:val="bottom"/>
            <w:tcBorders>
              <w:top w:val="single" w:sz="8" w:color="auto"/>
            </w:tcBorders>
          </w:tcPr>
          <w:p>
            <w:pPr>
              <w:jc w:val="right"/>
              <w:ind w:right="508"/>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496"/>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
        </w:trPr>
        <w:tc>
          <w:tcPr>
            <w:tcW w:w="5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7"/>
        </w:trPr>
        <w:tc>
          <w:tcPr>
            <w:tcW w:w="58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Stock optons outstanding</w:t>
            </w:r>
          </w:p>
        </w:tc>
        <w:tc>
          <w:tcPr>
            <w:tcW w:w="46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537,981</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560,027</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680" w:type="dxa"/>
            <w:vAlign w:val="bottom"/>
          </w:tcPr>
          <w:p>
            <w:pPr>
              <w:spacing w:after="0" w:line="215" w:lineRule="exact"/>
              <w:rPr>
                <w:sz w:val="20"/>
                <w:szCs w:val="20"/>
                <w:color w:val="auto"/>
              </w:rPr>
            </w:pPr>
            <w:r>
              <w:rPr>
                <w:rFonts w:ascii="Calibri" w:cs="Calibri" w:eastAsia="Calibri" w:hAnsi="Calibri"/>
                <w:sz w:val="18"/>
                <w:szCs w:val="18"/>
                <w:color w:val="auto"/>
              </w:rPr>
              <w:t>Restricted stock units outstanding</w:t>
            </w:r>
          </w:p>
        </w:tc>
        <w:tc>
          <w:tcPr>
            <w:tcW w:w="46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1,178,036</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3,207,191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676"/>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jc w:val="both"/>
        <w:ind w:firstLine="509"/>
        <w:spacing w:after="0" w:line="235" w:lineRule="auto"/>
        <w:rPr>
          <w:sz w:val="20"/>
          <w:szCs w:val="20"/>
          <w:color w:val="auto"/>
        </w:rPr>
      </w:pPr>
      <w:r>
        <w:rPr>
          <w:rFonts w:ascii="Calibri" w:cs="Calibri" w:eastAsia="Calibri" w:hAnsi="Calibri"/>
          <w:sz w:val="18"/>
          <w:szCs w:val="18"/>
          <w:color w:val="auto"/>
        </w:rPr>
        <w:t>For the three months ended March 31, 2024, there were no contngently issuable shares as a result of the acquisiton of remaining minority equity interests in CarOfer. For the three months ended March 31, 2023, the number of issuable shares estmated upon exercise of the 2024 Put Right was zero.</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11. Income Taxes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During the three months ended March 31, 2024, the Company recorded an income tax provision of $8,384, representng an efectve tax rate of 28.2%. The efectve tax rate for the three months ended March 31, 2024, was greater than the statutory tax rate of 21%, principally due to state and local income taxes, the Secton 162(m) excess ofcer compensaton limitaton, and non-deductble meals and commuter fringe benefts, partally ofset by federal and state research and development tax credits.</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During the three months ended March 31 2023, the Company recorded an income tax provision of $6,531, representng an efectve tax rate of 28.8%. The efectve tax rate for the three months ended March 31, 2023, was greater than the statutory rate of 21%, principally due to state and local income taxes, shortalls on the taxable compensaton of share-based awards, and the Secton 162(m) excess ofcer compensaton limitaton, partally ofset by federal and state research and development tax credits.</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Organisaton for Economic Co-operaton and Development introduced an internatonal tax framework under Pillar Two which includes a global minimum tax of 15%. Pillar Two legislaton has been enacted or substantvely enacted in certain jurisdictons where the Company operates. The Pillar Two legislaton became efectve for the Company's fscal year beginning January 1, 2024. The Company has performed an assessment of its potental exposure to Pillar Two income taxes based on the Company's most recent tax flings, country-by-country reportng, and fnancial statements for the consttuent enttes within the Company. Based on the assessment performed, the Company meets the Pillar Two transitonal safe harbor efectve tax rate relief as all jurisdictons in which the Company operates are above 15%. The Company does not expect any exposure to Pillar Two income taxes in any jurisdictons.</w:t>
      </w:r>
    </w:p>
    <w:p>
      <w:pPr>
        <w:spacing w:after="0" w:line="221"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Company and its subsidiaries are subject to various U.S. federal, state, and foreign income tax examinatons. The Company is currently not subject to income tax examinaton for the tax years 2019 and prior as a result of applicable statute of limitatons of the Internal Revenue Service and a majority of applicable state jurisdictons. The Company is currently not subject to examinaton in its foreign jurisdictons for the tax years 2018 and prior.</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 Segment and Geographic Informaton</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Company has two reportable segments, U.S. Marketplace and Digital Wholesale. Segment informaton is presented in the same manner as the Company’s CODM reviews the Company’s operatng results in assessing performance and allocatng resources. The CODM reviews segment revenue and segment operatng income (loss) as a proxy for the performance of the Company's operatons. The Company’s Chief Executve Ofcer is the CODM on behalf of both reportable segments.</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U.S. Marketplace segment derives revenue from marketplace services from customers within the U.S. The Digital Wholesale segment derives revenue from Dealer-to-Dealer and IMCO services and products which are sold on the CarOfer platorm. The Company also has two operatng segments which are individually immaterial and therefore aggregated into the Other category to reconcile reportable segments to the Unaudited Condensed Consolidated Income Statements. The Other category derives revenue from marketplace services from customers outside of the U.S.</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Revenue and costs discretely incurred by reportable segments, including depreciaton and amortzaton, are included in the calculaton of reportable segment income (loss) from operatons. For the three months ended March 31, 2023, Digital Wholesale segment income (loss) from operatons also refects certain IMCO marketng and lead generaton fees allocated from the U.S. Marketplace segment. Asset informaton by reportable segment is not provided to the CODM as asset informaton is assessed and reviewed on a consolidated basis.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ind w:firstLine="509"/>
        <w:spacing w:after="0" w:line="235" w:lineRule="auto"/>
        <w:rPr>
          <w:sz w:val="20"/>
          <w:szCs w:val="20"/>
          <w:color w:val="auto"/>
        </w:rPr>
      </w:pPr>
      <w:r>
        <w:rPr>
          <w:rFonts w:ascii="Calibri" w:cs="Calibri" w:eastAsia="Calibri" w:hAnsi="Calibri"/>
          <w:sz w:val="18"/>
          <w:szCs w:val="18"/>
          <w:color w:val="auto"/>
        </w:rPr>
        <w:t>For the three months ended March 31, 2024 and 2023, segment revenue, segment income (loss) from operatons, and segment depreciaton and amortzaton are as follows: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center"/>
              <w:ind w:left="418"/>
              <w:spacing w:after="0"/>
              <w:rPr>
                <w:sz w:val="20"/>
                <w:szCs w:val="20"/>
                <w:color w:val="auto"/>
              </w:rPr>
            </w:pPr>
            <w:r>
              <w:rPr>
                <w:rFonts w:ascii="Calibri" w:cs="Calibri" w:eastAsia="Calibri" w:hAnsi="Calibri"/>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gridSpan w:val="3"/>
          </w:tcPr>
          <w:p>
            <w:pPr>
              <w:jc w:val="center"/>
              <w:ind w:left="458"/>
              <w:spacing w:after="0"/>
              <w:rPr>
                <w:sz w:val="20"/>
                <w:szCs w:val="20"/>
                <w:color w:val="auto"/>
              </w:rPr>
            </w:pPr>
            <w:r>
              <w:rPr>
                <w:rFonts w:ascii="Calibri" w:cs="Calibri" w:eastAsia="Calibri" w:hAnsi="Calibri"/>
                <w:sz w:val="14"/>
                <w:szCs w:val="14"/>
                <w:b w:val="1"/>
                <w:bCs w:val="1"/>
                <w:color w:val="auto"/>
              </w:rPr>
              <w:t>March 31,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8"/>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74"/>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r>
      <w:tr>
        <w:trPr>
          <w:trHeight w:val="33"/>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69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i w:val="1"/>
                <w:iCs w:val="1"/>
                <w:color w:val="auto"/>
              </w:rPr>
              <w:t>Segment Revenue:</w:t>
            </w: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920" w:type="dxa"/>
            <w:vAlign w:val="bottom"/>
          </w:tcPr>
          <w:p>
            <w:pPr>
              <w:ind w:left="180"/>
              <w:spacing w:after="0" w:line="215" w:lineRule="exact"/>
              <w:rPr>
                <w:sz w:val="20"/>
                <w:szCs w:val="20"/>
                <w:color w:val="auto"/>
              </w:rPr>
            </w:pPr>
            <w:r>
              <w:rPr>
                <w:rFonts w:ascii="Calibri" w:cs="Calibri" w:eastAsia="Calibri" w:hAnsi="Calibri"/>
                <w:sz w:val="18"/>
                <w:szCs w:val="18"/>
                <w:color w:val="auto"/>
              </w:rPr>
              <w:t>U.S. Marketplace</w:t>
            </w: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172,988</w:t>
            </w:r>
          </w:p>
        </w:tc>
        <w:tc>
          <w:tcPr>
            <w:tcW w:w="260" w:type="dxa"/>
            <w:vAlign w:val="bottom"/>
          </w:tcPr>
          <w:p>
            <w:pPr>
              <w:spacing w:after="0"/>
              <w:rPr>
                <w:sz w:val="18"/>
                <w:szCs w:val="18"/>
                <w:color w:val="auto"/>
              </w:rPr>
            </w:pPr>
          </w:p>
        </w:tc>
        <w:tc>
          <w:tcPr>
            <w:tcW w:w="52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155,621</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2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Digital Wholesale</w:t>
            </w: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28,577</w:t>
            </w: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64,836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920" w:type="dxa"/>
            <w:vAlign w:val="bottom"/>
          </w:tcPr>
          <w:p>
            <w:pPr>
              <w:ind w:left="180"/>
              <w:spacing w:after="0" w:line="215" w:lineRule="exact"/>
              <w:rPr>
                <w:sz w:val="20"/>
                <w:szCs w:val="20"/>
                <w:color w:val="auto"/>
              </w:rPr>
            </w:pPr>
            <w:r>
              <w:rPr>
                <w:rFonts w:ascii="Calibri" w:cs="Calibri" w:eastAsia="Calibri" w:hAnsi="Calibri"/>
                <w:sz w:val="18"/>
                <w:szCs w:val="18"/>
                <w:color w:val="auto"/>
              </w:rPr>
              <w:t>Other</w:t>
            </w: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14,231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11,506</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2"/>
        </w:trPr>
        <w:tc>
          <w:tcPr>
            <w:tcW w:w="6920" w:type="dxa"/>
            <w:vAlign w:val="bottom"/>
            <w:tcBorders>
              <w:bottom w:val="single" w:sz="8" w:color="CFF0FC"/>
            </w:tcBorders>
            <w:shd w:val="clear" w:color="auto" w:fill="CFF0FC"/>
          </w:tcPr>
          <w:p>
            <w:pPr>
              <w:ind w:left="360"/>
              <w:spacing w:after="0" w:line="208" w:lineRule="exact"/>
              <w:rPr>
                <w:sz w:val="20"/>
                <w:szCs w:val="20"/>
                <w:color w:val="auto"/>
              </w:rPr>
            </w:pPr>
            <w:r>
              <w:rPr>
                <w:rFonts w:ascii="Calibri" w:cs="Calibri" w:eastAsia="Calibri" w:hAnsi="Calibri"/>
                <w:sz w:val="18"/>
                <w:szCs w:val="18"/>
                <w:color w:val="auto"/>
              </w:rPr>
              <w:t>Total</w:t>
            </w:r>
          </w:p>
        </w:tc>
        <w:tc>
          <w:tcPr>
            <w:tcW w:w="340" w:type="dxa"/>
            <w:vAlign w:val="bottom"/>
            <w:tcBorders>
              <w:bottom w:val="single" w:sz="8" w:color="CFF0FC"/>
            </w:tcBorders>
            <w:shd w:val="clear" w:color="auto" w:fill="CFF0FC"/>
          </w:tcPr>
          <w:p>
            <w:pPr>
              <w:jc w:val="right"/>
              <w:ind w:right="150"/>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215,796</w:t>
            </w:r>
          </w:p>
        </w:tc>
        <w:tc>
          <w:tcPr>
            <w:tcW w:w="2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jc w:val="right"/>
              <w:ind w:right="310"/>
              <w:spacing w:after="0" w:line="208"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231,963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69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66"/>
        </w:trPr>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3"/>
          </w:tcPr>
          <w:p>
            <w:pPr>
              <w:jc w:val="center"/>
              <w:ind w:left="418"/>
              <w:spacing w:after="0"/>
              <w:rPr>
                <w:sz w:val="20"/>
                <w:szCs w:val="20"/>
                <w:color w:val="auto"/>
              </w:rPr>
            </w:pPr>
            <w:r>
              <w:rPr>
                <w:rFonts w:ascii="Calibri" w:cs="Calibri" w:eastAsia="Calibri" w:hAnsi="Calibri"/>
                <w:sz w:val="14"/>
                <w:szCs w:val="14"/>
                <w:b w:val="1"/>
                <w:bCs w:val="1"/>
                <w:color w:val="auto"/>
              </w:rPr>
              <w:t>Three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6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gridSpan w:val="3"/>
          </w:tcPr>
          <w:p>
            <w:pPr>
              <w:jc w:val="center"/>
              <w:ind w:left="458"/>
              <w:spacing w:after="0"/>
              <w:rPr>
                <w:sz w:val="20"/>
                <w:szCs w:val="20"/>
                <w:color w:val="auto"/>
              </w:rPr>
            </w:pPr>
            <w:r>
              <w:rPr>
                <w:rFonts w:ascii="Calibri" w:cs="Calibri" w:eastAsia="Calibri" w:hAnsi="Calibri"/>
                <w:sz w:val="14"/>
                <w:szCs w:val="14"/>
                <w:b w:val="1"/>
                <w:bCs w:val="1"/>
                <w:color w:val="auto"/>
              </w:rPr>
              <w:t>March 31,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8"/>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74"/>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r>
      <w:tr>
        <w:trPr>
          <w:trHeight w:val="33"/>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69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i w:val="1"/>
                <w:iCs w:val="1"/>
                <w:color w:val="auto"/>
              </w:rPr>
              <w:t>Segment Income (Loss) from Operatons:</w:t>
            </w: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920" w:type="dxa"/>
            <w:vAlign w:val="bottom"/>
          </w:tcPr>
          <w:p>
            <w:pPr>
              <w:ind w:left="180"/>
              <w:spacing w:after="0" w:line="215" w:lineRule="exact"/>
              <w:rPr>
                <w:sz w:val="20"/>
                <w:szCs w:val="20"/>
                <w:color w:val="auto"/>
              </w:rPr>
            </w:pPr>
            <w:r>
              <w:rPr>
                <w:rFonts w:ascii="Calibri" w:cs="Calibri" w:eastAsia="Calibri" w:hAnsi="Calibri"/>
                <w:sz w:val="18"/>
                <w:szCs w:val="18"/>
                <w:color w:val="auto"/>
              </w:rPr>
              <w:t>U.S. Marketplace</w:t>
            </w: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34,217</w:t>
            </w:r>
          </w:p>
        </w:tc>
        <w:tc>
          <w:tcPr>
            <w:tcW w:w="260" w:type="dxa"/>
            <w:vAlign w:val="bottom"/>
          </w:tcPr>
          <w:p>
            <w:pPr>
              <w:spacing w:after="0"/>
              <w:rPr>
                <w:sz w:val="18"/>
                <w:szCs w:val="18"/>
                <w:color w:val="auto"/>
              </w:rPr>
            </w:pPr>
          </w:p>
        </w:tc>
        <w:tc>
          <w:tcPr>
            <w:tcW w:w="52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26,539</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223"/>
        </w:trPr>
        <w:tc>
          <w:tcPr>
            <w:tcW w:w="692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Digital Wholesale</w:t>
            </w:r>
          </w:p>
        </w:tc>
        <w:tc>
          <w:tcPr>
            <w:tcW w:w="3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(10,340 )</w:t>
            </w:r>
          </w:p>
        </w:tc>
        <w:tc>
          <w:tcPr>
            <w:tcW w:w="5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(11,225 )</w:t>
            </w:r>
          </w:p>
        </w:tc>
      </w:tr>
      <w:tr>
        <w:trPr>
          <w:trHeight w:val="215"/>
        </w:trPr>
        <w:tc>
          <w:tcPr>
            <w:tcW w:w="6920" w:type="dxa"/>
            <w:vAlign w:val="bottom"/>
          </w:tcPr>
          <w:p>
            <w:pPr>
              <w:ind w:left="180"/>
              <w:spacing w:after="0" w:line="215" w:lineRule="exact"/>
              <w:rPr>
                <w:sz w:val="20"/>
                <w:szCs w:val="20"/>
                <w:color w:val="auto"/>
              </w:rPr>
            </w:pPr>
            <w:r>
              <w:rPr>
                <w:rFonts w:ascii="Calibri" w:cs="Calibri" w:eastAsia="Calibri" w:hAnsi="Calibri"/>
                <w:sz w:val="18"/>
                <w:szCs w:val="18"/>
                <w:color w:val="auto"/>
              </w:rPr>
              <w:t>Other</w:t>
            </w: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2,407</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(1,255 )</w:t>
            </w:r>
          </w:p>
        </w:tc>
      </w:tr>
      <w:tr>
        <w:trPr>
          <w:trHeight w:val="28"/>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2"/>
        </w:trPr>
        <w:tc>
          <w:tcPr>
            <w:tcW w:w="6920" w:type="dxa"/>
            <w:vAlign w:val="bottom"/>
            <w:tcBorders>
              <w:bottom w:val="single" w:sz="8" w:color="CFF0FC"/>
            </w:tcBorders>
            <w:shd w:val="clear" w:color="auto" w:fill="CFF0FC"/>
          </w:tcPr>
          <w:p>
            <w:pPr>
              <w:ind w:left="360"/>
              <w:spacing w:after="0" w:line="208" w:lineRule="exact"/>
              <w:rPr>
                <w:sz w:val="20"/>
                <w:szCs w:val="20"/>
                <w:color w:val="auto"/>
              </w:rPr>
            </w:pPr>
            <w:r>
              <w:rPr>
                <w:rFonts w:ascii="Calibri" w:cs="Calibri" w:eastAsia="Calibri" w:hAnsi="Calibri"/>
                <w:sz w:val="18"/>
                <w:szCs w:val="18"/>
                <w:color w:val="auto"/>
              </w:rPr>
              <w:t>Total</w:t>
            </w:r>
          </w:p>
        </w:tc>
        <w:tc>
          <w:tcPr>
            <w:tcW w:w="340" w:type="dxa"/>
            <w:vAlign w:val="bottom"/>
            <w:tcBorders>
              <w:bottom w:val="single" w:sz="8" w:color="CFF0FC"/>
            </w:tcBorders>
            <w:shd w:val="clear" w:color="auto" w:fill="CFF0FC"/>
          </w:tcPr>
          <w:p>
            <w:pPr>
              <w:jc w:val="right"/>
              <w:ind w:right="150"/>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26,284</w:t>
            </w:r>
          </w:p>
        </w:tc>
        <w:tc>
          <w:tcPr>
            <w:tcW w:w="2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jc w:val="right"/>
              <w:ind w:right="310"/>
              <w:spacing w:after="0" w:line="208"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14,059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69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66"/>
        </w:trPr>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3"/>
          </w:tcPr>
          <w:p>
            <w:pPr>
              <w:jc w:val="center"/>
              <w:ind w:left="418"/>
              <w:spacing w:after="0"/>
              <w:rPr>
                <w:sz w:val="20"/>
                <w:szCs w:val="20"/>
                <w:color w:val="auto"/>
              </w:rPr>
            </w:pPr>
            <w:r>
              <w:rPr>
                <w:rFonts w:ascii="Calibri" w:cs="Calibri" w:eastAsia="Calibri" w:hAnsi="Calibri"/>
                <w:sz w:val="14"/>
                <w:szCs w:val="14"/>
                <w:b w:val="1"/>
                <w:bCs w:val="1"/>
                <w:color w:val="auto"/>
              </w:rPr>
              <w:t>Three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6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gridSpan w:val="3"/>
          </w:tcPr>
          <w:p>
            <w:pPr>
              <w:jc w:val="center"/>
              <w:ind w:left="458"/>
              <w:spacing w:after="0"/>
              <w:rPr>
                <w:sz w:val="20"/>
                <w:szCs w:val="20"/>
                <w:color w:val="auto"/>
              </w:rPr>
            </w:pPr>
            <w:r>
              <w:rPr>
                <w:rFonts w:ascii="Calibri" w:cs="Calibri" w:eastAsia="Calibri" w:hAnsi="Calibri"/>
                <w:sz w:val="14"/>
                <w:szCs w:val="14"/>
                <w:b w:val="1"/>
                <w:bCs w:val="1"/>
                <w:color w:val="auto"/>
              </w:rPr>
              <w:t>March 31,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8"/>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74"/>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r>
      <w:tr>
        <w:trPr>
          <w:trHeight w:val="33"/>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69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i w:val="1"/>
                <w:iCs w:val="1"/>
                <w:color w:val="auto"/>
              </w:rPr>
              <w:t>Segment Depreciaton and Amortzaton:</w:t>
            </w: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6920" w:type="dxa"/>
            <w:vAlign w:val="bottom"/>
          </w:tcPr>
          <w:p>
            <w:pPr>
              <w:ind w:left="180"/>
              <w:spacing w:after="0" w:line="215" w:lineRule="exact"/>
              <w:rPr>
                <w:sz w:val="20"/>
                <w:szCs w:val="20"/>
                <w:color w:val="auto"/>
              </w:rPr>
            </w:pPr>
            <w:r>
              <w:rPr>
                <w:rFonts w:ascii="Calibri" w:cs="Calibri" w:eastAsia="Calibri" w:hAnsi="Calibri"/>
                <w:sz w:val="18"/>
                <w:szCs w:val="18"/>
                <w:color w:val="auto"/>
              </w:rPr>
              <w:t>U.S. Marketplace</w:t>
            </w: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2,997</w:t>
            </w:r>
          </w:p>
        </w:tc>
        <w:tc>
          <w:tcPr>
            <w:tcW w:w="260" w:type="dxa"/>
            <w:vAlign w:val="bottom"/>
          </w:tcPr>
          <w:p>
            <w:pPr>
              <w:spacing w:after="0"/>
              <w:rPr>
                <w:sz w:val="18"/>
                <w:szCs w:val="18"/>
                <w:color w:val="auto"/>
              </w:rPr>
            </w:pPr>
          </w:p>
        </w:tc>
        <w:tc>
          <w:tcPr>
            <w:tcW w:w="52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2,740</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2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Digital Wholesale</w:t>
            </w: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4,281</w:t>
            </w: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8,693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920" w:type="dxa"/>
            <w:vAlign w:val="bottom"/>
          </w:tcPr>
          <w:p>
            <w:pPr>
              <w:ind w:left="180"/>
              <w:spacing w:after="0" w:line="215" w:lineRule="exact"/>
              <w:rPr>
                <w:sz w:val="20"/>
                <w:szCs w:val="20"/>
                <w:color w:val="auto"/>
              </w:rPr>
            </w:pPr>
            <w:r>
              <w:rPr>
                <w:rFonts w:ascii="Calibri" w:cs="Calibri" w:eastAsia="Calibri" w:hAnsi="Calibri"/>
                <w:sz w:val="18"/>
                <w:szCs w:val="18"/>
                <w:color w:val="auto"/>
              </w:rPr>
              <w:t>Other</w:t>
            </w: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203</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143</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2"/>
        </w:trPr>
        <w:tc>
          <w:tcPr>
            <w:tcW w:w="6920" w:type="dxa"/>
            <w:vAlign w:val="bottom"/>
            <w:tcBorders>
              <w:bottom w:val="single" w:sz="8" w:color="CFF0FC"/>
            </w:tcBorders>
            <w:shd w:val="clear" w:color="auto" w:fill="CFF0FC"/>
          </w:tcPr>
          <w:p>
            <w:pPr>
              <w:ind w:left="360"/>
              <w:spacing w:after="0" w:line="208" w:lineRule="exact"/>
              <w:rPr>
                <w:sz w:val="20"/>
                <w:szCs w:val="20"/>
                <w:color w:val="auto"/>
              </w:rPr>
            </w:pPr>
            <w:r>
              <w:rPr>
                <w:rFonts w:ascii="Calibri" w:cs="Calibri" w:eastAsia="Calibri" w:hAnsi="Calibri"/>
                <w:sz w:val="18"/>
                <w:szCs w:val="18"/>
                <w:color w:val="auto"/>
              </w:rPr>
              <w:t>Total</w:t>
            </w:r>
          </w:p>
        </w:tc>
        <w:tc>
          <w:tcPr>
            <w:tcW w:w="340" w:type="dxa"/>
            <w:vAlign w:val="bottom"/>
            <w:tcBorders>
              <w:bottom w:val="single" w:sz="8" w:color="CFF0FC"/>
            </w:tcBorders>
            <w:shd w:val="clear" w:color="auto" w:fill="CFF0FC"/>
          </w:tcPr>
          <w:p>
            <w:pPr>
              <w:jc w:val="right"/>
              <w:ind w:right="150"/>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7,481</w:t>
            </w:r>
          </w:p>
        </w:tc>
        <w:tc>
          <w:tcPr>
            <w:tcW w:w="2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jc w:val="right"/>
              <w:ind w:right="310"/>
              <w:spacing w:after="0" w:line="208"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11,576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69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-2682240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-2665095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-2682240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-2665095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-1353820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-1336675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-1353820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-1336675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For the three months ended March 31, 2024 and 2023, a reconciliaton between total segment income from operatons to consolidated income before income taxes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5"/>
          </w:tcPr>
          <w:p>
            <w:pPr>
              <w:ind w:left="640"/>
              <w:spacing w:after="0"/>
              <w:rPr>
                <w:sz w:val="20"/>
                <w:szCs w:val="20"/>
                <w:color w:val="auto"/>
              </w:rPr>
            </w:pPr>
            <w:r>
              <w:rPr>
                <w:rFonts w:ascii="Calibri" w:cs="Calibri" w:eastAsia="Calibri" w:hAnsi="Calibri"/>
                <w:sz w:val="14"/>
                <w:szCs w:val="14"/>
                <w:b w:val="1"/>
                <w:bCs w:val="1"/>
                <w:color w:val="auto"/>
              </w:rPr>
              <w:t>Three Months Ended</w:t>
            </w:r>
          </w:p>
        </w:tc>
        <w:tc>
          <w:tcPr>
            <w:tcW w:w="560" w:type="dxa"/>
            <w:vAlign w:val="bottom"/>
          </w:tcPr>
          <w:p>
            <w:pPr>
              <w:spacing w:after="0"/>
              <w:rPr>
                <w:sz w:val="14"/>
                <w:szCs w:val="14"/>
                <w:color w:val="auto"/>
              </w:rPr>
            </w:pPr>
          </w:p>
        </w:tc>
      </w:tr>
      <w:tr>
        <w:trPr>
          <w:trHeight w:val="175"/>
        </w:trPr>
        <w:tc>
          <w:tcPr>
            <w:tcW w:w="5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3"/>
          </w:tcPr>
          <w:p>
            <w:pPr>
              <w:jc w:val="right"/>
              <w:ind w:right="60"/>
              <w:spacing w:after="0"/>
              <w:rPr>
                <w:sz w:val="20"/>
                <w:szCs w:val="20"/>
                <w:color w:val="auto"/>
              </w:rPr>
            </w:pPr>
            <w:r>
              <w:rPr>
                <w:rFonts w:ascii="Calibri" w:cs="Calibri" w:eastAsia="Calibri" w:hAnsi="Calibri"/>
                <w:sz w:val="14"/>
                <w:szCs w:val="14"/>
                <w:b w:val="1"/>
                <w:bCs w:val="1"/>
                <w:color w:val="auto"/>
              </w:rPr>
              <w:t>March 31,</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3"/>
        </w:trPr>
        <w:tc>
          <w:tcPr>
            <w:tcW w:w="58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3"/>
        </w:trPr>
        <w:tc>
          <w:tcPr>
            <w:tcW w:w="58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178"/>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37"/>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
        </w:trPr>
        <w:tc>
          <w:tcPr>
            <w:tcW w:w="58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6"/>
        </w:trPr>
        <w:tc>
          <w:tcPr>
            <w:tcW w:w="580" w:type="dxa"/>
            <w:vAlign w:val="bottom"/>
          </w:tcPr>
          <w:p>
            <w:pPr>
              <w:spacing w:after="0"/>
              <w:rPr>
                <w:sz w:val="18"/>
                <w:szCs w:val="18"/>
                <w:color w:val="auto"/>
              </w:rPr>
            </w:pPr>
          </w:p>
        </w:tc>
        <w:tc>
          <w:tcPr>
            <w:tcW w:w="69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Total segment income from operatons</w:t>
            </w:r>
          </w:p>
        </w:tc>
        <w:tc>
          <w:tcPr>
            <w:tcW w:w="26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26,284</w:t>
            </w:r>
          </w:p>
        </w:tc>
        <w:tc>
          <w:tcPr>
            <w:tcW w:w="480" w:type="dxa"/>
            <w:vAlign w:val="bottom"/>
            <w:tcBorders>
              <w:bottom w:val="single" w:sz="8" w:color="CFF0FC"/>
            </w:tcBorders>
            <w:gridSpan w:val="2"/>
            <w:shd w:val="clear" w:color="auto" w:fill="CFF0FC"/>
          </w:tcPr>
          <w:p>
            <w:pPr>
              <w:jc w:val="right"/>
              <w:ind w:right="100"/>
              <w:spacing w:after="0" w:line="208"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14,059</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Total other income, net</w:t>
            </w:r>
          </w:p>
        </w:tc>
        <w:tc>
          <w:tcPr>
            <w:tcW w:w="2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3,401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4,338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62"/>
        </w:trPr>
        <w:tc>
          <w:tcPr>
            <w:tcW w:w="580" w:type="dxa"/>
            <w:vAlign w:val="bottom"/>
          </w:tcPr>
          <w:p>
            <w:pPr>
              <w:spacing w:after="0"/>
              <w:rPr>
                <w:sz w:val="22"/>
                <w:szCs w:val="22"/>
                <w:color w:val="auto"/>
              </w:rPr>
            </w:pPr>
          </w:p>
        </w:tc>
        <w:tc>
          <w:tcPr>
            <w:tcW w:w="69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Consolidated income before income taxes</w:t>
            </w:r>
          </w:p>
        </w:tc>
        <w:tc>
          <w:tcPr>
            <w:tcW w:w="26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29,685</w:t>
            </w:r>
          </w:p>
        </w:tc>
        <w:tc>
          <w:tcPr>
            <w:tcW w:w="480" w:type="dxa"/>
            <w:vAlign w:val="bottom"/>
            <w:tcBorders>
              <w:bottom w:val="single" w:sz="8" w:color="CFF0FC"/>
            </w:tcBorders>
            <w:gridSpan w:val="2"/>
            <w:shd w:val="clear" w:color="auto" w:fill="CFF0FC"/>
          </w:tcPr>
          <w:p>
            <w:pPr>
              <w:jc w:val="right"/>
              <w:ind w:right="100"/>
              <w:spacing w:after="0" w:line="208"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18,397</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0"/>
        </w:trPr>
        <w:tc>
          <w:tcPr>
            <w:tcW w:w="580" w:type="dxa"/>
            <w:vAlign w:val="bottom"/>
          </w:tcPr>
          <w:p>
            <w:pPr>
              <w:spacing w:after="0" w:line="20" w:lineRule="exact"/>
              <w:rPr>
                <w:sz w:val="1"/>
                <w:szCs w:val="1"/>
                <w:color w:val="auto"/>
              </w:rPr>
            </w:pPr>
          </w:p>
        </w:tc>
        <w:tc>
          <w:tcPr>
            <w:tcW w:w="6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89"/>
        </w:trPr>
        <w:tc>
          <w:tcPr>
            <w:tcW w:w="7500" w:type="dxa"/>
            <w:vAlign w:val="bottom"/>
            <w:gridSpan w:val="2"/>
          </w:tcPr>
          <w:p>
            <w:pPr>
              <w:ind w:left="520"/>
              <w:spacing w:after="0"/>
              <w:rPr>
                <w:sz w:val="20"/>
                <w:szCs w:val="20"/>
                <w:color w:val="auto"/>
              </w:rPr>
            </w:pPr>
            <w:r>
              <w:rPr>
                <w:rFonts w:ascii="Calibri" w:cs="Calibri" w:eastAsia="Calibri" w:hAnsi="Calibri"/>
                <w:sz w:val="18"/>
                <w:szCs w:val="18"/>
                <w:color w:val="auto"/>
              </w:rPr>
              <w:t>As of March 31, 2024 and December 31, 2023, segment assets are as follows: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8"/>
        </w:trPr>
        <w:tc>
          <w:tcPr>
            <w:tcW w:w="5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center"/>
              <w:ind w:right="178"/>
              <w:spacing w:after="0"/>
              <w:rPr>
                <w:sz w:val="20"/>
                <w:szCs w:val="20"/>
                <w:color w:val="auto"/>
              </w:rPr>
            </w:pPr>
            <w:r>
              <w:rPr>
                <w:rFonts w:ascii="Calibri" w:cs="Calibri" w:eastAsia="Calibri" w:hAnsi="Calibri"/>
                <w:sz w:val="14"/>
                <w:szCs w:val="14"/>
                <w:b w:val="1"/>
                <w:bCs w:val="1"/>
                <w:color w:val="auto"/>
              </w:rPr>
              <w:t>As of</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As of</w:t>
            </w:r>
          </w:p>
        </w:tc>
        <w:tc>
          <w:tcPr>
            <w:tcW w:w="560" w:type="dxa"/>
            <w:vAlign w:val="bottom"/>
          </w:tcPr>
          <w:p>
            <w:pPr>
              <w:spacing w:after="0"/>
              <w:rPr>
                <w:sz w:val="24"/>
                <w:szCs w:val="24"/>
                <w:color w:val="auto"/>
              </w:rPr>
            </w:pPr>
          </w:p>
        </w:tc>
      </w:tr>
      <w:tr>
        <w:trPr>
          <w:trHeight w:val="175"/>
        </w:trPr>
        <w:tc>
          <w:tcPr>
            <w:tcW w:w="5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178"/>
              <w:spacing w:after="0"/>
              <w:rPr>
                <w:sz w:val="20"/>
                <w:szCs w:val="20"/>
                <w:color w:val="auto"/>
              </w:rPr>
            </w:pPr>
            <w:r>
              <w:rPr>
                <w:rFonts w:ascii="Calibri" w:cs="Calibri" w:eastAsia="Calibri" w:hAnsi="Calibri"/>
                <w:sz w:val="14"/>
                <w:szCs w:val="14"/>
                <w:b w:val="1"/>
                <w:bCs w:val="1"/>
                <w:color w:val="auto"/>
                <w:w w:val="99"/>
              </w:rPr>
              <w:t>March 31,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December 31,</w:t>
            </w:r>
          </w:p>
        </w:tc>
        <w:tc>
          <w:tcPr>
            <w:tcW w:w="560" w:type="dxa"/>
            <w:vAlign w:val="bottom"/>
          </w:tcPr>
          <w:p>
            <w:pPr>
              <w:spacing w:after="0"/>
              <w:rPr>
                <w:sz w:val="15"/>
                <w:szCs w:val="15"/>
                <w:color w:val="auto"/>
              </w:rPr>
            </w:pPr>
          </w:p>
        </w:tc>
      </w:tr>
      <w:tr>
        <w:trPr>
          <w:trHeight w:val="176"/>
        </w:trPr>
        <w:tc>
          <w:tcPr>
            <w:tcW w:w="5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178"/>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37"/>
              <w:spacing w:after="0"/>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3"/>
        </w:trPr>
        <w:tc>
          <w:tcPr>
            <w:tcW w:w="58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6"/>
        </w:trPr>
        <w:tc>
          <w:tcPr>
            <w:tcW w:w="58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3"/>
        </w:trPr>
        <w:tc>
          <w:tcPr>
            <w:tcW w:w="580" w:type="dxa"/>
            <w:vAlign w:val="bottom"/>
          </w:tcPr>
          <w:p>
            <w:pPr>
              <w:spacing w:after="0"/>
              <w:rPr>
                <w:sz w:val="19"/>
                <w:szCs w:val="19"/>
                <w:color w:val="auto"/>
              </w:rPr>
            </w:pPr>
          </w:p>
        </w:tc>
        <w:tc>
          <w:tcPr>
            <w:tcW w:w="69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i w:val="1"/>
                <w:iCs w:val="1"/>
                <w:color w:val="auto"/>
              </w:rPr>
              <w:t>Segment Assets:</w:t>
            </w:r>
          </w:p>
        </w:tc>
        <w:tc>
          <w:tcPr>
            <w:tcW w:w="2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6920" w:type="dxa"/>
            <w:vAlign w:val="bottom"/>
          </w:tcPr>
          <w:p>
            <w:pPr>
              <w:ind w:left="180"/>
              <w:spacing w:after="0" w:line="215" w:lineRule="exact"/>
              <w:rPr>
                <w:sz w:val="20"/>
                <w:szCs w:val="20"/>
                <w:color w:val="auto"/>
              </w:rPr>
            </w:pPr>
            <w:r>
              <w:rPr>
                <w:rFonts w:ascii="Calibri" w:cs="Calibri" w:eastAsia="Calibri" w:hAnsi="Calibri"/>
                <w:sz w:val="18"/>
                <w:szCs w:val="18"/>
                <w:color w:val="auto"/>
              </w:rPr>
              <w:t>U.S. Marketplace</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603,315</w:t>
            </w:r>
          </w:p>
        </w:tc>
        <w:tc>
          <w:tcPr>
            <w:tcW w:w="4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607,307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692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Digital Wholesale</w:t>
            </w:r>
          </w:p>
        </w:tc>
        <w:tc>
          <w:tcPr>
            <w:tcW w:w="2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214,553</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258,458</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6920" w:type="dxa"/>
            <w:vAlign w:val="bottom"/>
          </w:tcPr>
          <w:p>
            <w:pPr>
              <w:ind w:left="180"/>
              <w:spacing w:after="0" w:line="215" w:lineRule="exact"/>
              <w:rPr>
                <w:sz w:val="20"/>
                <w:szCs w:val="20"/>
                <w:color w:val="auto"/>
              </w:rPr>
            </w:pPr>
            <w:r>
              <w:rPr>
                <w:rFonts w:ascii="Calibri" w:cs="Calibri" w:eastAsia="Calibri" w:hAnsi="Calibri"/>
                <w:sz w:val="18"/>
                <w:szCs w:val="18"/>
                <w:color w:val="auto"/>
              </w:rPr>
              <w:t>Other</w:t>
            </w:r>
          </w:p>
        </w:tc>
        <w:tc>
          <w:tcPr>
            <w:tcW w:w="2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52,935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53,162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81"/>
        </w:trPr>
        <w:tc>
          <w:tcPr>
            <w:tcW w:w="580" w:type="dxa"/>
            <w:vAlign w:val="bottom"/>
          </w:tcPr>
          <w:p>
            <w:pPr>
              <w:spacing w:after="0"/>
              <w:rPr>
                <w:sz w:val="24"/>
                <w:szCs w:val="24"/>
                <w:color w:val="auto"/>
              </w:rPr>
            </w:pPr>
          </w:p>
        </w:tc>
        <w:tc>
          <w:tcPr>
            <w:tcW w:w="6920" w:type="dxa"/>
            <w:vAlign w:val="bottom"/>
            <w:tcBorders>
              <w:bottom w:val="single" w:sz="8" w:color="CFF0FC"/>
            </w:tcBorders>
            <w:shd w:val="clear" w:color="auto" w:fill="CFF0FC"/>
          </w:tcPr>
          <w:p>
            <w:pPr>
              <w:ind w:left="360"/>
              <w:spacing w:after="0" w:line="208" w:lineRule="exact"/>
              <w:rPr>
                <w:sz w:val="20"/>
                <w:szCs w:val="20"/>
                <w:color w:val="auto"/>
              </w:rPr>
            </w:pPr>
            <w:r>
              <w:rPr>
                <w:rFonts w:ascii="Calibri" w:cs="Calibri" w:eastAsia="Calibri" w:hAnsi="Calibri"/>
                <w:sz w:val="18"/>
                <w:szCs w:val="18"/>
                <w:color w:val="auto"/>
              </w:rPr>
              <w:t>Total</w:t>
            </w:r>
          </w:p>
        </w:tc>
        <w:tc>
          <w:tcPr>
            <w:tcW w:w="260" w:type="dxa"/>
            <w:vAlign w:val="bottom"/>
            <w:tcBorders>
              <w:bottom w:val="single" w:sz="8" w:color="CFF0FC"/>
            </w:tcBorders>
            <w:shd w:val="clear" w:color="auto" w:fill="CFF0FC"/>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870,803</w:t>
            </w:r>
          </w:p>
        </w:tc>
        <w:tc>
          <w:tcPr>
            <w:tcW w:w="480" w:type="dxa"/>
            <w:vAlign w:val="bottom"/>
            <w:tcBorders>
              <w:bottom w:val="single" w:sz="8" w:color="CFF0FC"/>
            </w:tcBorders>
            <w:gridSpan w:val="2"/>
            <w:shd w:val="clear" w:color="auto" w:fill="CFF0FC"/>
          </w:tcPr>
          <w:p>
            <w:pPr>
              <w:jc w:val="right"/>
              <w:ind w:right="100"/>
              <w:spacing w:after="0" w:line="208"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918,927</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29"/>
        </w:trPr>
        <w:tc>
          <w:tcPr>
            <w:tcW w:w="580" w:type="dxa"/>
            <w:vAlign w:val="bottom"/>
          </w:tcPr>
          <w:p>
            <w:pPr>
              <w:spacing w:after="0"/>
              <w:rPr>
                <w:sz w:val="24"/>
                <w:szCs w:val="24"/>
                <w:color w:val="auto"/>
              </w:rPr>
            </w:pPr>
          </w:p>
        </w:tc>
        <w:tc>
          <w:tcPr>
            <w:tcW w:w="6920" w:type="dxa"/>
            <w:vAlign w:val="bottom"/>
            <w:tcBorders>
              <w:top w:val="single" w:sz="8" w:color="CFF0FC"/>
            </w:tcBorders>
          </w:tcPr>
          <w:p>
            <w:pPr>
              <w:ind w:left="496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-2630805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-2613660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-2630805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-2613660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-925195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-908050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-925195</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ind w:left="520"/>
        <w:spacing w:after="0"/>
        <w:rPr>
          <w:sz w:val="20"/>
          <w:szCs w:val="20"/>
          <w:color w:val="auto"/>
        </w:rPr>
      </w:pPr>
      <w:r>
        <w:rPr>
          <w:rFonts w:ascii="Calibri" w:cs="Calibri" w:eastAsia="Calibri" w:hAnsi="Calibri"/>
          <w:sz w:val="18"/>
          <w:szCs w:val="18"/>
          <w:color w:val="auto"/>
        </w:rPr>
        <w:t>For the three months ended March 31, 2024 and 2023, revenue by geographical region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gridSpan w:val="3"/>
          </w:tcPr>
          <w:p>
            <w:pPr>
              <w:jc w:val="right"/>
              <w:ind w:right="270"/>
              <w:spacing w:after="0"/>
              <w:rPr>
                <w:sz w:val="20"/>
                <w:szCs w:val="20"/>
                <w:color w:val="auto"/>
              </w:rPr>
            </w:pPr>
            <w:r>
              <w:rPr>
                <w:rFonts w:ascii="Calibri" w:cs="Calibri" w:eastAsia="Calibri" w:hAnsi="Calibri"/>
                <w:sz w:val="14"/>
                <w:szCs w:val="14"/>
                <w:b w:val="1"/>
                <w:bCs w:val="1"/>
                <w:color w:val="auto"/>
              </w:rPr>
              <w:t>March 31,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9"/>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75"/>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i w:val="1"/>
                <w:iCs w:val="1"/>
                <w:color w:val="auto"/>
              </w:rPr>
              <w:t>Revenue by Geographic Region:</w:t>
            </w:r>
          </w:p>
        </w:tc>
        <w:tc>
          <w:tcPr>
            <w:tcW w:w="3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600" w:type="dxa"/>
            <w:vAlign w:val="bottom"/>
          </w:tcPr>
          <w:p>
            <w:pPr>
              <w:ind w:left="180"/>
              <w:spacing w:after="0" w:line="215" w:lineRule="exact"/>
              <w:rPr>
                <w:sz w:val="20"/>
                <w:szCs w:val="20"/>
                <w:color w:val="auto"/>
              </w:rPr>
            </w:pPr>
            <w:r>
              <w:rPr>
                <w:rFonts w:ascii="Calibri" w:cs="Calibri" w:eastAsia="Calibri" w:hAnsi="Calibri"/>
                <w:sz w:val="18"/>
                <w:szCs w:val="18"/>
                <w:color w:val="auto"/>
              </w:rPr>
              <w:t>United States</w:t>
            </w:r>
          </w:p>
        </w:tc>
        <w:tc>
          <w:tcPr>
            <w:tcW w:w="3660" w:type="dxa"/>
            <w:vAlign w:val="bottom"/>
            <w:gridSpan w:val="2"/>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201,565</w:t>
            </w:r>
          </w:p>
        </w:tc>
        <w:tc>
          <w:tcPr>
            <w:tcW w:w="780" w:type="dxa"/>
            <w:vAlign w:val="bottom"/>
            <w:gridSpan w:val="2"/>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220,457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80" w:type="dxa"/>
            <w:vAlign w:val="bottom"/>
          </w:tcPr>
          <w:p>
            <w:pPr>
              <w:spacing w:after="0"/>
              <w:rPr>
                <w:sz w:val="21"/>
                <w:szCs w:val="21"/>
                <w:color w:val="auto"/>
              </w:rPr>
            </w:pPr>
          </w:p>
        </w:tc>
        <w:tc>
          <w:tcPr>
            <w:tcW w:w="36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Internatonal</w:t>
            </w:r>
          </w:p>
        </w:tc>
        <w:tc>
          <w:tcPr>
            <w:tcW w:w="3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14,231</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11,506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600" w:type="dxa"/>
            <w:vAlign w:val="bottom"/>
            <w:tcBorders>
              <w:top w:val="single" w:sz="8" w:color="CFF0FC"/>
            </w:tcBorders>
          </w:tcPr>
          <w:p>
            <w:pPr>
              <w:ind w:left="360"/>
              <w:spacing w:after="0" w:line="208" w:lineRule="exact"/>
              <w:rPr>
                <w:sz w:val="20"/>
                <w:szCs w:val="20"/>
                <w:color w:val="auto"/>
              </w:rPr>
            </w:pPr>
            <w:r>
              <w:rPr>
                <w:rFonts w:ascii="Calibri" w:cs="Calibri" w:eastAsia="Calibri" w:hAnsi="Calibri"/>
                <w:sz w:val="18"/>
                <w:szCs w:val="18"/>
                <w:color w:val="auto"/>
              </w:rPr>
              <w:t>Total</w:t>
            </w:r>
          </w:p>
        </w:tc>
        <w:tc>
          <w:tcPr>
            <w:tcW w:w="33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jc w:val="right"/>
              <w:ind w:right="150"/>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215,796</w:t>
            </w:r>
          </w:p>
        </w:tc>
        <w:tc>
          <w:tcPr>
            <w:tcW w:w="26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jc w:val="right"/>
              <w:ind w:right="310"/>
              <w:spacing w:after="0" w:line="208" w:lineRule="exact"/>
              <w:rPr>
                <w:sz w:val="20"/>
                <w:szCs w:val="20"/>
                <w:color w:val="auto"/>
              </w:rPr>
            </w:pPr>
            <w:r>
              <w:rPr>
                <w:rFonts w:ascii="Calibri" w:cs="Calibri" w:eastAsia="Calibri" w:hAnsi="Calibri"/>
                <w:sz w:val="18"/>
                <w:szCs w:val="18"/>
                <w:color w:val="auto"/>
              </w:rPr>
              <w:t>$</w:t>
            </w:r>
          </w:p>
        </w:tc>
        <w:tc>
          <w:tcPr>
            <w:tcW w:w="8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231,963</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32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32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-1233805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-1233805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b w:val="1"/>
          <w:bCs w:val="1"/>
          <w:color w:val="auto"/>
        </w:rPr>
        <w:t>Item 2. Management’s Discussion and Analysis of Financial Conditon and Results of Operatons.</w:t>
      </w:r>
    </w:p>
    <w:p>
      <w:pPr>
        <w:spacing w:after="0" w:line="217" w:lineRule="exact"/>
        <w:rPr>
          <w:sz w:val="20"/>
          <w:szCs w:val="20"/>
          <w:color w:val="auto"/>
        </w:rPr>
      </w:pPr>
    </w:p>
    <w:p>
      <w:pPr>
        <w:jc w:val="both"/>
        <w:ind w:firstLine="509"/>
        <w:spacing w:after="0" w:line="314" w:lineRule="auto"/>
        <w:rPr>
          <w:sz w:val="20"/>
          <w:szCs w:val="20"/>
          <w:color w:val="auto"/>
        </w:rPr>
      </w:pPr>
      <w:r>
        <w:rPr>
          <w:rFonts w:ascii="MS PGothic" w:cs="MS PGothic" w:eastAsia="MS PGothic" w:hAnsi="MS PGothic"/>
          <w:sz w:val="17"/>
          <w:szCs w:val="17"/>
          <w:i w:val="1"/>
          <w:iCs w:val="1"/>
          <w:color w:val="auto"/>
        </w:rPr>
        <w:t>You should read the following discussion and analysis of our fnancial conditon and results of operatons together with our unaudited interim condensed consolidated fnancial statements, or the Unaudited Condensed Consolidated Financial Statements, and the related notes thereto, appearing elsewhere in this Quarterly Report, and our consolidated fnancial statements and the related notes and other fnancial informaton included in our Annual Report. Some of the informaton contained in this discussion and analysis or elsewhere in this Quarterly Report, including informaton with respect to our plans and strategy for our business and our performance and future success, includes forward-looking statements that involve risks and uncertaintes. See “Special Note Regarding Forward-Looking Statements.” For a discussion of important factors that could cause actual results to difer materially from the results described in or implied by the forward-looking statements contained in the following discussion and analysis you should review our Annual Report, including those cautonary statements set forth under Part I, Item 1A “Risk Factors.” We qualify all of our forward-looking statements by such cautonary statements.</w:t>
      </w:r>
    </w:p>
    <w:p>
      <w:pPr>
        <w:spacing w:after="0" w:line="165" w:lineRule="exact"/>
        <w:rPr>
          <w:sz w:val="20"/>
          <w:szCs w:val="20"/>
          <w:color w:val="auto"/>
        </w:rPr>
      </w:pPr>
    </w:p>
    <w:p>
      <w:pPr>
        <w:jc w:val="both"/>
        <w:ind w:firstLine="509"/>
        <w:spacing w:after="0" w:line="303" w:lineRule="auto"/>
        <w:rPr>
          <w:sz w:val="20"/>
          <w:szCs w:val="20"/>
          <w:color w:val="auto"/>
        </w:rPr>
      </w:pPr>
      <w:r>
        <w:rPr>
          <w:rFonts w:ascii="MS PGothic" w:cs="MS PGothic" w:eastAsia="MS PGothic" w:hAnsi="MS PGothic"/>
          <w:sz w:val="18"/>
          <w:szCs w:val="18"/>
          <w:i w:val="1"/>
          <w:iCs w:val="1"/>
          <w:color w:val="auto"/>
        </w:rPr>
        <w:t>In this discussion, we use fnancial measures that are considered non-GAAP fnancial measures under SEC rules. These rules regarding non-GAAP fnancial measures require supplemental explanaton and reconciliaton, which are included elsewhere in this Quarterly Report. Investors should not consider non-GAAP fnancial measures in isolaton from or in substtuton for, fnancial informaton presented in compliance with United States, or U.S., generally accepted accountng principles, or GAAP.</w:t>
      </w:r>
    </w:p>
    <w:p>
      <w:pPr>
        <w:spacing w:after="0" w:line="171" w:lineRule="exact"/>
        <w:rPr>
          <w:sz w:val="20"/>
          <w:szCs w:val="20"/>
          <w:color w:val="auto"/>
        </w:rPr>
      </w:pPr>
    </w:p>
    <w:p>
      <w:pPr>
        <w:jc w:val="both"/>
        <w:ind w:firstLine="509"/>
        <w:spacing w:after="0" w:line="334" w:lineRule="auto"/>
        <w:rPr>
          <w:sz w:val="20"/>
          <w:szCs w:val="20"/>
          <w:color w:val="auto"/>
        </w:rPr>
      </w:pPr>
      <w:r>
        <w:rPr>
          <w:rFonts w:ascii="MS PGothic" w:cs="MS PGothic" w:eastAsia="MS PGothic" w:hAnsi="MS PGothic"/>
          <w:sz w:val="18"/>
          <w:szCs w:val="18"/>
          <w:i w:val="1"/>
          <w:iCs w:val="1"/>
          <w:color w:val="auto"/>
        </w:rPr>
        <w:t>This secton of this Quarterly Report discusses 2024 and 2023 items and period-to-period comparisons between 2024 and 2023. The period‑to‑period comparison of fnancial results is not necessarily indicatve of future results.</w:t>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Company Overview</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CarGurus, Inc. is a multnatonal, online automotve platorm for buying and selling vehicles that is building upon its industry-leading listngs marketplace with both digital retail solutons and the CarOfer online wholesale platorm. The CarGurus platorm gives consumers the confdence to purchase and/or sell a vehicle either online or in person, and it gives dealerships the power to accurately price, efectvely market, instantly acquire, and quickly sell vehicles, all with a natonwide reach. We use proprietary technology, search algorithms, and data analytcs to bring trust, transparency, and compettve pricing to the automotve shopping experience.</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operate principally in the U.S. In the U.S., we also operate as independent brands the Autolist online marketplace and the CarOfer online wholesale platorm. In additon to the U.S., we operate online marketplaces under the CarGurus brand in Canada and the United Kingdom, or U.K. In the U.K., we also operate as an independent brand the PistonHeads online marketplace.</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have subsidiaries in the U.S., Canada, Ireland, and the U.K. and we have two reportable segments, U.S. Marketplace and Digital Wholesale. See Note 12 of the Unaudited Condensed Consolidated Financial Statements included elsewhere in this Quarterly Report for further segment reportng and geographic informaton.</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derive our revenue from marketplace revenue, wholesale revenue, and product revenue. Marketplace revenue is included in the U.S. Marketplace segment and Other category of segment reportng. Wholesale revenue and product revenue are included in the Digital Wholesale segment. We generate marketplace revenue primarily from (i) dealer subscriptons to our Listngs packages and Real-tme Performance Marketng, or RPM, digital advertsing suite, Digital Retail, and Sell My Car - Top Dealer Ofers, or TDO, (ii) advertsing revenue from auto manufacturers and other auto-related brand advertsers, and (iii) revenue from partnerships with fnancing services companies. We generate wholesale revenue primarily from (x) transacton fees earned from the purchase and sale of vehicles between dealers, or Dealer-to-Dealer transactons, (y) transacton fees earned from the sale of vehicles to dealers that we acquire at other marketplaces, and (z) transacton fees earned from performing inspecton and transportaton services, inclusive of Dealer-to-Dealer transactons, other marketplace-to-dealer transactons, and IMCO transactons (as defned below). We generate product revenue primarily from (A) aggregate proceeds received from the sale of vehicles to dealers that were acquired directly from customers, or Sell My Car - Instant Max Cash Ofer, or IMCO transactons, and (B) proceeds received from the sale of vehicles that were acquired through arbitraton.</w:t>
      </w:r>
    </w:p>
    <w:p>
      <w:pPr>
        <w:spacing w:after="0" w:line="22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For the three months ended March 31, 2024, we generated revenue of $215.8 million, a 7% decrease from $232.0 million of revenue for the three months ended March 31, 2023. For the three months ended March 31, 2024, we generated consolidated net income of $21.3 million and Consolidated Adjusted EBITDA of $50.4 million, compared to consolidated net income of $11.9 million and Consolidated Adjusted EBITDA of $40.8 million for the three months ended March 31, 2023.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4" w:name="page25"/>
    <w:bookmarkEnd w:id="24"/>
    <w:p>
      <w:pPr>
        <w:jc w:val="both"/>
        <w:ind w:firstLine="509"/>
        <w:spacing w:after="0" w:line="235" w:lineRule="auto"/>
        <w:rPr>
          <w:sz w:val="20"/>
          <w:szCs w:val="20"/>
          <w:color w:val="auto"/>
        </w:rPr>
      </w:pPr>
      <w:r>
        <w:rPr>
          <w:rFonts w:ascii="Calibri" w:cs="Calibri" w:eastAsia="Calibri" w:hAnsi="Calibri"/>
          <w:sz w:val="18"/>
          <w:szCs w:val="18"/>
          <w:color w:val="auto"/>
        </w:rPr>
        <w:t>See “Consolidated Adjusted EBITDA, Adjusted EBITDA, and Adjusted EBITDA atributable to redeemable noncontrolling interest” below for more informaton regarding our use of Adjusted EBITDA, a non-GAAP fnancial measure, and a reconciliaton of Adjusted EBITDA to our consolidated net income.</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Key Business Metrics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regularly review a number of metrics, including the key metrics listed below, to evaluate our business, measure our performance, identfy trends afectng our business, formulate fnancial projectons, and make operatng and strategic decisions. We believe it is important to evaluate these metrics for the U.S. and Internatonal geographic regions. The Internatonal region derives revenue from marketplace revenue from customers outside of the U.S. Internatonal markets perform diferently from the U.S. market due to a variety of factors, including our operatng history in each market, our rate of investment, market size, market maturity, competton, and other dynamics unique to each country.</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Monthly Unique Users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For each of our websites (excluding the CarOfer website), we defne a monthly unique user as an individual who has visited any such website within a calendar month, based on data as measured by Google Analytcs. We calculate average monthly unique users as the sum of the monthly unique users of each of our websites in a given period, divided by the number of months in that period. We count a unique user the frst tme a computer or mobile device with a unique device identfer accesses any of our websites during a calendar month. If an individual accesses a website using a diferent device within a given month, the frst access by each such device is counted as a separate unique user. If an individual uses multple browsers on a single device and/or clears their cookies and returns to our website within a calendar month, each such visit is counted as a separate unique user. We view our average monthly unique users as a key indicator of the quality of our user experience, the efectveness of our advertsing and trafc acquisiton, and the strength of our brand awareness. Measuring unique users is important to us and we believe it provides useful informaton to our investors because our marketplace revenue depends, in part, on our ability to provide dealers with connectons to our users and exposure to our marketplace audience. We defne connectons as interactons between consumers and dealers on our marketplace through phone calls, email, managed text and chat, and clicks to access the dealer’s website or map directons to the dealership.</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3"/>
          </w:tcPr>
          <w:p>
            <w:pPr>
              <w:jc w:val="center"/>
              <w:ind w:left="808"/>
              <w:spacing w:after="0"/>
              <w:rPr>
                <w:sz w:val="20"/>
                <w:szCs w:val="20"/>
                <w:color w:val="auto"/>
              </w:rPr>
            </w:pPr>
            <w:r>
              <w:rPr>
                <w:rFonts w:ascii="Calibri" w:cs="Calibri" w:eastAsia="Calibri" w:hAnsi="Calibri"/>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3"/>
          </w:tcPr>
          <w:p>
            <w:pPr>
              <w:jc w:val="center"/>
              <w:ind w:left="808"/>
              <w:spacing w:after="0"/>
              <w:rPr>
                <w:sz w:val="20"/>
                <w:szCs w:val="20"/>
                <w:color w:val="auto"/>
              </w:rPr>
            </w:pPr>
            <w:r>
              <w:rPr>
                <w:rFonts w:ascii="Calibri" w:cs="Calibri" w:eastAsia="Calibri" w:hAnsi="Calibri"/>
                <w:sz w:val="14"/>
                <w:szCs w:val="14"/>
                <w:b w:val="1"/>
                <w:bCs w:val="1"/>
                <w:color w:val="auto"/>
              </w:rPr>
              <w:t>March 31,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400" w:type="dxa"/>
            <w:vAlign w:val="bottom"/>
            <w:vMerge w:val="restart"/>
          </w:tcPr>
          <w:p>
            <w:pPr>
              <w:spacing w:after="0"/>
              <w:rPr>
                <w:sz w:val="20"/>
                <w:szCs w:val="20"/>
                <w:color w:val="auto"/>
              </w:rPr>
            </w:pPr>
            <w:r>
              <w:rPr>
                <w:rFonts w:ascii="Calibri" w:cs="Calibri" w:eastAsia="Calibri" w:hAnsi="Calibri"/>
                <w:sz w:val="14"/>
                <w:szCs w:val="14"/>
                <w:b w:val="1"/>
                <w:bCs w:val="1"/>
                <w:color w:val="auto"/>
              </w:rPr>
              <w:t>Average Monthly Unique Users</w:t>
            </w:r>
          </w:p>
        </w:tc>
        <w:tc>
          <w:tcPr>
            <w:tcW w:w="33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80" w:type="dxa"/>
            <w:vAlign w:val="bottom"/>
          </w:tcPr>
          <w:p>
            <w:pPr>
              <w:spacing w:after="0"/>
              <w:rPr>
                <w:sz w:val="14"/>
                <w:szCs w:val="14"/>
                <w:color w:val="auto"/>
              </w:rPr>
            </w:pPr>
          </w:p>
        </w:tc>
        <w:tc>
          <w:tcPr>
            <w:tcW w:w="3400" w:type="dxa"/>
            <w:vAlign w:val="bottom"/>
            <w:vMerge w:val="continue"/>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Borders>
              <w:top w:val="single" w:sz="8" w:color="auto"/>
            </w:tcBorders>
          </w:tcPr>
          <w:p>
            <w:pPr>
              <w:jc w:val="right"/>
              <w:ind w:right="508"/>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475"/>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108"/>
              <w:spacing w:after="0" w:line="164" w:lineRule="exact"/>
              <w:rPr>
                <w:sz w:val="20"/>
                <w:szCs w:val="20"/>
                <w:color w:val="auto"/>
              </w:rPr>
            </w:pPr>
            <w:r>
              <w:rPr>
                <w:rFonts w:ascii="Calibri" w:cs="Calibri" w:eastAsia="Calibri" w:hAnsi="Calibri"/>
                <w:sz w:val="14"/>
                <w:szCs w:val="14"/>
                <w:b w:val="1"/>
                <w:bCs w:val="1"/>
                <w:color w:val="auto"/>
              </w:rPr>
              <w:t>(in</w:t>
            </w:r>
          </w:p>
        </w:tc>
        <w:tc>
          <w:tcPr>
            <w:tcW w:w="760" w:type="dxa"/>
            <w:vAlign w:val="bottom"/>
            <w:gridSpan w:val="2"/>
          </w:tcPr>
          <w:p>
            <w:pPr>
              <w:spacing w:after="0" w:line="164" w:lineRule="exact"/>
              <w:rPr>
                <w:sz w:val="20"/>
                <w:szCs w:val="20"/>
                <w:color w:val="auto"/>
              </w:rPr>
            </w:pPr>
            <w:r>
              <w:rPr>
                <w:rFonts w:ascii="Calibri" w:cs="Calibri" w:eastAsia="Calibri" w:hAnsi="Calibri"/>
                <w:sz w:val="14"/>
                <w:szCs w:val="14"/>
                <w:b w:val="1"/>
                <w:bCs w:val="1"/>
                <w:color w:val="auto"/>
              </w:rPr>
              <w:t>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4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United States</w:t>
            </w:r>
          </w:p>
        </w:tc>
        <w:tc>
          <w:tcPr>
            <w:tcW w:w="496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34,006</w:t>
            </w: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31,986</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400" w:type="dxa"/>
            <w:vAlign w:val="bottom"/>
          </w:tcPr>
          <w:p>
            <w:pPr>
              <w:spacing w:after="0" w:line="215" w:lineRule="exact"/>
              <w:rPr>
                <w:sz w:val="20"/>
                <w:szCs w:val="20"/>
                <w:color w:val="auto"/>
              </w:rPr>
            </w:pPr>
            <w:r>
              <w:rPr>
                <w:rFonts w:ascii="Calibri" w:cs="Calibri" w:eastAsia="Calibri" w:hAnsi="Calibri"/>
                <w:sz w:val="18"/>
                <w:szCs w:val="18"/>
                <w:color w:val="auto"/>
              </w:rPr>
              <w:t>Internatonal</w:t>
            </w:r>
          </w:p>
        </w:tc>
        <w:tc>
          <w:tcPr>
            <w:tcW w:w="496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8,568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7,191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80" w:type="dxa"/>
            <w:vAlign w:val="bottom"/>
          </w:tcPr>
          <w:p>
            <w:pPr>
              <w:spacing w:after="0"/>
              <w:rPr>
                <w:sz w:val="24"/>
                <w:szCs w:val="24"/>
                <w:color w:val="auto"/>
              </w:rPr>
            </w:pPr>
          </w:p>
        </w:tc>
        <w:tc>
          <w:tcPr>
            <w:tcW w:w="3400" w:type="dxa"/>
            <w:vAlign w:val="bottom"/>
            <w:tcBorders>
              <w:bottom w:val="single" w:sz="8" w:color="CFF0FC"/>
            </w:tcBorders>
            <w:shd w:val="clear" w:color="auto" w:fill="CFF0FC"/>
          </w:tcPr>
          <w:p>
            <w:pPr>
              <w:ind w:left="180"/>
              <w:spacing w:after="0" w:line="208" w:lineRule="exact"/>
              <w:rPr>
                <w:sz w:val="20"/>
                <w:szCs w:val="20"/>
                <w:color w:val="auto"/>
              </w:rPr>
            </w:pPr>
            <w:r>
              <w:rPr>
                <w:rFonts w:ascii="Calibri" w:cs="Calibri" w:eastAsia="Calibri" w:hAnsi="Calibri"/>
                <w:sz w:val="18"/>
                <w:szCs w:val="18"/>
                <w:color w:val="auto"/>
              </w:rPr>
              <w:t>Total</w:t>
            </w:r>
          </w:p>
        </w:tc>
        <w:tc>
          <w:tcPr>
            <w:tcW w:w="4960" w:type="dxa"/>
            <w:vAlign w:val="bottom"/>
            <w:tcBorders>
              <w:bottom w:val="single" w:sz="8" w:color="CFF0FC"/>
            </w:tcBorders>
            <w:gridSpan w:val="3"/>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42,574</w:t>
            </w:r>
          </w:p>
        </w:tc>
        <w:tc>
          <w:tcPr>
            <w:tcW w:w="2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39,177</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3400" w:type="dxa"/>
            <w:vAlign w:val="bottom"/>
            <w:tcBorders>
              <w:top w:val="single" w:sz="8" w:color="CFF0FC"/>
            </w:tcBorders>
          </w:tcPr>
          <w:p>
            <w:pPr>
              <w:spacing w:after="0"/>
              <w:rPr>
                <w:sz w:val="24"/>
                <w:szCs w:val="24"/>
                <w:color w:val="auto"/>
              </w:rPr>
            </w:pPr>
          </w:p>
        </w:tc>
        <w:tc>
          <w:tcPr>
            <w:tcW w:w="3380" w:type="dxa"/>
            <w:vAlign w:val="bottom"/>
            <w:tcBorders>
              <w:top w:val="single" w:sz="8" w:color="CFF0FC"/>
            </w:tcBorders>
          </w:tcPr>
          <w:p>
            <w:pPr>
              <w:jc w:val="right"/>
              <w:ind w:right="155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FF0FC"/>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-933450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-916305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b w:val="1"/>
          <w:bCs w:val="1"/>
          <w:i w:val="1"/>
          <w:iCs w:val="1"/>
          <w:color w:val="auto"/>
        </w:rPr>
        <w:t>Monthly Sessions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defne monthly sessions as the number of distnct visits to our websites (excluding the CarOfer website) that take place each month within a given tme frame, as measured and defned by Google Analytcs. We calculate average monthly sessions as the sum of the monthly sessions in a given period, divided by the number of months in that period. A session is defned as beginning with the frst page view from a computer or mobile device and ending at the earliest of when a user closes their browser window, afer 30 minutes of inactvity, or each night at midnight (i) Eastern Time for our U.S. and Canada websites, other than the Autolist website, (ii) Pacifc Time for the Autolist website, and (iii) Greenwich Mean Time for our U.K. websites. A session can be made up of multple page views and visitor actons, such as performing a search, visitng vehicle detail pages, and connectng with a dealer. We believe that measuring the volume of sessions in a tme period, when considered in conjuncton with the number of unique users in that tme period, is an important indicator to us of consumer satsfacton and engagement with our marketplace, and we believe it provides useful informaton to our investors because the more satsfed and engaged consumers we have, the more valuable our service is to dealers.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3"/>
          </w:tcPr>
          <w:p>
            <w:pPr>
              <w:jc w:val="center"/>
              <w:ind w:left="800"/>
              <w:spacing w:after="0"/>
              <w:rPr>
                <w:sz w:val="20"/>
                <w:szCs w:val="20"/>
                <w:color w:val="auto"/>
              </w:rPr>
            </w:pPr>
            <w:r>
              <w:rPr>
                <w:rFonts w:ascii="Calibri" w:cs="Calibri" w:eastAsia="Calibri" w:hAnsi="Calibri"/>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3"/>
          </w:tcPr>
          <w:p>
            <w:pPr>
              <w:jc w:val="center"/>
              <w:ind w:left="800"/>
              <w:spacing w:after="0"/>
              <w:rPr>
                <w:sz w:val="20"/>
                <w:szCs w:val="20"/>
                <w:color w:val="auto"/>
              </w:rPr>
            </w:pPr>
            <w:r>
              <w:rPr>
                <w:rFonts w:ascii="Calibri" w:cs="Calibri" w:eastAsia="Calibri" w:hAnsi="Calibri"/>
                <w:sz w:val="14"/>
                <w:szCs w:val="14"/>
                <w:b w:val="1"/>
                <w:bCs w:val="1"/>
                <w:color w:val="auto"/>
              </w:rPr>
              <w:t>March 31,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6900" w:type="dxa"/>
            <w:vAlign w:val="bottom"/>
            <w:gridSpan w:val="2"/>
            <w:vMerge w:val="restart"/>
          </w:tcPr>
          <w:p>
            <w:pPr>
              <w:spacing w:after="0"/>
              <w:rPr>
                <w:sz w:val="20"/>
                <w:szCs w:val="20"/>
                <w:color w:val="auto"/>
              </w:rPr>
            </w:pPr>
            <w:r>
              <w:rPr>
                <w:rFonts w:ascii="Calibri" w:cs="Calibri" w:eastAsia="Calibri" w:hAnsi="Calibri"/>
                <w:sz w:val="14"/>
                <w:szCs w:val="14"/>
                <w:b w:val="1"/>
                <w:bCs w:val="1"/>
                <w:color w:val="auto"/>
              </w:rPr>
              <w:t>Average Monthly Sessions</w:t>
            </w: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900" w:type="dxa"/>
            <w:vAlign w:val="bottom"/>
            <w:gridSpan w:val="2"/>
            <w:vMerge w:val="continue"/>
          </w:tcPr>
          <w:p>
            <w:pPr>
              <w:spacing w:after="0"/>
              <w:rPr>
                <w:sz w:val="14"/>
                <w:szCs w:val="14"/>
                <w:color w:val="auto"/>
              </w:rPr>
            </w:pPr>
          </w:p>
        </w:tc>
        <w:tc>
          <w:tcPr>
            <w:tcW w:w="1440" w:type="dxa"/>
            <w:vAlign w:val="bottom"/>
          </w:tcPr>
          <w:p>
            <w:pPr>
              <w:jc w:val="right"/>
              <w:ind w:right="500"/>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ind w:right="495"/>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80"/>
              <w:spacing w:after="0" w:line="164" w:lineRule="exact"/>
              <w:rPr>
                <w:sz w:val="20"/>
                <w:szCs w:val="20"/>
                <w:color w:val="auto"/>
              </w:rPr>
            </w:pPr>
            <w:r>
              <w:rPr>
                <w:rFonts w:ascii="Calibri" w:cs="Calibri" w:eastAsia="Calibri" w:hAnsi="Calibri"/>
                <w:sz w:val="14"/>
                <w:szCs w:val="14"/>
                <w:b w:val="1"/>
                <w:bCs w:val="1"/>
                <w:color w:val="auto"/>
              </w:rPr>
              <w:t>(in</w:t>
            </w:r>
          </w:p>
        </w:tc>
        <w:tc>
          <w:tcPr>
            <w:tcW w:w="760" w:type="dxa"/>
            <w:vAlign w:val="bottom"/>
            <w:gridSpan w:val="2"/>
          </w:tcPr>
          <w:p>
            <w:pPr>
              <w:spacing w:after="0" w:line="164" w:lineRule="exact"/>
              <w:rPr>
                <w:sz w:val="20"/>
                <w:szCs w:val="20"/>
                <w:color w:val="auto"/>
              </w:rPr>
            </w:pPr>
            <w:r>
              <w:rPr>
                <w:rFonts w:ascii="Calibri" w:cs="Calibri" w:eastAsia="Calibri" w:hAnsi="Calibri"/>
                <w:sz w:val="14"/>
                <w:szCs w:val="14"/>
                <w:b w:val="1"/>
                <w:bCs w:val="1"/>
                <w:color w:val="auto"/>
              </w:rPr>
              <w:t>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tcBorders>
              <w:bottom w:val="single" w:sz="8" w:color="CFF0FC"/>
            </w:tcBorders>
            <w:gridSpan w:val="2"/>
            <w:shd w:val="clear" w:color="auto" w:fill="CFF0FC"/>
          </w:tcPr>
          <w:p>
            <w:pPr>
              <w:spacing w:after="0" w:line="215" w:lineRule="exact"/>
              <w:rPr>
                <w:sz w:val="20"/>
                <w:szCs w:val="20"/>
                <w:color w:val="auto"/>
              </w:rPr>
            </w:pPr>
            <w:r>
              <w:rPr>
                <w:rFonts w:ascii="Calibri" w:cs="Calibri" w:eastAsia="Calibri" w:hAnsi="Calibri"/>
                <w:sz w:val="18"/>
                <w:szCs w:val="18"/>
                <w:color w:val="auto"/>
              </w:rPr>
              <w:t>United States</w:t>
            </w: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88,286</w:t>
            </w: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84,274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00" w:type="dxa"/>
            <w:vAlign w:val="bottom"/>
            <w:gridSpan w:val="2"/>
          </w:tcPr>
          <w:p>
            <w:pPr>
              <w:spacing w:after="0" w:line="215" w:lineRule="exact"/>
              <w:rPr>
                <w:sz w:val="20"/>
                <w:szCs w:val="20"/>
                <w:color w:val="auto"/>
              </w:rPr>
            </w:pPr>
            <w:r>
              <w:rPr>
                <w:rFonts w:ascii="Calibri" w:cs="Calibri" w:eastAsia="Calibri" w:hAnsi="Calibri"/>
                <w:sz w:val="18"/>
                <w:szCs w:val="18"/>
                <w:color w:val="auto"/>
              </w:rPr>
              <w:t>Internatonal</w:t>
            </w: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19,714</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16,672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900" w:type="dxa"/>
            <w:vAlign w:val="bottom"/>
            <w:tcBorders>
              <w:bottom w:val="single" w:sz="8" w:color="CFF0FC"/>
            </w:tcBorders>
            <w:gridSpan w:val="2"/>
            <w:shd w:val="clear" w:color="auto" w:fill="CFF0FC"/>
          </w:tcPr>
          <w:p>
            <w:pPr>
              <w:ind w:left="180"/>
              <w:spacing w:after="0" w:line="208" w:lineRule="exact"/>
              <w:rPr>
                <w:sz w:val="20"/>
                <w:szCs w:val="20"/>
                <w:color w:val="auto"/>
              </w:rPr>
            </w:pPr>
            <w:r>
              <w:rPr>
                <w:rFonts w:ascii="Calibri" w:cs="Calibri" w:eastAsia="Calibri" w:hAnsi="Calibri"/>
                <w:sz w:val="18"/>
                <w:szCs w:val="18"/>
                <w:color w:val="auto"/>
              </w:rPr>
              <w:t>Total</w:t>
            </w:r>
          </w:p>
        </w:tc>
        <w:tc>
          <w:tcPr>
            <w:tcW w:w="1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108,000</w:t>
            </w:r>
          </w:p>
        </w:tc>
        <w:tc>
          <w:tcPr>
            <w:tcW w:w="22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100,946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Number of Paying Dealers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defne a paying dealer as a dealer account with an actve, paid marketplace subscripton at the end of a defned period. The number of paying dealers we have is important to us and we believe it provides valuable informaton to investors because it is indicatve of the value propositon of our marketplace products, as well as our sales and marketng success and opportunity, including our ability to retain paying dealers and develop new dealer relatonships.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3"/>
          </w:tcPr>
          <w:p>
            <w:pPr>
              <w:ind w:left="1080"/>
              <w:spacing w:after="0"/>
              <w:rPr>
                <w:sz w:val="20"/>
                <w:szCs w:val="20"/>
                <w:color w:val="auto"/>
              </w:rPr>
            </w:pPr>
            <w:r>
              <w:rPr>
                <w:rFonts w:ascii="Calibri" w:cs="Calibri" w:eastAsia="Calibri" w:hAnsi="Calibri"/>
                <w:sz w:val="14"/>
                <w:szCs w:val="14"/>
                <w:b w:val="1"/>
                <w:bCs w:val="1"/>
                <w:color w:val="auto"/>
              </w:rPr>
              <w:t>As of March 31,</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900" w:type="dxa"/>
            <w:vAlign w:val="bottom"/>
            <w:gridSpan w:val="2"/>
            <w:vMerge w:val="restart"/>
          </w:tcPr>
          <w:p>
            <w:pPr>
              <w:spacing w:after="0"/>
              <w:rPr>
                <w:sz w:val="20"/>
                <w:szCs w:val="20"/>
                <w:color w:val="auto"/>
              </w:rPr>
            </w:pPr>
            <w:r>
              <w:rPr>
                <w:rFonts w:ascii="Calibri" w:cs="Calibri" w:eastAsia="Calibri" w:hAnsi="Calibri"/>
                <w:sz w:val="14"/>
                <w:szCs w:val="14"/>
                <w:b w:val="1"/>
                <w:bCs w:val="1"/>
                <w:color w:val="auto"/>
              </w:rPr>
              <w:t>Number of Paying Dealers</w:t>
            </w: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900" w:type="dxa"/>
            <w:vAlign w:val="bottom"/>
            <w:gridSpan w:val="2"/>
            <w:vMerge w:val="continue"/>
          </w:tcPr>
          <w:p>
            <w:pPr>
              <w:spacing w:after="0"/>
              <w:rPr>
                <w:sz w:val="14"/>
                <w:szCs w:val="14"/>
                <w:color w:val="auto"/>
              </w:rPr>
            </w:pPr>
          </w:p>
        </w:tc>
        <w:tc>
          <w:tcPr>
            <w:tcW w:w="1440" w:type="dxa"/>
            <w:vAlign w:val="bottom"/>
          </w:tcPr>
          <w:p>
            <w:pPr>
              <w:jc w:val="right"/>
              <w:ind w:right="497"/>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ind w:right="495"/>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gridSpan w:val="2"/>
            <w:shd w:val="clear" w:color="auto" w:fill="CFF0FC"/>
          </w:tcPr>
          <w:p>
            <w:pPr>
              <w:spacing w:after="0" w:line="215" w:lineRule="exact"/>
              <w:rPr>
                <w:sz w:val="20"/>
                <w:szCs w:val="20"/>
                <w:color w:val="auto"/>
              </w:rPr>
            </w:pPr>
            <w:r>
              <w:rPr>
                <w:rFonts w:ascii="Calibri" w:cs="Calibri" w:eastAsia="Calibri" w:hAnsi="Calibri"/>
                <w:sz w:val="18"/>
                <w:szCs w:val="18"/>
                <w:color w:val="auto"/>
              </w:rPr>
              <w:t>United States</w:t>
            </w:r>
          </w:p>
        </w:tc>
        <w:tc>
          <w:tcPr>
            <w:tcW w:w="1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24,419</w:t>
            </w:r>
          </w:p>
        </w:tc>
        <w:tc>
          <w:tcPr>
            <w:tcW w:w="2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24,394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00" w:type="dxa"/>
            <w:vAlign w:val="bottom"/>
            <w:gridSpan w:val="2"/>
          </w:tcPr>
          <w:p>
            <w:pPr>
              <w:spacing w:after="0" w:line="215" w:lineRule="exact"/>
              <w:rPr>
                <w:sz w:val="20"/>
                <w:szCs w:val="20"/>
                <w:color w:val="auto"/>
              </w:rPr>
            </w:pPr>
            <w:r>
              <w:rPr>
                <w:rFonts w:ascii="Calibri" w:cs="Calibri" w:eastAsia="Calibri" w:hAnsi="Calibri"/>
                <w:sz w:val="18"/>
                <w:szCs w:val="18"/>
                <w:color w:val="auto"/>
              </w:rPr>
              <w:t>Internatonal</w:t>
            </w: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6,756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6,897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900" w:type="dxa"/>
            <w:vAlign w:val="bottom"/>
            <w:tcBorders>
              <w:bottom w:val="single" w:sz="8" w:color="CFF0FC"/>
            </w:tcBorders>
            <w:gridSpan w:val="2"/>
            <w:shd w:val="clear" w:color="auto" w:fill="CFF0FC"/>
          </w:tcPr>
          <w:p>
            <w:pPr>
              <w:ind w:left="180"/>
              <w:spacing w:after="0" w:line="208" w:lineRule="exact"/>
              <w:rPr>
                <w:sz w:val="20"/>
                <w:szCs w:val="20"/>
                <w:color w:val="auto"/>
              </w:rPr>
            </w:pPr>
            <w:r>
              <w:rPr>
                <w:rFonts w:ascii="Calibri" w:cs="Calibri" w:eastAsia="Calibri" w:hAnsi="Calibri"/>
                <w:sz w:val="18"/>
                <w:szCs w:val="18"/>
                <w:color w:val="auto"/>
              </w:rPr>
              <w:t>Total</w:t>
            </w:r>
          </w:p>
        </w:tc>
        <w:tc>
          <w:tcPr>
            <w:tcW w:w="14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31,175</w:t>
            </w:r>
          </w:p>
        </w:tc>
        <w:tc>
          <w:tcPr>
            <w:tcW w:w="2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31,291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Transactons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defne Transactons within the Digital Wholesale segment as the number of vehicles processed from car dealers, consumers, and other marketplaces through the CarOfer website within the applicable period. Transactons consists of each unique vehicle (based on vehicle identfcaton number) that reaches "sold and invoiced" status on the CarOfer website within the applicable period, including vehicles sold to car dealers, vehicles sold at third-party auctons, vehicles ultmately sold to a diferent buyer, and vehicles that are returned to their owners without completon of a sale transacton. We exclude vehicles processed within CarOfer's intra-group trading soluton (Group Trade) from the defniton of Transactons, and we only count any unique vehicle once even if it reaches sold status multple tmes. Digital Wholesale includes Dealer-to-Dealer transactons and IMCO transactons. We view Transactons as a key business metric, and we believe it provides useful informaton to investors, because it provides insight into growth and revenue for the Digital Wholesale segment. Transactons drive a signifcant porton of Digital Wholesale segment revenue. We believe growth in Transactons demonstrates consumer and dealer utlizaton and our market share penetraton in the Digital Wholesale segment.</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4"/>
          </w:tcPr>
          <w:p>
            <w:pPr>
              <w:ind w:left="600"/>
              <w:spacing w:after="0"/>
              <w:rPr>
                <w:sz w:val="20"/>
                <w:szCs w:val="20"/>
                <w:color w:val="auto"/>
              </w:rPr>
            </w:pPr>
            <w:r>
              <w:rPr>
                <w:rFonts w:ascii="Calibri" w:cs="Calibri" w:eastAsia="Calibri" w:hAnsi="Calibri"/>
                <w:sz w:val="14"/>
                <w:szCs w:val="14"/>
                <w:b w:val="1"/>
                <w:bCs w:val="1"/>
                <w:color w:val="auto"/>
              </w:rPr>
              <w:t>Three Months Ended March 31,</w:t>
            </w:r>
          </w:p>
        </w:tc>
        <w:tc>
          <w:tcPr>
            <w:tcW w:w="0" w:type="dxa"/>
            <w:vAlign w:val="bottom"/>
          </w:tcPr>
          <w:p>
            <w:pPr>
              <w:spacing w:after="0"/>
              <w:rPr>
                <w:sz w:val="1"/>
                <w:szCs w:val="1"/>
                <w:color w:val="auto"/>
              </w:rPr>
            </w:pPr>
          </w:p>
        </w:tc>
      </w:tr>
      <w:tr>
        <w:trPr>
          <w:trHeight w:val="33"/>
        </w:trPr>
        <w:tc>
          <w:tcPr>
            <w:tcW w:w="6900" w:type="dxa"/>
            <w:vAlign w:val="bottom"/>
            <w:gridSpan w:val="2"/>
            <w:vMerge w:val="restart"/>
          </w:tcPr>
          <w:p>
            <w:pPr>
              <w:spacing w:after="0"/>
              <w:rPr>
                <w:sz w:val="20"/>
                <w:szCs w:val="20"/>
                <w:color w:val="auto"/>
              </w:rPr>
            </w:pPr>
            <w:r>
              <w:rPr>
                <w:rFonts w:ascii="Calibri" w:cs="Calibri" w:eastAsia="Calibri" w:hAnsi="Calibri"/>
                <w:sz w:val="14"/>
                <w:szCs w:val="14"/>
                <w:b w:val="1"/>
                <w:bCs w:val="1"/>
                <w:color w:val="auto"/>
              </w:rPr>
              <w:t>Transactons</w:t>
            </w: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900" w:type="dxa"/>
            <w:vAlign w:val="bottom"/>
            <w:gridSpan w:val="2"/>
            <w:vMerge w:val="continue"/>
          </w:tcPr>
          <w:p>
            <w:pPr>
              <w:spacing w:after="0"/>
              <w:rPr>
                <w:sz w:val="14"/>
                <w:szCs w:val="14"/>
                <w:color w:val="auto"/>
              </w:rPr>
            </w:pPr>
          </w:p>
        </w:tc>
        <w:tc>
          <w:tcPr>
            <w:tcW w:w="1440" w:type="dxa"/>
            <w:vAlign w:val="bottom"/>
          </w:tcPr>
          <w:p>
            <w:pPr>
              <w:jc w:val="right"/>
              <w:ind w:right="502"/>
              <w:spacing w:after="0" w:line="164" w:lineRule="exact"/>
              <w:rPr>
                <w:sz w:val="20"/>
                <w:szCs w:val="20"/>
                <w:color w:val="auto"/>
              </w:rPr>
            </w:pPr>
            <w:r>
              <w:rPr>
                <w:rFonts w:ascii="Calibri" w:cs="Calibri" w:eastAsia="Calibri" w:hAnsi="Calibri"/>
                <w:sz w:val="14"/>
                <w:szCs w:val="14"/>
                <w:b w:val="1"/>
                <w:bCs w:val="1"/>
                <w:color w:val="auto"/>
              </w:rPr>
              <w:t>2024</w:t>
            </w:r>
          </w:p>
        </w:tc>
        <w:tc>
          <w:tcPr>
            <w:tcW w:w="1660" w:type="dxa"/>
            <w:vAlign w:val="bottom"/>
            <w:gridSpan w:val="2"/>
          </w:tcPr>
          <w:p>
            <w:pPr>
              <w:jc w:val="right"/>
              <w:ind w:right="580"/>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900" w:type="dxa"/>
            <w:vAlign w:val="bottom"/>
            <w:gridSpan w:val="2"/>
            <w:shd w:val="clear" w:color="auto" w:fill="CFF0FC"/>
          </w:tcPr>
          <w:p>
            <w:pPr>
              <w:spacing w:after="0" w:line="208" w:lineRule="exact"/>
              <w:rPr>
                <w:sz w:val="20"/>
                <w:szCs w:val="20"/>
                <w:color w:val="auto"/>
              </w:rPr>
            </w:pPr>
            <w:r>
              <w:rPr>
                <w:rFonts w:ascii="Calibri" w:cs="Calibri" w:eastAsia="Calibri" w:hAnsi="Calibri"/>
                <w:sz w:val="18"/>
                <w:szCs w:val="18"/>
                <w:color w:val="auto"/>
              </w:rPr>
              <w:t>Transactons</w:t>
            </w:r>
          </w:p>
        </w:tc>
        <w:tc>
          <w:tcPr>
            <w:tcW w:w="1440" w:type="dxa"/>
            <w:vAlign w:val="bottom"/>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10,302</w:t>
            </w:r>
          </w:p>
        </w:tc>
        <w:tc>
          <w:tcPr>
            <w:tcW w:w="1660" w:type="dxa"/>
            <w:vAlign w:val="bottom"/>
            <w:gridSpan w:val="2"/>
            <w:shd w:val="clear" w:color="auto" w:fill="CFF0FC"/>
          </w:tcPr>
          <w:p>
            <w:pPr>
              <w:jc w:val="right"/>
              <w:ind w:right="20"/>
              <w:spacing w:after="0" w:line="208" w:lineRule="exact"/>
              <w:rPr>
                <w:sz w:val="20"/>
                <w:szCs w:val="20"/>
                <w:color w:val="auto"/>
              </w:rPr>
            </w:pPr>
            <w:r>
              <w:rPr>
                <w:rFonts w:ascii="Calibri" w:cs="Calibri" w:eastAsia="Calibri" w:hAnsi="Calibri"/>
                <w:sz w:val="18"/>
                <w:szCs w:val="18"/>
                <w:color w:val="auto"/>
              </w:rPr>
              <w:t>17,505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b w:val="1"/>
          <w:bCs w:val="1"/>
          <w:i w:val="1"/>
          <w:iCs w:val="1"/>
          <w:color w:val="auto"/>
        </w:rPr>
        <w:t>Quarterly Average Revenue per Subscribing Dealer (QARSD)</w:t>
      </w:r>
    </w:p>
    <w:p>
      <w:pPr>
        <w:spacing w:after="0" w:line="217" w:lineRule="exact"/>
        <w:rPr>
          <w:sz w:val="20"/>
          <w:szCs w:val="20"/>
          <w:color w:val="auto"/>
        </w:rPr>
      </w:pPr>
    </w:p>
    <w:p>
      <w:pPr>
        <w:jc w:val="both"/>
        <w:ind w:firstLine="509"/>
        <w:spacing w:after="0" w:line="314" w:lineRule="auto"/>
        <w:rPr>
          <w:sz w:val="20"/>
          <w:szCs w:val="20"/>
          <w:color w:val="auto"/>
        </w:rPr>
      </w:pPr>
      <w:r>
        <w:rPr>
          <w:rFonts w:ascii="MS PGothic" w:cs="MS PGothic" w:eastAsia="MS PGothic" w:hAnsi="MS PGothic"/>
          <w:sz w:val="17"/>
          <w:szCs w:val="17"/>
          <w:color w:val="auto"/>
        </w:rPr>
        <w:t>We defne QARSD, which is measured at the end of a fscal quarter, as the marketplace revenue primarily from subscriptons to our Listngs packages and RPM, our digital advertsing suite, and other digital add-on products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informaton is important to us, and we believe it provides useful informaton to investors, because we believe that our ability to grow QARSD is an indicator of the value propositon of our products and the return on investment, or ROI, that our paying dealers realize from our products. In additon, increases in QARSD, which we believe refect the value of exposure to our engaged audience in relaton to subscripton cost, are driven in part by our ability to grow the volume of connectons to our users and the quality of those connectons, which result in increased opportunity to upsell package levels and cross-sell additonal products to our paying dealers.</w:t>
      </w:r>
    </w:p>
    <w:p>
      <w:pPr>
        <w:spacing w:after="0" w:line="200" w:lineRule="exact"/>
        <w:rPr>
          <w:sz w:val="20"/>
          <w:szCs w:val="20"/>
          <w:color w:val="auto"/>
        </w:rPr>
      </w:pP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Calibri" w:cs="Calibri" w:eastAsia="Calibri" w:hAnsi="Calibri"/>
                <w:sz w:val="14"/>
                <w:szCs w:val="14"/>
                <w:b w:val="1"/>
                <w:bCs w:val="1"/>
                <w:color w:val="auto"/>
              </w:rPr>
              <w:t>As of March 31,</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920" w:type="dxa"/>
            <w:vAlign w:val="bottom"/>
            <w:gridSpan w:val="2"/>
            <w:vMerge w:val="restart"/>
          </w:tcPr>
          <w:p>
            <w:pPr>
              <w:spacing w:after="0"/>
              <w:rPr>
                <w:sz w:val="20"/>
                <w:szCs w:val="20"/>
                <w:color w:val="auto"/>
              </w:rPr>
            </w:pPr>
            <w:r>
              <w:rPr>
                <w:rFonts w:ascii="Calibri" w:cs="Calibri" w:eastAsia="Calibri" w:hAnsi="Calibri"/>
                <w:sz w:val="14"/>
                <w:szCs w:val="14"/>
                <w:b w:val="1"/>
                <w:bCs w:val="1"/>
                <w:color w:val="auto"/>
              </w:rPr>
              <w:t>Quarterly Average Revenue per Subscribing Dealer (QARSD)</w:t>
            </w: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920" w:type="dxa"/>
            <w:vAlign w:val="bottom"/>
            <w:gridSpan w:val="2"/>
            <w:vMerge w:val="continue"/>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475"/>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20" w:type="dxa"/>
            <w:vAlign w:val="bottom"/>
            <w:tcBorders>
              <w:bottom w:val="single" w:sz="8" w:color="CFF0FC"/>
            </w:tcBorders>
            <w:gridSpan w:val="2"/>
            <w:shd w:val="clear" w:color="auto" w:fill="CFF0FC"/>
          </w:tcPr>
          <w:p>
            <w:pPr>
              <w:spacing w:after="0"/>
              <w:rPr>
                <w:sz w:val="20"/>
                <w:szCs w:val="20"/>
                <w:color w:val="auto"/>
              </w:rPr>
            </w:pPr>
            <w:r>
              <w:rPr>
                <w:rFonts w:ascii="MS PGothic" w:cs="MS PGothic" w:eastAsia="MS PGothic" w:hAnsi="MS PGothic"/>
                <w:sz w:val="18"/>
                <w:szCs w:val="18"/>
                <w:color w:val="auto"/>
              </w:rPr>
              <w:t>United States</w:t>
            </w:r>
          </w:p>
        </w:tc>
        <w:tc>
          <w:tcPr>
            <w:tcW w:w="940" w:type="dxa"/>
            <w:vAlign w:val="bottom"/>
            <w:tcBorders>
              <w:bottom w:val="single" w:sz="8" w:color="CFF0FC"/>
            </w:tcBorders>
            <w:shd w:val="clear" w:color="auto" w:fill="CFF0FC"/>
          </w:tcPr>
          <w:p>
            <w:pPr>
              <w:jc w:val="right"/>
              <w:ind w:right="755"/>
              <w:spacing w:after="0"/>
              <w:rPr>
                <w:sz w:val="20"/>
                <w:szCs w:val="20"/>
                <w:color w:val="auto"/>
              </w:rPr>
            </w:pPr>
            <w:r>
              <w:rPr>
                <w:rFonts w:ascii="MS PGothic" w:cs="MS PGothic" w:eastAsia="MS PGothic" w:hAnsi="MS PGothic"/>
                <w:sz w:val="18"/>
                <w:szCs w:val="18"/>
                <w:color w:val="auto"/>
                <w:w w:val="88"/>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6,702</w:t>
            </w:r>
          </w:p>
        </w:tc>
        <w:tc>
          <w:tcPr>
            <w:tcW w:w="700" w:type="dxa"/>
            <w:vAlign w:val="bottom"/>
            <w:tcBorders>
              <w:bottom w:val="single" w:sz="8" w:color="CFF0FC"/>
            </w:tcBorders>
            <w:gridSpan w:val="2"/>
            <w:shd w:val="clear" w:color="auto" w:fill="CFF0FC"/>
          </w:tcPr>
          <w:p>
            <w:pPr>
              <w:jc w:val="right"/>
              <w:ind w:right="320"/>
              <w:spacing w:after="0"/>
              <w:rPr>
                <w:sz w:val="20"/>
                <w:szCs w:val="20"/>
                <w:color w:val="auto"/>
              </w:rPr>
            </w:pPr>
            <w:r>
              <w:rPr>
                <w:rFonts w:ascii="MS PGothic" w:cs="MS PGothic" w:eastAsia="MS PGothic" w:hAnsi="MS PGothic"/>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5,943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20" w:type="dxa"/>
            <w:vAlign w:val="bottom"/>
            <w:gridSpan w:val="2"/>
          </w:tcPr>
          <w:p>
            <w:pPr>
              <w:spacing w:after="0"/>
              <w:rPr>
                <w:sz w:val="20"/>
                <w:szCs w:val="20"/>
                <w:color w:val="auto"/>
              </w:rPr>
            </w:pPr>
            <w:r>
              <w:rPr>
                <w:rFonts w:ascii="MS PGothic" w:cs="MS PGothic" w:eastAsia="MS PGothic" w:hAnsi="MS PGothic"/>
                <w:sz w:val="18"/>
                <w:szCs w:val="18"/>
                <w:color w:val="auto"/>
              </w:rPr>
              <w:t>Internatonal</w:t>
            </w:r>
          </w:p>
        </w:tc>
        <w:tc>
          <w:tcPr>
            <w:tcW w:w="940" w:type="dxa"/>
            <w:vAlign w:val="bottom"/>
          </w:tcPr>
          <w:p>
            <w:pPr>
              <w:jc w:val="right"/>
              <w:ind w:right="755"/>
              <w:spacing w:after="0"/>
              <w:rPr>
                <w:sz w:val="20"/>
                <w:szCs w:val="20"/>
                <w:color w:val="auto"/>
              </w:rPr>
            </w:pPr>
            <w:r>
              <w:rPr>
                <w:rFonts w:ascii="MS PGothic" w:cs="MS PGothic" w:eastAsia="MS PGothic" w:hAnsi="MS PGothic"/>
                <w:sz w:val="18"/>
                <w:szCs w:val="18"/>
                <w:color w:val="auto"/>
                <w:w w:val="88"/>
              </w:rPr>
              <w:t>$</w:t>
            </w:r>
          </w:p>
        </w:tc>
        <w:tc>
          <w:tcPr>
            <w:tcW w:w="480" w:type="dxa"/>
            <w:vAlign w:val="bottom"/>
          </w:tcPr>
          <w:p>
            <w:pPr>
              <w:jc w:val="right"/>
              <w:spacing w:after="0"/>
              <w:rPr>
                <w:sz w:val="20"/>
                <w:szCs w:val="20"/>
                <w:color w:val="auto"/>
              </w:rPr>
            </w:pPr>
            <w:r>
              <w:rPr>
                <w:rFonts w:ascii="MS PGothic" w:cs="MS PGothic" w:eastAsia="MS PGothic" w:hAnsi="MS PGothic"/>
                <w:sz w:val="18"/>
                <w:szCs w:val="18"/>
                <w:color w:val="auto"/>
              </w:rPr>
              <w:t>1,882</w:t>
            </w:r>
          </w:p>
        </w:tc>
        <w:tc>
          <w:tcPr>
            <w:tcW w:w="700" w:type="dxa"/>
            <w:vAlign w:val="bottom"/>
            <w:gridSpan w:val="2"/>
          </w:tcPr>
          <w:p>
            <w:pPr>
              <w:jc w:val="right"/>
              <w:ind w:right="320"/>
              <w:spacing w:after="0"/>
              <w:rPr>
                <w:sz w:val="20"/>
                <w:szCs w:val="20"/>
                <w:color w:val="auto"/>
              </w:rPr>
            </w:pPr>
            <w:r>
              <w:rPr>
                <w:rFonts w:ascii="MS PGothic" w:cs="MS PGothic" w:eastAsia="MS PGothic" w:hAnsi="MS PGothic"/>
                <w:sz w:val="18"/>
                <w:szCs w:val="18"/>
                <w:color w:val="auto"/>
              </w:rPr>
              <w:t>$</w:t>
            </w:r>
          </w:p>
        </w:tc>
        <w:tc>
          <w:tcPr>
            <w:tcW w:w="960" w:type="dxa"/>
            <w:vAlign w:val="bottom"/>
          </w:tcPr>
          <w:p>
            <w:pPr>
              <w:jc w:val="right"/>
              <w:spacing w:after="0"/>
              <w:rPr>
                <w:sz w:val="20"/>
                <w:szCs w:val="20"/>
                <w:color w:val="auto"/>
              </w:rPr>
            </w:pPr>
            <w:r>
              <w:rPr>
                <w:rFonts w:ascii="MS PGothic" w:cs="MS PGothic" w:eastAsia="MS PGothic" w:hAnsi="MS PGothic"/>
                <w:sz w:val="18"/>
                <w:szCs w:val="18"/>
                <w:color w:val="auto"/>
              </w:rPr>
              <w:t>1,550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920" w:type="dxa"/>
            <w:vAlign w:val="bottom"/>
            <w:gridSpan w:val="2"/>
            <w:shd w:val="clear" w:color="auto" w:fill="CFF0FC"/>
          </w:tcPr>
          <w:p>
            <w:pPr>
              <w:spacing w:after="0"/>
              <w:rPr>
                <w:sz w:val="20"/>
                <w:szCs w:val="20"/>
                <w:color w:val="auto"/>
              </w:rPr>
            </w:pPr>
            <w:r>
              <w:rPr>
                <w:rFonts w:ascii="MS PGothic" w:cs="MS PGothic" w:eastAsia="MS PGothic" w:hAnsi="MS PGothic"/>
                <w:sz w:val="18"/>
                <w:szCs w:val="18"/>
                <w:color w:val="auto"/>
              </w:rPr>
              <w:t>Consolidated</w:t>
            </w:r>
          </w:p>
        </w:tc>
        <w:tc>
          <w:tcPr>
            <w:tcW w:w="940" w:type="dxa"/>
            <w:vAlign w:val="bottom"/>
            <w:shd w:val="clear" w:color="auto" w:fill="CFF0FC"/>
          </w:tcPr>
          <w:p>
            <w:pPr>
              <w:jc w:val="right"/>
              <w:ind w:right="755"/>
              <w:spacing w:after="0"/>
              <w:rPr>
                <w:sz w:val="20"/>
                <w:szCs w:val="20"/>
                <w:color w:val="auto"/>
              </w:rPr>
            </w:pPr>
            <w:r>
              <w:rPr>
                <w:rFonts w:ascii="MS PGothic" w:cs="MS PGothic" w:eastAsia="MS PGothic" w:hAnsi="MS PGothic"/>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5,664</w:t>
            </w:r>
          </w:p>
        </w:tc>
        <w:tc>
          <w:tcPr>
            <w:tcW w:w="700" w:type="dxa"/>
            <w:vAlign w:val="bottom"/>
            <w:gridSpan w:val="2"/>
            <w:shd w:val="clear" w:color="auto" w:fill="CFF0FC"/>
          </w:tcPr>
          <w:p>
            <w:pPr>
              <w:jc w:val="right"/>
              <w:ind w:right="320"/>
              <w:spacing w:after="0"/>
              <w:rPr>
                <w:sz w:val="20"/>
                <w:szCs w:val="20"/>
                <w:color w:val="auto"/>
              </w:rPr>
            </w:pPr>
            <w:r>
              <w:rPr>
                <w:rFonts w:ascii="MS PGothic" w:cs="MS PGothic" w:eastAsia="MS PGothic" w:hAnsi="MS PGothic"/>
                <w:sz w:val="18"/>
                <w:szCs w:val="18"/>
                <w:color w:val="auto"/>
              </w:rPr>
              <w:t>$</w:t>
            </w:r>
          </w:p>
        </w:tc>
        <w:tc>
          <w:tcPr>
            <w:tcW w:w="96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4,986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Consolidated Adjusted EBITDA, Adjusted EBITDA, and Adjusted EBITDA atributable to redeemable noncontrolling interest</w:t>
      </w:r>
    </w:p>
    <w:p>
      <w:pPr>
        <w:spacing w:after="0" w:line="217" w:lineRule="exact"/>
        <w:rPr>
          <w:sz w:val="20"/>
          <w:szCs w:val="20"/>
          <w:color w:val="auto"/>
        </w:rPr>
      </w:pPr>
    </w:p>
    <w:p>
      <w:pPr>
        <w:jc w:val="both"/>
        <w:ind w:firstLine="509"/>
        <w:spacing w:after="0" w:line="303" w:lineRule="auto"/>
        <w:rPr>
          <w:sz w:val="20"/>
          <w:szCs w:val="20"/>
          <w:color w:val="auto"/>
        </w:rPr>
      </w:pPr>
      <w:r>
        <w:rPr>
          <w:rFonts w:ascii="MS PGothic" w:cs="MS PGothic" w:eastAsia="MS PGothic" w:hAnsi="MS PGothic"/>
          <w:sz w:val="18"/>
          <w:szCs w:val="18"/>
          <w:color w:val="auto"/>
        </w:rPr>
        <w:t>To provide investors with additonal informaton regarding our fnancial results, we have presented within this Quarterly Report Consolidated Adjusted EBITDA, Adjusted EBITDA, and Adjusted EBITDA atributable to redeemable noncontrolling interest, each of which is a non‑GAAP fnancial measure. These non‑GAAP fnancial measures are not based on any standardized methodology prescribed by GAAP, and are not necessarily comparable to any similarly ttled measures presented by other companies.</w:t>
      </w:r>
    </w:p>
    <w:p>
      <w:pPr>
        <w:spacing w:after="0" w:line="171" w:lineRule="exact"/>
        <w:rPr>
          <w:sz w:val="20"/>
          <w:szCs w:val="20"/>
          <w:color w:val="auto"/>
        </w:rPr>
      </w:pPr>
    </w:p>
    <w:p>
      <w:pPr>
        <w:jc w:val="both"/>
        <w:ind w:firstLine="509"/>
        <w:spacing w:after="0" w:line="334" w:lineRule="auto"/>
        <w:rPr>
          <w:sz w:val="20"/>
          <w:szCs w:val="20"/>
          <w:color w:val="auto"/>
        </w:rPr>
      </w:pPr>
      <w:r>
        <w:rPr>
          <w:rFonts w:ascii="MS PGothic" w:cs="MS PGothic" w:eastAsia="MS PGothic" w:hAnsi="MS PGothic"/>
          <w:sz w:val="18"/>
          <w:szCs w:val="18"/>
          <w:color w:val="auto"/>
        </w:rPr>
        <w:t>We defne Consolidated Adjusted EBITDA as consolidated net income, adjusted to exclude: depreciaton and amortzaton, impairment of long-lived assets, stock‑based compensaton expense, transacton-related expenses, other income, net, and provision for income taxes.</w:t>
      </w:r>
    </w:p>
    <w:p>
      <w:pPr>
        <w:spacing w:after="0" w:line="147" w:lineRule="exact"/>
        <w:rPr>
          <w:sz w:val="20"/>
          <w:szCs w:val="20"/>
          <w:color w:val="auto"/>
        </w:rPr>
      </w:pPr>
    </w:p>
    <w:p>
      <w:pPr>
        <w:ind w:left="520"/>
        <w:spacing w:after="0"/>
        <w:rPr>
          <w:sz w:val="20"/>
          <w:szCs w:val="20"/>
          <w:color w:val="auto"/>
        </w:rPr>
      </w:pPr>
      <w:r>
        <w:rPr>
          <w:rFonts w:ascii="MS PGothic" w:cs="MS PGothic" w:eastAsia="MS PGothic" w:hAnsi="MS PGothic"/>
          <w:sz w:val="17"/>
          <w:szCs w:val="17"/>
          <w:color w:val="auto"/>
        </w:rPr>
        <w:t>We defne Adjusted EBITDA as Consolidated Adjusted EBITDA adjusted to exclude: Adjusted EBITDA atributable to redeemable noncontrolling interest.</w:t>
      </w:r>
    </w:p>
    <w:p>
      <w:pPr>
        <w:spacing w:after="0" w:line="262" w:lineRule="exact"/>
        <w:rPr>
          <w:sz w:val="20"/>
          <w:szCs w:val="20"/>
          <w:color w:val="auto"/>
        </w:rPr>
      </w:pPr>
    </w:p>
    <w:p>
      <w:pPr>
        <w:jc w:val="both"/>
        <w:ind w:firstLine="509"/>
        <w:spacing w:after="0" w:line="312" w:lineRule="auto"/>
        <w:rPr>
          <w:sz w:val="20"/>
          <w:szCs w:val="20"/>
          <w:color w:val="auto"/>
        </w:rPr>
      </w:pPr>
      <w:r>
        <w:rPr>
          <w:rFonts w:ascii="MS PGothic" w:cs="MS PGothic" w:eastAsia="MS PGothic" w:hAnsi="MS PGothic"/>
          <w:sz w:val="17"/>
          <w:szCs w:val="17"/>
          <w:color w:val="auto"/>
        </w:rPr>
        <w:t>We defne Adjusted EBITDA atributable to redeemable noncontrolling interest as net loss atributable to redeemable noncontrolling interest, adjusted to exclude: depreciaton and amortzaton, impairment of long-lived assets, stock‑based compensaton expense, other expense, net, and provision for income taxes. These exclusions are adjusted for redeemable noncontrolling interest of 38% by taking the noncontrolling interest's full fnancial results and multplying each line item in the reconciliaton by 38%. We note that we use 38%, versus 49%, to allocate the share of loss because it represents the porton atributable to the redeemable noncontrolling interest. The 38% is exclusive of CO Incentve Units, Subject Units, and 2021 Incentve Units (as each term is defned in Note 2 to our consolidated fnancial statements contained within our Annual Report), which are liability-classifed awards that do not partcipate in the share of loss. Adjusted EBITDA atributable to redeemable noncontrolling interest is refectve of our acquisiton of the remaining minority equity interests in CarOfer completed on December 1, 2023, or the 2023 CarOfer Transacton. Following the 2023 CarOfer Transacton there was no redeemable noncontrolling interest as of December 1, 2023, and as a result, Consolidated Adjusted EBITDA is equivalent to Adjusted EBITDA for the three months ended March 31, 2024.</w:t>
      </w:r>
    </w:p>
    <w:p>
      <w:pPr>
        <w:spacing w:after="0" w:line="171" w:lineRule="exact"/>
        <w:rPr>
          <w:sz w:val="20"/>
          <w:szCs w:val="20"/>
          <w:color w:val="auto"/>
        </w:rPr>
      </w:pPr>
    </w:p>
    <w:p>
      <w:pPr>
        <w:jc w:val="both"/>
        <w:ind w:firstLine="509"/>
        <w:spacing w:after="0" w:line="295" w:lineRule="auto"/>
        <w:rPr>
          <w:sz w:val="20"/>
          <w:szCs w:val="20"/>
          <w:color w:val="auto"/>
        </w:rPr>
      </w:pPr>
      <w:r>
        <w:rPr>
          <w:rFonts w:ascii="MS PGothic" w:cs="MS PGothic" w:eastAsia="MS PGothic" w:hAnsi="MS PGothic"/>
          <w:sz w:val="18"/>
          <w:szCs w:val="18"/>
          <w:color w:val="auto"/>
        </w:rPr>
        <w:t>We have presented Consolidated Adjusted EBITDA and Adjusted EBITDA within this Quarterly Report because they are key measures used by our management and Board of Directors to understand and evaluate our operatng performance, generate future operatng plans, and make strategic decisions regarding the allocaton of capital. In partcular, we believe that the exclusion of certain items in calculatng Consolidated Adjusted EBITDA and Adjusted EBITDA can produce a useful measure for period‑to‑period comparisons of our business. We have presented Adjusted EBITDA atributable to redeemable noncontrolling interest because it is used by our management to reconcile Consolidated Adjusted EBITDA to Adjusted EBITDA. It represents the porton of Consolidated Adjusted EBITDA that is atributable to our redeemable noncontrolling interest. Adjusted EBITDA atributable to redeemable noncontrolling interest is not intended to be reviewed on its own.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7" w:name="page28"/>
    <w:bookmarkEnd w:id="27"/>
    <w:p>
      <w:pPr>
        <w:jc w:val="both"/>
        <w:ind w:firstLine="509"/>
        <w:spacing w:after="0" w:line="315" w:lineRule="auto"/>
        <w:rPr>
          <w:sz w:val="20"/>
          <w:szCs w:val="20"/>
          <w:color w:val="auto"/>
        </w:rPr>
      </w:pPr>
      <w:r>
        <w:rPr>
          <w:rFonts w:ascii="MS PGothic" w:cs="MS PGothic" w:eastAsia="MS PGothic" w:hAnsi="MS PGothic"/>
          <w:sz w:val="17"/>
          <w:szCs w:val="17"/>
          <w:color w:val="auto"/>
        </w:rPr>
        <w:t>We use Consolidated Adjusted EBITDA and Adjusted EBITDA to evaluate our operatng performance and trends and make planning decisions. We believe Consolidated Adjusted EBITDA and Adjusted EBITDA help identfy underlying trends in our business that could otherwise be masked by the efect of the expenses that we exclude. Accordingly, we believe that Consolidated Adjusted EBITDA and Adjusted EBITDA provide useful informaton to investors and others in understanding and evaluatng our operatng results, enhancing the overall understanding of our past performance and future prospects, and allowing for greater transparency with respect to key fnancial metrics used by our management in its fnancial and operatonal decision‑making. We use Adjusted EBITDA atributable to redeemable noncontrolling interest to reconcile Consolidated Adjusted EBITDA to Adjusted EBITDA. It enables an investor to gain a clearer understanding of the porton of Consolidated Adjusted EBITDA that is atributable to our redeemable noncontrolling interest.</w:t>
      </w:r>
    </w:p>
    <w:p>
      <w:pPr>
        <w:spacing w:after="0" w:line="166" w:lineRule="exact"/>
        <w:rPr>
          <w:sz w:val="20"/>
          <w:szCs w:val="20"/>
          <w:color w:val="auto"/>
        </w:rPr>
      </w:pPr>
    </w:p>
    <w:p>
      <w:pPr>
        <w:jc w:val="both"/>
        <w:ind w:firstLine="509"/>
        <w:spacing w:after="0" w:line="299" w:lineRule="auto"/>
        <w:rPr>
          <w:sz w:val="20"/>
          <w:szCs w:val="20"/>
          <w:color w:val="auto"/>
        </w:rPr>
      </w:pPr>
      <w:r>
        <w:rPr>
          <w:rFonts w:ascii="MS PGothic" w:cs="MS PGothic" w:eastAsia="MS PGothic" w:hAnsi="MS PGothic"/>
          <w:sz w:val="18"/>
          <w:szCs w:val="18"/>
          <w:color w:val="auto"/>
        </w:rPr>
        <w:t>Our Consolidated Adjusted EBITDA, Adjusted EBITDA, and Adjusted EBITDA atributable to redeemable noncontrolling interest are not prepared in accordance with GAAP, and should not be considered in isolaton of, or as an alternatve to, measures prepared in accordance with GAAP. There are a number of limitatons related to the use of Consolidated Adjusted EBITDA, Adjusted EBITDA, and Adjusted EBITDA atributable to redeemable noncontrolling interest rather than consolidated net income and net loss atributable to redeemable noncontrolling interest, respectvely, which are the most directly comparable GAAP equivalents. Some of these limitatons are:</w:t>
      </w:r>
    </w:p>
    <w:p>
      <w:pPr>
        <w:spacing w:after="0" w:line="188" w:lineRule="exact"/>
        <w:rPr>
          <w:sz w:val="20"/>
          <w:szCs w:val="20"/>
          <w:color w:val="auto"/>
        </w:rPr>
      </w:pPr>
    </w:p>
    <w:p>
      <w:pPr>
        <w:ind w:left="900" w:hanging="383"/>
        <w:spacing w:after="0" w:line="332" w:lineRule="auto"/>
        <w:tabs>
          <w:tab w:leader="none" w:pos="900" w:val="left"/>
        </w:tabs>
        <w:numPr>
          <w:ilvl w:val="0"/>
          <w:numId w:val="6"/>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Consolidated Adjusted EBITDA, Adjusted EBITDA, and Adjusted EBITDA atributable to redeemable noncontrolling interest exclude depreciaton and amortzaton expense and, although these are non‑cash expenses, the assets being depreciated may have to be replaced in the future;</w:t>
      </w:r>
    </w:p>
    <w:p>
      <w:pPr>
        <w:spacing w:after="0" w:line="155" w:lineRule="exact"/>
        <w:rPr>
          <w:rFonts w:ascii="Times New Roman" w:cs="Times New Roman" w:eastAsia="Times New Roman" w:hAnsi="Times New Roman"/>
          <w:sz w:val="17"/>
          <w:szCs w:val="17"/>
          <w:color w:val="auto"/>
        </w:rPr>
      </w:pPr>
    </w:p>
    <w:p>
      <w:pPr>
        <w:ind w:left="900" w:hanging="383"/>
        <w:spacing w:after="0" w:line="332" w:lineRule="auto"/>
        <w:tabs>
          <w:tab w:leader="none" w:pos="900" w:val="left"/>
        </w:tabs>
        <w:numPr>
          <w:ilvl w:val="0"/>
          <w:numId w:val="6"/>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Consolidated Adjusted EBITDA, Adjusted EBITDA, and Adjusted EBITDA atributable to redeemable noncontrolling interest exclude impairment of long-lived assets and, although these are non-cash adjustments, the assets being impaired may have to be replaced in the future;</w:t>
      </w:r>
    </w:p>
    <w:p>
      <w:pPr>
        <w:spacing w:after="0" w:line="155" w:lineRule="exact"/>
        <w:rPr>
          <w:rFonts w:ascii="Times New Roman" w:cs="Times New Roman" w:eastAsia="Times New Roman" w:hAnsi="Times New Roman"/>
          <w:sz w:val="17"/>
          <w:szCs w:val="17"/>
          <w:color w:val="auto"/>
        </w:rPr>
      </w:pPr>
    </w:p>
    <w:p>
      <w:pPr>
        <w:jc w:val="both"/>
        <w:ind w:left="900" w:hanging="383"/>
        <w:spacing w:after="0" w:line="289" w:lineRule="auto"/>
        <w:tabs>
          <w:tab w:leader="none" w:pos="9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Consolidated Adjusted EBITDA, Adjusted EBITDA, and Adjusted EBITDA atributable to redeemable noncontrolling interest exclude stock‑based compensaton expense, which will be, for the foreseeable future, a signifcant recurring expense for our business and an important part of our compensaton strategy;</w:t>
      </w:r>
    </w:p>
    <w:p>
      <w:pPr>
        <w:spacing w:after="0" w:line="194" w:lineRule="exact"/>
        <w:rPr>
          <w:rFonts w:ascii="Times New Roman" w:cs="Times New Roman" w:eastAsia="Times New Roman" w:hAnsi="Times New Roman"/>
          <w:sz w:val="18"/>
          <w:szCs w:val="18"/>
          <w:color w:val="auto"/>
        </w:rPr>
      </w:pPr>
    </w:p>
    <w:p>
      <w:pPr>
        <w:jc w:val="both"/>
        <w:ind w:left="900" w:hanging="383"/>
        <w:spacing w:after="0" w:line="289" w:lineRule="auto"/>
        <w:tabs>
          <w:tab w:leader="none" w:pos="9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Consolidated Adjusted EBITDA and Adjusted EBITDA exclude transacton-related expenses incurred by us during a reportng period, which are inclusive of certain transacton and integraton costs associated with the 2023 CarOfer Transacton and which may not be refectve of our operatonal performance during such period, for acquisitons that have been completed as of the fling date of our annual or quarterly report (as applicable) relatng to such period;</w:t>
      </w:r>
    </w:p>
    <w:p>
      <w:pPr>
        <w:spacing w:after="0" w:line="194" w:lineRule="exact"/>
        <w:rPr>
          <w:rFonts w:ascii="Times New Roman" w:cs="Times New Roman" w:eastAsia="Times New Roman" w:hAnsi="Times New Roman"/>
          <w:sz w:val="18"/>
          <w:szCs w:val="18"/>
          <w:color w:val="auto"/>
        </w:rPr>
      </w:pPr>
    </w:p>
    <w:p>
      <w:pPr>
        <w:jc w:val="both"/>
        <w:ind w:left="900" w:hanging="383"/>
        <w:spacing w:after="0" w:line="289" w:lineRule="auto"/>
        <w:tabs>
          <w:tab w:leader="none" w:pos="9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Consolidated Adjusted EBITDA, Adjusted EBITDA, and Adjusted EBITDA atributable to redeemable noncontrolling interest exclude other income, net, which consists primarily of interest income earned on our cash, cash equivalents, and short-term investments, and foreign exchange gains and losses;</w:t>
      </w:r>
    </w:p>
    <w:p>
      <w:pPr>
        <w:spacing w:after="0" w:line="194" w:lineRule="exact"/>
        <w:rPr>
          <w:rFonts w:ascii="Times New Roman" w:cs="Times New Roman" w:eastAsia="Times New Roman" w:hAnsi="Times New Roman"/>
          <w:sz w:val="18"/>
          <w:szCs w:val="18"/>
          <w:color w:val="auto"/>
        </w:rPr>
      </w:pPr>
    </w:p>
    <w:p>
      <w:pPr>
        <w:ind w:left="900" w:hanging="383"/>
        <w:spacing w:after="0" w:line="298" w:lineRule="auto"/>
        <w:tabs>
          <w:tab w:leader="none" w:pos="9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Consolidated Adjusted EBITDA, Adjusted EBITDA, and Adjusted EBITDA atributable to redeemable noncontrolling interest exclude the provision for income taxes;</w:t>
      </w:r>
    </w:p>
    <w:p>
      <w:pPr>
        <w:spacing w:after="0" w:line="180" w:lineRule="exact"/>
        <w:rPr>
          <w:rFonts w:ascii="Times New Roman" w:cs="Times New Roman" w:eastAsia="Times New Roman" w:hAnsi="Times New Roman"/>
          <w:sz w:val="18"/>
          <w:szCs w:val="18"/>
          <w:color w:val="auto"/>
        </w:rPr>
      </w:pPr>
    </w:p>
    <w:p>
      <w:pPr>
        <w:ind w:left="900" w:hanging="383"/>
        <w:spacing w:after="0" w:line="332" w:lineRule="auto"/>
        <w:tabs>
          <w:tab w:leader="none" w:pos="900" w:val="left"/>
        </w:tabs>
        <w:numPr>
          <w:ilvl w:val="0"/>
          <w:numId w:val="6"/>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Adjusted EBITDA excludes Adjusted EBITDA atributable to redeemable noncontrolling interest, which is calculated as the net loss atributable to redeemable noncontrolling interest, adjusted for all exclusions used to calculate Consolidated Adjusted EBITDA as described above; and</w:t>
      </w:r>
    </w:p>
    <w:p>
      <w:pPr>
        <w:spacing w:after="0" w:line="155" w:lineRule="exact"/>
        <w:rPr>
          <w:rFonts w:ascii="Times New Roman" w:cs="Times New Roman" w:eastAsia="Times New Roman" w:hAnsi="Times New Roman"/>
          <w:sz w:val="17"/>
          <w:szCs w:val="17"/>
          <w:color w:val="auto"/>
        </w:rPr>
      </w:pPr>
    </w:p>
    <w:p>
      <w:pPr>
        <w:ind w:left="900" w:hanging="383"/>
        <w:spacing w:after="0" w:line="298" w:lineRule="auto"/>
        <w:tabs>
          <w:tab w:leader="none" w:pos="9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other companies, including companies in our industry, may calculate Consolidated Adjusted EBITDA, Adjusted EBITDA, and Adjusted EBITDA atributable to redeemable noncontrolling interest diferently, which reduces their usefulness as a comparatve measure.</w:t>
      </w:r>
    </w:p>
    <w:p>
      <w:pPr>
        <w:spacing w:after="0" w:line="167" w:lineRule="exact"/>
        <w:rPr>
          <w:sz w:val="20"/>
          <w:szCs w:val="20"/>
          <w:color w:val="auto"/>
        </w:rPr>
      </w:pPr>
    </w:p>
    <w:p>
      <w:pPr>
        <w:ind w:firstLine="509"/>
        <w:spacing w:after="0" w:line="368" w:lineRule="auto"/>
        <w:rPr>
          <w:sz w:val="20"/>
          <w:szCs w:val="20"/>
          <w:color w:val="auto"/>
        </w:rPr>
      </w:pPr>
      <w:r>
        <w:rPr>
          <w:rFonts w:ascii="MS PGothic" w:cs="MS PGothic" w:eastAsia="MS PGothic" w:hAnsi="MS PGothic"/>
          <w:sz w:val="17"/>
          <w:szCs w:val="17"/>
          <w:color w:val="auto"/>
        </w:rPr>
        <w:t>Because of these limitatons, we consider, and you should consider, Consolidated Adjusted EBITDA, Adjusted EBITDA, and Adjusted EBITDA atributable to redeemable noncontrolling interest together with other operatng and fnancial performance measures presented in accordance with GAAP.</w:t>
      </w:r>
    </w:p>
    <w:p>
      <w:pPr>
        <w:spacing w:after="0" w:line="127" w:lineRule="exact"/>
        <w:rPr>
          <w:sz w:val="20"/>
          <w:szCs w:val="20"/>
          <w:color w:val="auto"/>
        </w:rPr>
      </w:pPr>
    </w:p>
    <w:p>
      <w:pPr>
        <w:ind w:firstLine="509"/>
        <w:spacing w:after="0" w:line="368" w:lineRule="auto"/>
        <w:rPr>
          <w:sz w:val="20"/>
          <w:szCs w:val="20"/>
          <w:color w:val="auto"/>
        </w:rPr>
      </w:pPr>
      <w:r>
        <w:rPr>
          <w:rFonts w:ascii="MS PGothic" w:cs="MS PGothic" w:eastAsia="MS PGothic" w:hAnsi="MS PGothic"/>
          <w:sz w:val="17"/>
          <w:szCs w:val="17"/>
          <w:color w:val="auto"/>
        </w:rPr>
        <w:t>For the three months ended March 31, 2024 and 2023, the following table presents a reconciliaton of Consolidated Adjusted EBITDA and Adjusted EBITDA to consolidated net income, the most directly comparable measure calculated in accordance with GAAP for each of the periods presented.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tbl>
      <w:tblPr>
        <w:tblLayout w:type="fixed"/>
        <w:tblInd w:w="58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3"/>
          </w:tcPr>
          <w:p>
            <w:pPr>
              <w:jc w:val="center"/>
              <w:ind w:left="375"/>
              <w:spacing w:after="0"/>
              <w:rPr>
                <w:sz w:val="20"/>
                <w:szCs w:val="20"/>
                <w:color w:val="auto"/>
              </w:rPr>
            </w:pPr>
            <w:r>
              <w:rPr>
                <w:rFonts w:ascii="Calibri" w:cs="Calibri" w:eastAsia="Calibri" w:hAnsi="Calibri"/>
                <w:sz w:val="14"/>
                <w:szCs w:val="14"/>
                <w:b w:val="1"/>
                <w:bCs w:val="1"/>
                <w:color w:val="auto"/>
              </w:rPr>
              <w:t>Three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center"/>
              <w:ind w:left="415"/>
              <w:spacing w:after="0"/>
              <w:rPr>
                <w:sz w:val="20"/>
                <w:szCs w:val="20"/>
                <w:color w:val="auto"/>
              </w:rPr>
            </w:pPr>
            <w:r>
              <w:rPr>
                <w:rFonts w:ascii="Calibri" w:cs="Calibri" w:eastAsia="Calibri" w:hAnsi="Calibri"/>
                <w:sz w:val="14"/>
                <w:szCs w:val="14"/>
                <w:b w:val="1"/>
                <w:bCs w:val="1"/>
                <w:color w:val="auto"/>
              </w:rPr>
              <w:t>March 31,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7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395"/>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392"/>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4"/>
                <w:szCs w:val="14"/>
                <w:color w:val="auto"/>
              </w:rPr>
            </w:pPr>
          </w:p>
        </w:tc>
      </w:tr>
      <w:tr>
        <w:trPr>
          <w:trHeight w:val="33"/>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3"/>
          </w:tcPr>
          <w:p>
            <w:pPr>
              <w:jc w:val="center"/>
              <w:ind w:left="395"/>
              <w:spacing w:after="0"/>
              <w:rPr>
                <w:sz w:val="20"/>
                <w:szCs w:val="20"/>
                <w:color w:val="auto"/>
              </w:rPr>
            </w:pPr>
            <w:r>
              <w:rPr>
                <w:rFonts w:ascii="Calibri" w:cs="Calibri" w:eastAsia="Calibri" w:hAnsi="Calibri"/>
                <w:sz w:val="14"/>
                <w:szCs w:val="14"/>
                <w:b w:val="1"/>
                <w:bCs w:val="1"/>
                <w:color w:val="auto"/>
              </w:rPr>
              <w:t>(in thousands)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3"/>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2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Reconciliaton of Consolidated Adjusted EBITDA and Adjusted EBITDA:</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240" w:type="dxa"/>
            <w:vAlign w:val="bottom"/>
          </w:tcPr>
          <w:p>
            <w:pPr>
              <w:spacing w:after="0"/>
              <w:rPr>
                <w:sz w:val="20"/>
                <w:szCs w:val="20"/>
                <w:color w:val="auto"/>
              </w:rPr>
            </w:pPr>
            <w:r>
              <w:rPr>
                <w:rFonts w:ascii="MS PGothic" w:cs="MS PGothic" w:eastAsia="MS PGothic" w:hAnsi="MS PGothic"/>
                <w:sz w:val="18"/>
                <w:szCs w:val="18"/>
                <w:color w:val="auto"/>
              </w:rPr>
              <w:t>Consolidated net income</w:t>
            </w:r>
          </w:p>
        </w:tc>
        <w:tc>
          <w:tcPr>
            <w:tcW w:w="280" w:type="dxa"/>
            <w:vAlign w:val="bottom"/>
          </w:tcPr>
          <w:p>
            <w:pPr>
              <w:jc w:val="right"/>
              <w:ind w:right="90"/>
              <w:spacing w:after="0"/>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right"/>
              <w:spacing w:after="0"/>
              <w:rPr>
                <w:sz w:val="20"/>
                <w:szCs w:val="20"/>
                <w:color w:val="auto"/>
              </w:rPr>
            </w:pPr>
            <w:r>
              <w:rPr>
                <w:rFonts w:ascii="MS PGothic" w:cs="MS PGothic" w:eastAsia="MS PGothic" w:hAnsi="MS PGothic"/>
                <w:sz w:val="18"/>
                <w:szCs w:val="18"/>
                <w:color w:val="auto"/>
              </w:rPr>
              <w:t>21,301</w:t>
            </w:r>
          </w:p>
        </w:tc>
        <w:tc>
          <w:tcPr>
            <w:tcW w:w="2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right"/>
              <w:spacing w:after="0"/>
              <w:rPr>
                <w:sz w:val="20"/>
                <w:szCs w:val="20"/>
                <w:color w:val="auto"/>
              </w:rPr>
            </w:pPr>
            <w:r>
              <w:rPr>
                <w:rFonts w:ascii="MS PGothic" w:cs="MS PGothic" w:eastAsia="MS PGothic" w:hAnsi="MS PGothic"/>
                <w:sz w:val="18"/>
                <w:szCs w:val="18"/>
                <w:color w:val="auto"/>
              </w:rPr>
              <w:t>11,866</w:t>
            </w:r>
          </w:p>
        </w:tc>
        <w:tc>
          <w:tcPr>
            <w:tcW w:w="100" w:type="dxa"/>
            <w:vAlign w:val="bottom"/>
          </w:tcPr>
          <w:p>
            <w:pPr>
              <w:spacing w:after="0"/>
              <w:rPr>
                <w:sz w:val="18"/>
                <w:szCs w:val="18"/>
                <w:color w:val="auto"/>
              </w:rPr>
            </w:pPr>
          </w:p>
        </w:tc>
      </w:tr>
      <w:tr>
        <w:trPr>
          <w:trHeight w:val="28"/>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24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8"/>
                <w:szCs w:val="18"/>
                <w:color w:val="auto"/>
              </w:rPr>
              <w:t>Depreciaton and amortzaton</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7,481</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11,576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240" w:type="dxa"/>
            <w:vAlign w:val="bottom"/>
          </w:tcPr>
          <w:p>
            <w:pPr>
              <w:spacing w:after="0"/>
              <w:rPr>
                <w:sz w:val="20"/>
                <w:szCs w:val="20"/>
                <w:color w:val="auto"/>
              </w:rPr>
            </w:pPr>
            <w:r>
              <w:rPr>
                <w:rFonts w:ascii="MS PGothic" w:cs="MS PGothic" w:eastAsia="MS PGothic" w:hAnsi="MS PGothic"/>
                <w:sz w:val="18"/>
                <w:szCs w:val="18"/>
                <w:color w:val="auto"/>
              </w:rPr>
              <w:t>Impairment of long-lived assets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MS PGothic" w:cs="MS PGothic" w:eastAsia="MS PGothic" w:hAnsi="MS PGothic"/>
                <w:sz w:val="18"/>
                <w:szCs w:val="18"/>
                <w:color w:val="auto"/>
              </w:rPr>
              <w:t>175</w:t>
            </w:r>
          </w:p>
        </w:tc>
        <w:tc>
          <w:tcPr>
            <w:tcW w:w="100" w:type="dxa"/>
            <w:vAlign w:val="bottom"/>
          </w:tcPr>
          <w:p>
            <w:pPr>
              <w:spacing w:after="0"/>
              <w:rPr>
                <w:sz w:val="18"/>
                <w:szCs w:val="18"/>
                <w:color w:val="auto"/>
              </w:rPr>
            </w:pPr>
          </w:p>
        </w:tc>
      </w:tr>
      <w:tr>
        <w:trPr>
          <w:trHeight w:val="28"/>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24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8"/>
                <w:szCs w:val="18"/>
                <w:color w:val="auto"/>
              </w:rPr>
              <w:t>Stock-based compensaton expense</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15,822</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14,977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240" w:type="dxa"/>
            <w:vAlign w:val="bottom"/>
          </w:tcPr>
          <w:p>
            <w:pPr>
              <w:spacing w:after="0"/>
              <w:rPr>
                <w:sz w:val="20"/>
                <w:szCs w:val="20"/>
                <w:color w:val="auto"/>
              </w:rPr>
            </w:pPr>
            <w:r>
              <w:rPr>
                <w:rFonts w:ascii="MS PGothic" w:cs="MS PGothic" w:eastAsia="MS PGothic" w:hAnsi="MS PGothic"/>
                <w:sz w:val="18"/>
                <w:szCs w:val="18"/>
                <w:color w:val="auto"/>
              </w:rPr>
              <w:t>Transacton-related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MS PGothic" w:cs="MS PGothic" w:eastAsia="MS PGothic" w:hAnsi="MS PGothic"/>
                <w:sz w:val="18"/>
                <w:szCs w:val="18"/>
                <w:color w:val="auto"/>
              </w:rPr>
              <w:t>811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MS PGothic" w:cs="MS PGothic" w:eastAsia="MS PGothic" w:hAnsi="MS PGothic"/>
                <w:sz w:val="18"/>
                <w:szCs w:val="18"/>
                <w:color w:val="auto"/>
              </w:rPr>
              <w:t>—</w:t>
            </w:r>
          </w:p>
        </w:tc>
      </w:tr>
      <w:tr>
        <w:trPr>
          <w:trHeight w:val="28"/>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24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8"/>
                <w:szCs w:val="18"/>
                <w:color w:val="auto"/>
              </w:rPr>
              <w:t>Other income, net</w:t>
            </w:r>
          </w:p>
        </w:tc>
        <w:tc>
          <w:tcPr>
            <w:tcW w:w="2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MS PGothic" w:cs="MS PGothic" w:eastAsia="MS PGothic" w:hAnsi="MS PGothic"/>
                <w:sz w:val="18"/>
                <w:szCs w:val="18"/>
                <w:color w:val="auto"/>
              </w:rPr>
              <w:t>(3,401 )</w:t>
            </w:r>
          </w:p>
        </w:tc>
        <w:tc>
          <w:tcPr>
            <w:tcW w:w="4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MS PGothic" w:cs="MS PGothic" w:eastAsia="MS PGothic" w:hAnsi="MS PGothic"/>
                <w:sz w:val="18"/>
                <w:szCs w:val="18"/>
                <w:color w:val="auto"/>
              </w:rPr>
              <w:t>(4,338 )</w:t>
            </w:r>
          </w:p>
        </w:tc>
      </w:tr>
      <w:tr>
        <w:trPr>
          <w:trHeight w:val="215"/>
        </w:trPr>
        <w:tc>
          <w:tcPr>
            <w:tcW w:w="7240" w:type="dxa"/>
            <w:vAlign w:val="bottom"/>
          </w:tcPr>
          <w:p>
            <w:pPr>
              <w:spacing w:after="0"/>
              <w:rPr>
                <w:sz w:val="20"/>
                <w:szCs w:val="20"/>
                <w:color w:val="auto"/>
              </w:rPr>
            </w:pPr>
            <w:r>
              <w:rPr>
                <w:rFonts w:ascii="MS PGothic" w:cs="MS PGothic" w:eastAsia="MS PGothic" w:hAnsi="MS PGothic"/>
                <w:sz w:val="18"/>
                <w:szCs w:val="18"/>
                <w:color w:val="auto"/>
              </w:rPr>
              <w:t>Provision for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MS PGothic" w:cs="MS PGothic" w:eastAsia="MS PGothic" w:hAnsi="MS PGothic"/>
                <w:sz w:val="18"/>
                <w:szCs w:val="18"/>
                <w:color w:val="auto"/>
              </w:rPr>
              <w:t>8,384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MS PGothic" w:cs="MS PGothic" w:eastAsia="MS PGothic" w:hAnsi="MS PGothic"/>
                <w:sz w:val="18"/>
                <w:szCs w:val="18"/>
                <w:color w:val="auto"/>
              </w:rPr>
              <w:t>6,531</w:t>
            </w:r>
          </w:p>
        </w:tc>
        <w:tc>
          <w:tcPr>
            <w:tcW w:w="100" w:type="dxa"/>
            <w:vAlign w:val="bottom"/>
          </w:tcPr>
          <w:p>
            <w:pPr>
              <w:spacing w:after="0"/>
              <w:rPr>
                <w:sz w:val="18"/>
                <w:szCs w:val="18"/>
                <w:color w:val="auto"/>
              </w:rPr>
            </w:pPr>
          </w:p>
        </w:tc>
      </w:tr>
      <w:tr>
        <w:trPr>
          <w:trHeight w:val="28"/>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24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8"/>
                <w:szCs w:val="18"/>
                <w:color w:val="auto"/>
              </w:rPr>
              <w:t>Consolidated Adjusted EBITDA</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50,398</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40,787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240" w:type="dxa"/>
            <w:vAlign w:val="bottom"/>
          </w:tcPr>
          <w:p>
            <w:pPr>
              <w:spacing w:after="0"/>
              <w:rPr>
                <w:sz w:val="20"/>
                <w:szCs w:val="20"/>
                <w:color w:val="auto"/>
              </w:rPr>
            </w:pPr>
            <w:r>
              <w:rPr>
                <w:rFonts w:ascii="MS PGothic" w:cs="MS PGothic" w:eastAsia="MS PGothic" w:hAnsi="MS PGothic"/>
                <w:sz w:val="18"/>
                <w:szCs w:val="18"/>
                <w:color w:val="auto"/>
              </w:rPr>
              <w:t>Adjusted EBITDA atributable to redeemable noncontrolling interest</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MS PGothic" w:cs="MS PGothic" w:eastAsia="MS PGothic" w:hAnsi="MS PGothic"/>
                <w:sz w:val="18"/>
                <w:szCs w:val="18"/>
                <w:color w:val="auto"/>
              </w:rPr>
              <w:t>(677 )</w:t>
            </w:r>
          </w:p>
        </w:tc>
      </w:tr>
      <w:tr>
        <w:trPr>
          <w:trHeight w:val="28"/>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2"/>
        </w:trPr>
        <w:tc>
          <w:tcPr>
            <w:tcW w:w="724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8"/>
                <w:szCs w:val="18"/>
                <w:color w:val="auto"/>
              </w:rPr>
              <w:t>Adjusted EBITDA</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MS PGothic" w:cs="MS PGothic" w:eastAsia="MS PGothic" w:hAnsi="MS PGothic"/>
                <w:sz w:val="18"/>
                <w:szCs w:val="18"/>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50,398</w:t>
            </w:r>
          </w:p>
        </w:tc>
        <w:tc>
          <w:tcPr>
            <w:tcW w:w="2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jc w:val="right"/>
              <w:ind w:right="270"/>
              <w:spacing w:after="0"/>
              <w:rPr>
                <w:sz w:val="20"/>
                <w:szCs w:val="20"/>
                <w:color w:val="auto"/>
              </w:rPr>
            </w:pPr>
            <w:r>
              <w:rPr>
                <w:rFonts w:ascii="MS PGothic" w:cs="MS PGothic" w:eastAsia="MS PGothic" w:hAnsi="MS PGothic"/>
                <w:sz w:val="18"/>
                <w:szCs w:val="18"/>
                <w:color w:val="auto"/>
                <w:w w:val="88"/>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41,464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7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-25400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jc w:val="both"/>
        <w:ind w:firstLine="509"/>
        <w:spacing w:after="0" w:line="311" w:lineRule="auto"/>
        <w:rPr>
          <w:sz w:val="20"/>
          <w:szCs w:val="20"/>
          <w:color w:val="auto"/>
        </w:rPr>
      </w:pPr>
      <w:r>
        <w:rPr>
          <w:rFonts w:ascii="MS PGothic" w:cs="MS PGothic" w:eastAsia="MS PGothic" w:hAnsi="MS PGothic"/>
          <w:sz w:val="18"/>
          <w:szCs w:val="18"/>
          <w:color w:val="auto"/>
        </w:rPr>
        <w:t>For the three months ended March 31, 2024 and 2023, the following table presents a reconciliaton of Adjusted EBITDA atributable to redeemable noncontrolling interest to net loss atributable to redeemable noncontrolling interest, the most directly comparable measure calculated in accordance with GAAP, for each of the periods presented.</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ind w:left="480"/>
              <w:spacing w:after="0"/>
              <w:rPr>
                <w:sz w:val="20"/>
                <w:szCs w:val="20"/>
                <w:color w:val="auto"/>
              </w:rPr>
            </w:pPr>
            <w:r>
              <w:rPr>
                <w:rFonts w:ascii="Calibri" w:cs="Calibri" w:eastAsia="Calibri" w:hAnsi="Calibri"/>
                <w:sz w:val="14"/>
                <w:szCs w:val="14"/>
                <w:b w:val="1"/>
                <w:bCs w:val="1"/>
                <w:color w:val="auto"/>
              </w:rPr>
              <w:t>Three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38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3"/>
          </w:tcPr>
          <w:p>
            <w:pPr>
              <w:ind w:left="820"/>
              <w:spacing w:after="0"/>
              <w:rPr>
                <w:sz w:val="20"/>
                <w:szCs w:val="20"/>
                <w:color w:val="auto"/>
              </w:rPr>
            </w:pPr>
            <w:r>
              <w:rPr>
                <w:rFonts w:ascii="Calibri" w:cs="Calibri" w:eastAsia="Calibri" w:hAnsi="Calibri"/>
                <w:sz w:val="14"/>
                <w:szCs w:val="14"/>
                <w:b w:val="1"/>
                <w:bCs w:val="1"/>
                <w:color w:val="auto"/>
              </w:rPr>
              <w:t>March 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3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3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ind w:left="200"/>
              <w:spacing w:after="0" w:line="164" w:lineRule="exact"/>
              <w:rPr>
                <w:sz w:val="20"/>
                <w:szCs w:val="20"/>
                <w:color w:val="auto"/>
              </w:rPr>
            </w:pPr>
            <w:r>
              <w:rPr>
                <w:rFonts w:ascii="Calibri" w:cs="Calibri" w:eastAsia="Calibri" w:hAnsi="Calibri"/>
                <w:sz w:val="14"/>
                <w:szCs w:val="14"/>
                <w:b w:val="1"/>
                <w:bCs w:val="1"/>
                <w:color w:val="auto"/>
              </w:rPr>
              <w:t>2024</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ind w:right="412"/>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4"/>
                <w:szCs w:val="14"/>
                <w:color w:val="auto"/>
              </w:rPr>
            </w:pPr>
          </w:p>
        </w:tc>
      </w:tr>
      <w:tr>
        <w:trPr>
          <w:trHeight w:val="33"/>
        </w:trPr>
        <w:tc>
          <w:tcPr>
            <w:tcW w:w="3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38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3"/>
          </w:tcPr>
          <w:p>
            <w:pPr>
              <w:ind w:left="680"/>
              <w:spacing w:after="0"/>
              <w:rPr>
                <w:sz w:val="20"/>
                <w:szCs w:val="20"/>
                <w:color w:val="auto"/>
              </w:rPr>
            </w:pPr>
            <w:r>
              <w:rPr>
                <w:rFonts w:ascii="Calibri" w:cs="Calibri" w:eastAsia="Calibri" w:hAnsi="Calibri"/>
                <w:sz w:val="14"/>
                <w:szCs w:val="14"/>
                <w:b w:val="1"/>
                <w:bCs w:val="1"/>
                <w:color w:val="auto"/>
              </w:rPr>
              <w:t>(in thousands)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0"/>
        </w:trPr>
        <w:tc>
          <w:tcPr>
            <w:tcW w:w="740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Reconciliaton of Adjusted EBITDA atributable to redeemable noncontrolling interest:</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
        </w:trPr>
        <w:tc>
          <w:tcPr>
            <w:tcW w:w="740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7400" w:type="dxa"/>
            <w:vAlign w:val="bottom"/>
            <w:tcBorders>
              <w:bottom w:val="single" w:sz="8" w:color="CFF0FC"/>
            </w:tcBorders>
            <w:gridSpan w:val="2"/>
            <w:shd w:val="clear" w:color="auto" w:fill="CFF0FC"/>
          </w:tcPr>
          <w:p>
            <w:pPr>
              <w:ind w:left="20"/>
              <w:spacing w:after="0"/>
              <w:rPr>
                <w:sz w:val="20"/>
                <w:szCs w:val="20"/>
                <w:color w:val="auto"/>
              </w:rPr>
            </w:pPr>
            <w:r>
              <w:rPr>
                <w:rFonts w:ascii="MS PGothic" w:cs="MS PGothic" w:eastAsia="MS PGothic" w:hAnsi="MS PGothic"/>
                <w:sz w:val="18"/>
                <w:szCs w:val="18"/>
                <w:color w:val="auto"/>
              </w:rPr>
              <w:t>Net loss atributable to redeemable noncontrolling interest</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MS PGothic" w:cs="MS PGothic" w:eastAsia="MS PGothic" w:hAnsi="MS PGothic"/>
                <w:sz w:val="18"/>
                <w:szCs w:val="18"/>
                <w:color w:val="auto"/>
                <w:w w:val="88"/>
              </w:rPr>
              <w:t>$</w:t>
            </w:r>
          </w:p>
        </w:tc>
        <w:tc>
          <w:tcPr>
            <w:tcW w:w="1000" w:type="dxa"/>
            <w:vAlign w:val="bottom"/>
            <w:tcBorders>
              <w:bottom w:val="single" w:sz="8" w:color="CFF0FC"/>
            </w:tcBorders>
            <w:shd w:val="clear" w:color="auto" w:fill="CFF0FC"/>
          </w:tcPr>
          <w:p>
            <w:pPr>
              <w:ind w:left="820"/>
              <w:spacing w:after="0"/>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CFF0FC"/>
            </w:tcBorders>
            <w:gridSpan w:val="2"/>
            <w:shd w:val="clear" w:color="auto" w:fill="CFF0FC"/>
          </w:tcPr>
          <w:p>
            <w:pPr>
              <w:jc w:val="right"/>
              <w:ind w:right="380"/>
              <w:spacing w:after="0"/>
              <w:rPr>
                <w:sz w:val="20"/>
                <w:szCs w:val="20"/>
                <w:color w:val="auto"/>
              </w:rPr>
            </w:pPr>
            <w:r>
              <w:rPr>
                <w:rFonts w:ascii="MS PGothic" w:cs="MS PGothic" w:eastAsia="MS PGothic" w:hAnsi="MS PGothic"/>
                <w:sz w:val="18"/>
                <w:szCs w:val="18"/>
                <w:color w:val="auto"/>
              </w:rPr>
              <w:t>$</w:t>
            </w:r>
          </w:p>
        </w:tc>
        <w:tc>
          <w:tcPr>
            <w:tcW w:w="9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MS PGothic" w:cs="MS PGothic" w:eastAsia="MS PGothic" w:hAnsi="MS PGothic"/>
                <w:sz w:val="18"/>
                <w:szCs w:val="18"/>
                <w:color w:val="auto"/>
              </w:rPr>
              <w:t>(4,266 )</w:t>
            </w:r>
          </w:p>
        </w:tc>
      </w:tr>
      <w:tr>
        <w:trPr>
          <w:trHeight w:val="243"/>
        </w:trPr>
        <w:tc>
          <w:tcPr>
            <w:tcW w:w="7400" w:type="dxa"/>
            <w:vAlign w:val="bottom"/>
            <w:gridSpan w:val="2"/>
          </w:tcPr>
          <w:p>
            <w:pPr>
              <w:ind w:left="20"/>
              <w:spacing w:after="0" w:line="243" w:lineRule="exact"/>
              <w:rPr>
                <w:sz w:val="20"/>
                <w:szCs w:val="20"/>
                <w:color w:val="auto"/>
              </w:rPr>
            </w:pPr>
            <w:r>
              <w:rPr>
                <w:rFonts w:ascii="MS PGothic" w:cs="MS PGothic" w:eastAsia="MS PGothic" w:hAnsi="MS PGothic"/>
                <w:sz w:val="18"/>
                <w:szCs w:val="18"/>
                <w:color w:val="auto"/>
              </w:rPr>
              <w:t xml:space="preserve">Depreciaton and amortzaton </w:t>
            </w:r>
            <w:r>
              <w:rPr>
                <w:rFonts w:ascii="Calibri" w:cs="Calibri" w:eastAsia="Calibri" w:hAnsi="Calibri"/>
                <w:sz w:val="24"/>
                <w:szCs w:val="24"/>
                <w:color w:val="auto"/>
                <w:vertAlign w:val="superscript"/>
              </w:rPr>
              <w:t>(1)</w:t>
            </w:r>
          </w:p>
        </w:tc>
        <w:tc>
          <w:tcPr>
            <w:tcW w:w="300" w:type="dxa"/>
            <w:vAlign w:val="bottom"/>
          </w:tcPr>
          <w:p>
            <w:pPr>
              <w:spacing w:after="0"/>
              <w:rPr>
                <w:sz w:val="21"/>
                <w:szCs w:val="21"/>
                <w:color w:val="auto"/>
              </w:rPr>
            </w:pPr>
          </w:p>
        </w:tc>
        <w:tc>
          <w:tcPr>
            <w:tcW w:w="1000" w:type="dxa"/>
            <w:vAlign w:val="bottom"/>
          </w:tcPr>
          <w:p>
            <w:pPr>
              <w:ind w:left="820"/>
              <w:spacing w:after="0"/>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MS PGothic" w:cs="MS PGothic" w:eastAsia="MS PGothic" w:hAnsi="MS PGothic"/>
                <w:sz w:val="18"/>
                <w:szCs w:val="18"/>
                <w:color w:val="auto"/>
              </w:rPr>
              <w:t>2,948</w:t>
            </w:r>
          </w:p>
        </w:tc>
        <w:tc>
          <w:tcPr>
            <w:tcW w:w="100" w:type="dxa"/>
            <w:vAlign w:val="bottom"/>
          </w:tcPr>
          <w:p>
            <w:pPr>
              <w:spacing w:after="0"/>
              <w:rPr>
                <w:sz w:val="21"/>
                <w:szCs w:val="21"/>
                <w:color w:val="auto"/>
              </w:rPr>
            </w:pPr>
          </w:p>
        </w:tc>
      </w:tr>
      <w:tr>
        <w:trPr>
          <w:trHeight w:val="243"/>
        </w:trPr>
        <w:tc>
          <w:tcPr>
            <w:tcW w:w="7400" w:type="dxa"/>
            <w:vAlign w:val="bottom"/>
            <w:gridSpan w:val="2"/>
            <w:shd w:val="clear" w:color="auto" w:fill="CFF0FC"/>
          </w:tcPr>
          <w:p>
            <w:pPr>
              <w:ind w:left="20"/>
              <w:spacing w:after="0" w:line="243" w:lineRule="exact"/>
              <w:rPr>
                <w:sz w:val="20"/>
                <w:szCs w:val="20"/>
                <w:color w:val="auto"/>
              </w:rPr>
            </w:pPr>
            <w:r>
              <w:rPr>
                <w:rFonts w:ascii="MS PGothic" w:cs="MS PGothic" w:eastAsia="MS PGothic" w:hAnsi="MS PGothic"/>
                <w:sz w:val="18"/>
                <w:szCs w:val="18"/>
                <w:color w:val="auto"/>
              </w:rPr>
              <w:t xml:space="preserve">Impairment of long-lived assets </w:t>
            </w:r>
            <w:r>
              <w:rPr>
                <w:rFonts w:ascii="Calibri" w:cs="Calibri" w:eastAsia="Calibri" w:hAnsi="Calibri"/>
                <w:sz w:val="24"/>
                <w:szCs w:val="24"/>
                <w:color w:val="auto"/>
                <w:vertAlign w:val="superscript"/>
              </w:rPr>
              <w:t>(1)</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ind w:left="820"/>
              <w:spacing w:after="0"/>
              <w:rPr>
                <w:sz w:val="20"/>
                <w:szCs w:val="20"/>
                <w:color w:val="auto"/>
              </w:rPr>
            </w:pPr>
            <w:r>
              <w:rPr>
                <w:rFonts w:ascii="MS PGothic" w:cs="MS PGothic" w:eastAsia="MS PGothic" w:hAnsi="MS PGothic"/>
                <w:sz w:val="18"/>
                <w:szCs w:val="18"/>
                <w:color w:val="auto"/>
              </w:rPr>
              <w:t>—</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67</w:t>
            </w:r>
          </w:p>
        </w:tc>
        <w:tc>
          <w:tcPr>
            <w:tcW w:w="100" w:type="dxa"/>
            <w:vAlign w:val="bottom"/>
            <w:shd w:val="clear" w:color="auto" w:fill="CFF0FC"/>
          </w:tcPr>
          <w:p>
            <w:pPr>
              <w:spacing w:after="0"/>
              <w:rPr>
                <w:sz w:val="21"/>
                <w:szCs w:val="21"/>
                <w:color w:val="auto"/>
              </w:rPr>
            </w:pPr>
          </w:p>
        </w:tc>
      </w:tr>
      <w:tr>
        <w:trPr>
          <w:trHeight w:val="243"/>
        </w:trPr>
        <w:tc>
          <w:tcPr>
            <w:tcW w:w="7400" w:type="dxa"/>
            <w:vAlign w:val="bottom"/>
            <w:gridSpan w:val="2"/>
          </w:tcPr>
          <w:p>
            <w:pPr>
              <w:ind w:left="20"/>
              <w:spacing w:after="0" w:line="243" w:lineRule="exact"/>
              <w:rPr>
                <w:sz w:val="20"/>
                <w:szCs w:val="20"/>
                <w:color w:val="auto"/>
              </w:rPr>
            </w:pPr>
            <w:r>
              <w:rPr>
                <w:rFonts w:ascii="MS PGothic" w:cs="MS PGothic" w:eastAsia="MS PGothic" w:hAnsi="MS PGothic"/>
                <w:sz w:val="18"/>
                <w:szCs w:val="18"/>
                <w:color w:val="auto"/>
              </w:rPr>
              <w:t xml:space="preserve">Stock-based compensaton expense </w:t>
            </w:r>
            <w:r>
              <w:rPr>
                <w:rFonts w:ascii="Calibri" w:cs="Calibri" w:eastAsia="Calibri" w:hAnsi="Calibri"/>
                <w:sz w:val="24"/>
                <w:szCs w:val="24"/>
                <w:color w:val="auto"/>
                <w:vertAlign w:val="superscript"/>
              </w:rPr>
              <w:t>(1)</w:t>
            </w:r>
          </w:p>
        </w:tc>
        <w:tc>
          <w:tcPr>
            <w:tcW w:w="300" w:type="dxa"/>
            <w:vAlign w:val="bottom"/>
          </w:tcPr>
          <w:p>
            <w:pPr>
              <w:spacing w:after="0"/>
              <w:rPr>
                <w:sz w:val="21"/>
                <w:szCs w:val="21"/>
                <w:color w:val="auto"/>
              </w:rPr>
            </w:pPr>
          </w:p>
        </w:tc>
        <w:tc>
          <w:tcPr>
            <w:tcW w:w="1000" w:type="dxa"/>
            <w:vAlign w:val="bottom"/>
          </w:tcPr>
          <w:p>
            <w:pPr>
              <w:ind w:left="820"/>
              <w:spacing w:after="0"/>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MS PGothic" w:cs="MS PGothic" w:eastAsia="MS PGothic" w:hAnsi="MS PGothic"/>
                <w:sz w:val="18"/>
                <w:szCs w:val="18"/>
                <w:color w:val="auto"/>
              </w:rPr>
              <w:t>221</w:t>
            </w:r>
          </w:p>
        </w:tc>
        <w:tc>
          <w:tcPr>
            <w:tcW w:w="100" w:type="dxa"/>
            <w:vAlign w:val="bottom"/>
          </w:tcPr>
          <w:p>
            <w:pPr>
              <w:spacing w:after="0"/>
              <w:rPr>
                <w:sz w:val="21"/>
                <w:szCs w:val="21"/>
                <w:color w:val="auto"/>
              </w:rPr>
            </w:pPr>
          </w:p>
        </w:tc>
      </w:tr>
      <w:tr>
        <w:trPr>
          <w:trHeight w:val="243"/>
        </w:trPr>
        <w:tc>
          <w:tcPr>
            <w:tcW w:w="7400" w:type="dxa"/>
            <w:vAlign w:val="bottom"/>
            <w:gridSpan w:val="2"/>
            <w:shd w:val="clear" w:color="auto" w:fill="CFF0FC"/>
          </w:tcPr>
          <w:p>
            <w:pPr>
              <w:ind w:left="20"/>
              <w:spacing w:after="0" w:line="243" w:lineRule="exact"/>
              <w:rPr>
                <w:sz w:val="20"/>
                <w:szCs w:val="20"/>
                <w:color w:val="auto"/>
              </w:rPr>
            </w:pPr>
            <w:r>
              <w:rPr>
                <w:rFonts w:ascii="MS PGothic" w:cs="MS PGothic" w:eastAsia="MS PGothic" w:hAnsi="MS PGothic"/>
                <w:sz w:val="18"/>
                <w:szCs w:val="18"/>
                <w:color w:val="auto"/>
              </w:rPr>
              <w:t xml:space="preserve">Other expense, net </w:t>
            </w:r>
            <w:r>
              <w:rPr>
                <w:rFonts w:ascii="Calibri" w:cs="Calibri" w:eastAsia="Calibri" w:hAnsi="Calibri"/>
                <w:sz w:val="24"/>
                <w:szCs w:val="24"/>
                <w:color w:val="auto"/>
                <w:vertAlign w:val="superscript"/>
              </w:rPr>
              <w:t>(1)</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ind w:left="820"/>
              <w:spacing w:after="0"/>
              <w:rPr>
                <w:sz w:val="20"/>
                <w:szCs w:val="20"/>
                <w:color w:val="auto"/>
              </w:rPr>
            </w:pPr>
            <w:r>
              <w:rPr>
                <w:rFonts w:ascii="MS PGothic" w:cs="MS PGothic" w:eastAsia="MS PGothic" w:hAnsi="MS PGothic"/>
                <w:sz w:val="18"/>
                <w:szCs w:val="18"/>
                <w:color w:val="auto"/>
              </w:rPr>
              <w:t>—</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348</w:t>
            </w:r>
          </w:p>
        </w:tc>
        <w:tc>
          <w:tcPr>
            <w:tcW w:w="100" w:type="dxa"/>
            <w:vAlign w:val="bottom"/>
            <w:shd w:val="clear" w:color="auto" w:fill="CFF0FC"/>
          </w:tcPr>
          <w:p>
            <w:pPr>
              <w:spacing w:after="0"/>
              <w:rPr>
                <w:sz w:val="21"/>
                <w:szCs w:val="21"/>
                <w:color w:val="auto"/>
              </w:rPr>
            </w:pPr>
          </w:p>
        </w:tc>
      </w:tr>
      <w:tr>
        <w:trPr>
          <w:trHeight w:val="243"/>
        </w:trPr>
        <w:tc>
          <w:tcPr>
            <w:tcW w:w="7400" w:type="dxa"/>
            <w:vAlign w:val="bottom"/>
            <w:gridSpan w:val="2"/>
          </w:tcPr>
          <w:p>
            <w:pPr>
              <w:ind w:left="20"/>
              <w:spacing w:after="0" w:line="243" w:lineRule="exact"/>
              <w:rPr>
                <w:sz w:val="20"/>
                <w:szCs w:val="20"/>
                <w:color w:val="auto"/>
              </w:rPr>
            </w:pPr>
            <w:r>
              <w:rPr>
                <w:rFonts w:ascii="MS PGothic" w:cs="MS PGothic" w:eastAsia="MS PGothic" w:hAnsi="MS PGothic"/>
                <w:sz w:val="18"/>
                <w:szCs w:val="18"/>
                <w:color w:val="auto"/>
              </w:rPr>
              <w:t xml:space="preserve">Provision for income taxes </w:t>
            </w:r>
            <w:r>
              <w:rPr>
                <w:rFonts w:ascii="Calibri" w:cs="Calibri" w:eastAsia="Calibri" w:hAnsi="Calibri"/>
                <w:sz w:val="24"/>
                <w:szCs w:val="24"/>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820"/>
              <w:spacing w:after="0"/>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MS PGothic" w:cs="MS PGothic" w:eastAsia="MS PGothic" w:hAnsi="MS PGothic"/>
                <w:sz w:val="18"/>
                <w:szCs w:val="18"/>
                <w:color w:val="auto"/>
              </w:rPr>
              <w:t>5</w:t>
            </w:r>
          </w:p>
        </w:tc>
        <w:tc>
          <w:tcPr>
            <w:tcW w:w="100" w:type="dxa"/>
            <w:vAlign w:val="bottom"/>
          </w:tcPr>
          <w:p>
            <w:pPr>
              <w:spacing w:after="0"/>
              <w:rPr>
                <w:sz w:val="21"/>
                <w:szCs w:val="21"/>
                <w:color w:val="auto"/>
              </w:rPr>
            </w:pPr>
          </w:p>
        </w:tc>
      </w:tr>
      <w:tr>
        <w:trPr>
          <w:trHeight w:val="282"/>
        </w:trPr>
        <w:tc>
          <w:tcPr>
            <w:tcW w:w="7400" w:type="dxa"/>
            <w:vAlign w:val="bottom"/>
            <w:tcBorders>
              <w:bottom w:val="single" w:sz="8" w:color="CFF0FC"/>
            </w:tcBorders>
            <w:gridSpan w:val="2"/>
            <w:shd w:val="clear" w:color="auto" w:fill="CFF0FC"/>
          </w:tcPr>
          <w:p>
            <w:pPr>
              <w:ind w:left="20"/>
              <w:spacing w:after="0"/>
              <w:rPr>
                <w:sz w:val="20"/>
                <w:szCs w:val="20"/>
                <w:color w:val="auto"/>
              </w:rPr>
            </w:pPr>
            <w:r>
              <w:rPr>
                <w:rFonts w:ascii="MS PGothic" w:cs="MS PGothic" w:eastAsia="MS PGothic" w:hAnsi="MS PGothic"/>
                <w:sz w:val="18"/>
                <w:szCs w:val="18"/>
                <w:color w:val="auto"/>
              </w:rPr>
              <w:t>Adjusted EBITDA atributable to redeemable noncontrolling interest</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MS PGothic" w:cs="MS PGothic" w:eastAsia="MS PGothic" w:hAnsi="MS PGothic"/>
                <w:sz w:val="18"/>
                <w:szCs w:val="18"/>
                <w:color w:val="auto"/>
                <w:w w:val="88"/>
              </w:rPr>
              <w:t>$</w:t>
            </w:r>
          </w:p>
        </w:tc>
        <w:tc>
          <w:tcPr>
            <w:tcW w:w="1000" w:type="dxa"/>
            <w:vAlign w:val="bottom"/>
            <w:tcBorders>
              <w:bottom w:val="single" w:sz="8" w:color="CFF0FC"/>
            </w:tcBorders>
            <w:shd w:val="clear" w:color="auto" w:fill="CFF0FC"/>
          </w:tcPr>
          <w:p>
            <w:pPr>
              <w:ind w:left="820"/>
              <w:spacing w:after="0"/>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CFF0FC"/>
            </w:tcBorders>
            <w:gridSpan w:val="2"/>
            <w:shd w:val="clear" w:color="auto" w:fill="CFF0FC"/>
          </w:tcPr>
          <w:p>
            <w:pPr>
              <w:jc w:val="right"/>
              <w:ind w:right="380"/>
              <w:spacing w:after="0"/>
              <w:rPr>
                <w:sz w:val="20"/>
                <w:szCs w:val="20"/>
                <w:color w:val="auto"/>
              </w:rPr>
            </w:pPr>
            <w:r>
              <w:rPr>
                <w:rFonts w:ascii="MS PGothic" w:cs="MS PGothic" w:eastAsia="MS PGothic" w:hAnsi="MS PGothic"/>
                <w:sz w:val="18"/>
                <w:szCs w:val="18"/>
                <w:color w:val="auto"/>
              </w:rPr>
              <w:t>$</w:t>
            </w:r>
          </w:p>
        </w:tc>
        <w:tc>
          <w:tcPr>
            <w:tcW w:w="9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MS PGothic" w:cs="MS PGothic" w:eastAsia="MS PGothic" w:hAnsi="MS PGothic"/>
                <w:sz w:val="18"/>
                <w:szCs w:val="18"/>
                <w:color w:val="auto"/>
              </w:rPr>
              <w:t>(677 )</w:t>
            </w:r>
          </w:p>
        </w:tc>
      </w:tr>
      <w:tr>
        <w:trPr>
          <w:trHeight w:val="150"/>
        </w:trPr>
        <w:tc>
          <w:tcPr>
            <w:tcW w:w="380" w:type="dxa"/>
            <w:vAlign w:val="bottom"/>
            <w:tcBorders>
              <w:top w:val="single" w:sz="8" w:color="CFF0FC"/>
            </w:tcBorders>
          </w:tcPr>
          <w:p>
            <w:pPr>
              <w:ind w:left="60"/>
              <w:spacing w:after="0"/>
              <w:rPr>
                <w:sz w:val="20"/>
                <w:szCs w:val="20"/>
                <w:color w:val="auto"/>
              </w:rPr>
            </w:pPr>
            <w:r>
              <w:rPr>
                <w:rFonts w:ascii="Calibri" w:cs="Calibri" w:eastAsia="Calibri" w:hAnsi="Calibri"/>
                <w:sz w:val="12"/>
                <w:szCs w:val="12"/>
                <w:color w:val="auto"/>
              </w:rPr>
              <w:t>(1)</w:t>
            </w:r>
          </w:p>
        </w:tc>
        <w:tc>
          <w:tcPr>
            <w:tcW w:w="7020" w:type="dxa"/>
            <w:vAlign w:val="bottom"/>
            <w:tcBorders>
              <w:top w:val="single" w:sz="8" w:color="CFF0FC"/>
            </w:tcBorders>
          </w:tcPr>
          <w:p>
            <w:pPr>
              <w:ind w:left="180"/>
              <w:spacing w:after="0" w:line="145" w:lineRule="exact"/>
              <w:rPr>
                <w:sz w:val="20"/>
                <w:szCs w:val="20"/>
                <w:color w:val="auto"/>
              </w:rPr>
            </w:pPr>
            <w:r>
              <w:rPr>
                <w:rFonts w:ascii="Calibri" w:cs="Calibri" w:eastAsia="Calibri" w:hAnsi="Calibri"/>
                <w:sz w:val="12"/>
                <w:szCs w:val="12"/>
                <w:color w:val="auto"/>
              </w:rPr>
              <w:t>These exclusions are adjusted to refect the noncontrolling interest of 38%.</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-132715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-115570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-132715</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-115570</wp:posOffset>
            </wp:positionV>
            <wp:extent cx="596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Components of Unaudited Condensed Consolidated Income Statements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w:t>
      </w:r>
    </w:p>
    <w:p>
      <w:pPr>
        <w:spacing w:after="0" w:line="217" w:lineRule="exact"/>
        <w:rPr>
          <w:sz w:val="20"/>
          <w:szCs w:val="20"/>
          <w:color w:val="auto"/>
        </w:rPr>
      </w:pPr>
    </w:p>
    <w:p>
      <w:pPr>
        <w:jc w:val="both"/>
        <w:ind w:firstLine="509"/>
        <w:spacing w:after="0" w:line="293" w:lineRule="auto"/>
        <w:rPr>
          <w:sz w:val="20"/>
          <w:szCs w:val="20"/>
          <w:color w:val="auto"/>
        </w:rPr>
      </w:pPr>
      <w:r>
        <w:rPr>
          <w:rFonts w:ascii="MS PGothic" w:cs="MS PGothic" w:eastAsia="MS PGothic" w:hAnsi="MS PGothic"/>
          <w:sz w:val="18"/>
          <w:szCs w:val="18"/>
          <w:color w:val="auto"/>
        </w:rPr>
        <w:t>We derive our revenue from marketplace revenue, wholesale revenue, and product revenue. Marketplace revenue is included in the U.S. Marketplace segment and Other category of segment reportng. Wholesale revenue and product revenue are included in the Digital Wholesale segment. We generate marketplace revenue primarily from (i) dealer subscriptons to our Listngs packages, RPM, digital advertsing suite, Digital Retail, and Sell My Car - TDO, (ii) advertsing revenue from auto manufacturers and other auto‑related brand advertsers, and (iii) revenue from partnerships with fnancing services companies. We generate wholesale revenue primarily from (x) transacton fees earned from Dealer-to-Dealer transactons, (y) transacton fees earned from the sale of vehicles to dealers that we acquire at other marketplaces, and (z) transacton fees earned from performing inspecton and transportaton services, inclusive of Dealer-to-Dealer transactons, other marketplace-to-dealer transactons, and IMCO transactons. We generate product revenue primarily from (A) aggregate proceeds received from the sale of vehicles that were acquired through IMCO transactons, and (B) proceeds received from the sale of vehicles that were acquired through arbitraton.</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 Revenue</w:t>
      </w:r>
    </w:p>
    <w:p>
      <w:pPr>
        <w:spacing w:after="0" w:line="217" w:lineRule="exact"/>
        <w:rPr>
          <w:sz w:val="20"/>
          <w:szCs w:val="20"/>
          <w:color w:val="auto"/>
        </w:rPr>
      </w:pPr>
    </w:p>
    <w:p>
      <w:pPr>
        <w:jc w:val="both"/>
        <w:ind w:firstLine="509"/>
        <w:spacing w:after="0" w:line="311" w:lineRule="auto"/>
        <w:rPr>
          <w:sz w:val="20"/>
          <w:szCs w:val="20"/>
          <w:color w:val="auto"/>
        </w:rPr>
      </w:pPr>
      <w:r>
        <w:rPr>
          <w:rFonts w:ascii="MS PGothic" w:cs="MS PGothic" w:eastAsia="MS PGothic" w:hAnsi="MS PGothic"/>
          <w:sz w:val="18"/>
          <w:szCs w:val="18"/>
          <w:color w:val="auto"/>
        </w:rPr>
        <w:t>We ofer multple types of marketplace Listngs packages to our dealers for our CarGurus U.S. platorm (availability varies on our other marketplaces): Restricted Listngs, which is free; and various levels of Listngs packages, which each require a paid subscripton under a monthly, quarterly, semiannual, or annual subscripton basis.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29" w:name="page30"/>
    <w:bookmarkEnd w:id="29"/>
    <w:p>
      <w:pPr>
        <w:jc w:val="both"/>
        <w:ind w:firstLine="509"/>
        <w:spacing w:after="0" w:line="235" w:lineRule="auto"/>
        <w:rPr>
          <w:sz w:val="20"/>
          <w:szCs w:val="20"/>
          <w:color w:val="auto"/>
        </w:rPr>
      </w:pPr>
      <w:r>
        <w:rPr>
          <w:rFonts w:ascii="Calibri" w:cs="Calibri" w:eastAsia="Calibri" w:hAnsi="Calibri"/>
          <w:sz w:val="18"/>
          <w:szCs w:val="18"/>
          <w:color w:val="auto"/>
        </w:rPr>
        <w:t>Our subscriptons for customers generally auto-renew on a monthly basis and are cancellable by dealers with 30 days' advance notce prior to the commencement of the applicable renewal term. Subscripton pricing is determined based on a dealer’s inventory size, region, and our assessment of the connectons and ROI the platorm will provide them and is subject to discounts and/or fee reductons that we may ofer from tme to tme. We also ofer all dealers on the platorm access to our Dealer Dashboard, which includes a performance summary, Dealer Insights tool, and user review management platorm. Only dealers subscribing to a paid Listngs package have access to the Pricing Tool, Market Analysis tool, and Instant Market Value, or IMV, Scan tool. For details on the Dealer Dashboard and these merchandising tools, refer to “Our Products and Services – U.S. Marketplace and Other – Dealer Oferings – Dealer Dashboard and Merchandising Tools” in Part I, Item 1 in our Annual Report.</w:t>
      </w:r>
    </w:p>
    <w:p>
      <w:pPr>
        <w:spacing w:after="0" w:line="21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We also ofer paid Listngs packages for the Autolist and PistonHeads websites.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In additon to displaying inventory in our marketplace and providing access to the Dealer Dashboard, we ofer dealers subscribing to certain of our Listngs packages other subscripton advertsing and customer acquisiton products and enhancements marketed under RPM and our digital advertsing suite. Through RPM, dealers can buy advertsing that appears in our marketplace, on other sites on the internet, and/or on high-convertng social media platorms. Such advertsements can be targeted by the user’s geography, search history, CarGurus website actvity, and a number of other targetng factors, allowing dealers to increase their visibility with in-market consumers and drive qualifed trafc for dealers.</w:t>
      </w:r>
    </w:p>
    <w:p>
      <w:pPr>
        <w:spacing w:after="0" w:line="21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We also ofer dealer advertsing products for the PistonHeads website.</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also ofer dealers subscribing to certain of our Listngs packages other subscripton advertsing and customer acquisiton products and enhancements such as Digital Retail, which allows shoppers to complete much of the vehicle-purchase process online through the Dealers’ Listngs page. Digital Retail is comprised of (i) the Digital Deal Platorm, which gives dealers higher quality leads through upfront consumer-provided informaton, (ii) Geo Expansion, which expands the visibility of a dealer’s inventory in the search results beyond its local market, and (iii) Hard Pull Financing, which provides loan informaton.</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also ofer dealers subscribing to certain of our Listngs packages other subscripton advertsing and customer acquisiton products and enhancements such as TDO, which allows dealers to pay for leads to receive direct access to shoppers actvely looking to sell their vehicles. Dealers can acquire inventory from shoppers who are looking to sell directly through the CarGurus Sell My Car page.</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Marketplace revenue also consists of non-dealer advertsing revenue from auto manufacturers and other auto-related brand advertsers sold on a cost-per-thousand impressions basis, or CPM basis. An impression is an advertsement loaded on a web page. In additon to advertsing sold on a CPM basis, we also have advertsing sold on a cost-per-click basis. Pricing is primarily based on advertsement size and positon on our websites and mobile applicatons. Auto manufacturers and other brand advertsers can execute advertsing campaigns that are targeted across a wide variety of parameters, including demographic groups, behavioral characteristcs, specifc auto brands, categories such as Certfed Pre-Owned, and segments such as hybrid vehicles. We do not provide minimum impression guarantees or other types of minimum guarantees in our contracts with customers. Advertsing is also sold indirectly through revenue sharing arrangements with advertsing exchange partners.</w:t>
      </w:r>
    </w:p>
    <w:p>
      <w:pPr>
        <w:spacing w:after="0" w:line="21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We also ofer non-dealer advertsing products for the Autolist and PistonHeads websites.</w:t>
      </w:r>
    </w:p>
    <w:p>
      <w:pPr>
        <w:spacing w:after="0" w:line="217" w:lineRule="exact"/>
        <w:rPr>
          <w:sz w:val="20"/>
          <w:szCs w:val="20"/>
          <w:color w:val="auto"/>
        </w:rPr>
      </w:pPr>
    </w:p>
    <w:p>
      <w:pPr>
        <w:jc w:val="both"/>
        <w:ind w:firstLine="509"/>
        <w:spacing w:after="0" w:line="254" w:lineRule="auto"/>
        <w:rPr>
          <w:sz w:val="20"/>
          <w:szCs w:val="20"/>
          <w:color w:val="auto"/>
        </w:rPr>
      </w:pPr>
      <w:r>
        <w:rPr>
          <w:rFonts w:ascii="Calibri" w:cs="Calibri" w:eastAsia="Calibri" w:hAnsi="Calibri"/>
          <w:sz w:val="17"/>
          <w:szCs w:val="17"/>
          <w:color w:val="auto"/>
        </w:rPr>
        <w:t>Marketplace revenue also includes revenue from partnerships with certain fnancing services companies pursuant to which we enable eligible consumers on our CarGurus U.S. website to pre-qualify for fnancing on cars from dealerships that ofer fnancing through such companies. We primarily generate revenue from these partnerships based on the number of funded loans from consumers who pre-qualify with our lending partners through our site.</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Wholesale Revenue</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CarOfer Matrix enables buying dealers to create standing buy orders and provides instant ofers to selling dealers. Wholesale revenue includes transacton fees earned from Dealer-to-Dealer transactons, where we collect fees from both the buying and selling dealers. We also sell vehicles to dealers that we acquire at other marketplaces, where we collect a transacton fee from the buying dealers.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ind w:left="520"/>
        <w:spacing w:after="0"/>
        <w:rPr>
          <w:sz w:val="20"/>
          <w:szCs w:val="20"/>
          <w:color w:val="auto"/>
        </w:rPr>
      </w:pPr>
      <w:r>
        <w:rPr>
          <w:rFonts w:ascii="Calibri" w:cs="Calibri" w:eastAsia="Calibri" w:hAnsi="Calibri"/>
          <w:sz w:val="17"/>
          <w:szCs w:val="17"/>
          <w:color w:val="auto"/>
        </w:rPr>
        <w:t>Wholesale revenue also includes fees earned from performing inspecton and transportaton services, where we collect fees from the buying dealer.</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Inspecton and transportaton service revenue is inclusive of Dealer-to-Dealer transactons, other marketplace-to-dealer transactons, and IMCO transactons.</w:t>
      </w:r>
    </w:p>
    <w:p>
      <w:pPr>
        <w:spacing w:after="0" w:line="22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Wholesale revenue also includes arbitraton in which the vehicle is rematched to a new buyer and not acquired by us. Arbitraton is the process by which we investgate and resolve claims from buying dealers.</w:t>
      </w:r>
    </w:p>
    <w:p>
      <w:pPr>
        <w:spacing w:after="0" w:line="218"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Wholesale revenue also includes fees earned from certain guarantees ofered to dealers (which include 45-Day Guarantee and OferGuard products), where we collect fees from the buying dealer or selling dealer, as applicable.</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Product Revenue</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CarOfer Matrix enables consumers who are selling vehicles to be instantly presented with an ofer. Product revenue includes the aggregate proceeds received from the sale of vehicles through IMCO transactons, including vehicle sale price and transacton fees collected from the buying dealers. Product revenue also includes proceeds received from the sale of vehicles acquired through arbitraton, including vehicle sale price and transacton fees collected from buying dealers. Arbitraton is the process by which we investgate and resolve claims from buying dealers. We control the vehicle in these transactons and therefore act as the principal.</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Cost of Revenue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 Cost of Revenue</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Marketplace cost of revenue includes expenses related to supportng and hostng marketplace service oferings. These expenses include personnel and related expenses for our customer support team, including salaries, benefts, incentve compensaton, and stock-based compensaton; third-party service provider expenses such as advertsing, data, and hostng expenses; amortzaton of developed technology; amortzaton of capitalized website development; amortzaton of capitalized hostng arrangements; and allocated overhead expenses.</w:t>
      </w:r>
    </w:p>
    <w:p>
      <w:pPr>
        <w:spacing w:after="0" w:line="219"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We allocate overhead expenses, such as rent and facility expenses, sofware expense, and employee beneft expense, to all departments based on headcount. As such, general overhead expenses are refected in cost of revenue and each operatng expense category.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Wholesale Cost of Revenue</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Wholesale cost of revenue includes expenses related to supportng and hostng Digital Wholesale service oferings, including Dealer-to-Dealer transactons and vehicles sold to dealers acquired at other marketplaces on the CarOfer Matrix. These expenses include vehicle transportaton and inspecton expenses; net losses on vehicles related to guarantees ofered to dealers through Dealer-to-Dealer transactons; personnel and related expenses for employees directly involved in the fulfllment and support of transactons, including salaries, benefts, incentve compensaton, and stock-based compensaton; third-party service provider expenses; amortzaton of developed technology; amortzaton of capitalized website development; and allocated overhead expenses.</w:t>
      </w:r>
    </w:p>
    <w:p>
      <w:pPr>
        <w:spacing w:after="0" w:line="221" w:lineRule="exact"/>
        <w:rPr>
          <w:sz w:val="20"/>
          <w:szCs w:val="20"/>
          <w:color w:val="auto"/>
        </w:rPr>
      </w:pPr>
    </w:p>
    <w:p>
      <w:pPr>
        <w:jc w:val="both"/>
        <w:ind w:right="20" w:firstLine="509"/>
        <w:spacing w:after="0" w:line="235" w:lineRule="auto"/>
        <w:rPr>
          <w:sz w:val="20"/>
          <w:szCs w:val="20"/>
          <w:color w:val="auto"/>
        </w:rPr>
      </w:pPr>
      <w:r>
        <w:rPr>
          <w:rFonts w:ascii="Calibri" w:cs="Calibri" w:eastAsia="Calibri" w:hAnsi="Calibri"/>
          <w:sz w:val="18"/>
          <w:szCs w:val="18"/>
          <w:color w:val="auto"/>
        </w:rPr>
        <w:t>We allocate overhead expenses, such as rent and facility expenses, sofware expense, and employee beneft expense, to all departments based on headcount. As such, general overhead expenses are refected in cost of revenue and each operatng expense category.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Product Cost of Revenue</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Product cost of revenue includes expenses related to vehicles sold to dealers through IMCO transactons and vehicles sold to dealers acquired through arbitraton. These expenses include the cost of the vehicle and transportaton expenses.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b w:val="1"/>
          <w:bCs w:val="1"/>
          <w:i w:val="1"/>
          <w:iCs w:val="1"/>
          <w:color w:val="auto"/>
        </w:rPr>
        <w:t>Operatng Expenses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Sales and Marketng</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Sales and marketng expenses consist primarily of personnel and related expenses for our sales and marketng team, including salaries, benefts, incentve compensaton, commissions, and stock-based compensaton; expenses associated with consumer marketng, such as trafc acquisiton, brand building, and public relatons actvites; expenses associated with dealer marketng, such as content marketng, customer and promotonal events, and industry events; consultng services; sofware subscripton expenses; travel expenses; amortzaton of capitalized hostng arrangements; and allocated overhead expenses. A porton of our commissions that are related to obtaining a new contract are capitalized and amortzed over the estmated beneft period of customer relatonships. All other sales and marketng expenses are expensed as incurred. We expect sales and marketng expenses to fuctuate from quarter to quarter as we respond to changes in the macroeconomic and compettve landscapes afectng our existng dealers, consumer audience, and brand awareness.</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Product, Technology, and Development</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Product, technology, and development expenses consist primarily of personnel and related expenses for our research and development team, including salaries, benefts, incentve compensaton, and stock-based compensaton; sofware subscripton expenses; consultng services; and allocated overhead expenses. Other than website development, internal-use sofware, and hostng arrangement expenses, research and development expenses are expensed as incurred. We expect product, technology, and development expenses to fuctuate as we invest in additonal engineering resources to develop new solutons and make improvements to our existng platorm.</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General and Administratve</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General and administratve expenses consist primarily of personnel and related expenses for our executve, fnance, legal, people &amp; talent, and administratve teams, including salaries, benefts, incentve compensaton, and stock-based compensaton; expenses associated with professional fees for audit, tax, external legal, and consultng services; payment processing and billing expenses; insurance expenses; sofware subscripton expenses; and allocated overhead expenses. General and administratve expenses are expensed as incurred. We expect general and administratve expenses to fuctuate as we contnue to scale our business.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Depreciaton and Amortzaton</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Depreciaton and amortzaton expenses consist of depreciaton on property and equipment and amortzaton of intangible assets and internal-use sofware.</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Income, Net</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Other income, net consists primarily of interest income earned on our cash, cash equivalents and short-term investments and foreign exchange gains and losses.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Provision for Income Taxes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are subject to federal and state income taxes in the U.S. and taxes in foreign jurisdictons in which we operate. For the three months ended March 31, 2024 and 2023, a provision for income taxes was recognized as a result of the consolidated taxable income positon.</w:t>
      </w:r>
    </w:p>
    <w:p>
      <w:pPr>
        <w:spacing w:after="0" w:line="218"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recognize deferred tax assets and liabilites based on temporary diferences between the fnancial reportng and income tax bases of assets and liabilites using enacted tax rates in efect for the year in which the temporary diferences are expected to be recovered or setled.</w:t>
      </w:r>
    </w:p>
    <w:p>
      <w:pPr>
        <w:spacing w:after="0" w:line="218" w:lineRule="exact"/>
        <w:rPr>
          <w:sz w:val="20"/>
          <w:szCs w:val="20"/>
          <w:color w:val="auto"/>
        </w:rPr>
      </w:pPr>
    </w:p>
    <w:p>
      <w:pPr>
        <w:jc w:val="both"/>
        <w:ind w:firstLine="509"/>
        <w:spacing w:after="0" w:line="258" w:lineRule="auto"/>
        <w:rPr>
          <w:sz w:val="20"/>
          <w:szCs w:val="20"/>
          <w:color w:val="auto"/>
        </w:rPr>
      </w:pPr>
      <w:r>
        <w:rPr>
          <w:rFonts w:ascii="Calibri" w:cs="Calibri" w:eastAsia="Calibri" w:hAnsi="Calibri"/>
          <w:sz w:val="17"/>
          <w:szCs w:val="17"/>
          <w:color w:val="auto"/>
        </w:rPr>
        <w:t>We regularly assess the need to recognize a valuaton allowance against net deferred tax assets if, based upon the available evidence, it is more likely than not that some or all of the deferred tax assets will not be realized. As of March 31, 2024 and December 31, 2023, valuaton allowances were immaterial.</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2" w:name="page33"/>
    <w:bookmarkEnd w:id="32"/>
    <w:p>
      <w:pPr>
        <w:jc w:val="both"/>
        <w:ind w:firstLine="509"/>
        <w:spacing w:after="0" w:line="235" w:lineRule="auto"/>
        <w:rPr>
          <w:sz w:val="20"/>
          <w:szCs w:val="20"/>
          <w:color w:val="auto"/>
        </w:rPr>
      </w:pPr>
      <w:r>
        <w:rPr>
          <w:rFonts w:ascii="Calibri" w:cs="Calibri" w:eastAsia="Calibri" w:hAnsi="Calibri"/>
          <w:sz w:val="18"/>
          <w:szCs w:val="18"/>
          <w:color w:val="auto"/>
        </w:rPr>
        <w:t>We assess our income tax positons and recognize an income tax beneft or expense based upon our evaluaton of the facts, circumstances, and informaton available at the reportng date.</w:t>
      </w:r>
    </w:p>
    <w:p>
      <w:pPr>
        <w:spacing w:after="0" w:line="218"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For the three months ended March 31, 2024, income tax expense recognized related to uncertain tax provisions was immaterial. An immaterial amount of the reserve relatng to uncertain tax positons was released as a result of setlement with taxing authorites. As of March 31, 2024, the income tax liability related to uncertain tax positons, exclusive of immaterial interest or penaltes related to uncertain tax provisions, was $0.8 million, which would have favorably afected our efectve tax rate, if recognized.</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For the three months ended March 31, 2023, we did not recognize income tax expense related to uncertain tax positons. As of December 31, 2023, the income tax liability related to uncertain tax positons, exclusive of immaterial interest or penaltes related to uncertain tax provisions, was $0.8 million, which would have favorably afected our efectve tax rate, if recognized.</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Organisaton for Economic Co-operaton and Development introduced an internatonal tax framework under Pillar Two which includes a global minimum tax of 15%. Pillar Two legislaton has been enacted or substantvely enacted in certain jurisdictons where we operate. The Pillar Two legislaton became efectve for our fscal year beginning January 1, 2024. We have performed an assessment of its potental exposure to Pillar Two income taxes based on our most recent tax flings, country-by-country reportng, and fnancial statements for our consttuent enttes. Based on the assessment performed, we meet the Pillar Two transitonal safe harbor efectve tax rate relief as all jurisdictons in which we operate are above 15%. We do not expect any material exposure to Pillar Two income taxes in any jurisdictons.</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21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For the three months ended March 31, 2024 and 2023, the Unaudited Condensed Consolidated Income Statements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center"/>
              <w:ind w:left="393"/>
              <w:spacing w:after="0"/>
              <w:rPr>
                <w:sz w:val="20"/>
                <w:szCs w:val="20"/>
                <w:color w:val="auto"/>
              </w:rPr>
            </w:pPr>
            <w:r>
              <w:rPr>
                <w:rFonts w:ascii="Calibri" w:cs="Calibri" w:eastAsia="Calibri" w:hAnsi="Calibri"/>
                <w:sz w:val="14"/>
                <w:szCs w:val="14"/>
                <w:b w:val="1"/>
                <w:bCs w:val="1"/>
                <w:color w:val="auto"/>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6"/>
        </w:trPr>
        <w:tc>
          <w:tcPr>
            <w:tcW w:w="5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3"/>
          </w:tcPr>
          <w:p>
            <w:pPr>
              <w:jc w:val="center"/>
              <w:ind w:left="433"/>
              <w:spacing w:after="0"/>
              <w:rPr>
                <w:sz w:val="20"/>
                <w:szCs w:val="20"/>
                <w:color w:val="auto"/>
              </w:rPr>
            </w:pPr>
            <w:r>
              <w:rPr>
                <w:rFonts w:ascii="Calibri" w:cs="Calibri" w:eastAsia="Calibri" w:hAnsi="Calibri"/>
                <w:sz w:val="14"/>
                <w:szCs w:val="14"/>
                <w:b w:val="1"/>
                <w:bCs w:val="1"/>
                <w:color w:val="auto"/>
              </w:rPr>
              <w:t>March 31,</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3"/>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3"/>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3"/>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471"/>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3"/>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center"/>
              <w:ind w:left="433"/>
              <w:spacing w:after="0" w:line="164" w:lineRule="exact"/>
              <w:rPr>
                <w:sz w:val="20"/>
                <w:szCs w:val="20"/>
                <w:color w:val="auto"/>
              </w:rPr>
            </w:pPr>
            <w:r>
              <w:rPr>
                <w:rFonts w:ascii="Calibri" w:cs="Calibri" w:eastAsia="Calibri" w:hAnsi="Calibri"/>
                <w:sz w:val="14"/>
                <w:szCs w:val="14"/>
                <w:b w:val="1"/>
                <w:bCs w:val="1"/>
                <w:color w:val="auto"/>
              </w:rPr>
              <w:t>(dollars in thousands)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Revenue:</w:t>
            </w:r>
          </w:p>
        </w:tc>
        <w:tc>
          <w:tcPr>
            <w:tcW w:w="2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580" w:type="dxa"/>
            <w:vAlign w:val="bottom"/>
          </w:tcPr>
          <w:p>
            <w:pPr>
              <w:ind w:left="180"/>
              <w:spacing w:after="0" w:line="215" w:lineRule="exact"/>
              <w:rPr>
                <w:sz w:val="20"/>
                <w:szCs w:val="20"/>
                <w:color w:val="auto"/>
              </w:rPr>
            </w:pPr>
            <w:r>
              <w:rPr>
                <w:rFonts w:ascii="Calibri" w:cs="Calibri" w:eastAsia="Calibri" w:hAnsi="Calibri"/>
                <w:sz w:val="18"/>
                <w:szCs w:val="18"/>
                <w:color w:val="auto"/>
              </w:rPr>
              <w:t>Marketplace</w:t>
            </w:r>
          </w:p>
        </w:tc>
        <w:tc>
          <w:tcPr>
            <w:tcW w:w="268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187,219</w:t>
            </w:r>
          </w:p>
        </w:tc>
        <w:tc>
          <w:tcPr>
            <w:tcW w:w="260" w:type="dxa"/>
            <w:vAlign w:val="bottom"/>
          </w:tcPr>
          <w:p>
            <w:pPr>
              <w:spacing w:after="0"/>
              <w:rPr>
                <w:sz w:val="18"/>
                <w:szCs w:val="18"/>
                <w:color w:val="auto"/>
              </w:rPr>
            </w:pPr>
          </w:p>
        </w:tc>
        <w:tc>
          <w:tcPr>
            <w:tcW w:w="540" w:type="dxa"/>
            <w:vAlign w:val="bottom"/>
          </w:tcPr>
          <w:p>
            <w:pPr>
              <w:jc w:val="right"/>
              <w:ind w:right="33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167,127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Wholesale</w:t>
            </w:r>
          </w:p>
        </w:tc>
        <w:tc>
          <w:tcPr>
            <w:tcW w:w="2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16,125</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25,186</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580" w:type="dxa"/>
            <w:vAlign w:val="bottom"/>
          </w:tcPr>
          <w:p>
            <w:pPr>
              <w:ind w:left="180"/>
              <w:spacing w:after="0" w:line="215" w:lineRule="exact"/>
              <w:rPr>
                <w:sz w:val="20"/>
                <w:szCs w:val="20"/>
                <w:color w:val="auto"/>
              </w:rPr>
            </w:pPr>
            <w:r>
              <w:rPr>
                <w:rFonts w:ascii="Calibri" w:cs="Calibri" w:eastAsia="Calibri" w:hAnsi="Calibri"/>
                <w:sz w:val="18"/>
                <w:szCs w:val="18"/>
                <w:color w:val="auto"/>
              </w:rPr>
              <w:t>Product</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12,452</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39,650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7"/>
        </w:trPr>
        <w:tc>
          <w:tcPr>
            <w:tcW w:w="58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ind w:left="360"/>
              <w:spacing w:after="0" w:line="208" w:lineRule="exact"/>
              <w:rPr>
                <w:sz w:val="20"/>
                <w:szCs w:val="20"/>
                <w:color w:val="auto"/>
              </w:rPr>
            </w:pPr>
            <w:r>
              <w:rPr>
                <w:rFonts w:ascii="Calibri" w:cs="Calibri" w:eastAsia="Calibri" w:hAnsi="Calibri"/>
                <w:sz w:val="18"/>
                <w:szCs w:val="18"/>
                <w:color w:val="auto"/>
              </w:rPr>
              <w:t>Total revenue</w:t>
            </w:r>
          </w:p>
        </w:tc>
        <w:tc>
          <w:tcPr>
            <w:tcW w:w="2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215,796</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231,963</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580" w:type="dxa"/>
            <w:vAlign w:val="bottom"/>
          </w:tcPr>
          <w:p>
            <w:pPr>
              <w:spacing w:after="0" w:line="215" w:lineRule="exact"/>
              <w:rPr>
                <w:sz w:val="20"/>
                <w:szCs w:val="20"/>
                <w:color w:val="auto"/>
              </w:rPr>
            </w:pPr>
            <w:r>
              <w:rPr>
                <w:rFonts w:ascii="Calibri" w:cs="Calibri" w:eastAsia="Calibri" w:hAnsi="Calibri"/>
                <w:sz w:val="18"/>
                <w:szCs w:val="18"/>
                <w:color w:val="auto"/>
              </w:rPr>
              <w:t>Cost of revenue:</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Marketplace</w:t>
            </w:r>
          </w:p>
        </w:tc>
        <w:tc>
          <w:tcPr>
            <w:tcW w:w="2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14,385</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15,533</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580" w:type="dxa"/>
            <w:vAlign w:val="bottom"/>
          </w:tcPr>
          <w:p>
            <w:pPr>
              <w:ind w:left="180"/>
              <w:spacing w:after="0" w:line="215" w:lineRule="exact"/>
              <w:rPr>
                <w:sz w:val="20"/>
                <w:szCs w:val="20"/>
                <w:color w:val="auto"/>
              </w:rPr>
            </w:pPr>
            <w:r>
              <w:rPr>
                <w:rFonts w:ascii="Calibri" w:cs="Calibri" w:eastAsia="Calibri" w:hAnsi="Calibri"/>
                <w:sz w:val="18"/>
                <w:szCs w:val="18"/>
                <w:color w:val="auto"/>
              </w:rPr>
              <w:t>Wholesale</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14,224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22,068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8"/>
        </w:trPr>
        <w:tc>
          <w:tcPr>
            <w:tcW w:w="580" w:type="dxa"/>
            <w:vAlign w:val="bottom"/>
          </w:tcPr>
          <w:p>
            <w:pPr>
              <w:spacing w:after="0"/>
              <w:rPr>
                <w:sz w:val="21"/>
                <w:szCs w:val="21"/>
                <w:color w:val="auto"/>
              </w:rPr>
            </w:pPr>
          </w:p>
        </w:tc>
        <w:tc>
          <w:tcPr>
            <w:tcW w:w="458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Product</w:t>
            </w:r>
          </w:p>
        </w:tc>
        <w:tc>
          <w:tcPr>
            <w:tcW w:w="2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12,226</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39,382</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08"/>
        </w:trPr>
        <w:tc>
          <w:tcPr>
            <w:tcW w:w="580" w:type="dxa"/>
            <w:vAlign w:val="bottom"/>
          </w:tcPr>
          <w:p>
            <w:pPr>
              <w:spacing w:after="0"/>
              <w:rPr>
                <w:sz w:val="18"/>
                <w:szCs w:val="18"/>
                <w:color w:val="auto"/>
              </w:rPr>
            </w:pPr>
          </w:p>
        </w:tc>
        <w:tc>
          <w:tcPr>
            <w:tcW w:w="4580" w:type="dxa"/>
            <w:vAlign w:val="bottom"/>
            <w:tcBorders>
              <w:top w:val="single" w:sz="8" w:color="CFF0FC"/>
            </w:tcBorders>
          </w:tcPr>
          <w:p>
            <w:pPr>
              <w:ind w:left="360"/>
              <w:spacing w:after="0" w:line="208" w:lineRule="exact"/>
              <w:rPr>
                <w:sz w:val="20"/>
                <w:szCs w:val="20"/>
                <w:color w:val="auto"/>
              </w:rPr>
            </w:pPr>
            <w:r>
              <w:rPr>
                <w:rFonts w:ascii="Calibri" w:cs="Calibri" w:eastAsia="Calibri" w:hAnsi="Calibri"/>
                <w:sz w:val="18"/>
                <w:szCs w:val="18"/>
                <w:color w:val="auto"/>
              </w:rPr>
              <w:t>Total cost of revenue</w:t>
            </w:r>
          </w:p>
        </w:tc>
        <w:tc>
          <w:tcPr>
            <w:tcW w:w="23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40,835</w:t>
            </w:r>
          </w:p>
        </w:tc>
        <w:tc>
          <w:tcPr>
            <w:tcW w:w="26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76,983</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7"/>
        </w:trPr>
        <w:tc>
          <w:tcPr>
            <w:tcW w:w="58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Gross proft</w:t>
            </w:r>
          </w:p>
        </w:tc>
        <w:tc>
          <w:tcPr>
            <w:tcW w:w="2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174,961</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154,980</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580" w:type="dxa"/>
            <w:vAlign w:val="bottom"/>
          </w:tcPr>
          <w:p>
            <w:pPr>
              <w:spacing w:after="0" w:line="215" w:lineRule="exact"/>
              <w:rPr>
                <w:sz w:val="20"/>
                <w:szCs w:val="20"/>
                <w:color w:val="auto"/>
              </w:rPr>
            </w:pPr>
            <w:r>
              <w:rPr>
                <w:rFonts w:ascii="Calibri" w:cs="Calibri" w:eastAsia="Calibri" w:hAnsi="Calibri"/>
                <w:sz w:val="18"/>
                <w:szCs w:val="18"/>
                <w:color w:val="auto"/>
              </w:rPr>
              <w:t>Operatng expenses:</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Sales and marketng</w:t>
            </w:r>
          </w:p>
        </w:tc>
        <w:tc>
          <w:tcPr>
            <w:tcW w:w="2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82,274</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75,577</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580" w:type="dxa"/>
            <w:vAlign w:val="bottom"/>
          </w:tcPr>
          <w:p>
            <w:pPr>
              <w:ind w:left="180"/>
              <w:spacing w:after="0" w:line="215" w:lineRule="exact"/>
              <w:rPr>
                <w:sz w:val="20"/>
                <w:szCs w:val="20"/>
                <w:color w:val="auto"/>
              </w:rPr>
            </w:pPr>
            <w:r>
              <w:rPr>
                <w:rFonts w:ascii="Calibri" w:cs="Calibri" w:eastAsia="Calibri" w:hAnsi="Calibri"/>
                <w:sz w:val="18"/>
                <w:szCs w:val="18"/>
                <w:color w:val="auto"/>
              </w:rPr>
              <w:t>Product, technology, and development</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35,545</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36,607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General and administratve</w:t>
            </w:r>
          </w:p>
        </w:tc>
        <w:tc>
          <w:tcPr>
            <w:tcW w:w="2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28,066</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24,919</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580" w:type="dxa"/>
            <w:vAlign w:val="bottom"/>
          </w:tcPr>
          <w:p>
            <w:pPr>
              <w:ind w:left="180"/>
              <w:spacing w:after="0" w:line="215" w:lineRule="exact"/>
              <w:rPr>
                <w:sz w:val="20"/>
                <w:szCs w:val="20"/>
                <w:color w:val="auto"/>
              </w:rPr>
            </w:pPr>
            <w:r>
              <w:rPr>
                <w:rFonts w:ascii="Calibri" w:cs="Calibri" w:eastAsia="Calibri" w:hAnsi="Calibri"/>
                <w:sz w:val="18"/>
                <w:szCs w:val="18"/>
                <w:color w:val="auto"/>
              </w:rPr>
              <w:t>Depreciaton and amortzaton</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2,792</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3,818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2"/>
        </w:trPr>
        <w:tc>
          <w:tcPr>
            <w:tcW w:w="580" w:type="dxa"/>
            <w:vAlign w:val="bottom"/>
          </w:tcPr>
          <w:p>
            <w:pPr>
              <w:spacing w:after="0"/>
              <w:rPr>
                <w:sz w:val="20"/>
                <w:szCs w:val="20"/>
                <w:color w:val="auto"/>
              </w:rPr>
            </w:pPr>
          </w:p>
        </w:tc>
        <w:tc>
          <w:tcPr>
            <w:tcW w:w="4580" w:type="dxa"/>
            <w:vAlign w:val="bottom"/>
            <w:tcBorders>
              <w:bottom w:val="single" w:sz="8" w:color="CFF0FC"/>
            </w:tcBorders>
            <w:shd w:val="clear" w:color="auto" w:fill="CFF0FC"/>
          </w:tcPr>
          <w:p>
            <w:pPr>
              <w:ind w:left="360"/>
              <w:spacing w:after="0" w:line="208" w:lineRule="exact"/>
              <w:rPr>
                <w:sz w:val="20"/>
                <w:szCs w:val="20"/>
                <w:color w:val="auto"/>
              </w:rPr>
            </w:pPr>
            <w:r>
              <w:rPr>
                <w:rFonts w:ascii="Calibri" w:cs="Calibri" w:eastAsia="Calibri" w:hAnsi="Calibri"/>
                <w:sz w:val="18"/>
                <w:szCs w:val="18"/>
                <w:color w:val="auto"/>
              </w:rPr>
              <w:t>Total operatng expenses</w:t>
            </w:r>
          </w:p>
        </w:tc>
        <w:tc>
          <w:tcPr>
            <w:tcW w:w="23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148,677</w:t>
            </w:r>
          </w:p>
        </w:tc>
        <w:tc>
          <w:tcPr>
            <w:tcW w:w="2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140,921</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08"/>
        </w:trPr>
        <w:tc>
          <w:tcPr>
            <w:tcW w:w="580" w:type="dxa"/>
            <w:vAlign w:val="bottom"/>
          </w:tcPr>
          <w:p>
            <w:pPr>
              <w:spacing w:after="0"/>
              <w:rPr>
                <w:sz w:val="18"/>
                <w:szCs w:val="18"/>
                <w:color w:val="auto"/>
              </w:rPr>
            </w:pPr>
          </w:p>
        </w:tc>
        <w:tc>
          <w:tcPr>
            <w:tcW w:w="458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Income from operatons</w:t>
            </w:r>
          </w:p>
        </w:tc>
        <w:tc>
          <w:tcPr>
            <w:tcW w:w="23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26,284</w:t>
            </w:r>
          </w:p>
        </w:tc>
        <w:tc>
          <w:tcPr>
            <w:tcW w:w="26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14,059</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Other income, net:</w:t>
            </w:r>
          </w:p>
        </w:tc>
        <w:tc>
          <w:tcPr>
            <w:tcW w:w="2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580" w:type="dxa"/>
            <w:vAlign w:val="bottom"/>
          </w:tcPr>
          <w:p>
            <w:pPr>
              <w:ind w:left="180"/>
              <w:spacing w:after="0" w:line="215" w:lineRule="exact"/>
              <w:rPr>
                <w:sz w:val="20"/>
                <w:szCs w:val="20"/>
                <w:color w:val="auto"/>
              </w:rPr>
            </w:pPr>
            <w:r>
              <w:rPr>
                <w:rFonts w:ascii="Calibri" w:cs="Calibri" w:eastAsia="Calibri" w:hAnsi="Calibri"/>
                <w:sz w:val="18"/>
                <w:szCs w:val="18"/>
                <w:color w:val="auto"/>
              </w:rPr>
              <w:t>Interest income</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3,906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3,743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8"/>
        </w:trPr>
        <w:tc>
          <w:tcPr>
            <w:tcW w:w="580" w:type="dxa"/>
            <w:vAlign w:val="bottom"/>
          </w:tcPr>
          <w:p>
            <w:pPr>
              <w:spacing w:after="0"/>
              <w:rPr>
                <w:sz w:val="21"/>
                <w:szCs w:val="21"/>
                <w:color w:val="auto"/>
              </w:rPr>
            </w:pPr>
          </w:p>
        </w:tc>
        <w:tc>
          <w:tcPr>
            <w:tcW w:w="458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Other (expense) income, net</w:t>
            </w:r>
          </w:p>
        </w:tc>
        <w:tc>
          <w:tcPr>
            <w:tcW w:w="2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(505 )</w:t>
            </w: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595</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08"/>
        </w:trPr>
        <w:tc>
          <w:tcPr>
            <w:tcW w:w="580" w:type="dxa"/>
            <w:vAlign w:val="bottom"/>
          </w:tcPr>
          <w:p>
            <w:pPr>
              <w:spacing w:after="0"/>
              <w:rPr>
                <w:sz w:val="18"/>
                <w:szCs w:val="18"/>
                <w:color w:val="auto"/>
              </w:rPr>
            </w:pPr>
          </w:p>
        </w:tc>
        <w:tc>
          <w:tcPr>
            <w:tcW w:w="4580" w:type="dxa"/>
            <w:vAlign w:val="bottom"/>
            <w:tcBorders>
              <w:top w:val="single" w:sz="8" w:color="CFF0FC"/>
            </w:tcBorders>
          </w:tcPr>
          <w:p>
            <w:pPr>
              <w:ind w:left="360"/>
              <w:spacing w:after="0" w:line="208" w:lineRule="exact"/>
              <w:rPr>
                <w:sz w:val="20"/>
                <w:szCs w:val="20"/>
                <w:color w:val="auto"/>
              </w:rPr>
            </w:pPr>
            <w:r>
              <w:rPr>
                <w:rFonts w:ascii="Calibri" w:cs="Calibri" w:eastAsia="Calibri" w:hAnsi="Calibri"/>
                <w:sz w:val="18"/>
                <w:szCs w:val="18"/>
                <w:color w:val="auto"/>
              </w:rPr>
              <w:t>Total other income, net</w:t>
            </w:r>
          </w:p>
        </w:tc>
        <w:tc>
          <w:tcPr>
            <w:tcW w:w="23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3,401</w:t>
            </w:r>
          </w:p>
        </w:tc>
        <w:tc>
          <w:tcPr>
            <w:tcW w:w="26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4,338</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Income before income taxes</w:t>
            </w:r>
          </w:p>
        </w:tc>
        <w:tc>
          <w:tcPr>
            <w:tcW w:w="2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29,685</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18,397</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580" w:type="dxa"/>
            <w:vAlign w:val="bottom"/>
          </w:tcPr>
          <w:p>
            <w:pPr>
              <w:spacing w:after="0" w:line="215" w:lineRule="exact"/>
              <w:rPr>
                <w:sz w:val="20"/>
                <w:szCs w:val="20"/>
                <w:color w:val="auto"/>
              </w:rPr>
            </w:pPr>
            <w:r>
              <w:rPr>
                <w:rFonts w:ascii="Calibri" w:cs="Calibri" w:eastAsia="Calibri" w:hAnsi="Calibri"/>
                <w:sz w:val="18"/>
                <w:szCs w:val="18"/>
                <w:color w:val="auto"/>
              </w:rPr>
              <w:t>Provision for income taxes</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8,384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6,531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6"/>
        </w:trPr>
        <w:tc>
          <w:tcPr>
            <w:tcW w:w="58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Consolidated net income</w:t>
            </w:r>
          </w:p>
        </w:tc>
        <w:tc>
          <w:tcPr>
            <w:tcW w:w="2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21,301</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11,866</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580" w:type="dxa"/>
            <w:vAlign w:val="bottom"/>
          </w:tcPr>
          <w:p>
            <w:pPr>
              <w:spacing w:after="0" w:line="215" w:lineRule="exact"/>
              <w:rPr>
                <w:sz w:val="20"/>
                <w:szCs w:val="20"/>
                <w:color w:val="auto"/>
              </w:rPr>
            </w:pPr>
            <w:r>
              <w:rPr>
                <w:rFonts w:ascii="Calibri" w:cs="Calibri" w:eastAsia="Calibri" w:hAnsi="Calibri"/>
                <w:sz w:val="18"/>
                <w:szCs w:val="18"/>
                <w:color w:val="auto"/>
              </w:rPr>
              <w:t>Net loss atributable to redeemable noncontrolling interest</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Pr>
          <w:p>
            <w:pPr>
              <w:spacing w:after="0"/>
              <w:rPr>
                <w:sz w:val="18"/>
                <w:szCs w:val="18"/>
                <w:color w:val="auto"/>
              </w:rPr>
            </w:pPr>
          </w:p>
        </w:tc>
        <w:tc>
          <w:tcPr>
            <w:tcW w:w="9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(4,266 )</w:t>
            </w: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81"/>
        </w:trPr>
        <w:tc>
          <w:tcPr>
            <w:tcW w:w="580" w:type="dxa"/>
            <w:vAlign w:val="bottom"/>
          </w:tcPr>
          <w:p>
            <w:pPr>
              <w:spacing w:after="0"/>
              <w:rPr>
                <w:sz w:val="24"/>
                <w:szCs w:val="24"/>
                <w:color w:val="auto"/>
              </w:rPr>
            </w:pPr>
          </w:p>
        </w:tc>
        <w:tc>
          <w:tcPr>
            <w:tcW w:w="45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Net income atributable to common stockholders</w:t>
            </w:r>
          </w:p>
        </w:tc>
        <w:tc>
          <w:tcPr>
            <w:tcW w:w="2680" w:type="dxa"/>
            <w:vAlign w:val="bottom"/>
            <w:tcBorders>
              <w:bottom w:val="single" w:sz="8" w:color="CFF0FC"/>
            </w:tcBorders>
            <w:gridSpan w:val="2"/>
            <w:shd w:val="clear" w:color="auto" w:fill="CFF0FC"/>
          </w:tcPr>
          <w:p>
            <w:pPr>
              <w:jc w:val="right"/>
              <w:ind w:right="240"/>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21,301</w:t>
            </w:r>
          </w:p>
        </w:tc>
        <w:tc>
          <w:tcPr>
            <w:tcW w:w="2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ind w:right="330"/>
              <w:spacing w:after="0" w:line="208"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16,132</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28"/>
        </w:trPr>
        <w:tc>
          <w:tcPr>
            <w:tcW w:w="580" w:type="dxa"/>
            <w:vAlign w:val="bottom"/>
          </w:tcPr>
          <w:p>
            <w:pPr>
              <w:spacing w:after="0"/>
              <w:rPr>
                <w:sz w:val="24"/>
                <w:szCs w:val="24"/>
                <w:color w:val="auto"/>
              </w:rPr>
            </w:pPr>
          </w:p>
        </w:tc>
        <w:tc>
          <w:tcPr>
            <w:tcW w:w="4580" w:type="dxa"/>
            <w:vAlign w:val="bottom"/>
            <w:tcBorders>
              <w:top w:val="single" w:sz="8" w:color="CFF0FC"/>
            </w:tcBorders>
          </w:tcPr>
          <w:p>
            <w:pPr>
              <w:spacing w:after="0"/>
              <w:rPr>
                <w:sz w:val="24"/>
                <w:szCs w:val="24"/>
                <w:color w:val="auto"/>
              </w:rPr>
            </w:pPr>
          </w:p>
        </w:tc>
        <w:tc>
          <w:tcPr>
            <w:tcW w:w="2340" w:type="dxa"/>
            <w:vAlign w:val="bottom"/>
            <w:tcBorders>
              <w:top w:val="single" w:sz="8" w:color="CFF0FC"/>
            </w:tcBorders>
          </w:tcPr>
          <w:p>
            <w:pPr>
              <w:jc w:val="right"/>
              <w:ind w:right="169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-3771265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-3771265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-2510790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-2510790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-1885315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-1885315</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-933450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-916305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081" w:gutter="0" w:footer="0" w:header="0"/>
        </w:sectPr>
      </w:pPr>
    </w:p>
    <w:bookmarkStart w:id="33" w:name="page34"/>
    <w:bookmarkEnd w:id="33"/>
    <w:p>
      <w:pPr>
        <w:ind w:left="520"/>
        <w:spacing w:after="0"/>
        <w:rPr>
          <w:sz w:val="20"/>
          <w:szCs w:val="20"/>
          <w:color w:val="auto"/>
        </w:rPr>
      </w:pPr>
      <w:r>
        <w:rPr>
          <w:rFonts w:ascii="Calibri" w:cs="Calibri" w:eastAsia="Calibri" w:hAnsi="Calibri"/>
          <w:sz w:val="18"/>
          <w:szCs w:val="18"/>
          <w:color w:val="auto"/>
        </w:rPr>
        <w:t>For the three months ended March 31, 2024 and 2023, our segment revenue and our segment income (loss) from operatons are as follows: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center"/>
              <w:ind w:left="396"/>
              <w:spacing w:after="0"/>
              <w:rPr>
                <w:sz w:val="20"/>
                <w:szCs w:val="20"/>
                <w:color w:val="auto"/>
              </w:rPr>
            </w:pPr>
            <w:r>
              <w:rPr>
                <w:rFonts w:ascii="Calibri" w:cs="Calibri" w:eastAsia="Calibri" w:hAnsi="Calibri"/>
                <w:sz w:val="14"/>
                <w:szCs w:val="14"/>
                <w:b w:val="1"/>
                <w:bCs w:val="1"/>
                <w:color w:val="auto"/>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3"/>
          </w:tcPr>
          <w:p>
            <w:pPr>
              <w:jc w:val="center"/>
              <w:ind w:left="436"/>
              <w:spacing w:after="0"/>
              <w:rPr>
                <w:sz w:val="20"/>
                <w:szCs w:val="20"/>
                <w:color w:val="auto"/>
              </w:rPr>
            </w:pPr>
            <w:r>
              <w:rPr>
                <w:rFonts w:ascii="Calibri" w:cs="Calibri" w:eastAsia="Calibri" w:hAnsi="Calibri"/>
                <w:sz w:val="14"/>
                <w:szCs w:val="14"/>
                <w:b w:val="1"/>
                <w:bCs w:val="1"/>
                <w:color w:val="auto"/>
              </w:rPr>
              <w:t>March 31,</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6"/>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472"/>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4"/>
                <w:szCs w:val="14"/>
                <w:color w:val="auto"/>
              </w:rPr>
            </w:pPr>
          </w:p>
        </w:tc>
      </w:tr>
      <w:tr>
        <w:trPr>
          <w:trHeight w:val="33"/>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center"/>
              <w:ind w:left="436"/>
              <w:spacing w:after="0" w:line="164" w:lineRule="exact"/>
              <w:rPr>
                <w:sz w:val="20"/>
                <w:szCs w:val="20"/>
                <w:color w:val="auto"/>
              </w:rPr>
            </w:pPr>
            <w:r>
              <w:rPr>
                <w:rFonts w:ascii="Calibri" w:cs="Calibri" w:eastAsia="Calibri" w:hAnsi="Calibri"/>
                <w:sz w:val="14"/>
                <w:szCs w:val="14"/>
                <w:b w:val="1"/>
                <w:bCs w:val="1"/>
                <w:color w:val="auto"/>
              </w:rPr>
              <w:t>(dollars in thousands)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Segment Revenue:</w:t>
            </w: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U.S. Marketplace</w:t>
            </w: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172,988</w:t>
            </w:r>
          </w:p>
        </w:tc>
        <w:tc>
          <w:tcPr>
            <w:tcW w:w="260" w:type="dxa"/>
            <w:vAlign w:val="bottom"/>
          </w:tcPr>
          <w:p>
            <w:pPr>
              <w:spacing w:after="0"/>
              <w:rPr>
                <w:sz w:val="18"/>
                <w:szCs w:val="18"/>
                <w:color w:val="auto"/>
              </w:rPr>
            </w:pPr>
          </w:p>
        </w:tc>
        <w:tc>
          <w:tcPr>
            <w:tcW w:w="540" w:type="dxa"/>
            <w:vAlign w:val="bottom"/>
          </w:tcPr>
          <w:p>
            <w:pPr>
              <w:jc w:val="right"/>
              <w:ind w:right="33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155,621</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Digital Wholesale</w:t>
            </w: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28,577</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64,836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14,231</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11,506</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81"/>
        </w:trPr>
        <w:tc>
          <w:tcPr>
            <w:tcW w:w="6920" w:type="dxa"/>
            <w:vAlign w:val="bottom"/>
            <w:tcBorders>
              <w:bottom w:val="single" w:sz="8" w:color="CFF0FC"/>
            </w:tcBorders>
            <w:shd w:val="clear" w:color="auto" w:fill="CFF0FC"/>
          </w:tcPr>
          <w:p>
            <w:pPr>
              <w:ind w:left="180"/>
              <w:spacing w:after="0" w:line="208" w:lineRule="exact"/>
              <w:rPr>
                <w:sz w:val="20"/>
                <w:szCs w:val="20"/>
                <w:color w:val="auto"/>
              </w:rPr>
            </w:pPr>
            <w:r>
              <w:rPr>
                <w:rFonts w:ascii="Calibri" w:cs="Calibri" w:eastAsia="Calibri" w:hAnsi="Calibri"/>
                <w:sz w:val="18"/>
                <w:szCs w:val="18"/>
                <w:color w:val="auto"/>
              </w:rPr>
              <w:t>Total</w:t>
            </w:r>
          </w:p>
        </w:tc>
        <w:tc>
          <w:tcPr>
            <w:tcW w:w="340" w:type="dxa"/>
            <w:vAlign w:val="bottom"/>
            <w:tcBorders>
              <w:bottom w:val="single" w:sz="8" w:color="CFF0FC"/>
            </w:tcBorders>
            <w:shd w:val="clear" w:color="auto" w:fill="CFF0FC"/>
          </w:tcPr>
          <w:p>
            <w:pPr>
              <w:jc w:val="right"/>
              <w:ind w:right="150"/>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215,796</w:t>
            </w:r>
          </w:p>
        </w:tc>
        <w:tc>
          <w:tcPr>
            <w:tcW w:w="2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ind w:right="330"/>
              <w:spacing w:after="0" w:line="208"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231,963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95"/>
        </w:trPr>
        <w:tc>
          <w:tcPr>
            <w:tcW w:w="6920" w:type="dxa"/>
            <w:vAlign w:val="bottom"/>
            <w:tcBorders>
              <w:top w:val="single" w:sz="8" w:color="CFF0FC"/>
            </w:tcBorders>
          </w:tcPr>
          <w:p>
            <w:pPr>
              <w:spacing w:after="0" w:line="196" w:lineRule="exact"/>
              <w:rPr>
                <w:sz w:val="20"/>
                <w:szCs w:val="20"/>
                <w:color w:val="auto"/>
              </w:rPr>
            </w:pPr>
            <w:r>
              <w:rPr>
                <w:rFonts w:ascii="Calibri" w:cs="Calibri" w:eastAsia="Calibri" w:hAnsi="Calibri"/>
                <w:sz w:val="18"/>
                <w:szCs w:val="18"/>
                <w:b w:val="1"/>
                <w:bCs w:val="1"/>
                <w:color w:val="auto"/>
              </w:rPr>
              <w:t>Segment Income (Loss) from Operatons:</w:t>
            </w: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8"/>
        </w:trPr>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U.S. Marketplace</w:t>
            </w:r>
          </w:p>
        </w:tc>
        <w:tc>
          <w:tcPr>
            <w:tcW w:w="340" w:type="dxa"/>
            <w:vAlign w:val="bottom"/>
            <w:tcBorders>
              <w:bottom w:val="single" w:sz="8" w:color="CFF0FC"/>
            </w:tcBorders>
            <w:shd w:val="clear" w:color="auto" w:fill="CFF0FC"/>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34,217</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ind w:right="33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26,539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Digital Wholesale</w:t>
            </w:r>
          </w:p>
        </w:tc>
        <w:tc>
          <w:tcPr>
            <w:tcW w:w="340" w:type="dxa"/>
            <w:vAlign w:val="bottom"/>
          </w:tcPr>
          <w:p>
            <w:pPr>
              <w:spacing w:after="0"/>
              <w:rPr>
                <w:sz w:val="18"/>
                <w:szCs w:val="18"/>
                <w:color w:val="auto"/>
              </w:rPr>
            </w:pPr>
          </w:p>
        </w:tc>
        <w:tc>
          <w:tcPr>
            <w:tcW w:w="134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(10,340 )</w:t>
            </w:r>
          </w:p>
        </w:tc>
        <w:tc>
          <w:tcPr>
            <w:tcW w:w="540" w:type="dxa"/>
            <w:vAlign w:val="bottom"/>
          </w:tcPr>
          <w:p>
            <w:pPr>
              <w:spacing w:after="0"/>
              <w:rPr>
                <w:sz w:val="18"/>
                <w:szCs w:val="18"/>
                <w:color w:val="auto"/>
              </w:rPr>
            </w:pPr>
          </w:p>
        </w:tc>
        <w:tc>
          <w:tcPr>
            <w:tcW w:w="9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(11,225 )</w:t>
            </w:r>
          </w:p>
        </w:tc>
      </w:tr>
      <w:tr>
        <w:trPr>
          <w:trHeight w:val="28"/>
        </w:trPr>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69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Other</w:t>
            </w: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2,407</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(1,255 )</w:t>
            </w:r>
          </w:p>
        </w:tc>
      </w:tr>
      <w:tr>
        <w:trPr>
          <w:trHeight w:val="208"/>
        </w:trPr>
        <w:tc>
          <w:tcPr>
            <w:tcW w:w="6920" w:type="dxa"/>
            <w:vAlign w:val="bottom"/>
            <w:tcBorders>
              <w:top w:val="single" w:sz="8" w:color="CFF0FC"/>
            </w:tcBorders>
          </w:tcPr>
          <w:p>
            <w:pPr>
              <w:ind w:left="180"/>
              <w:spacing w:after="0" w:line="208" w:lineRule="exact"/>
              <w:rPr>
                <w:sz w:val="20"/>
                <w:szCs w:val="20"/>
                <w:color w:val="auto"/>
              </w:rPr>
            </w:pPr>
            <w:r>
              <w:rPr>
                <w:rFonts w:ascii="Calibri" w:cs="Calibri" w:eastAsia="Calibri" w:hAnsi="Calibri"/>
                <w:sz w:val="18"/>
                <w:szCs w:val="18"/>
                <w:color w:val="auto"/>
              </w:rPr>
              <w:t>Total</w:t>
            </w:r>
          </w:p>
        </w:tc>
        <w:tc>
          <w:tcPr>
            <w:tcW w:w="340" w:type="dxa"/>
            <w:vAlign w:val="bottom"/>
            <w:tcBorders>
              <w:top w:val="single" w:sz="8" w:color="auto"/>
            </w:tcBorders>
          </w:tcPr>
          <w:p>
            <w:pPr>
              <w:jc w:val="right"/>
              <w:ind w:right="150"/>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26,284</w:t>
            </w:r>
          </w:p>
        </w:tc>
        <w:tc>
          <w:tcPr>
            <w:tcW w:w="26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jc w:val="right"/>
              <w:ind w:right="330"/>
              <w:spacing w:after="0" w:line="208" w:lineRule="exact"/>
              <w:rPr>
                <w:sz w:val="20"/>
                <w:szCs w:val="20"/>
                <w:color w:val="auto"/>
              </w:rPr>
            </w:pPr>
            <w:r>
              <w:rPr>
                <w:rFonts w:ascii="Calibri" w:cs="Calibri" w:eastAsia="Calibri" w:hAnsi="Calibri"/>
                <w:sz w:val="18"/>
                <w:szCs w:val="18"/>
                <w:color w:val="auto"/>
              </w:rPr>
              <w:t>$</w:t>
            </w:r>
          </w:p>
        </w:tc>
        <w:tc>
          <w:tcPr>
            <w:tcW w:w="8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14,059</w:t>
            </w:r>
          </w:p>
        </w:tc>
        <w:tc>
          <w:tcPr>
            <w:tcW w:w="100" w:type="dxa"/>
            <w:vAlign w:val="bottom"/>
            <w:tcBorders>
              <w:top w:val="single" w:sz="8" w:color="CFF0FC"/>
            </w:tcBorders>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6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-831215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-814070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-831215</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-814070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For the three months ended March 31, 2024 and 2023, the Unaudited Condensed Consolidated Income Statements as a percentage of total revenue are as follows (amounts in the table below may not sum due to rounding):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gridSpan w:val="3"/>
          </w:tcPr>
          <w:p>
            <w:pPr>
              <w:jc w:val="center"/>
              <w:ind w:right="20"/>
              <w:spacing w:after="0"/>
              <w:rPr>
                <w:sz w:val="20"/>
                <w:szCs w:val="20"/>
                <w:color w:val="auto"/>
              </w:rPr>
            </w:pPr>
            <w:r>
              <w:rPr>
                <w:rFonts w:ascii="Calibri" w:cs="Calibri" w:eastAsia="Calibri" w:hAnsi="Calibri"/>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March 31,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77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8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5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491"/>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80" w:type="dxa"/>
            <w:vAlign w:val="bottom"/>
            <w:tcBorders>
              <w:bottom w:val="single" w:sz="8" w:color="CFF0FC"/>
            </w:tcBorders>
            <w:gridSpan w:val="2"/>
            <w:shd w:val="clear" w:color="auto" w:fill="CFF0FC"/>
          </w:tcPr>
          <w:p>
            <w:pPr>
              <w:spacing w:after="0" w:line="208" w:lineRule="exact"/>
              <w:rPr>
                <w:sz w:val="20"/>
                <w:szCs w:val="20"/>
                <w:color w:val="auto"/>
              </w:rPr>
            </w:pPr>
            <w:r>
              <w:rPr>
                <w:rFonts w:ascii="Calibri" w:cs="Calibri" w:eastAsia="Calibri" w:hAnsi="Calibri"/>
                <w:sz w:val="18"/>
                <w:szCs w:val="18"/>
                <w:color w:val="auto"/>
              </w:rPr>
              <w:t>Revenue:</w:t>
            </w:r>
          </w:p>
        </w:tc>
        <w:tc>
          <w:tcPr>
            <w:tcW w:w="5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Marketplace</w:t>
            </w:r>
          </w:p>
        </w:tc>
        <w:tc>
          <w:tcPr>
            <w:tcW w:w="7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87 %</w:t>
            </w:r>
          </w:p>
        </w:tc>
        <w:tc>
          <w:tcPr>
            <w:tcW w:w="540" w:type="dxa"/>
            <w:vAlign w:val="bottom"/>
          </w:tcPr>
          <w:p>
            <w:pPr>
              <w:spacing w:after="0"/>
              <w:rPr>
                <w:sz w:val="18"/>
                <w:szCs w:val="18"/>
                <w:color w:val="auto"/>
              </w:rPr>
            </w:pPr>
          </w:p>
        </w:tc>
        <w:tc>
          <w:tcPr>
            <w:tcW w:w="1560" w:type="dxa"/>
            <w:vAlign w:val="bottom"/>
            <w:gridSpan w:val="3"/>
          </w:tcPr>
          <w:p>
            <w:pPr>
              <w:jc w:val="right"/>
              <w:ind w:right="520"/>
              <w:spacing w:after="0" w:line="215" w:lineRule="exact"/>
              <w:rPr>
                <w:sz w:val="20"/>
                <w:szCs w:val="20"/>
                <w:color w:val="auto"/>
              </w:rPr>
            </w:pPr>
            <w:r>
              <w:rPr>
                <w:rFonts w:ascii="Calibri" w:cs="Calibri" w:eastAsia="Calibri" w:hAnsi="Calibri"/>
                <w:sz w:val="18"/>
                <w:szCs w:val="18"/>
                <w:color w:val="auto"/>
              </w:rPr>
              <w:t>72 %</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7780" w:type="dxa"/>
            <w:vAlign w:val="bottom"/>
            <w:tcBorders>
              <w:bottom w:val="single" w:sz="8" w:color="CFF0FC"/>
            </w:tcBorders>
            <w:gridSpan w:val="2"/>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Wholesale</w:t>
            </w:r>
          </w:p>
        </w:tc>
        <w:tc>
          <w:tcPr>
            <w:tcW w:w="5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Product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80" w:type="dxa"/>
            <w:vAlign w:val="bottom"/>
            <w:tcBorders>
              <w:bottom w:val="single" w:sz="8" w:color="CFF0FC"/>
            </w:tcBorders>
            <w:gridSpan w:val="2"/>
            <w:shd w:val="clear" w:color="auto" w:fill="CFF0FC"/>
          </w:tcPr>
          <w:p>
            <w:pPr>
              <w:ind w:left="280"/>
              <w:spacing w:after="0" w:line="208" w:lineRule="exact"/>
              <w:rPr>
                <w:sz w:val="20"/>
                <w:szCs w:val="20"/>
                <w:color w:val="auto"/>
              </w:rPr>
            </w:pPr>
            <w:r>
              <w:rPr>
                <w:rFonts w:ascii="Calibri" w:cs="Calibri" w:eastAsia="Calibri" w:hAnsi="Calibri"/>
                <w:sz w:val="18"/>
                <w:szCs w:val="18"/>
                <w:color w:val="auto"/>
              </w:rPr>
              <w:t>Total revenue</w:t>
            </w:r>
          </w:p>
        </w:tc>
        <w:tc>
          <w:tcPr>
            <w:tcW w:w="5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100</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100</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spacing w:after="0" w:line="215" w:lineRule="exact"/>
              <w:rPr>
                <w:sz w:val="20"/>
                <w:szCs w:val="20"/>
                <w:color w:val="auto"/>
              </w:rPr>
            </w:pPr>
            <w:r>
              <w:rPr>
                <w:rFonts w:ascii="Calibri" w:cs="Calibri" w:eastAsia="Calibri" w:hAnsi="Calibri"/>
                <w:sz w:val="18"/>
                <w:szCs w:val="18"/>
                <w:color w:val="auto"/>
              </w:rPr>
              <w:t>Cost of revenue: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7780" w:type="dxa"/>
            <w:vAlign w:val="bottom"/>
            <w:tcBorders>
              <w:bottom w:val="single" w:sz="8" w:color="CFF0FC"/>
            </w:tcBorders>
            <w:gridSpan w:val="2"/>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Marketplace</w:t>
            </w:r>
          </w:p>
        </w:tc>
        <w:tc>
          <w:tcPr>
            <w:tcW w:w="5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Wholesale</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80" w:type="dxa"/>
            <w:vAlign w:val="bottom"/>
          </w:tcPr>
          <w:p>
            <w:pPr>
              <w:spacing w:after="0"/>
              <w:rPr>
                <w:sz w:val="21"/>
                <w:szCs w:val="21"/>
                <w:color w:val="auto"/>
              </w:rPr>
            </w:pPr>
          </w:p>
        </w:tc>
        <w:tc>
          <w:tcPr>
            <w:tcW w:w="69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Product</w:t>
            </w:r>
          </w:p>
        </w:tc>
        <w:tc>
          <w:tcPr>
            <w:tcW w:w="8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6900" w:type="dxa"/>
            <w:vAlign w:val="bottom"/>
            <w:tcBorders>
              <w:top w:val="single" w:sz="8" w:color="CFF0FC"/>
            </w:tcBorders>
          </w:tcPr>
          <w:p>
            <w:pPr>
              <w:ind w:left="280"/>
              <w:spacing w:after="0" w:line="208" w:lineRule="exact"/>
              <w:rPr>
                <w:sz w:val="20"/>
                <w:szCs w:val="20"/>
                <w:color w:val="auto"/>
              </w:rPr>
            </w:pPr>
            <w:r>
              <w:rPr>
                <w:rFonts w:ascii="Calibri" w:cs="Calibri" w:eastAsia="Calibri" w:hAnsi="Calibri"/>
                <w:sz w:val="18"/>
                <w:szCs w:val="18"/>
                <w:color w:val="auto"/>
              </w:rPr>
              <w:t>Total cost of revenue</w:t>
            </w: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19</w:t>
            </w:r>
          </w:p>
        </w:tc>
        <w:tc>
          <w:tcPr>
            <w:tcW w:w="22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33</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80" w:type="dxa"/>
            <w:vAlign w:val="bottom"/>
            <w:tcBorders>
              <w:bottom w:val="single" w:sz="8" w:color="CFF0FC"/>
            </w:tcBorders>
            <w:gridSpan w:val="2"/>
            <w:shd w:val="clear" w:color="auto" w:fill="CFF0FC"/>
          </w:tcPr>
          <w:p>
            <w:pPr>
              <w:spacing w:after="0" w:line="208" w:lineRule="exact"/>
              <w:rPr>
                <w:sz w:val="20"/>
                <w:szCs w:val="20"/>
                <w:color w:val="auto"/>
              </w:rPr>
            </w:pPr>
            <w:r>
              <w:rPr>
                <w:rFonts w:ascii="Calibri" w:cs="Calibri" w:eastAsia="Calibri" w:hAnsi="Calibri"/>
                <w:sz w:val="18"/>
                <w:szCs w:val="18"/>
                <w:color w:val="auto"/>
              </w:rPr>
              <w:t>Gross proft</w:t>
            </w:r>
          </w:p>
        </w:tc>
        <w:tc>
          <w:tcPr>
            <w:tcW w:w="5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81</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67</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spacing w:after="0" w:line="215" w:lineRule="exact"/>
              <w:rPr>
                <w:sz w:val="20"/>
                <w:szCs w:val="20"/>
                <w:color w:val="auto"/>
              </w:rPr>
            </w:pPr>
            <w:r>
              <w:rPr>
                <w:rFonts w:ascii="Calibri" w:cs="Calibri" w:eastAsia="Calibri" w:hAnsi="Calibri"/>
                <w:sz w:val="18"/>
                <w:szCs w:val="18"/>
                <w:color w:val="auto"/>
              </w:rPr>
              <w:t>Operatng expenses: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7780" w:type="dxa"/>
            <w:vAlign w:val="bottom"/>
            <w:tcBorders>
              <w:bottom w:val="single" w:sz="8" w:color="CFF0FC"/>
            </w:tcBorders>
            <w:gridSpan w:val="2"/>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Sales and marketng</w:t>
            </w:r>
          </w:p>
        </w:tc>
        <w:tc>
          <w:tcPr>
            <w:tcW w:w="5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w:t>
            </w: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Product, technology, and development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16</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7780" w:type="dxa"/>
            <w:vAlign w:val="bottom"/>
            <w:tcBorders>
              <w:bottom w:val="single" w:sz="8" w:color="CFF0FC"/>
            </w:tcBorders>
            <w:gridSpan w:val="2"/>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General and administratve</w:t>
            </w:r>
          </w:p>
        </w:tc>
        <w:tc>
          <w:tcPr>
            <w:tcW w:w="5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w:t>
            </w: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Depreciaton and amortzaton</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0"/>
                <w:szCs w:val="20"/>
                <w:color w:val="auto"/>
              </w:rPr>
            </w:pPr>
          </w:p>
        </w:tc>
        <w:tc>
          <w:tcPr>
            <w:tcW w:w="6900" w:type="dxa"/>
            <w:vAlign w:val="bottom"/>
            <w:tcBorders>
              <w:bottom w:val="single" w:sz="8" w:color="CFF0FC"/>
            </w:tcBorders>
            <w:shd w:val="clear" w:color="auto" w:fill="CFF0FC"/>
          </w:tcPr>
          <w:p>
            <w:pPr>
              <w:ind w:left="360"/>
              <w:spacing w:after="0" w:line="208" w:lineRule="exact"/>
              <w:rPr>
                <w:sz w:val="20"/>
                <w:szCs w:val="20"/>
                <w:color w:val="auto"/>
              </w:rPr>
            </w:pPr>
            <w:r>
              <w:rPr>
                <w:rFonts w:ascii="Calibri" w:cs="Calibri" w:eastAsia="Calibri" w:hAnsi="Calibri"/>
                <w:sz w:val="18"/>
                <w:szCs w:val="18"/>
                <w:color w:val="auto"/>
              </w:rPr>
              <w:t>Total operatng expenses</w:t>
            </w:r>
          </w:p>
        </w:tc>
        <w:tc>
          <w:tcPr>
            <w:tcW w:w="8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69</w:t>
            </w:r>
          </w:p>
        </w:tc>
        <w:tc>
          <w:tcPr>
            <w:tcW w:w="2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61</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690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Income from operatons</w:t>
            </w: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w:t>
            </w:r>
          </w:p>
        </w:tc>
        <w:tc>
          <w:tcPr>
            <w:tcW w:w="22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7780" w:type="dxa"/>
            <w:vAlign w:val="bottom"/>
            <w:tcBorders>
              <w:bottom w:val="single" w:sz="8" w:color="CFF0FC"/>
            </w:tcBorders>
            <w:gridSpan w:val="2"/>
            <w:shd w:val="clear" w:color="auto" w:fill="CFF0FC"/>
          </w:tcPr>
          <w:p>
            <w:pPr>
              <w:spacing w:after="0" w:line="215" w:lineRule="exact"/>
              <w:rPr>
                <w:sz w:val="20"/>
                <w:szCs w:val="20"/>
                <w:color w:val="auto"/>
              </w:rPr>
            </w:pPr>
            <w:r>
              <w:rPr>
                <w:rFonts w:ascii="Calibri" w:cs="Calibri" w:eastAsia="Calibri" w:hAnsi="Calibri"/>
                <w:sz w:val="18"/>
                <w:szCs w:val="18"/>
                <w:color w:val="auto"/>
              </w:rPr>
              <w:t>Other income, net:</w:t>
            </w:r>
          </w:p>
        </w:tc>
        <w:tc>
          <w:tcPr>
            <w:tcW w:w="5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Interest income</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80" w:type="dxa"/>
            <w:vAlign w:val="bottom"/>
          </w:tcPr>
          <w:p>
            <w:pPr>
              <w:spacing w:after="0"/>
              <w:rPr>
                <w:sz w:val="21"/>
                <w:szCs w:val="21"/>
                <w:color w:val="auto"/>
              </w:rPr>
            </w:pPr>
          </w:p>
        </w:tc>
        <w:tc>
          <w:tcPr>
            <w:tcW w:w="69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Other (expense) income, net</w:t>
            </w:r>
          </w:p>
        </w:tc>
        <w:tc>
          <w:tcPr>
            <w:tcW w:w="8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(0 )</w:t>
            </w:r>
          </w:p>
        </w:tc>
        <w:tc>
          <w:tcPr>
            <w:tcW w:w="5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6900" w:type="dxa"/>
            <w:vAlign w:val="bottom"/>
            <w:tcBorders>
              <w:top w:val="single" w:sz="8" w:color="CFF0FC"/>
            </w:tcBorders>
          </w:tcPr>
          <w:p>
            <w:pPr>
              <w:ind w:left="360"/>
              <w:spacing w:after="0" w:line="208" w:lineRule="exact"/>
              <w:rPr>
                <w:sz w:val="20"/>
                <w:szCs w:val="20"/>
                <w:color w:val="auto"/>
              </w:rPr>
            </w:pPr>
            <w:r>
              <w:rPr>
                <w:rFonts w:ascii="Calibri" w:cs="Calibri" w:eastAsia="Calibri" w:hAnsi="Calibri"/>
                <w:sz w:val="18"/>
                <w:szCs w:val="18"/>
                <w:color w:val="auto"/>
              </w:rPr>
              <w:t>Total other income, net</w:t>
            </w: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w:t>
            </w:r>
          </w:p>
        </w:tc>
        <w:tc>
          <w:tcPr>
            <w:tcW w:w="22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7780" w:type="dxa"/>
            <w:vAlign w:val="bottom"/>
            <w:tcBorders>
              <w:bottom w:val="single" w:sz="8" w:color="CFF0FC"/>
            </w:tcBorders>
            <w:gridSpan w:val="2"/>
            <w:shd w:val="clear" w:color="auto" w:fill="CFF0FC"/>
          </w:tcPr>
          <w:p>
            <w:pPr>
              <w:spacing w:after="0" w:line="215" w:lineRule="exact"/>
              <w:rPr>
                <w:sz w:val="20"/>
                <w:szCs w:val="20"/>
                <w:color w:val="auto"/>
              </w:rPr>
            </w:pPr>
            <w:r>
              <w:rPr>
                <w:rFonts w:ascii="Calibri" w:cs="Calibri" w:eastAsia="Calibri" w:hAnsi="Calibri"/>
                <w:sz w:val="18"/>
                <w:szCs w:val="18"/>
                <w:color w:val="auto"/>
              </w:rPr>
              <w:t>Income before income taxes</w:t>
            </w:r>
          </w:p>
        </w:tc>
        <w:tc>
          <w:tcPr>
            <w:tcW w:w="5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w:t>
            </w: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spacing w:after="0" w:line="215" w:lineRule="exact"/>
              <w:rPr>
                <w:sz w:val="20"/>
                <w:szCs w:val="20"/>
                <w:color w:val="auto"/>
              </w:rPr>
            </w:pPr>
            <w:r>
              <w:rPr>
                <w:rFonts w:ascii="Calibri" w:cs="Calibri" w:eastAsia="Calibri" w:hAnsi="Calibri"/>
                <w:sz w:val="18"/>
                <w:szCs w:val="18"/>
                <w:color w:val="auto"/>
              </w:rPr>
              <w:t>Provision for income taxes</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80" w:type="dxa"/>
            <w:vAlign w:val="bottom"/>
            <w:tcBorders>
              <w:bottom w:val="single" w:sz="8" w:color="CFF0FC"/>
            </w:tcBorders>
            <w:gridSpan w:val="2"/>
            <w:shd w:val="clear" w:color="auto" w:fill="CFF0FC"/>
          </w:tcPr>
          <w:p>
            <w:pPr>
              <w:spacing w:after="0" w:line="208" w:lineRule="exact"/>
              <w:rPr>
                <w:sz w:val="20"/>
                <w:szCs w:val="20"/>
                <w:color w:val="auto"/>
              </w:rPr>
            </w:pPr>
            <w:r>
              <w:rPr>
                <w:rFonts w:ascii="Calibri" w:cs="Calibri" w:eastAsia="Calibri" w:hAnsi="Calibri"/>
                <w:sz w:val="18"/>
                <w:szCs w:val="18"/>
                <w:color w:val="auto"/>
              </w:rPr>
              <w:t>Consolidated net income</w:t>
            </w:r>
          </w:p>
        </w:tc>
        <w:tc>
          <w:tcPr>
            <w:tcW w:w="5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spacing w:after="0" w:line="215" w:lineRule="exact"/>
              <w:rPr>
                <w:sz w:val="20"/>
                <w:szCs w:val="20"/>
                <w:color w:val="auto"/>
              </w:rPr>
            </w:pPr>
            <w:r>
              <w:rPr>
                <w:rFonts w:ascii="Calibri" w:cs="Calibri" w:eastAsia="Calibri" w:hAnsi="Calibri"/>
                <w:sz w:val="18"/>
                <w:szCs w:val="18"/>
                <w:color w:val="auto"/>
              </w:rPr>
              <w:t>Net loss atributable to redeemable noncontrolling interest</w:t>
            </w:r>
          </w:p>
        </w:tc>
        <w:tc>
          <w:tcPr>
            <w:tcW w:w="1320" w:type="dxa"/>
            <w:vAlign w:val="bottom"/>
            <w:gridSpan w:val="3"/>
          </w:tcPr>
          <w:p>
            <w:pPr>
              <w:jc w:val="right"/>
              <w:ind w:right="78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7780" w:type="dxa"/>
            <w:vAlign w:val="bottom"/>
            <w:gridSpan w:val="2"/>
          </w:tcPr>
          <w:p>
            <w:pPr>
              <w:spacing w:after="0" w:line="208" w:lineRule="exact"/>
              <w:rPr>
                <w:sz w:val="20"/>
                <w:szCs w:val="20"/>
                <w:color w:val="auto"/>
              </w:rPr>
            </w:pPr>
            <w:r>
              <w:rPr>
                <w:rFonts w:ascii="Calibri" w:cs="Calibri" w:eastAsia="Calibri" w:hAnsi="Calibri"/>
                <w:sz w:val="18"/>
                <w:szCs w:val="18"/>
                <w:color w:val="auto"/>
              </w:rPr>
              <w:t>Net income atributable to common stockholders</w:t>
            </w:r>
          </w:p>
        </w:tc>
        <w:tc>
          <w:tcPr>
            <w:tcW w:w="780" w:type="dxa"/>
            <w:vAlign w:val="bottom"/>
            <w:gridSpan w:val="2"/>
          </w:tcPr>
          <w:p>
            <w:pPr>
              <w:jc w:val="right"/>
              <w:ind w:right="80"/>
              <w:spacing w:after="0" w:line="208" w:lineRule="exact"/>
              <w:rPr>
                <w:sz w:val="20"/>
                <w:szCs w:val="20"/>
                <w:color w:val="auto"/>
              </w:rPr>
            </w:pPr>
            <w:r>
              <w:rPr>
                <w:rFonts w:ascii="Calibri" w:cs="Calibri" w:eastAsia="Calibri" w:hAnsi="Calibri"/>
                <w:sz w:val="18"/>
                <w:szCs w:val="18"/>
                <w:color w:val="auto"/>
              </w:rPr>
              <w:t>10 %</w:t>
            </w:r>
          </w:p>
        </w:tc>
        <w:tc>
          <w:tcPr>
            <w:tcW w:w="540" w:type="dxa"/>
            <w:vAlign w:val="bottom"/>
          </w:tcPr>
          <w:p>
            <w:pPr>
              <w:spacing w:after="0"/>
              <w:rPr>
                <w:sz w:val="18"/>
                <w:szCs w:val="18"/>
                <w:color w:val="auto"/>
              </w:rPr>
            </w:pPr>
          </w:p>
        </w:tc>
        <w:tc>
          <w:tcPr>
            <w:tcW w:w="1560" w:type="dxa"/>
            <w:vAlign w:val="bottom"/>
            <w:gridSpan w:val="3"/>
          </w:tcPr>
          <w:p>
            <w:pPr>
              <w:jc w:val="right"/>
              <w:ind w:right="520"/>
              <w:spacing w:after="0" w:line="208" w:lineRule="exact"/>
              <w:rPr>
                <w:sz w:val="20"/>
                <w:szCs w:val="20"/>
                <w:color w:val="auto"/>
              </w:rPr>
            </w:pPr>
            <w:r>
              <w:rPr>
                <w:rFonts w:ascii="Calibri" w:cs="Calibri" w:eastAsia="Calibri" w:hAnsi="Calibri"/>
                <w:sz w:val="18"/>
                <w:szCs w:val="18"/>
                <w:color w:val="auto"/>
              </w:rPr>
              <w:t>7 %</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69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69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-3771265</wp:posOffset>
            </wp:positionV>
            <wp:extent cx="596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-3771265</wp:posOffset>
            </wp:positionV>
            <wp:extent cx="603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-2510790</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-2510790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-1885315</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-1885315</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-1087755</wp:posOffset>
            </wp:positionV>
            <wp:extent cx="6412230" cy="1803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1223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4" w:name="page35"/>
    <w:bookmarkEnd w:id="34"/>
    <w:p>
      <w:pPr>
        <w:jc w:val="both"/>
        <w:ind w:firstLine="509"/>
        <w:spacing w:after="0" w:line="235" w:lineRule="auto"/>
        <w:rPr>
          <w:sz w:val="20"/>
          <w:szCs w:val="20"/>
          <w:color w:val="auto"/>
        </w:rPr>
      </w:pPr>
      <w:r>
        <w:rPr>
          <w:rFonts w:ascii="Calibri" w:cs="Calibri" w:eastAsia="Calibri" w:hAnsi="Calibri"/>
          <w:sz w:val="18"/>
          <w:szCs w:val="18"/>
          <w:color w:val="auto"/>
        </w:rPr>
        <w:t>For the three months ended March 31, 2024 and 2023, our segment revenue as a percentage of total revenue and our segment income (loss) from operatons as a percentage of segment revenue are as follows (amounts in the table below may not sum due to rounding):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6"/>
          </w:tcPr>
          <w:p>
            <w:pPr>
              <w:jc w:val="center"/>
              <w:spacing w:after="0"/>
              <w:rPr>
                <w:sz w:val="20"/>
                <w:szCs w:val="20"/>
                <w:color w:val="auto"/>
              </w:rPr>
            </w:pPr>
            <w:r>
              <w:rPr>
                <w:rFonts w:ascii="Calibri" w:cs="Calibri" w:eastAsia="Calibri" w:hAnsi="Calibri"/>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5"/>
          </w:tcPr>
          <w:p>
            <w:pPr>
              <w:jc w:val="center"/>
              <w:ind w:right="160"/>
              <w:spacing w:after="0"/>
              <w:rPr>
                <w:sz w:val="20"/>
                <w:szCs w:val="20"/>
                <w:color w:val="auto"/>
              </w:rPr>
            </w:pPr>
            <w:r>
              <w:rPr>
                <w:rFonts w:ascii="Calibri" w:cs="Calibri" w:eastAsia="Calibri" w:hAnsi="Calibri"/>
                <w:sz w:val="14"/>
                <w:szCs w:val="14"/>
                <w:b w:val="1"/>
                <w:bCs w:val="1"/>
                <w:color w:val="auto"/>
              </w:rPr>
              <w:t>March 31,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top w:val="single" w:sz="8" w:color="auto"/>
            </w:tcBorders>
            <w:gridSpan w:val="3"/>
          </w:tcPr>
          <w:p>
            <w:pPr>
              <w:jc w:val="right"/>
              <w:ind w:right="76"/>
              <w:spacing w:after="0" w:line="164" w:lineRule="exact"/>
              <w:rPr>
                <w:sz w:val="20"/>
                <w:szCs w:val="20"/>
                <w:color w:val="auto"/>
              </w:rPr>
            </w:pPr>
            <w:r>
              <w:rPr>
                <w:rFonts w:ascii="Calibri" w:cs="Calibri" w:eastAsia="Calibri" w:hAnsi="Calibri"/>
                <w:sz w:val="14"/>
                <w:szCs w:val="14"/>
                <w:b w:val="1"/>
                <w:bCs w:val="1"/>
                <w:color w:val="auto"/>
              </w:rPr>
              <w:t>2024</w:t>
            </w: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493"/>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52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b w:val="1"/>
                <w:bCs w:val="1"/>
                <w:color w:val="auto"/>
              </w:rPr>
              <w:t>Segment Revenue:</w:t>
            </w: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U.S. Marketplace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80 %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0"/>
              <w:spacing w:after="0" w:line="215" w:lineRule="exact"/>
              <w:rPr>
                <w:sz w:val="20"/>
                <w:szCs w:val="20"/>
                <w:color w:val="auto"/>
              </w:rPr>
            </w:pPr>
            <w:r>
              <w:rPr>
                <w:rFonts w:ascii="Calibri" w:cs="Calibri" w:eastAsia="Calibri" w:hAnsi="Calibri"/>
                <w:sz w:val="18"/>
                <w:szCs w:val="18"/>
                <w:color w:val="auto"/>
              </w:rPr>
              <w:t>67 %</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Digital Wholesale</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5200" w:type="dxa"/>
            <w:vAlign w:val="bottom"/>
            <w:vMerge w:val="restart"/>
          </w:tcPr>
          <w:p>
            <w:pPr>
              <w:ind w:left="180"/>
              <w:spacing w:after="0"/>
              <w:rPr>
                <w:sz w:val="20"/>
                <w:szCs w:val="20"/>
                <w:color w:val="auto"/>
              </w:rPr>
            </w:pPr>
            <w:r>
              <w:rPr>
                <w:rFonts w:ascii="Calibri" w:cs="Calibri" w:eastAsia="Calibri" w:hAnsi="Calibri"/>
                <w:sz w:val="18"/>
                <w:szCs w:val="18"/>
                <w:color w:val="auto"/>
              </w:rPr>
              <w:t>Total</w:t>
            </w: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80"/>
              <w:spacing w:after="0" w:line="208" w:lineRule="exact"/>
              <w:rPr>
                <w:sz w:val="20"/>
                <w:szCs w:val="20"/>
                <w:color w:val="auto"/>
              </w:rPr>
            </w:pPr>
            <w:r>
              <w:rPr>
                <w:rFonts w:ascii="Calibri" w:cs="Calibri" w:eastAsia="Calibri" w:hAnsi="Calibri"/>
                <w:sz w:val="18"/>
                <w:szCs w:val="18"/>
                <w:color w:val="auto"/>
              </w:rPr>
              <w:t>100 %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0"/>
              <w:spacing w:after="0" w:line="208" w:lineRule="exact"/>
              <w:rPr>
                <w:sz w:val="20"/>
                <w:szCs w:val="20"/>
                <w:color w:val="auto"/>
              </w:rPr>
            </w:pPr>
            <w:r>
              <w:rPr>
                <w:rFonts w:ascii="Calibri" w:cs="Calibri" w:eastAsia="Calibri" w:hAnsi="Calibri"/>
                <w:sz w:val="18"/>
                <w:szCs w:val="18"/>
                <w:color w:val="auto"/>
              </w:rPr>
              <w:t>100 %</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5200" w:type="dxa"/>
            <w:vAlign w:val="bottom"/>
            <w:vMerge w:val="restart"/>
          </w:tcPr>
          <w:p>
            <w:pPr>
              <w:spacing w:after="0"/>
              <w:rPr>
                <w:sz w:val="20"/>
                <w:szCs w:val="20"/>
                <w:color w:val="auto"/>
              </w:rPr>
            </w:pPr>
            <w:r>
              <w:rPr>
                <w:rFonts w:ascii="Calibri" w:cs="Calibri" w:eastAsia="Calibri" w:hAnsi="Calibri"/>
                <w:sz w:val="18"/>
                <w:szCs w:val="18"/>
                <w:b w:val="1"/>
                <w:bCs w:val="1"/>
                <w:color w:val="auto"/>
              </w:rPr>
              <w:t>Segment Income (Loss) from Operatons:</w:t>
            </w: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80" w:type="dxa"/>
            <w:vAlign w:val="bottom"/>
          </w:tcPr>
          <w:p>
            <w:pPr>
              <w:spacing w:after="0"/>
              <w:rPr>
                <w:sz w:val="16"/>
                <w:szCs w:val="16"/>
                <w:color w:val="auto"/>
              </w:rPr>
            </w:pPr>
          </w:p>
        </w:tc>
        <w:tc>
          <w:tcPr>
            <w:tcW w:w="5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Calibri" w:cs="Calibri" w:eastAsia="Calibri" w:hAnsi="Calibri"/>
                <w:sz w:val="18"/>
                <w:szCs w:val="18"/>
                <w:color w:val="auto"/>
              </w:rPr>
              <w:t>U.S. Marketplace</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Calibri" w:cs="Calibri" w:eastAsia="Calibri" w:hAnsi="Calibri"/>
                <w:sz w:val="18"/>
                <w:szCs w:val="18"/>
                <w:color w:val="auto"/>
              </w:rPr>
              <w:t>20 %</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Calibri" w:cs="Calibri" w:eastAsia="Calibri" w:hAnsi="Calibri"/>
                <w:sz w:val="18"/>
                <w:szCs w:val="18"/>
                <w:color w:val="auto"/>
              </w:rPr>
              <w:t>17 %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Calibri" w:cs="Calibri" w:eastAsia="Calibri" w:hAnsi="Calibri"/>
                <w:sz w:val="18"/>
                <w:szCs w:val="18"/>
                <w:color w:val="auto"/>
              </w:rPr>
              <w:t>Digital Wholesale</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(36 )</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Calibri" w:cs="Calibri" w:eastAsia="Calibri" w:hAnsi="Calibri"/>
                <w:sz w:val="18"/>
                <w:szCs w:val="18"/>
                <w:color w:val="auto"/>
              </w:rPr>
              <w:t>(17 )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580" w:type="dxa"/>
            <w:vAlign w:val="bottom"/>
          </w:tcPr>
          <w:p>
            <w:pPr>
              <w:spacing w:after="0"/>
              <w:rPr>
                <w:sz w:val="3"/>
                <w:szCs w:val="3"/>
                <w:color w:val="auto"/>
              </w:rPr>
            </w:pPr>
          </w:p>
        </w:tc>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(11 )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0" w:type="dxa"/>
            <w:vAlign w:val="bottom"/>
          </w:tcPr>
          <w:p>
            <w:pPr>
              <w:spacing w:after="0"/>
              <w:rPr>
                <w:sz w:val="18"/>
                <w:szCs w:val="18"/>
                <w:color w:val="auto"/>
              </w:rPr>
            </w:pPr>
          </w:p>
        </w:tc>
        <w:tc>
          <w:tcPr>
            <w:tcW w:w="5200" w:type="dxa"/>
            <w:vAlign w:val="bottom"/>
          </w:tcPr>
          <w:p>
            <w:pPr>
              <w:ind w:left="180"/>
              <w:spacing w:after="0" w:line="208" w:lineRule="exact"/>
              <w:rPr>
                <w:sz w:val="20"/>
                <w:szCs w:val="20"/>
                <w:color w:val="auto"/>
              </w:rPr>
            </w:pPr>
            <w:r>
              <w:rPr>
                <w:rFonts w:ascii="Calibri" w:cs="Calibri" w:eastAsia="Calibri" w:hAnsi="Calibri"/>
                <w:sz w:val="18"/>
                <w:szCs w:val="18"/>
                <w:color w:val="auto"/>
              </w:rPr>
              <w:t>Total</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80"/>
              <w:spacing w:after="0" w:line="208" w:lineRule="exact"/>
              <w:rPr>
                <w:sz w:val="20"/>
                <w:szCs w:val="20"/>
                <w:color w:val="auto"/>
              </w:rPr>
            </w:pPr>
            <w:r>
              <w:rPr>
                <w:rFonts w:ascii="Calibri" w:cs="Calibri" w:eastAsia="Calibri" w:hAnsi="Calibri"/>
                <w:sz w:val="18"/>
                <w:szCs w:val="18"/>
                <w:color w:val="auto"/>
              </w:rPr>
              <w:t>12 %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0"/>
              <w:spacing w:after="0" w:line="208" w:lineRule="exact"/>
              <w:rPr>
                <w:sz w:val="20"/>
                <w:szCs w:val="20"/>
                <w:color w:val="auto"/>
              </w:rPr>
            </w:pPr>
            <w:r>
              <w:rPr>
                <w:rFonts w:ascii="Calibri" w:cs="Calibri" w:eastAsia="Calibri" w:hAnsi="Calibri"/>
                <w:sz w:val="18"/>
                <w:szCs w:val="18"/>
                <w:color w:val="auto"/>
              </w:rPr>
              <w:t>6 %</w:t>
            </w:r>
          </w:p>
        </w:tc>
        <w:tc>
          <w:tcPr>
            <w:tcW w:w="0" w:type="dxa"/>
            <w:vAlign w:val="bottom"/>
          </w:tcPr>
          <w:p>
            <w:pPr>
              <w:spacing w:after="0"/>
              <w:rPr>
                <w:sz w:val="1"/>
                <w:szCs w:val="1"/>
                <w:color w:val="auto"/>
              </w:rPr>
            </w:pPr>
          </w:p>
        </w:tc>
      </w:tr>
      <w:tr>
        <w:trPr>
          <w:trHeight w:val="28"/>
        </w:trPr>
        <w:tc>
          <w:tcPr>
            <w:tcW w:w="5780" w:type="dxa"/>
            <w:vAlign w:val="bottom"/>
            <w:gridSpan w:val="2"/>
            <w:vMerge w:val="restart"/>
          </w:tcPr>
          <w:p>
            <w:pPr>
              <w:spacing w:after="0"/>
              <w:rPr>
                <w:sz w:val="20"/>
                <w:szCs w:val="20"/>
                <w:color w:val="auto"/>
              </w:rPr>
            </w:pPr>
            <w:r>
              <w:rPr>
                <w:rFonts w:ascii="Calibri" w:cs="Calibri" w:eastAsia="Calibri" w:hAnsi="Calibri"/>
                <w:sz w:val="18"/>
                <w:szCs w:val="18"/>
                <w:b w:val="1"/>
                <w:bCs w:val="1"/>
                <w:i w:val="1"/>
                <w:iCs w:val="1"/>
                <w:color w:val="auto"/>
              </w:rPr>
              <w:t>For the three months ended March 31, 2024 and 2023</w:t>
            </w: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57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80" w:type="dxa"/>
            <w:vAlign w:val="bottom"/>
            <w:gridSpan w:val="2"/>
          </w:tcPr>
          <w:p>
            <w:pPr>
              <w:spacing w:after="0"/>
              <w:rPr>
                <w:sz w:val="20"/>
                <w:szCs w:val="20"/>
                <w:color w:val="auto"/>
              </w:rPr>
            </w:pPr>
            <w:r>
              <w:rPr>
                <w:rFonts w:ascii="Calibri" w:cs="Calibri" w:eastAsia="Calibri" w:hAnsi="Calibri"/>
                <w:sz w:val="18"/>
                <w:szCs w:val="18"/>
                <w:b w:val="1"/>
                <w:bCs w:val="1"/>
                <w:i w:val="1"/>
                <w:iCs w:val="1"/>
                <w:color w:val="auto"/>
              </w:rPr>
              <w:t>Revenue</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80" w:type="dxa"/>
            <w:vAlign w:val="bottom"/>
            <w:gridSpan w:val="2"/>
          </w:tcPr>
          <w:p>
            <w:pPr>
              <w:spacing w:after="0"/>
              <w:rPr>
                <w:sz w:val="20"/>
                <w:szCs w:val="20"/>
                <w:color w:val="auto"/>
              </w:rPr>
            </w:pPr>
            <w:r>
              <w:rPr>
                <w:rFonts w:ascii="Calibri" w:cs="Calibri" w:eastAsia="Calibri" w:hAnsi="Calibri"/>
                <w:sz w:val="18"/>
                <w:szCs w:val="18"/>
                <w:i w:val="1"/>
                <w:iCs w:val="1"/>
                <w:color w:val="auto"/>
              </w:rPr>
              <w:t>Revenue by Source</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right"/>
              <w:ind w:right="708"/>
              <w:spacing w:after="0"/>
              <w:rPr>
                <w:sz w:val="20"/>
                <w:szCs w:val="20"/>
                <w:color w:val="auto"/>
              </w:rPr>
            </w:pPr>
            <w:r>
              <w:rPr>
                <w:rFonts w:ascii="Calibri" w:cs="Calibri" w:eastAsia="Calibri" w:hAnsi="Calibri"/>
                <w:sz w:val="14"/>
                <w:szCs w:val="14"/>
                <w:b w:val="1"/>
                <w:bCs w:val="1"/>
                <w:color w:val="auto"/>
              </w:rPr>
              <w:t>Three Months Ended</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ind w:right="10"/>
              <w:spacing w:after="0"/>
              <w:rPr>
                <w:sz w:val="20"/>
                <w:szCs w:val="20"/>
                <w:color w:val="auto"/>
              </w:rPr>
            </w:pPr>
            <w:r>
              <w:rPr>
                <w:rFonts w:ascii="Calibri" w:cs="Calibri" w:eastAsia="Calibri" w:hAnsi="Calibri"/>
                <w:sz w:val="14"/>
                <w:szCs w:val="14"/>
                <w:b w:val="1"/>
                <w:bCs w:val="1"/>
                <w:color w:val="auto"/>
              </w:rPr>
              <w:t>March 31,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3"/>
          </w:tcPr>
          <w:p>
            <w:pPr>
              <w:ind w:left="100"/>
              <w:spacing w:after="0"/>
              <w:rPr>
                <w:sz w:val="20"/>
                <w:szCs w:val="20"/>
                <w:color w:val="auto"/>
              </w:rPr>
            </w:pPr>
            <w:r>
              <w:rPr>
                <w:rFonts w:ascii="Calibri" w:cs="Calibri" w:eastAsia="Calibri" w:hAnsi="Calibri"/>
                <w:sz w:val="14"/>
                <w:szCs w:val="14"/>
                <w:b w:val="1"/>
                <w:bCs w:val="1"/>
                <w:color w:val="auto"/>
              </w:rPr>
              <w:t>Change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right"/>
              <w:ind w:right="30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5"/>
          </w:tcPr>
          <w:p>
            <w:pPr>
              <w:ind w:left="80"/>
              <w:spacing w:after="0" w:line="164" w:lineRule="exact"/>
              <w:rPr>
                <w:sz w:val="20"/>
                <w:szCs w:val="20"/>
                <w:color w:val="auto"/>
              </w:rPr>
            </w:pPr>
            <w:r>
              <w:rPr>
                <w:rFonts w:ascii="Calibri" w:cs="Calibri" w:eastAsia="Calibri" w:hAnsi="Calibri"/>
                <w:sz w:val="14"/>
                <w:szCs w:val="14"/>
                <w:b w:val="1"/>
                <w:bCs w:val="1"/>
                <w:color w:val="auto"/>
              </w:rPr>
              <w:t>Amount</w:t>
            </w:r>
          </w:p>
        </w:tc>
        <w:tc>
          <w:tcPr>
            <w:tcW w:w="880" w:type="dxa"/>
            <w:vAlign w:val="bottom"/>
          </w:tcPr>
          <w:p>
            <w:pPr>
              <w:jc w:val="right"/>
              <w:ind w:right="393"/>
              <w:spacing w:after="0" w:line="164"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(dollars in</w:t>
            </w:r>
          </w:p>
        </w:tc>
        <w:tc>
          <w:tcPr>
            <w:tcW w:w="1220" w:type="dxa"/>
            <w:vAlign w:val="bottom"/>
            <w:gridSpan w:val="5"/>
          </w:tcPr>
          <w:p>
            <w:pPr>
              <w:jc w:val="right"/>
              <w:ind w:right="428"/>
              <w:spacing w:after="0" w:line="164" w:lineRule="exact"/>
              <w:rPr>
                <w:sz w:val="20"/>
                <w:szCs w:val="20"/>
                <w:color w:val="auto"/>
              </w:rPr>
            </w:pPr>
            <w:r>
              <w:rPr>
                <w:rFonts w:ascii="Calibri" w:cs="Calibri" w:eastAsia="Calibri" w:hAnsi="Calibri"/>
                <w:sz w:val="14"/>
                <w:szCs w:val="14"/>
                <w:b w:val="1"/>
                <w:bCs w:val="1"/>
                <w:color w:val="auto"/>
              </w:rPr>
              <w:t>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Revenue:</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Marketplace</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187,219</w:t>
            </w:r>
          </w:p>
        </w:tc>
        <w:tc>
          <w:tcPr>
            <w:tcW w:w="240" w:type="dxa"/>
            <w:vAlign w:val="bottom"/>
          </w:tcPr>
          <w:p>
            <w:pPr>
              <w:spacing w:after="0"/>
              <w:rPr>
                <w:sz w:val="18"/>
                <w:szCs w:val="18"/>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167,127</w:t>
            </w:r>
          </w:p>
        </w:tc>
        <w:tc>
          <w:tcPr>
            <w:tcW w:w="22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20,092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0"/>
              <w:spacing w:after="0" w:line="215" w:lineRule="exact"/>
              <w:rPr>
                <w:sz w:val="20"/>
                <w:szCs w:val="20"/>
                <w:color w:val="auto"/>
              </w:rPr>
            </w:pPr>
            <w:r>
              <w:rPr>
                <w:rFonts w:ascii="Calibri" w:cs="Calibri" w:eastAsia="Calibri" w:hAnsi="Calibri"/>
                <w:sz w:val="18"/>
                <w:szCs w:val="18"/>
                <w:color w:val="auto"/>
              </w:rPr>
              <w:t>12 %</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Wholesale</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16,125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25,186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4"/>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(9,061 )</w:t>
            </w:r>
          </w:p>
        </w:tc>
        <w:tc>
          <w:tcPr>
            <w:tcW w:w="1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(36 )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Product</w:t>
            </w: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12,452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39,650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4"/>
          </w:tcPr>
          <w:p>
            <w:pPr>
              <w:jc w:val="right"/>
              <w:ind w:right="120"/>
              <w:spacing w:after="0" w:line="215" w:lineRule="exact"/>
              <w:rPr>
                <w:sz w:val="20"/>
                <w:szCs w:val="20"/>
                <w:color w:val="auto"/>
              </w:rPr>
            </w:pPr>
            <w:r>
              <w:rPr>
                <w:rFonts w:ascii="Calibri" w:cs="Calibri" w:eastAsia="Calibri" w:hAnsi="Calibri"/>
                <w:sz w:val="18"/>
                <w:szCs w:val="18"/>
                <w:color w:val="auto"/>
              </w:rPr>
              <w:t>(27,198 )</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(69 )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5200" w:type="dxa"/>
            <w:vAlign w:val="bottom"/>
            <w:vMerge w:val="restart"/>
          </w:tcPr>
          <w:p>
            <w:pPr>
              <w:ind w:left="180"/>
              <w:spacing w:after="0"/>
              <w:rPr>
                <w:sz w:val="20"/>
                <w:szCs w:val="20"/>
                <w:color w:val="auto"/>
              </w:rPr>
            </w:pPr>
            <w:r>
              <w:rPr>
                <w:rFonts w:ascii="Calibri" w:cs="Calibri" w:eastAsia="Calibri" w:hAnsi="Calibri"/>
                <w:sz w:val="18"/>
                <w:szCs w:val="18"/>
                <w:color w:val="auto"/>
              </w:rPr>
              <w:t>Total</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240" w:type="dxa"/>
            <w:vAlign w:val="bottom"/>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08" w:lineRule="exact"/>
              <w:rPr>
                <w:sz w:val="20"/>
                <w:szCs w:val="20"/>
                <w:color w:val="auto"/>
              </w:rPr>
            </w:pPr>
            <w:r>
              <w:rPr>
                <w:rFonts w:ascii="Calibri" w:cs="Calibri" w:eastAsia="Calibri" w:hAnsi="Calibri"/>
                <w:sz w:val="18"/>
                <w:szCs w:val="18"/>
                <w:color w:val="auto"/>
              </w:rPr>
              <w:t>215,796</w:t>
            </w:r>
          </w:p>
        </w:tc>
        <w:tc>
          <w:tcPr>
            <w:tcW w:w="240" w:type="dxa"/>
            <w:vAlign w:val="bottom"/>
          </w:tcPr>
          <w:p>
            <w:pPr>
              <w:spacing w:after="0"/>
              <w:rPr>
                <w:sz w:val="18"/>
                <w:szCs w:val="18"/>
                <w:color w:val="auto"/>
              </w:rPr>
            </w:pPr>
          </w:p>
        </w:tc>
        <w:tc>
          <w:tcPr>
            <w:tcW w:w="280" w:type="dxa"/>
            <w:vAlign w:val="bottom"/>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760" w:type="dxa"/>
            <w:vAlign w:val="bottom"/>
            <w:gridSpan w:val="2"/>
          </w:tcPr>
          <w:p>
            <w:pPr>
              <w:jc w:val="right"/>
              <w:spacing w:after="0" w:line="208" w:lineRule="exact"/>
              <w:rPr>
                <w:sz w:val="20"/>
                <w:szCs w:val="20"/>
                <w:color w:val="auto"/>
              </w:rPr>
            </w:pPr>
            <w:r>
              <w:rPr>
                <w:rFonts w:ascii="Calibri" w:cs="Calibri" w:eastAsia="Calibri" w:hAnsi="Calibri"/>
                <w:sz w:val="18"/>
                <w:szCs w:val="18"/>
                <w:color w:val="auto"/>
              </w:rPr>
              <w:t>231,963</w:t>
            </w:r>
          </w:p>
        </w:tc>
        <w:tc>
          <w:tcPr>
            <w:tcW w:w="22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gridSpan w:val="4"/>
          </w:tcPr>
          <w:p>
            <w:pPr>
              <w:jc w:val="right"/>
              <w:ind w:right="120"/>
              <w:spacing w:after="0" w:line="208" w:lineRule="exact"/>
              <w:rPr>
                <w:sz w:val="20"/>
                <w:szCs w:val="20"/>
                <w:color w:val="auto"/>
              </w:rPr>
            </w:pPr>
            <w:r>
              <w:rPr>
                <w:rFonts w:ascii="Calibri" w:cs="Calibri" w:eastAsia="Calibri" w:hAnsi="Calibri"/>
                <w:sz w:val="18"/>
                <w:szCs w:val="18"/>
                <w:color w:val="auto"/>
              </w:rPr>
              <w:t>(16,167 )</w:t>
            </w:r>
          </w:p>
        </w:tc>
        <w:tc>
          <w:tcPr>
            <w:tcW w:w="180" w:type="dxa"/>
            <w:vAlign w:val="bottom"/>
          </w:tcPr>
          <w:p>
            <w:pPr>
              <w:spacing w:after="0"/>
              <w:rPr>
                <w:sz w:val="18"/>
                <w:szCs w:val="18"/>
                <w:color w:val="auto"/>
              </w:rPr>
            </w:pPr>
          </w:p>
        </w:tc>
        <w:tc>
          <w:tcPr>
            <w:tcW w:w="1080" w:type="dxa"/>
            <w:vAlign w:val="bottom"/>
            <w:gridSpan w:val="3"/>
          </w:tcPr>
          <w:p>
            <w:pPr>
              <w:jc w:val="right"/>
              <w:spacing w:after="0" w:line="208" w:lineRule="exact"/>
              <w:rPr>
                <w:sz w:val="20"/>
                <w:szCs w:val="20"/>
                <w:color w:val="auto"/>
              </w:rPr>
            </w:pPr>
            <w:r>
              <w:rPr>
                <w:rFonts w:ascii="Calibri" w:cs="Calibri" w:eastAsia="Calibri" w:hAnsi="Calibri"/>
                <w:sz w:val="18"/>
                <w:szCs w:val="18"/>
                <w:color w:val="auto"/>
              </w:rPr>
              <w:t>(7 )%</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5200" w:type="dxa"/>
            <w:vAlign w:val="bottom"/>
            <w:vMerge w:val="restart"/>
          </w:tcPr>
          <w:p>
            <w:pPr>
              <w:spacing w:after="0"/>
              <w:rPr>
                <w:sz w:val="20"/>
                <w:szCs w:val="20"/>
                <w:color w:val="auto"/>
              </w:rPr>
            </w:pPr>
            <w:r>
              <w:rPr>
                <w:rFonts w:ascii="Calibri" w:cs="Calibri" w:eastAsia="Calibri" w:hAnsi="Calibri"/>
                <w:sz w:val="18"/>
                <w:szCs w:val="18"/>
                <w:b w:val="1"/>
                <w:bCs w:val="1"/>
                <w:color w:val="auto"/>
              </w:rPr>
              <w:t>Percentage of total revenue:</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80" w:type="dxa"/>
            <w:vAlign w:val="bottom"/>
          </w:tcPr>
          <w:p>
            <w:pPr>
              <w:spacing w:after="0"/>
              <w:rPr>
                <w:sz w:val="16"/>
                <w:szCs w:val="16"/>
                <w:color w:val="auto"/>
              </w:rPr>
            </w:pPr>
          </w:p>
        </w:tc>
        <w:tc>
          <w:tcPr>
            <w:tcW w:w="5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80" w:type="dxa"/>
            <w:vAlign w:val="bottom"/>
          </w:tcPr>
          <w:p>
            <w:pPr>
              <w:spacing w:after="0"/>
              <w:rPr>
                <w:sz w:val="3"/>
                <w:szCs w:val="3"/>
                <w:color w:val="auto"/>
              </w:rPr>
            </w:pPr>
          </w:p>
        </w:tc>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Marketplace</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87 %</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3"/>
            <w:shd w:val="clear" w:color="auto" w:fill="CFF0FC"/>
          </w:tcPr>
          <w:p>
            <w:pPr>
              <w:jc w:val="right"/>
              <w:ind w:right="8"/>
              <w:spacing w:after="0" w:line="215" w:lineRule="exact"/>
              <w:rPr>
                <w:sz w:val="20"/>
                <w:szCs w:val="20"/>
                <w:color w:val="auto"/>
              </w:rPr>
            </w:pPr>
            <w:r>
              <w:rPr>
                <w:rFonts w:ascii="Calibri" w:cs="Calibri" w:eastAsia="Calibri" w:hAnsi="Calibri"/>
                <w:sz w:val="18"/>
                <w:szCs w:val="18"/>
                <w:color w:val="auto"/>
              </w:rPr>
              <w:t>72 %</w:t>
            </w: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Wholesale</w:t>
            </w: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Product</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0" w:type="dxa"/>
            <w:vAlign w:val="bottom"/>
          </w:tcPr>
          <w:p>
            <w:pPr>
              <w:spacing w:after="0"/>
              <w:rPr>
                <w:sz w:val="18"/>
                <w:szCs w:val="18"/>
                <w:color w:val="auto"/>
              </w:rPr>
            </w:pPr>
          </w:p>
        </w:tc>
        <w:tc>
          <w:tcPr>
            <w:tcW w:w="5200" w:type="dxa"/>
            <w:vAlign w:val="bottom"/>
          </w:tcPr>
          <w:p>
            <w:pPr>
              <w:ind w:left="180"/>
              <w:spacing w:after="0" w:line="208" w:lineRule="exact"/>
              <w:rPr>
                <w:sz w:val="20"/>
                <w:szCs w:val="20"/>
                <w:color w:val="auto"/>
              </w:rPr>
            </w:pPr>
            <w:r>
              <w:rPr>
                <w:rFonts w:ascii="Calibri" w:cs="Calibri" w:eastAsia="Calibri" w:hAnsi="Calibri"/>
                <w:sz w:val="18"/>
                <w:szCs w:val="18"/>
                <w:color w:val="auto"/>
              </w:rPr>
              <w:t>Total</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line="208" w:lineRule="exact"/>
              <w:rPr>
                <w:sz w:val="20"/>
                <w:szCs w:val="20"/>
                <w:color w:val="auto"/>
              </w:rPr>
            </w:pPr>
            <w:r>
              <w:rPr>
                <w:rFonts w:ascii="Calibri" w:cs="Calibri" w:eastAsia="Calibri" w:hAnsi="Calibri"/>
                <w:sz w:val="18"/>
                <w:szCs w:val="18"/>
                <w:color w:val="auto"/>
              </w:rPr>
              <w:t>100 %</w:t>
            </w:r>
          </w:p>
        </w:tc>
        <w:tc>
          <w:tcPr>
            <w:tcW w:w="280" w:type="dxa"/>
            <w:vAlign w:val="bottom"/>
          </w:tcPr>
          <w:p>
            <w:pPr>
              <w:spacing w:after="0"/>
              <w:rPr>
                <w:sz w:val="18"/>
                <w:szCs w:val="18"/>
                <w:color w:val="auto"/>
              </w:rPr>
            </w:pPr>
          </w:p>
        </w:tc>
        <w:tc>
          <w:tcPr>
            <w:tcW w:w="980" w:type="dxa"/>
            <w:vAlign w:val="bottom"/>
            <w:gridSpan w:val="3"/>
          </w:tcPr>
          <w:p>
            <w:pPr>
              <w:jc w:val="right"/>
              <w:ind w:right="8"/>
              <w:spacing w:after="0" w:line="208" w:lineRule="exact"/>
              <w:rPr>
                <w:sz w:val="20"/>
                <w:szCs w:val="20"/>
                <w:color w:val="auto"/>
              </w:rPr>
            </w:pPr>
            <w:r>
              <w:rPr>
                <w:rFonts w:ascii="Calibri" w:cs="Calibri" w:eastAsia="Calibri" w:hAnsi="Calibri"/>
                <w:sz w:val="18"/>
                <w:szCs w:val="18"/>
                <w:color w:val="auto"/>
              </w:rPr>
              <w:t>100 %</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-3736975</wp:posOffset>
            </wp:positionV>
            <wp:extent cx="641223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-4070985</wp:posOffset>
            </wp:positionV>
            <wp:extent cx="6412230"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12230" cy="17970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-3274060</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-3274060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-985520</wp:posOffset>
            </wp:positionV>
            <wp:extent cx="6412230" cy="1803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12230" cy="18034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-187960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Overall revenue decreased $16.2 million, or 7%, in the three months ended March 31, 2024, compared to the three months ended March 31, 2023.</w:t>
      </w:r>
    </w:p>
    <w:p>
      <w:pPr>
        <w:spacing w:after="0" w:line="22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Marketplace revenue increased $20.1 million, or 12%, in the three months ended March 31, 2024, compared to the three months ended March 31, 2023, and represented 87% of total revenue for the three months ended March 31, 2024, compared to 72% of total revenue for the three months ended March 31, 2023. The increase was due to an increase in Listngs revenue, inclusive of certain digital add-on products, as a result of growth in QARSD, which was driven by signing on new dealers with higher average monthly recurring revenue and revenue expansion through product upgrades and price increases for existng dealers.</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Wholesale revenue decreased $9.1 million, or 36%, in the three months ended March 31, 2024, compared to the three months ended March 31, 2023, and represented 7% of total revenue for the three months ended March 31, 2024, compared to 11% of total revenue for the three months ended March 31, 2023. The decrease was due primarily to a 41% decrease in Transactons, which includes Dealer-to-Dealer transactons and IMCO transactons, to 10,302 for the three months ended March 31, 2024, from 17,505 for the three months ended March 31, 2023, as a result of our focus on improving the performance of our sales team and enhancing how dealers interact with the CarOfer Matrix over unit volume.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jc w:val="both"/>
        <w:ind w:firstLine="509"/>
        <w:spacing w:after="0" w:line="235" w:lineRule="auto"/>
        <w:rPr>
          <w:sz w:val="20"/>
          <w:szCs w:val="20"/>
          <w:color w:val="auto"/>
        </w:rPr>
      </w:pPr>
      <w:r>
        <w:rPr>
          <w:rFonts w:ascii="Calibri" w:cs="Calibri" w:eastAsia="Calibri" w:hAnsi="Calibri"/>
          <w:sz w:val="18"/>
          <w:szCs w:val="18"/>
          <w:color w:val="auto"/>
        </w:rPr>
        <w:t>Product revenue decreased by $27.2 million, or 69%, in the three months ended March 31, 2024, compared to the three months ended March 31, 2023, and represented 6% of total revenue for the three months ended March 31, 2024, compared to 17% of total revenue for the three months ended March 31, 2023. The decrease was due primarily to a decrease in proceeds received from the sale of vehicles through IMCO transactons, including lower average vehicle selling prices and lower transacton fees, due to the decrease in Transactons. The decrease in product revenue was also due in part to a decrease in proceeds received from the sale of vehicles acquired through arbitraton as a result of decreased arbitraton claims primarily due to decreased Transactons.</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Segment Revenue</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708"/>
              <w:spacing w:after="0"/>
              <w:rPr>
                <w:sz w:val="20"/>
                <w:szCs w:val="20"/>
                <w:color w:val="auto"/>
              </w:rPr>
            </w:pPr>
            <w:r>
              <w:rPr>
                <w:rFonts w:ascii="Calibri" w:cs="Calibri" w:eastAsia="Calibri" w:hAnsi="Calibri"/>
                <w:sz w:val="14"/>
                <w:szCs w:val="14"/>
                <w:b w:val="1"/>
                <w:bCs w:val="1"/>
                <w:color w:val="auto"/>
              </w:rPr>
              <w:t>Three Months Ended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ind w:right="10"/>
              <w:spacing w:after="0"/>
              <w:rPr>
                <w:sz w:val="20"/>
                <w:szCs w:val="20"/>
                <w:color w:val="auto"/>
              </w:rPr>
            </w:pPr>
            <w:r>
              <w:rPr>
                <w:rFonts w:ascii="Calibri" w:cs="Calibri" w:eastAsia="Calibri" w:hAnsi="Calibri"/>
                <w:sz w:val="14"/>
                <w:szCs w:val="14"/>
                <w:b w:val="1"/>
                <w:bCs w:val="1"/>
                <w:color w:val="auto"/>
              </w:rPr>
              <w:t>March 31,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ind w:left="74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294"/>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ind w:left="80"/>
              <w:spacing w:after="0" w:line="164" w:lineRule="exact"/>
              <w:rPr>
                <w:sz w:val="20"/>
                <w:szCs w:val="20"/>
                <w:color w:val="auto"/>
              </w:rPr>
            </w:pPr>
            <w:r>
              <w:rPr>
                <w:rFonts w:ascii="Calibri" w:cs="Calibri" w:eastAsia="Calibri" w:hAnsi="Calibri"/>
                <w:sz w:val="14"/>
                <w:szCs w:val="14"/>
                <w:b w:val="1"/>
                <w:bCs w:val="1"/>
                <w:color w:val="auto"/>
              </w:rPr>
              <w:t>Amount</w:t>
            </w:r>
          </w:p>
        </w:tc>
        <w:tc>
          <w:tcPr>
            <w:tcW w:w="740" w:type="dxa"/>
            <w:vAlign w:val="bottom"/>
          </w:tcPr>
          <w:p>
            <w:pPr>
              <w:jc w:val="right"/>
              <w:ind w:right="394"/>
              <w:spacing w:after="0" w:line="164"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(dollars in</w:t>
            </w:r>
          </w:p>
        </w:tc>
        <w:tc>
          <w:tcPr>
            <w:tcW w:w="1220" w:type="dxa"/>
            <w:vAlign w:val="bottom"/>
            <w:gridSpan w:val="3"/>
          </w:tcPr>
          <w:p>
            <w:pPr>
              <w:jc w:val="right"/>
              <w:ind w:right="416"/>
              <w:spacing w:after="0" w:line="164" w:lineRule="exact"/>
              <w:rPr>
                <w:sz w:val="20"/>
                <w:szCs w:val="20"/>
                <w:color w:val="auto"/>
              </w:rPr>
            </w:pPr>
            <w:r>
              <w:rPr>
                <w:rFonts w:ascii="Calibri" w:cs="Calibri" w:eastAsia="Calibri" w:hAnsi="Calibri"/>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Revenue:</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U.S. Marketplace</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172,988</w:t>
            </w:r>
          </w:p>
        </w:tc>
        <w:tc>
          <w:tcPr>
            <w:tcW w:w="240" w:type="dxa"/>
            <w:vAlign w:val="bottom"/>
          </w:tcPr>
          <w:p>
            <w:pPr>
              <w:spacing w:after="0"/>
              <w:rPr>
                <w:sz w:val="18"/>
                <w:szCs w:val="18"/>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155,621</w:t>
            </w:r>
          </w:p>
        </w:tc>
        <w:tc>
          <w:tcPr>
            <w:tcW w:w="22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17,367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line="215" w:lineRule="exact"/>
              <w:rPr>
                <w:sz w:val="20"/>
                <w:szCs w:val="20"/>
                <w:color w:val="auto"/>
              </w:rPr>
            </w:pPr>
            <w:r>
              <w:rPr>
                <w:rFonts w:ascii="Calibri" w:cs="Calibri" w:eastAsia="Calibri" w:hAnsi="Calibri"/>
                <w:sz w:val="18"/>
                <w:szCs w:val="18"/>
                <w:color w:val="auto"/>
              </w:rPr>
              <w:t>11 %</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Digital Wholesale</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28,577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64,836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(36,259 )</w:t>
            </w:r>
          </w:p>
        </w:tc>
        <w:tc>
          <w:tcPr>
            <w:tcW w:w="3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(56 )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14,231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11,506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2,725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200" w:type="dxa"/>
            <w:vAlign w:val="bottom"/>
            <w:vMerge w:val="restart"/>
          </w:tcPr>
          <w:p>
            <w:pPr>
              <w:ind w:left="180"/>
              <w:spacing w:after="0"/>
              <w:rPr>
                <w:sz w:val="20"/>
                <w:szCs w:val="20"/>
                <w:color w:val="auto"/>
              </w:rPr>
            </w:pPr>
            <w:r>
              <w:rPr>
                <w:rFonts w:ascii="Calibri" w:cs="Calibri" w:eastAsia="Calibri" w:hAnsi="Calibri"/>
                <w:sz w:val="18"/>
                <w:szCs w:val="18"/>
                <w:color w:val="auto"/>
              </w:rPr>
              <w:t>Total</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200" w:type="dxa"/>
            <w:vAlign w:val="bottom"/>
            <w:vMerge w:val="continue"/>
          </w:tcPr>
          <w:p>
            <w:pPr>
              <w:spacing w:after="0"/>
              <w:rPr>
                <w:sz w:val="18"/>
                <w:szCs w:val="18"/>
                <w:color w:val="auto"/>
              </w:rPr>
            </w:pPr>
          </w:p>
        </w:tc>
        <w:tc>
          <w:tcPr>
            <w:tcW w:w="240" w:type="dxa"/>
            <w:vAlign w:val="bottom"/>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08" w:lineRule="exact"/>
              <w:rPr>
                <w:sz w:val="20"/>
                <w:szCs w:val="20"/>
                <w:color w:val="auto"/>
              </w:rPr>
            </w:pPr>
            <w:r>
              <w:rPr>
                <w:rFonts w:ascii="Calibri" w:cs="Calibri" w:eastAsia="Calibri" w:hAnsi="Calibri"/>
                <w:sz w:val="18"/>
                <w:szCs w:val="18"/>
                <w:color w:val="auto"/>
              </w:rPr>
              <w:t>215,796</w:t>
            </w:r>
          </w:p>
        </w:tc>
        <w:tc>
          <w:tcPr>
            <w:tcW w:w="240" w:type="dxa"/>
            <w:vAlign w:val="bottom"/>
          </w:tcPr>
          <w:p>
            <w:pPr>
              <w:spacing w:after="0"/>
              <w:rPr>
                <w:sz w:val="18"/>
                <w:szCs w:val="18"/>
                <w:color w:val="auto"/>
              </w:rPr>
            </w:pPr>
          </w:p>
        </w:tc>
        <w:tc>
          <w:tcPr>
            <w:tcW w:w="280" w:type="dxa"/>
            <w:vAlign w:val="bottom"/>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08" w:lineRule="exact"/>
              <w:rPr>
                <w:sz w:val="20"/>
                <w:szCs w:val="20"/>
                <w:color w:val="auto"/>
              </w:rPr>
            </w:pPr>
            <w:r>
              <w:rPr>
                <w:rFonts w:ascii="Calibri" w:cs="Calibri" w:eastAsia="Calibri" w:hAnsi="Calibri"/>
                <w:sz w:val="18"/>
                <w:szCs w:val="18"/>
                <w:color w:val="auto"/>
              </w:rPr>
              <w:t>231,963</w:t>
            </w:r>
          </w:p>
        </w:tc>
        <w:tc>
          <w:tcPr>
            <w:tcW w:w="22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tcPr>
          <w:p>
            <w:pPr>
              <w:jc w:val="right"/>
              <w:ind w:right="120"/>
              <w:spacing w:after="0" w:line="208" w:lineRule="exact"/>
              <w:rPr>
                <w:sz w:val="20"/>
                <w:szCs w:val="20"/>
                <w:color w:val="auto"/>
              </w:rPr>
            </w:pPr>
            <w:r>
              <w:rPr>
                <w:rFonts w:ascii="Calibri" w:cs="Calibri" w:eastAsia="Calibri" w:hAnsi="Calibri"/>
                <w:sz w:val="18"/>
                <w:szCs w:val="18"/>
                <w:color w:val="auto"/>
              </w:rPr>
              <w:t>(16,167 )</w:t>
            </w:r>
          </w:p>
        </w:tc>
        <w:tc>
          <w:tcPr>
            <w:tcW w:w="320" w:type="dxa"/>
            <w:vAlign w:val="bottom"/>
          </w:tcPr>
          <w:p>
            <w:pPr>
              <w:spacing w:after="0"/>
              <w:rPr>
                <w:sz w:val="18"/>
                <w:szCs w:val="18"/>
                <w:color w:val="auto"/>
              </w:rPr>
            </w:pPr>
          </w:p>
        </w:tc>
        <w:tc>
          <w:tcPr>
            <w:tcW w:w="940" w:type="dxa"/>
            <w:vAlign w:val="bottom"/>
            <w:gridSpan w:val="3"/>
          </w:tcPr>
          <w:p>
            <w:pPr>
              <w:jc w:val="right"/>
              <w:spacing w:after="0" w:line="208" w:lineRule="exact"/>
              <w:rPr>
                <w:sz w:val="20"/>
                <w:szCs w:val="20"/>
                <w:color w:val="auto"/>
              </w:rPr>
            </w:pPr>
            <w:r>
              <w:rPr>
                <w:rFonts w:ascii="Calibri" w:cs="Calibri" w:eastAsia="Calibri" w:hAnsi="Calibri"/>
                <w:sz w:val="18"/>
                <w:szCs w:val="18"/>
                <w:color w:val="auto"/>
              </w:rPr>
              <w:t>(7 )%</w:t>
            </w:r>
          </w:p>
        </w:tc>
        <w:tc>
          <w:tcPr>
            <w:tcW w:w="0" w:type="dxa"/>
            <w:vAlign w:val="bottom"/>
          </w:tcPr>
          <w:p>
            <w:pPr>
              <w:spacing w:after="0"/>
              <w:rPr>
                <w:sz w:val="1"/>
                <w:szCs w:val="1"/>
                <w:color w:val="auto"/>
              </w:rPr>
            </w:pPr>
          </w:p>
        </w:tc>
      </w:tr>
      <w:tr>
        <w:trPr>
          <w:trHeight w:val="28"/>
        </w:trPr>
        <w:tc>
          <w:tcPr>
            <w:tcW w:w="5200" w:type="dxa"/>
            <w:vAlign w:val="bottom"/>
            <w:vMerge w:val="restart"/>
          </w:tcPr>
          <w:p>
            <w:pPr>
              <w:spacing w:after="0"/>
              <w:rPr>
                <w:sz w:val="20"/>
                <w:szCs w:val="20"/>
                <w:color w:val="auto"/>
              </w:rPr>
            </w:pPr>
            <w:r>
              <w:rPr>
                <w:rFonts w:ascii="Calibri" w:cs="Calibri" w:eastAsia="Calibri" w:hAnsi="Calibri"/>
                <w:sz w:val="18"/>
                <w:szCs w:val="18"/>
                <w:b w:val="1"/>
                <w:bCs w:val="1"/>
                <w:color w:val="auto"/>
              </w:rPr>
              <w:t>Percentage of total revenue:</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U.S. Marketplace</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80 %</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8"/>
              <w:spacing w:after="0" w:line="215" w:lineRule="exact"/>
              <w:rPr>
                <w:sz w:val="20"/>
                <w:szCs w:val="20"/>
                <w:color w:val="auto"/>
              </w:rPr>
            </w:pPr>
            <w:r>
              <w:rPr>
                <w:rFonts w:ascii="Calibri" w:cs="Calibri" w:eastAsia="Calibri" w:hAnsi="Calibri"/>
                <w:sz w:val="18"/>
                <w:szCs w:val="18"/>
                <w:color w:val="auto"/>
              </w:rPr>
              <w:t>67 %</w:t>
            </w: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Digital Wholesale</w:t>
            </w: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tcPr>
          <w:p>
            <w:pPr>
              <w:ind w:left="180"/>
              <w:spacing w:after="0" w:line="208" w:lineRule="exact"/>
              <w:rPr>
                <w:sz w:val="20"/>
                <w:szCs w:val="20"/>
                <w:color w:val="auto"/>
              </w:rPr>
            </w:pPr>
            <w:r>
              <w:rPr>
                <w:rFonts w:ascii="Calibri" w:cs="Calibri" w:eastAsia="Calibri" w:hAnsi="Calibri"/>
                <w:sz w:val="18"/>
                <w:szCs w:val="18"/>
                <w:color w:val="auto"/>
              </w:rPr>
              <w:t>Total</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line="208" w:lineRule="exact"/>
              <w:rPr>
                <w:sz w:val="20"/>
                <w:szCs w:val="20"/>
                <w:color w:val="auto"/>
              </w:rPr>
            </w:pPr>
            <w:r>
              <w:rPr>
                <w:rFonts w:ascii="Calibri" w:cs="Calibri" w:eastAsia="Calibri" w:hAnsi="Calibri"/>
                <w:sz w:val="18"/>
                <w:szCs w:val="18"/>
                <w:color w:val="auto"/>
              </w:rPr>
              <w:t>100 %</w:t>
            </w:r>
          </w:p>
        </w:tc>
        <w:tc>
          <w:tcPr>
            <w:tcW w:w="280" w:type="dxa"/>
            <w:vAlign w:val="bottom"/>
          </w:tcPr>
          <w:p>
            <w:pPr>
              <w:spacing w:after="0"/>
              <w:rPr>
                <w:sz w:val="18"/>
                <w:szCs w:val="18"/>
                <w:color w:val="auto"/>
              </w:rPr>
            </w:pPr>
          </w:p>
        </w:tc>
        <w:tc>
          <w:tcPr>
            <w:tcW w:w="980" w:type="dxa"/>
            <w:vAlign w:val="bottom"/>
            <w:gridSpan w:val="2"/>
          </w:tcPr>
          <w:p>
            <w:pPr>
              <w:jc w:val="right"/>
              <w:ind w:right="8"/>
              <w:spacing w:after="0" w:line="208" w:lineRule="exact"/>
              <w:rPr>
                <w:sz w:val="20"/>
                <w:szCs w:val="20"/>
                <w:color w:val="auto"/>
              </w:rPr>
            </w:pPr>
            <w:r>
              <w:rPr>
                <w:rFonts w:ascii="Calibri" w:cs="Calibri" w:eastAsia="Calibri" w:hAnsi="Calibri"/>
                <w:sz w:val="18"/>
                <w:szCs w:val="18"/>
                <w:color w:val="auto"/>
              </w:rPr>
              <w:t>100 %</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-985520</wp:posOffset>
            </wp:positionV>
            <wp:extent cx="6412230" cy="179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12230" cy="17970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-187960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U.S. Marketplace segment revenue increased $17.4 million, or 11%, in the three months ended March 31, 2024, compared to the three months ended March 31, 2023, and represented 80% of total revenue for the three months ended March 31, 2024, compared to 67% of total revenue for the three months ended March 31, 2023. The increase was due primarily to a $20.1 million increase in marketplace revenue, as described above.</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Digital Wholesale segment revenue, which is comprised of wholesale revenue and product revenue, decreased $36.3 million, or 56%, in the three months ended March 31, 2024, compared to the three months ended March 31, 2023, and represented 13% of total revenue for the three months ended March 31, 2024, compared to 28% of total revenue for the three months ended March 31, 2023. The decrease in Digital Wholesale segment revenue was due to a decrease in wholesale revenue and product revenue, as described above.</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Cost of Revenue</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708"/>
              <w:spacing w:after="0"/>
              <w:rPr>
                <w:sz w:val="20"/>
                <w:szCs w:val="20"/>
                <w:color w:val="auto"/>
              </w:rPr>
            </w:pPr>
            <w:r>
              <w:rPr>
                <w:rFonts w:ascii="Calibri" w:cs="Calibri" w:eastAsia="Calibri" w:hAnsi="Calibri"/>
                <w:sz w:val="14"/>
                <w:szCs w:val="14"/>
                <w:b w:val="1"/>
                <w:bCs w:val="1"/>
                <w:color w:val="auto"/>
              </w:rPr>
              <w:t>Three Months Ended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ind w:right="10"/>
              <w:spacing w:after="0"/>
              <w:rPr>
                <w:sz w:val="20"/>
                <w:szCs w:val="20"/>
                <w:color w:val="auto"/>
              </w:rPr>
            </w:pPr>
            <w:r>
              <w:rPr>
                <w:rFonts w:ascii="Calibri" w:cs="Calibri" w:eastAsia="Calibri" w:hAnsi="Calibri"/>
                <w:sz w:val="14"/>
                <w:szCs w:val="14"/>
                <w:b w:val="1"/>
                <w:bCs w:val="1"/>
                <w:color w:val="auto"/>
              </w:rPr>
              <w:t>March 31,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ind w:left="74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294"/>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ind w:left="80"/>
              <w:spacing w:after="0" w:line="164" w:lineRule="exact"/>
              <w:rPr>
                <w:sz w:val="20"/>
                <w:szCs w:val="20"/>
                <w:color w:val="auto"/>
              </w:rPr>
            </w:pPr>
            <w:r>
              <w:rPr>
                <w:rFonts w:ascii="Calibri" w:cs="Calibri" w:eastAsia="Calibri" w:hAnsi="Calibri"/>
                <w:sz w:val="14"/>
                <w:szCs w:val="14"/>
                <w:b w:val="1"/>
                <w:bCs w:val="1"/>
                <w:color w:val="auto"/>
              </w:rPr>
              <w:t>Amount</w:t>
            </w:r>
          </w:p>
        </w:tc>
        <w:tc>
          <w:tcPr>
            <w:tcW w:w="740" w:type="dxa"/>
            <w:vAlign w:val="bottom"/>
          </w:tcPr>
          <w:p>
            <w:pPr>
              <w:jc w:val="right"/>
              <w:ind w:right="394"/>
              <w:spacing w:after="0" w:line="164"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(dollars in</w:t>
            </w:r>
          </w:p>
        </w:tc>
        <w:tc>
          <w:tcPr>
            <w:tcW w:w="1220" w:type="dxa"/>
            <w:vAlign w:val="bottom"/>
            <w:gridSpan w:val="3"/>
          </w:tcPr>
          <w:p>
            <w:pPr>
              <w:ind w:left="60"/>
              <w:spacing w:after="0" w:line="164" w:lineRule="exact"/>
              <w:rPr>
                <w:sz w:val="20"/>
                <w:szCs w:val="20"/>
                <w:color w:val="auto"/>
              </w:rPr>
            </w:pPr>
            <w:r>
              <w:rPr>
                <w:rFonts w:ascii="Calibri" w:cs="Calibri" w:eastAsia="Calibri" w:hAnsi="Calibri"/>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Cost of Revenue:</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Marketplace</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14,385</w:t>
            </w:r>
          </w:p>
        </w:tc>
        <w:tc>
          <w:tcPr>
            <w:tcW w:w="240" w:type="dxa"/>
            <w:vAlign w:val="bottom"/>
          </w:tcPr>
          <w:p>
            <w:pPr>
              <w:spacing w:after="0"/>
              <w:rPr>
                <w:sz w:val="18"/>
                <w:szCs w:val="18"/>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15,533</w:t>
            </w:r>
          </w:p>
        </w:tc>
        <w:tc>
          <w:tcPr>
            <w:tcW w:w="22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(1,148 )</w:t>
            </w:r>
          </w:p>
        </w:tc>
        <w:tc>
          <w:tcPr>
            <w:tcW w:w="320" w:type="dxa"/>
            <w:vAlign w:val="bottom"/>
          </w:tcPr>
          <w:p>
            <w:pPr>
              <w:spacing w:after="0"/>
              <w:rPr>
                <w:sz w:val="18"/>
                <w:szCs w:val="18"/>
                <w:color w:val="auto"/>
              </w:rPr>
            </w:pPr>
          </w:p>
        </w:tc>
        <w:tc>
          <w:tcPr>
            <w:tcW w:w="94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(7 )%</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Wholesale</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14,224</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22,068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(7,844 )</w:t>
            </w:r>
          </w:p>
        </w:tc>
        <w:tc>
          <w:tcPr>
            <w:tcW w:w="3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(36 )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Product</w:t>
            </w: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12,226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39,382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(27,156 )</w:t>
            </w:r>
          </w:p>
        </w:tc>
        <w:tc>
          <w:tcPr>
            <w:tcW w:w="320" w:type="dxa"/>
            <w:vAlign w:val="bottom"/>
          </w:tcPr>
          <w:p>
            <w:pPr>
              <w:spacing w:after="0"/>
              <w:rPr>
                <w:sz w:val="18"/>
                <w:szCs w:val="18"/>
                <w:color w:val="auto"/>
              </w:rPr>
            </w:pPr>
          </w:p>
        </w:tc>
        <w:tc>
          <w:tcPr>
            <w:tcW w:w="8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(69 )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200" w:type="dxa"/>
            <w:vAlign w:val="bottom"/>
            <w:vMerge w:val="restart"/>
          </w:tcPr>
          <w:p>
            <w:pPr>
              <w:ind w:left="180"/>
              <w:spacing w:after="0"/>
              <w:rPr>
                <w:sz w:val="20"/>
                <w:szCs w:val="20"/>
                <w:color w:val="auto"/>
              </w:rPr>
            </w:pPr>
            <w:r>
              <w:rPr>
                <w:rFonts w:ascii="Calibri" w:cs="Calibri" w:eastAsia="Calibri" w:hAnsi="Calibri"/>
                <w:sz w:val="18"/>
                <w:szCs w:val="18"/>
                <w:color w:val="auto"/>
              </w:rPr>
              <w:t>Total</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200" w:type="dxa"/>
            <w:vAlign w:val="bottom"/>
            <w:vMerge w:val="continue"/>
          </w:tcPr>
          <w:p>
            <w:pPr>
              <w:spacing w:after="0"/>
              <w:rPr>
                <w:sz w:val="18"/>
                <w:szCs w:val="18"/>
                <w:color w:val="auto"/>
              </w:rPr>
            </w:pPr>
          </w:p>
        </w:tc>
        <w:tc>
          <w:tcPr>
            <w:tcW w:w="240" w:type="dxa"/>
            <w:vAlign w:val="bottom"/>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08" w:lineRule="exact"/>
              <w:rPr>
                <w:sz w:val="20"/>
                <w:szCs w:val="20"/>
                <w:color w:val="auto"/>
              </w:rPr>
            </w:pPr>
            <w:r>
              <w:rPr>
                <w:rFonts w:ascii="Calibri" w:cs="Calibri" w:eastAsia="Calibri" w:hAnsi="Calibri"/>
                <w:sz w:val="18"/>
                <w:szCs w:val="18"/>
                <w:color w:val="auto"/>
              </w:rPr>
              <w:t>40,835</w:t>
            </w:r>
          </w:p>
        </w:tc>
        <w:tc>
          <w:tcPr>
            <w:tcW w:w="240" w:type="dxa"/>
            <w:vAlign w:val="bottom"/>
          </w:tcPr>
          <w:p>
            <w:pPr>
              <w:spacing w:after="0"/>
              <w:rPr>
                <w:sz w:val="18"/>
                <w:szCs w:val="18"/>
                <w:color w:val="auto"/>
              </w:rPr>
            </w:pPr>
          </w:p>
        </w:tc>
        <w:tc>
          <w:tcPr>
            <w:tcW w:w="280" w:type="dxa"/>
            <w:vAlign w:val="bottom"/>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08" w:lineRule="exact"/>
              <w:rPr>
                <w:sz w:val="20"/>
                <w:szCs w:val="20"/>
                <w:color w:val="auto"/>
              </w:rPr>
            </w:pPr>
            <w:r>
              <w:rPr>
                <w:rFonts w:ascii="Calibri" w:cs="Calibri" w:eastAsia="Calibri" w:hAnsi="Calibri"/>
                <w:sz w:val="18"/>
                <w:szCs w:val="18"/>
                <w:color w:val="auto"/>
              </w:rPr>
              <w:t>76,983</w:t>
            </w:r>
          </w:p>
        </w:tc>
        <w:tc>
          <w:tcPr>
            <w:tcW w:w="22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tcPr>
          <w:p>
            <w:pPr>
              <w:jc w:val="right"/>
              <w:ind w:right="120"/>
              <w:spacing w:after="0" w:line="208" w:lineRule="exact"/>
              <w:rPr>
                <w:sz w:val="20"/>
                <w:szCs w:val="20"/>
                <w:color w:val="auto"/>
              </w:rPr>
            </w:pPr>
            <w:r>
              <w:rPr>
                <w:rFonts w:ascii="Calibri" w:cs="Calibri" w:eastAsia="Calibri" w:hAnsi="Calibri"/>
                <w:sz w:val="18"/>
                <w:szCs w:val="18"/>
                <w:color w:val="auto"/>
              </w:rPr>
              <w:t>(36,148 )</w:t>
            </w:r>
          </w:p>
        </w:tc>
        <w:tc>
          <w:tcPr>
            <w:tcW w:w="320" w:type="dxa"/>
            <w:vAlign w:val="bottom"/>
          </w:tcPr>
          <w:p>
            <w:pPr>
              <w:spacing w:after="0"/>
              <w:rPr>
                <w:sz w:val="18"/>
                <w:szCs w:val="18"/>
                <w:color w:val="auto"/>
              </w:rPr>
            </w:pPr>
          </w:p>
        </w:tc>
        <w:tc>
          <w:tcPr>
            <w:tcW w:w="940" w:type="dxa"/>
            <w:vAlign w:val="bottom"/>
            <w:gridSpan w:val="3"/>
          </w:tcPr>
          <w:p>
            <w:pPr>
              <w:jc w:val="right"/>
              <w:spacing w:after="0" w:line="208" w:lineRule="exact"/>
              <w:rPr>
                <w:sz w:val="20"/>
                <w:szCs w:val="20"/>
                <w:color w:val="auto"/>
              </w:rPr>
            </w:pPr>
            <w:r>
              <w:rPr>
                <w:rFonts w:ascii="Calibri" w:cs="Calibri" w:eastAsia="Calibri" w:hAnsi="Calibri"/>
                <w:sz w:val="18"/>
                <w:szCs w:val="18"/>
                <w:color w:val="auto"/>
              </w:rPr>
              <w:t>(47 )%</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Calibri" w:cs="Calibri" w:eastAsia="Calibri" w:hAnsi="Calibri"/>
                <w:sz w:val="18"/>
                <w:szCs w:val="18"/>
                <w:b w:val="1"/>
                <w:bCs w:val="1"/>
                <w:color w:val="auto"/>
              </w:rPr>
              <w:t>Percentage of total revenue:</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Marketplace</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7 %</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8"/>
              <w:spacing w:after="0" w:line="215" w:lineRule="exact"/>
              <w:rPr>
                <w:sz w:val="20"/>
                <w:szCs w:val="20"/>
                <w:color w:val="auto"/>
              </w:rPr>
            </w:pPr>
            <w:r>
              <w:rPr>
                <w:rFonts w:ascii="Calibri" w:cs="Calibri" w:eastAsia="Calibri" w:hAnsi="Calibri"/>
                <w:sz w:val="18"/>
                <w:szCs w:val="18"/>
                <w:color w:val="auto"/>
              </w:rPr>
              <w:t>7 %</w:t>
            </w: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Wholesale</w:t>
            </w: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Product</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tcPr>
          <w:p>
            <w:pPr>
              <w:ind w:left="180"/>
              <w:spacing w:after="0" w:line="208" w:lineRule="exact"/>
              <w:rPr>
                <w:sz w:val="20"/>
                <w:szCs w:val="20"/>
                <w:color w:val="auto"/>
              </w:rPr>
            </w:pPr>
            <w:r>
              <w:rPr>
                <w:rFonts w:ascii="Calibri" w:cs="Calibri" w:eastAsia="Calibri" w:hAnsi="Calibri"/>
                <w:sz w:val="18"/>
                <w:szCs w:val="18"/>
                <w:color w:val="auto"/>
              </w:rPr>
              <w:t>Total</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line="208" w:lineRule="exact"/>
              <w:rPr>
                <w:sz w:val="20"/>
                <w:szCs w:val="20"/>
                <w:color w:val="auto"/>
              </w:rPr>
            </w:pPr>
            <w:r>
              <w:rPr>
                <w:rFonts w:ascii="Calibri" w:cs="Calibri" w:eastAsia="Calibri" w:hAnsi="Calibri"/>
                <w:sz w:val="18"/>
                <w:szCs w:val="18"/>
                <w:color w:val="auto"/>
              </w:rPr>
              <w:t>19 %</w:t>
            </w:r>
          </w:p>
        </w:tc>
        <w:tc>
          <w:tcPr>
            <w:tcW w:w="280" w:type="dxa"/>
            <w:vAlign w:val="bottom"/>
          </w:tcPr>
          <w:p>
            <w:pPr>
              <w:spacing w:after="0"/>
              <w:rPr>
                <w:sz w:val="18"/>
                <w:szCs w:val="18"/>
                <w:color w:val="auto"/>
              </w:rPr>
            </w:pPr>
          </w:p>
        </w:tc>
        <w:tc>
          <w:tcPr>
            <w:tcW w:w="980" w:type="dxa"/>
            <w:vAlign w:val="bottom"/>
            <w:gridSpan w:val="2"/>
          </w:tcPr>
          <w:p>
            <w:pPr>
              <w:jc w:val="right"/>
              <w:ind w:right="8"/>
              <w:spacing w:after="0" w:line="208" w:lineRule="exact"/>
              <w:rPr>
                <w:sz w:val="20"/>
                <w:szCs w:val="20"/>
                <w:color w:val="auto"/>
              </w:rPr>
            </w:pPr>
            <w:r>
              <w:rPr>
                <w:rFonts w:ascii="Calibri" w:cs="Calibri" w:eastAsia="Calibri" w:hAnsi="Calibri"/>
                <w:sz w:val="18"/>
                <w:szCs w:val="18"/>
                <w:color w:val="auto"/>
              </w:rPr>
              <w:t>33 %</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-187960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Overall cost of revenue decreased $36.1 million, or 47%, in the three months ended March 31, 2024, compared to the three months ended March 31,</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2023.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jc w:val="both"/>
        <w:ind w:firstLine="509"/>
        <w:spacing w:after="0" w:line="235" w:lineRule="auto"/>
        <w:rPr>
          <w:sz w:val="20"/>
          <w:szCs w:val="20"/>
          <w:color w:val="auto"/>
        </w:rPr>
      </w:pPr>
      <w:r>
        <w:rPr>
          <w:rFonts w:ascii="Calibri" w:cs="Calibri" w:eastAsia="Calibri" w:hAnsi="Calibri"/>
          <w:sz w:val="18"/>
          <w:szCs w:val="18"/>
          <w:color w:val="auto"/>
        </w:rPr>
        <w:t>Marketplace cost of revenue decreased $1.1 million, or 7%, in the three months ended March 31, 2024, compared to the three months ended March 31, 2023, and represented 7% of total revenue for both the three months ended March 31, 2024 and 2023. The decrease was due primarily to a $1.1 million decrease in fees related to provisioning advertsing.</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Wholesale cost of revenue decreased $7.8 million, or 36%, in the three months ended March 31, 2024, compared to the three months ended March 31, 2023, and represented 7% of total revenue for the three months ended March 31, 2024, compared to 10% of total revenue for the three months ended March 31, 2023. The decrease was due in part to a $3.4 million decrease in transportaton expense and a $1.1 million decrease in inspecton expense as a result of lower Transacton volume. The decrease was also due in part a $3.2 million decrease in amortzaton, primarily due to the acquired developed technology intangible asset as it became fully amortzed during the quarter.</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Product cost of revenue decreased $27.2 million, or 69%, in the three months ended March 31, 2024, compared to the three months ended March 31, 2023, and represented 6% of the total revenue for the three months ended March 31, 2024, compared to 17% of total revenue for the three months ended March 31, 2023. The decrease was due primarily to a decrease in expenses related to vehicles sold to dealers through IMCO transactons as a result of decreased Transactons. The decrease in product cost of revenue was also due in part to a decrease in expenses related to vehicles sold to dealers acquired through arbitraton as a result of decreased arbitraton claims primarily due to lower Transacton volume.</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Expenses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Sales and Marketng Expense</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428"/>
              <w:spacing w:after="0"/>
              <w:rPr>
                <w:sz w:val="20"/>
                <w:szCs w:val="20"/>
                <w:color w:val="auto"/>
              </w:rPr>
            </w:pPr>
            <w:r>
              <w:rPr>
                <w:rFonts w:ascii="Calibri" w:cs="Calibri" w:eastAsia="Calibri" w:hAnsi="Calibri"/>
                <w:sz w:val="14"/>
                <w:szCs w:val="14"/>
                <w:b w:val="1"/>
                <w:bCs w:val="1"/>
                <w:color w:val="auto"/>
              </w:rPr>
              <w:t>Three Months Ended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center"/>
              <w:ind w:left="441"/>
              <w:spacing w:after="0"/>
              <w:rPr>
                <w:sz w:val="20"/>
                <w:szCs w:val="20"/>
                <w:color w:val="auto"/>
              </w:rPr>
            </w:pPr>
            <w:r>
              <w:rPr>
                <w:rFonts w:ascii="Calibri" w:cs="Calibri" w:eastAsia="Calibri" w:hAnsi="Calibri"/>
                <w:sz w:val="14"/>
                <w:szCs w:val="14"/>
                <w:b w:val="1"/>
                <w:bCs w:val="1"/>
                <w:color w:val="auto"/>
              </w:rPr>
              <w:t>March 31,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ind w:left="74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3"/>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1"/>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299"/>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ind w:left="80"/>
              <w:spacing w:after="0" w:line="164" w:lineRule="exact"/>
              <w:rPr>
                <w:sz w:val="20"/>
                <w:szCs w:val="20"/>
                <w:color w:val="auto"/>
              </w:rPr>
            </w:pPr>
            <w:r>
              <w:rPr>
                <w:rFonts w:ascii="Calibri" w:cs="Calibri" w:eastAsia="Calibri" w:hAnsi="Calibri"/>
                <w:sz w:val="14"/>
                <w:szCs w:val="14"/>
                <w:b w:val="1"/>
                <w:bCs w:val="1"/>
                <w:color w:val="auto"/>
              </w:rPr>
              <w:t>Amount</w:t>
            </w:r>
          </w:p>
        </w:tc>
        <w:tc>
          <w:tcPr>
            <w:tcW w:w="740" w:type="dxa"/>
            <w:vAlign w:val="bottom"/>
          </w:tcPr>
          <w:p>
            <w:pPr>
              <w:jc w:val="right"/>
              <w:ind w:right="399"/>
              <w:spacing w:after="0" w:line="164"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3"/>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(dollars in</w:t>
            </w:r>
          </w:p>
        </w:tc>
        <w:tc>
          <w:tcPr>
            <w:tcW w:w="1220" w:type="dxa"/>
            <w:vAlign w:val="bottom"/>
            <w:gridSpan w:val="3"/>
          </w:tcPr>
          <w:p>
            <w:pPr>
              <w:jc w:val="right"/>
              <w:ind w:right="422"/>
              <w:spacing w:after="0" w:line="164" w:lineRule="exact"/>
              <w:rPr>
                <w:sz w:val="20"/>
                <w:szCs w:val="20"/>
                <w:color w:val="auto"/>
              </w:rPr>
            </w:pPr>
            <w:r>
              <w:rPr>
                <w:rFonts w:ascii="Calibri" w:cs="Calibri" w:eastAsia="Calibri" w:hAnsi="Calibri"/>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9"/>
        </w:trPr>
        <w:tc>
          <w:tcPr>
            <w:tcW w:w="5200" w:type="dxa"/>
            <w:vAlign w:val="bottom"/>
          </w:tcPr>
          <w:p>
            <w:pPr>
              <w:spacing w:after="0"/>
              <w:rPr>
                <w:sz w:val="20"/>
                <w:szCs w:val="20"/>
                <w:color w:val="auto"/>
              </w:rPr>
            </w:pPr>
            <w:r>
              <w:rPr>
                <w:rFonts w:ascii="Calibri" w:cs="Calibri" w:eastAsia="Calibri" w:hAnsi="Calibri"/>
                <w:sz w:val="18"/>
                <w:szCs w:val="18"/>
                <w:color w:val="auto"/>
              </w:rPr>
              <w:t>Sales and marketng</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rPr>
                <w:sz w:val="20"/>
                <w:szCs w:val="20"/>
                <w:color w:val="auto"/>
              </w:rPr>
            </w:pPr>
            <w:r>
              <w:rPr>
                <w:rFonts w:ascii="Calibri" w:cs="Calibri" w:eastAsia="Calibri" w:hAnsi="Calibri"/>
                <w:sz w:val="18"/>
                <w:szCs w:val="18"/>
                <w:color w:val="auto"/>
              </w:rPr>
              <w:t>82,274</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75,577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6,697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Calibri" w:cs="Calibri" w:eastAsia="Calibri" w:hAnsi="Calibri"/>
                <w:sz w:val="18"/>
                <w:szCs w:val="18"/>
                <w:color w:val="auto"/>
              </w:rPr>
              <w:t>9 %</w:t>
            </w:r>
          </w:p>
        </w:tc>
      </w:tr>
      <w:tr>
        <w:trPr>
          <w:trHeight w:val="243"/>
        </w:trPr>
        <w:tc>
          <w:tcPr>
            <w:tcW w:w="5200" w:type="dxa"/>
            <w:vAlign w:val="bottom"/>
          </w:tcPr>
          <w:p>
            <w:pPr>
              <w:spacing w:after="0"/>
              <w:rPr>
                <w:sz w:val="20"/>
                <w:szCs w:val="20"/>
                <w:color w:val="auto"/>
              </w:rPr>
            </w:pPr>
            <w:r>
              <w:rPr>
                <w:rFonts w:ascii="Calibri" w:cs="Calibri" w:eastAsia="Calibri" w:hAnsi="Calibri"/>
                <w:sz w:val="18"/>
                <w:szCs w:val="18"/>
                <w:color w:val="auto"/>
              </w:rPr>
              <w:t>Percentage of total revenue</w:t>
            </w:r>
          </w:p>
        </w:tc>
        <w:tc>
          <w:tcPr>
            <w:tcW w:w="2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38 %</w:t>
            </w:r>
          </w:p>
        </w:tc>
        <w:tc>
          <w:tcPr>
            <w:tcW w:w="280" w:type="dxa"/>
            <w:vAlign w:val="bottom"/>
          </w:tcPr>
          <w:p>
            <w:pPr>
              <w:spacing w:after="0"/>
              <w:rPr>
                <w:sz w:val="21"/>
                <w:szCs w:val="21"/>
                <w:color w:val="auto"/>
              </w:rPr>
            </w:pPr>
          </w:p>
        </w:tc>
        <w:tc>
          <w:tcPr>
            <w:tcW w:w="980" w:type="dxa"/>
            <w:vAlign w:val="bottom"/>
            <w:gridSpan w:val="2"/>
          </w:tcPr>
          <w:p>
            <w:pPr>
              <w:jc w:val="right"/>
              <w:ind w:right="8"/>
              <w:spacing w:after="0"/>
              <w:rPr>
                <w:sz w:val="20"/>
                <w:szCs w:val="20"/>
                <w:color w:val="auto"/>
              </w:rPr>
            </w:pPr>
            <w:r>
              <w:rPr>
                <w:rFonts w:ascii="Calibri" w:cs="Calibri" w:eastAsia="Calibri" w:hAnsi="Calibri"/>
                <w:sz w:val="18"/>
                <w:szCs w:val="18"/>
                <w:color w:val="auto"/>
              </w:rPr>
              <w:t>33 %</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-284480</wp:posOffset>
            </wp:positionV>
            <wp:extent cx="641223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11" w:lineRule="exact"/>
        <w:rPr>
          <w:sz w:val="20"/>
          <w:szCs w:val="20"/>
          <w:color w:val="auto"/>
        </w:rPr>
      </w:pPr>
    </w:p>
    <w:p>
      <w:pPr>
        <w:jc w:val="both"/>
        <w:ind w:right="20" w:firstLine="509"/>
        <w:spacing w:after="0" w:line="258" w:lineRule="auto"/>
        <w:rPr>
          <w:sz w:val="20"/>
          <w:szCs w:val="20"/>
          <w:color w:val="auto"/>
        </w:rPr>
      </w:pPr>
      <w:r>
        <w:rPr>
          <w:rFonts w:ascii="Calibri" w:cs="Calibri" w:eastAsia="Calibri" w:hAnsi="Calibri"/>
          <w:sz w:val="17"/>
          <w:szCs w:val="17"/>
          <w:color w:val="auto"/>
        </w:rPr>
        <w:t>Sales and marketng expense increased $6.7 million, or 9%, in the three months ended March 31, 2024, compared to the three months ended March 31, 2023. The increase was due primarily to a $6.7 million increase in advertsing and marketng expense due to new brand campaign and marketng eforts.</w:t>
      </w:r>
    </w:p>
    <w:p>
      <w:pPr>
        <w:spacing w:after="0" w:line="19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Product, Technology, and Development Expense</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428"/>
              <w:spacing w:after="0"/>
              <w:rPr>
                <w:sz w:val="20"/>
                <w:szCs w:val="20"/>
                <w:color w:val="auto"/>
              </w:rPr>
            </w:pPr>
            <w:r>
              <w:rPr>
                <w:rFonts w:ascii="Calibri" w:cs="Calibri" w:eastAsia="Calibri" w:hAnsi="Calibri"/>
                <w:sz w:val="14"/>
                <w:szCs w:val="14"/>
                <w:b w:val="1"/>
                <w:bCs w:val="1"/>
                <w:color w:val="auto"/>
              </w:rPr>
              <w:t>Three Months Ended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center"/>
              <w:ind w:left="441"/>
              <w:spacing w:after="0"/>
              <w:rPr>
                <w:sz w:val="20"/>
                <w:szCs w:val="20"/>
                <w:color w:val="auto"/>
              </w:rPr>
            </w:pPr>
            <w:r>
              <w:rPr>
                <w:rFonts w:ascii="Calibri" w:cs="Calibri" w:eastAsia="Calibri" w:hAnsi="Calibri"/>
                <w:sz w:val="14"/>
                <w:szCs w:val="14"/>
                <w:b w:val="1"/>
                <w:bCs w:val="1"/>
                <w:color w:val="auto"/>
              </w:rPr>
              <w:t>March 31,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ind w:left="74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1"/>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299"/>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ind w:left="80"/>
              <w:spacing w:after="0" w:line="164" w:lineRule="exact"/>
              <w:rPr>
                <w:sz w:val="20"/>
                <w:szCs w:val="20"/>
                <w:color w:val="auto"/>
              </w:rPr>
            </w:pPr>
            <w:r>
              <w:rPr>
                <w:rFonts w:ascii="Calibri" w:cs="Calibri" w:eastAsia="Calibri" w:hAnsi="Calibri"/>
                <w:sz w:val="14"/>
                <w:szCs w:val="14"/>
                <w:b w:val="1"/>
                <w:bCs w:val="1"/>
                <w:color w:val="auto"/>
              </w:rPr>
              <w:t>Amount</w:t>
            </w:r>
          </w:p>
        </w:tc>
        <w:tc>
          <w:tcPr>
            <w:tcW w:w="740" w:type="dxa"/>
            <w:vAlign w:val="bottom"/>
          </w:tcPr>
          <w:p>
            <w:pPr>
              <w:jc w:val="right"/>
              <w:ind w:right="399"/>
              <w:spacing w:after="0" w:line="164"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(dollars in</w:t>
            </w:r>
          </w:p>
        </w:tc>
        <w:tc>
          <w:tcPr>
            <w:tcW w:w="1220" w:type="dxa"/>
            <w:vAlign w:val="bottom"/>
            <w:gridSpan w:val="3"/>
          </w:tcPr>
          <w:p>
            <w:pPr>
              <w:ind w:left="60"/>
              <w:spacing w:after="0" w:line="164" w:lineRule="exact"/>
              <w:rPr>
                <w:sz w:val="20"/>
                <w:szCs w:val="20"/>
                <w:color w:val="auto"/>
              </w:rPr>
            </w:pPr>
            <w:r>
              <w:rPr>
                <w:rFonts w:ascii="Calibri" w:cs="Calibri" w:eastAsia="Calibri" w:hAnsi="Calibri"/>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9"/>
        </w:trPr>
        <w:tc>
          <w:tcPr>
            <w:tcW w:w="5200" w:type="dxa"/>
            <w:vAlign w:val="bottom"/>
          </w:tcPr>
          <w:p>
            <w:pPr>
              <w:spacing w:after="0"/>
              <w:rPr>
                <w:sz w:val="20"/>
                <w:szCs w:val="20"/>
                <w:color w:val="auto"/>
              </w:rPr>
            </w:pPr>
            <w:r>
              <w:rPr>
                <w:rFonts w:ascii="Calibri" w:cs="Calibri" w:eastAsia="Calibri" w:hAnsi="Calibri"/>
                <w:sz w:val="18"/>
                <w:szCs w:val="18"/>
                <w:color w:val="auto"/>
              </w:rPr>
              <w:t>Product, technology, and development</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rPr>
                <w:sz w:val="20"/>
                <w:szCs w:val="20"/>
                <w:color w:val="auto"/>
              </w:rPr>
            </w:pPr>
            <w:r>
              <w:rPr>
                <w:rFonts w:ascii="Calibri" w:cs="Calibri" w:eastAsia="Calibri" w:hAnsi="Calibri"/>
                <w:sz w:val="18"/>
                <w:szCs w:val="18"/>
                <w:color w:val="auto"/>
              </w:rPr>
              <w:t>35,545</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36,607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02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(1,062 )</w:t>
            </w:r>
          </w:p>
        </w:tc>
        <w:tc>
          <w:tcPr>
            <w:tcW w:w="32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Calibri" w:cs="Calibri" w:eastAsia="Calibri" w:hAnsi="Calibri"/>
                <w:sz w:val="18"/>
                <w:szCs w:val="18"/>
                <w:color w:val="auto"/>
              </w:rPr>
              <w:t>(3 )%</w:t>
            </w:r>
          </w:p>
        </w:tc>
      </w:tr>
      <w:tr>
        <w:trPr>
          <w:trHeight w:val="243"/>
        </w:trPr>
        <w:tc>
          <w:tcPr>
            <w:tcW w:w="5200" w:type="dxa"/>
            <w:vAlign w:val="bottom"/>
          </w:tcPr>
          <w:p>
            <w:pPr>
              <w:spacing w:after="0"/>
              <w:rPr>
                <w:sz w:val="20"/>
                <w:szCs w:val="20"/>
                <w:color w:val="auto"/>
              </w:rPr>
            </w:pPr>
            <w:r>
              <w:rPr>
                <w:rFonts w:ascii="Calibri" w:cs="Calibri" w:eastAsia="Calibri" w:hAnsi="Calibri"/>
                <w:sz w:val="18"/>
                <w:szCs w:val="18"/>
                <w:color w:val="auto"/>
              </w:rPr>
              <w:t>Percentage of total revenue</w:t>
            </w:r>
          </w:p>
        </w:tc>
        <w:tc>
          <w:tcPr>
            <w:tcW w:w="2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16 %</w:t>
            </w:r>
          </w:p>
        </w:tc>
        <w:tc>
          <w:tcPr>
            <w:tcW w:w="280" w:type="dxa"/>
            <w:vAlign w:val="bottom"/>
          </w:tcPr>
          <w:p>
            <w:pPr>
              <w:spacing w:after="0"/>
              <w:rPr>
                <w:sz w:val="21"/>
                <w:szCs w:val="21"/>
                <w:color w:val="auto"/>
              </w:rPr>
            </w:pPr>
          </w:p>
        </w:tc>
        <w:tc>
          <w:tcPr>
            <w:tcW w:w="980" w:type="dxa"/>
            <w:vAlign w:val="bottom"/>
            <w:gridSpan w:val="2"/>
          </w:tcPr>
          <w:p>
            <w:pPr>
              <w:jc w:val="right"/>
              <w:ind w:right="8"/>
              <w:spacing w:after="0"/>
              <w:rPr>
                <w:sz w:val="20"/>
                <w:szCs w:val="20"/>
                <w:color w:val="auto"/>
              </w:rPr>
            </w:pPr>
            <w:r>
              <w:rPr>
                <w:rFonts w:ascii="Calibri" w:cs="Calibri" w:eastAsia="Calibri" w:hAnsi="Calibri"/>
                <w:sz w:val="18"/>
                <w:szCs w:val="18"/>
                <w:color w:val="auto"/>
              </w:rPr>
              <w:t>16 %</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-284480</wp:posOffset>
            </wp:positionV>
            <wp:extent cx="641223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11"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Product, technology, and development expense decreased $1.1 million, or 3%, in the three months ended March 31, 2024, compared to the three months ended March 31, 2023. The decrease was due primarily to a $2.3 million decrease in expense as a result of increased website development capitalizaton and a $1.3 million decrease in consultng services. The decrease was ofset in part by a $1.2 million increase in salaries and employee-related expenses due primarily to a 5% increase in headcount and a $0.5 million increase in rent and utlites.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General and Administratve Expense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428"/>
              <w:spacing w:after="0"/>
              <w:rPr>
                <w:sz w:val="20"/>
                <w:szCs w:val="20"/>
                <w:color w:val="auto"/>
              </w:rPr>
            </w:pPr>
            <w:r>
              <w:rPr>
                <w:rFonts w:ascii="Calibri" w:cs="Calibri" w:eastAsia="Calibri" w:hAnsi="Calibri"/>
                <w:sz w:val="14"/>
                <w:szCs w:val="14"/>
                <w:b w:val="1"/>
                <w:bCs w:val="1"/>
                <w:color w:val="auto"/>
              </w:rPr>
              <w:t>Three Months Ended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5"/>
        </w:trPr>
        <w:tc>
          <w:tcPr>
            <w:tcW w:w="40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center"/>
              <w:ind w:left="441"/>
              <w:spacing w:after="0"/>
              <w:rPr>
                <w:sz w:val="20"/>
                <w:szCs w:val="20"/>
                <w:color w:val="auto"/>
              </w:rPr>
            </w:pPr>
            <w:r>
              <w:rPr>
                <w:rFonts w:ascii="Calibri" w:cs="Calibri" w:eastAsia="Calibri" w:hAnsi="Calibri"/>
                <w:sz w:val="14"/>
                <w:szCs w:val="14"/>
                <w:b w:val="1"/>
                <w:bCs w:val="1"/>
                <w:color w:val="auto"/>
              </w:rPr>
              <w:t>March 31,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ind w:left="74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3"/>
        </w:trPr>
        <w:tc>
          <w:tcPr>
            <w:tcW w:w="4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3"/>
        </w:trPr>
        <w:tc>
          <w:tcPr>
            <w:tcW w:w="4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1"/>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299"/>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ind w:left="80"/>
              <w:spacing w:after="0" w:line="164" w:lineRule="exact"/>
              <w:rPr>
                <w:sz w:val="20"/>
                <w:szCs w:val="20"/>
                <w:color w:val="auto"/>
              </w:rPr>
            </w:pPr>
            <w:r>
              <w:rPr>
                <w:rFonts w:ascii="Calibri" w:cs="Calibri" w:eastAsia="Calibri" w:hAnsi="Calibri"/>
                <w:sz w:val="14"/>
                <w:szCs w:val="14"/>
                <w:b w:val="1"/>
                <w:bCs w:val="1"/>
                <w:color w:val="auto"/>
              </w:rPr>
              <w:t>Amount</w:t>
            </w:r>
          </w:p>
        </w:tc>
        <w:tc>
          <w:tcPr>
            <w:tcW w:w="740" w:type="dxa"/>
            <w:vAlign w:val="bottom"/>
          </w:tcPr>
          <w:p>
            <w:pPr>
              <w:jc w:val="right"/>
              <w:ind w:right="399"/>
              <w:spacing w:after="0" w:line="164"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
        </w:trPr>
        <w:tc>
          <w:tcPr>
            <w:tcW w:w="4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3"/>
        </w:trPr>
        <w:tc>
          <w:tcPr>
            <w:tcW w:w="4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(dollars in</w:t>
            </w:r>
          </w:p>
        </w:tc>
        <w:tc>
          <w:tcPr>
            <w:tcW w:w="1220" w:type="dxa"/>
            <w:vAlign w:val="bottom"/>
            <w:gridSpan w:val="3"/>
          </w:tcPr>
          <w:p>
            <w:pPr>
              <w:jc w:val="right"/>
              <w:ind w:right="422"/>
              <w:spacing w:after="0" w:line="164" w:lineRule="exact"/>
              <w:rPr>
                <w:sz w:val="20"/>
                <w:szCs w:val="20"/>
                <w:color w:val="auto"/>
              </w:rPr>
            </w:pPr>
            <w:r>
              <w:rPr>
                <w:rFonts w:ascii="Calibri" w:cs="Calibri" w:eastAsia="Calibri" w:hAnsi="Calibri"/>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9"/>
        </w:trPr>
        <w:tc>
          <w:tcPr>
            <w:tcW w:w="4040" w:type="dxa"/>
            <w:vAlign w:val="bottom"/>
          </w:tcPr>
          <w:p>
            <w:pPr>
              <w:ind w:left="580"/>
              <w:spacing w:after="0"/>
              <w:rPr>
                <w:sz w:val="20"/>
                <w:szCs w:val="20"/>
                <w:color w:val="auto"/>
              </w:rPr>
            </w:pPr>
            <w:r>
              <w:rPr>
                <w:rFonts w:ascii="Calibri" w:cs="Calibri" w:eastAsia="Calibri" w:hAnsi="Calibri"/>
                <w:sz w:val="18"/>
                <w:szCs w:val="18"/>
                <w:color w:val="auto"/>
              </w:rPr>
              <w:t>General and administratve</w:t>
            </w:r>
          </w:p>
        </w:tc>
        <w:tc>
          <w:tcPr>
            <w:tcW w:w="198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rPr>
                <w:sz w:val="20"/>
                <w:szCs w:val="20"/>
                <w:color w:val="auto"/>
              </w:rPr>
            </w:pPr>
            <w:r>
              <w:rPr>
                <w:rFonts w:ascii="Calibri" w:cs="Calibri" w:eastAsia="Calibri" w:hAnsi="Calibri"/>
                <w:sz w:val="18"/>
                <w:szCs w:val="18"/>
                <w:color w:val="auto"/>
              </w:rPr>
              <w:t>28,066</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24,919</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3,147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jc w:val="right"/>
              <w:ind w:right="520"/>
              <w:spacing w:after="0"/>
              <w:rPr>
                <w:sz w:val="20"/>
                <w:szCs w:val="20"/>
                <w:color w:val="auto"/>
              </w:rPr>
            </w:pPr>
            <w:r>
              <w:rPr>
                <w:rFonts w:ascii="Calibri" w:cs="Calibri" w:eastAsia="Calibri" w:hAnsi="Calibri"/>
                <w:sz w:val="18"/>
                <w:szCs w:val="18"/>
                <w:color w:val="auto"/>
              </w:rPr>
              <w:t>13 %</w:t>
            </w:r>
          </w:p>
        </w:tc>
      </w:tr>
      <w:tr>
        <w:trPr>
          <w:trHeight w:val="243"/>
        </w:trPr>
        <w:tc>
          <w:tcPr>
            <w:tcW w:w="4040" w:type="dxa"/>
            <w:vAlign w:val="bottom"/>
          </w:tcPr>
          <w:p>
            <w:pPr>
              <w:ind w:left="580"/>
              <w:spacing w:after="0"/>
              <w:rPr>
                <w:sz w:val="20"/>
                <w:szCs w:val="20"/>
                <w:color w:val="auto"/>
              </w:rPr>
            </w:pPr>
            <w:r>
              <w:rPr>
                <w:rFonts w:ascii="Calibri" w:cs="Calibri" w:eastAsia="Calibri" w:hAnsi="Calibri"/>
                <w:sz w:val="18"/>
                <w:szCs w:val="18"/>
                <w:color w:val="auto"/>
              </w:rPr>
              <w:t>Percentage of total revenue</w:t>
            </w:r>
          </w:p>
        </w:tc>
        <w:tc>
          <w:tcPr>
            <w:tcW w:w="1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13 %</w:t>
            </w:r>
          </w:p>
        </w:tc>
        <w:tc>
          <w:tcPr>
            <w:tcW w:w="280" w:type="dxa"/>
            <w:vAlign w:val="bottom"/>
          </w:tcPr>
          <w:p>
            <w:pPr>
              <w:spacing w:after="0"/>
              <w:rPr>
                <w:sz w:val="21"/>
                <w:szCs w:val="21"/>
                <w:color w:val="auto"/>
              </w:rPr>
            </w:pPr>
          </w:p>
        </w:tc>
        <w:tc>
          <w:tcPr>
            <w:tcW w:w="980" w:type="dxa"/>
            <w:vAlign w:val="bottom"/>
            <w:gridSpan w:val="2"/>
          </w:tcPr>
          <w:p>
            <w:pPr>
              <w:jc w:val="right"/>
              <w:ind w:right="8"/>
              <w:spacing w:after="0"/>
              <w:rPr>
                <w:sz w:val="20"/>
                <w:szCs w:val="20"/>
                <w:color w:val="auto"/>
              </w:rPr>
            </w:pPr>
            <w:r>
              <w:rPr>
                <w:rFonts w:ascii="Calibri" w:cs="Calibri" w:eastAsia="Calibri" w:hAnsi="Calibri"/>
                <w:sz w:val="18"/>
                <w:szCs w:val="18"/>
                <w:color w:val="auto"/>
              </w:rPr>
              <w:t>11 %</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685"/>
        </w:trPr>
        <w:tc>
          <w:tcPr>
            <w:tcW w:w="40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-1216660</wp:posOffset>
            </wp:positionV>
            <wp:extent cx="641223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jc w:val="both"/>
        <w:ind w:firstLine="509"/>
        <w:spacing w:after="0" w:line="235" w:lineRule="auto"/>
        <w:rPr>
          <w:sz w:val="20"/>
          <w:szCs w:val="20"/>
          <w:color w:val="auto"/>
        </w:rPr>
      </w:pPr>
      <w:r>
        <w:rPr>
          <w:rFonts w:ascii="Calibri" w:cs="Calibri" w:eastAsia="Calibri" w:hAnsi="Calibri"/>
          <w:sz w:val="18"/>
          <w:szCs w:val="18"/>
          <w:color w:val="auto"/>
        </w:rPr>
        <w:t>General and administratve expense increased $3.1 million, or 13%, in the three months ended March 31, 2024, compared to the three months ended March 31, 2023. The increase was due primarily to a $2.0 million increase in salaries and employee-related expenses, exclusive of stock-based compensaton, due primarily to a 7% increase in headcount. The increase was also due in part to a $1.3 million increase in stock-based compensaton due to new grants awarded to employees.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Depreciaton and Amortzaton Expense</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428"/>
              <w:spacing w:after="0"/>
              <w:rPr>
                <w:sz w:val="20"/>
                <w:szCs w:val="20"/>
                <w:color w:val="auto"/>
              </w:rPr>
            </w:pPr>
            <w:r>
              <w:rPr>
                <w:rFonts w:ascii="Calibri" w:cs="Calibri" w:eastAsia="Calibri" w:hAnsi="Calibri"/>
                <w:sz w:val="14"/>
                <w:szCs w:val="14"/>
                <w:b w:val="1"/>
                <w:bCs w:val="1"/>
                <w:color w:val="auto"/>
              </w:rPr>
              <w:t>Three Months Ended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center"/>
              <w:ind w:left="441"/>
              <w:spacing w:after="0"/>
              <w:rPr>
                <w:sz w:val="20"/>
                <w:szCs w:val="20"/>
                <w:color w:val="auto"/>
              </w:rPr>
            </w:pPr>
            <w:r>
              <w:rPr>
                <w:rFonts w:ascii="Calibri" w:cs="Calibri" w:eastAsia="Calibri" w:hAnsi="Calibri"/>
                <w:sz w:val="14"/>
                <w:szCs w:val="14"/>
                <w:b w:val="1"/>
                <w:bCs w:val="1"/>
                <w:color w:val="auto"/>
              </w:rPr>
              <w:t>March 31,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ind w:left="74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1"/>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299"/>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ind w:left="80"/>
              <w:spacing w:after="0" w:line="164" w:lineRule="exact"/>
              <w:rPr>
                <w:sz w:val="20"/>
                <w:szCs w:val="20"/>
                <w:color w:val="auto"/>
              </w:rPr>
            </w:pPr>
            <w:r>
              <w:rPr>
                <w:rFonts w:ascii="Calibri" w:cs="Calibri" w:eastAsia="Calibri" w:hAnsi="Calibri"/>
                <w:sz w:val="14"/>
                <w:szCs w:val="14"/>
                <w:b w:val="1"/>
                <w:bCs w:val="1"/>
                <w:color w:val="auto"/>
              </w:rPr>
              <w:t>Amount</w:t>
            </w:r>
          </w:p>
        </w:tc>
        <w:tc>
          <w:tcPr>
            <w:tcW w:w="740" w:type="dxa"/>
            <w:vAlign w:val="bottom"/>
          </w:tcPr>
          <w:p>
            <w:pPr>
              <w:jc w:val="right"/>
              <w:ind w:right="399"/>
              <w:spacing w:after="0" w:line="164"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(dollars in</w:t>
            </w:r>
          </w:p>
        </w:tc>
        <w:tc>
          <w:tcPr>
            <w:tcW w:w="1220" w:type="dxa"/>
            <w:vAlign w:val="bottom"/>
            <w:gridSpan w:val="3"/>
          </w:tcPr>
          <w:p>
            <w:pPr>
              <w:ind w:left="60"/>
              <w:spacing w:after="0" w:line="164" w:lineRule="exact"/>
              <w:rPr>
                <w:sz w:val="20"/>
                <w:szCs w:val="20"/>
                <w:color w:val="auto"/>
              </w:rPr>
            </w:pPr>
            <w:r>
              <w:rPr>
                <w:rFonts w:ascii="Calibri" w:cs="Calibri" w:eastAsia="Calibri" w:hAnsi="Calibri"/>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9"/>
        </w:trPr>
        <w:tc>
          <w:tcPr>
            <w:tcW w:w="5200" w:type="dxa"/>
            <w:vAlign w:val="bottom"/>
          </w:tcPr>
          <w:p>
            <w:pPr>
              <w:spacing w:after="0"/>
              <w:rPr>
                <w:sz w:val="20"/>
                <w:szCs w:val="20"/>
                <w:color w:val="auto"/>
              </w:rPr>
            </w:pPr>
            <w:r>
              <w:rPr>
                <w:rFonts w:ascii="Calibri" w:cs="Calibri" w:eastAsia="Calibri" w:hAnsi="Calibri"/>
                <w:sz w:val="18"/>
                <w:szCs w:val="18"/>
                <w:color w:val="auto"/>
              </w:rPr>
              <w:t>Depreciaton and amortzaton</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rPr>
                <w:sz w:val="20"/>
                <w:szCs w:val="20"/>
                <w:color w:val="auto"/>
              </w:rPr>
            </w:pPr>
            <w:r>
              <w:rPr>
                <w:rFonts w:ascii="Calibri" w:cs="Calibri" w:eastAsia="Calibri" w:hAnsi="Calibri"/>
                <w:sz w:val="18"/>
                <w:szCs w:val="18"/>
                <w:color w:val="auto"/>
              </w:rPr>
              <w:t>2,792</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3,818</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02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(1,026 )</w:t>
            </w:r>
          </w:p>
        </w:tc>
        <w:tc>
          <w:tcPr>
            <w:tcW w:w="32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Calibri" w:cs="Calibri" w:eastAsia="Calibri" w:hAnsi="Calibri"/>
                <w:sz w:val="18"/>
                <w:szCs w:val="18"/>
                <w:color w:val="auto"/>
              </w:rPr>
              <w:t>(27 )%</w:t>
            </w:r>
          </w:p>
        </w:tc>
      </w:tr>
      <w:tr>
        <w:trPr>
          <w:trHeight w:val="243"/>
        </w:trPr>
        <w:tc>
          <w:tcPr>
            <w:tcW w:w="5200" w:type="dxa"/>
            <w:vAlign w:val="bottom"/>
          </w:tcPr>
          <w:p>
            <w:pPr>
              <w:spacing w:after="0"/>
              <w:rPr>
                <w:sz w:val="20"/>
                <w:szCs w:val="20"/>
                <w:color w:val="auto"/>
              </w:rPr>
            </w:pPr>
            <w:r>
              <w:rPr>
                <w:rFonts w:ascii="Calibri" w:cs="Calibri" w:eastAsia="Calibri" w:hAnsi="Calibri"/>
                <w:sz w:val="18"/>
                <w:szCs w:val="18"/>
                <w:color w:val="auto"/>
              </w:rPr>
              <w:t>Percentage of total revenue</w:t>
            </w:r>
          </w:p>
        </w:tc>
        <w:tc>
          <w:tcPr>
            <w:tcW w:w="2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1 %</w:t>
            </w:r>
          </w:p>
        </w:tc>
        <w:tc>
          <w:tcPr>
            <w:tcW w:w="280" w:type="dxa"/>
            <w:vAlign w:val="bottom"/>
          </w:tcPr>
          <w:p>
            <w:pPr>
              <w:spacing w:after="0"/>
              <w:rPr>
                <w:sz w:val="21"/>
                <w:szCs w:val="21"/>
                <w:color w:val="auto"/>
              </w:rPr>
            </w:pPr>
          </w:p>
        </w:tc>
        <w:tc>
          <w:tcPr>
            <w:tcW w:w="980" w:type="dxa"/>
            <w:vAlign w:val="bottom"/>
            <w:gridSpan w:val="2"/>
          </w:tcPr>
          <w:p>
            <w:pPr>
              <w:jc w:val="right"/>
              <w:ind w:right="8"/>
              <w:spacing w:after="0"/>
              <w:rPr>
                <w:sz w:val="20"/>
                <w:szCs w:val="20"/>
                <w:color w:val="auto"/>
              </w:rPr>
            </w:pPr>
            <w:r>
              <w:rPr>
                <w:rFonts w:ascii="Calibri" w:cs="Calibri" w:eastAsia="Calibri" w:hAnsi="Calibri"/>
                <w:sz w:val="18"/>
                <w:szCs w:val="18"/>
                <w:color w:val="auto"/>
              </w:rPr>
              <w:t>2 %</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-284480</wp:posOffset>
            </wp:positionV>
            <wp:extent cx="641223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11"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Depreciaton and amortzaton expense decreased $1.0 million, or 27%, in the three months ended March 31, 2024, compared to the three months ended March 31, 2023. The decrease was the result of the customer relatonships intangible asset related to the Digital Wholesale segment becoming fully amortzed during the quarter.</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Income, net</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428"/>
              <w:spacing w:after="0"/>
              <w:rPr>
                <w:sz w:val="20"/>
                <w:szCs w:val="20"/>
                <w:color w:val="auto"/>
              </w:rPr>
            </w:pPr>
            <w:r>
              <w:rPr>
                <w:rFonts w:ascii="Calibri" w:cs="Calibri" w:eastAsia="Calibri" w:hAnsi="Calibri"/>
                <w:sz w:val="14"/>
                <w:szCs w:val="14"/>
                <w:b w:val="1"/>
                <w:bCs w:val="1"/>
                <w:color w:val="auto"/>
              </w:rPr>
              <w:t>Three Months Ended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center"/>
              <w:ind w:left="436"/>
              <w:spacing w:after="0"/>
              <w:rPr>
                <w:sz w:val="20"/>
                <w:szCs w:val="20"/>
                <w:color w:val="auto"/>
              </w:rPr>
            </w:pPr>
            <w:r>
              <w:rPr>
                <w:rFonts w:ascii="Calibri" w:cs="Calibri" w:eastAsia="Calibri" w:hAnsi="Calibri"/>
                <w:sz w:val="14"/>
                <w:szCs w:val="14"/>
                <w:b w:val="1"/>
                <w:bCs w:val="1"/>
                <w:color w:val="auto"/>
              </w:rPr>
              <w:t>March 31,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ind w:left="74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3"/>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6"/>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ind w:left="80"/>
              <w:spacing w:after="0" w:line="164" w:lineRule="exact"/>
              <w:rPr>
                <w:sz w:val="20"/>
                <w:szCs w:val="20"/>
                <w:color w:val="auto"/>
              </w:rPr>
            </w:pPr>
            <w:r>
              <w:rPr>
                <w:rFonts w:ascii="Calibri" w:cs="Calibri" w:eastAsia="Calibri" w:hAnsi="Calibri"/>
                <w:sz w:val="14"/>
                <w:szCs w:val="14"/>
                <w:b w:val="1"/>
                <w:bCs w:val="1"/>
                <w:color w:val="auto"/>
              </w:rPr>
              <w:t>Amount</w:t>
            </w:r>
          </w:p>
        </w:tc>
        <w:tc>
          <w:tcPr>
            <w:tcW w:w="740" w:type="dxa"/>
            <w:vAlign w:val="bottom"/>
          </w:tcPr>
          <w:p>
            <w:pPr>
              <w:jc w:val="right"/>
              <w:ind w:right="395"/>
              <w:spacing w:after="0" w:line="164"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3"/>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(dollars in</w:t>
            </w:r>
          </w:p>
        </w:tc>
        <w:tc>
          <w:tcPr>
            <w:tcW w:w="1220" w:type="dxa"/>
            <w:vAlign w:val="bottom"/>
            <w:gridSpan w:val="3"/>
          </w:tcPr>
          <w:p>
            <w:pPr>
              <w:jc w:val="right"/>
              <w:ind w:right="417"/>
              <w:spacing w:after="0" w:line="164" w:lineRule="exact"/>
              <w:rPr>
                <w:sz w:val="20"/>
                <w:szCs w:val="20"/>
                <w:color w:val="auto"/>
              </w:rPr>
            </w:pPr>
            <w:r>
              <w:rPr>
                <w:rFonts w:ascii="Calibri" w:cs="Calibri" w:eastAsia="Calibri" w:hAnsi="Calibri"/>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Other income, net:</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Interest income</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3,906</w:t>
            </w:r>
          </w:p>
        </w:tc>
        <w:tc>
          <w:tcPr>
            <w:tcW w:w="240" w:type="dxa"/>
            <w:vAlign w:val="bottom"/>
          </w:tcPr>
          <w:p>
            <w:pPr>
              <w:spacing w:after="0"/>
              <w:rPr>
                <w:sz w:val="18"/>
                <w:szCs w:val="18"/>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3,743</w:t>
            </w:r>
          </w:p>
        </w:tc>
        <w:tc>
          <w:tcPr>
            <w:tcW w:w="22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163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4 %</w:t>
            </w:r>
          </w:p>
        </w:tc>
      </w:tr>
      <w:tr>
        <w:trPr>
          <w:trHeight w:val="28"/>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Other (expense) income, net</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(505 )</w:t>
            </w: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(1,100 )</w:t>
            </w: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185</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5200" w:type="dxa"/>
            <w:vAlign w:val="bottom"/>
          </w:tcPr>
          <w:p>
            <w:pPr>
              <w:ind w:left="180"/>
              <w:spacing w:after="0" w:line="208" w:lineRule="exact"/>
              <w:rPr>
                <w:sz w:val="20"/>
                <w:szCs w:val="20"/>
                <w:color w:val="auto"/>
              </w:rPr>
            </w:pPr>
            <w:r>
              <w:rPr>
                <w:rFonts w:ascii="Calibri" w:cs="Calibri" w:eastAsia="Calibri" w:hAnsi="Calibri"/>
                <w:sz w:val="18"/>
                <w:szCs w:val="18"/>
                <w:color w:val="auto"/>
              </w:rPr>
              <w:t>Total other income, net</w:t>
            </w:r>
          </w:p>
        </w:tc>
        <w:tc>
          <w:tcPr>
            <w:tcW w:w="240" w:type="dxa"/>
            <w:vAlign w:val="bottom"/>
          </w:tcPr>
          <w:p>
            <w:pPr>
              <w:spacing w:after="0"/>
              <w:rPr>
                <w:sz w:val="18"/>
                <w:szCs w:val="18"/>
                <w:color w:val="auto"/>
              </w:rPr>
            </w:pPr>
          </w:p>
        </w:tc>
        <w:tc>
          <w:tcPr>
            <w:tcW w:w="800" w:type="dxa"/>
            <w:vAlign w:val="bottom"/>
          </w:tcPr>
          <w:p>
            <w:pPr>
              <w:jc w:val="right"/>
              <w:spacing w:after="0" w:line="208" w:lineRule="exact"/>
              <w:rPr>
                <w:sz w:val="20"/>
                <w:szCs w:val="20"/>
                <w:color w:val="auto"/>
              </w:rPr>
            </w:pPr>
            <w:r>
              <w:rPr>
                <w:rFonts w:ascii="Calibri" w:cs="Calibri" w:eastAsia="Calibri" w:hAnsi="Calibri"/>
                <w:sz w:val="18"/>
                <w:szCs w:val="18"/>
                <w:color w:val="auto"/>
              </w:rPr>
              <w:t>3,401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line="208" w:lineRule="exact"/>
              <w:rPr>
                <w:sz w:val="20"/>
                <w:szCs w:val="20"/>
                <w:color w:val="auto"/>
              </w:rPr>
            </w:pPr>
            <w:r>
              <w:rPr>
                <w:rFonts w:ascii="Calibri" w:cs="Calibri" w:eastAsia="Calibri" w:hAnsi="Calibri"/>
                <w:sz w:val="18"/>
                <w:szCs w:val="18"/>
                <w:color w:val="auto"/>
              </w:rPr>
              <w:t>4,338</w:t>
            </w:r>
          </w:p>
        </w:tc>
        <w:tc>
          <w:tcPr>
            <w:tcW w:w="22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tcPr>
          <w:p>
            <w:pPr>
              <w:jc w:val="right"/>
              <w:ind w:right="120"/>
              <w:spacing w:after="0" w:line="208" w:lineRule="exact"/>
              <w:rPr>
                <w:sz w:val="20"/>
                <w:szCs w:val="20"/>
                <w:color w:val="auto"/>
              </w:rPr>
            </w:pPr>
            <w:r>
              <w:rPr>
                <w:rFonts w:ascii="Calibri" w:cs="Calibri" w:eastAsia="Calibri" w:hAnsi="Calibri"/>
                <w:sz w:val="18"/>
                <w:szCs w:val="18"/>
                <w:color w:val="auto"/>
              </w:rPr>
              <w:t>(937 )</w:t>
            </w:r>
          </w:p>
        </w:tc>
        <w:tc>
          <w:tcPr>
            <w:tcW w:w="320" w:type="dxa"/>
            <w:vAlign w:val="bottom"/>
          </w:tcPr>
          <w:p>
            <w:pPr>
              <w:spacing w:after="0"/>
              <w:rPr>
                <w:sz w:val="18"/>
                <w:szCs w:val="18"/>
                <w:color w:val="auto"/>
              </w:rPr>
            </w:pPr>
          </w:p>
        </w:tc>
        <w:tc>
          <w:tcPr>
            <w:tcW w:w="880" w:type="dxa"/>
            <w:vAlign w:val="bottom"/>
            <w:gridSpan w:val="3"/>
          </w:tcPr>
          <w:p>
            <w:pPr>
              <w:jc w:val="right"/>
              <w:spacing w:after="0" w:line="208" w:lineRule="exact"/>
              <w:rPr>
                <w:sz w:val="20"/>
                <w:szCs w:val="20"/>
                <w:color w:val="auto"/>
              </w:rPr>
            </w:pPr>
            <w:r>
              <w:rPr>
                <w:rFonts w:ascii="Calibri" w:cs="Calibri" w:eastAsia="Calibri" w:hAnsi="Calibri"/>
                <w:sz w:val="18"/>
                <w:szCs w:val="18"/>
                <w:color w:val="auto"/>
              </w:rPr>
              <w:t>22 %</w:t>
            </w:r>
          </w:p>
        </w:tc>
      </w:tr>
      <w:tr>
        <w:trPr>
          <w:trHeight w:val="28"/>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Calibri" w:cs="Calibri" w:eastAsia="Calibri" w:hAnsi="Calibri"/>
                <w:sz w:val="18"/>
                <w:szCs w:val="18"/>
                <w:b w:val="1"/>
                <w:bCs w:val="1"/>
                <w:color w:val="auto"/>
              </w:rPr>
              <w:t>Percentage of total revenue:</w:t>
            </w:r>
          </w:p>
        </w:tc>
        <w:tc>
          <w:tcPr>
            <w:tcW w:w="2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15"/>
        </w:trPr>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Interest income</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2 %</w:t>
            </w:r>
          </w:p>
        </w:tc>
        <w:tc>
          <w:tcPr>
            <w:tcW w:w="280" w:type="dxa"/>
            <w:vAlign w:val="bottom"/>
          </w:tcPr>
          <w:p>
            <w:pPr>
              <w:spacing w:after="0"/>
              <w:rPr>
                <w:sz w:val="18"/>
                <w:szCs w:val="18"/>
                <w:color w:val="auto"/>
              </w:rPr>
            </w:pPr>
          </w:p>
        </w:tc>
        <w:tc>
          <w:tcPr>
            <w:tcW w:w="980" w:type="dxa"/>
            <w:vAlign w:val="bottom"/>
            <w:gridSpan w:val="2"/>
          </w:tcPr>
          <w:p>
            <w:pPr>
              <w:jc w:val="right"/>
              <w:ind w:right="8"/>
              <w:spacing w:after="0" w:line="215" w:lineRule="exact"/>
              <w:rPr>
                <w:sz w:val="20"/>
                <w:szCs w:val="20"/>
                <w:color w:val="auto"/>
              </w:rPr>
            </w:pPr>
            <w:r>
              <w:rPr>
                <w:rFonts w:ascii="Calibri" w:cs="Calibri" w:eastAsia="Calibri" w:hAnsi="Calibri"/>
                <w:sz w:val="18"/>
                <w:szCs w:val="18"/>
                <w:color w:val="auto"/>
              </w:rPr>
              <w:t>2 %</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Other (expense) income, net</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(0 )</w:t>
            </w: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5200" w:type="dxa"/>
            <w:vAlign w:val="bottom"/>
          </w:tcPr>
          <w:p>
            <w:pPr>
              <w:ind w:left="180"/>
              <w:spacing w:after="0" w:line="208" w:lineRule="exact"/>
              <w:rPr>
                <w:sz w:val="20"/>
                <w:szCs w:val="20"/>
                <w:color w:val="auto"/>
              </w:rPr>
            </w:pPr>
            <w:r>
              <w:rPr>
                <w:rFonts w:ascii="Calibri" w:cs="Calibri" w:eastAsia="Calibri" w:hAnsi="Calibri"/>
                <w:sz w:val="18"/>
                <w:szCs w:val="18"/>
                <w:color w:val="auto"/>
              </w:rPr>
              <w:t>Total other income, net</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line="208" w:lineRule="exact"/>
              <w:rPr>
                <w:sz w:val="20"/>
                <w:szCs w:val="20"/>
                <w:color w:val="auto"/>
              </w:rPr>
            </w:pPr>
            <w:r>
              <w:rPr>
                <w:rFonts w:ascii="Calibri" w:cs="Calibri" w:eastAsia="Calibri" w:hAnsi="Calibri"/>
                <w:sz w:val="18"/>
                <w:szCs w:val="18"/>
                <w:color w:val="auto"/>
              </w:rPr>
              <w:t>2 %</w:t>
            </w:r>
          </w:p>
        </w:tc>
        <w:tc>
          <w:tcPr>
            <w:tcW w:w="280" w:type="dxa"/>
            <w:vAlign w:val="bottom"/>
          </w:tcPr>
          <w:p>
            <w:pPr>
              <w:spacing w:after="0"/>
              <w:rPr>
                <w:sz w:val="18"/>
                <w:szCs w:val="18"/>
                <w:color w:val="auto"/>
              </w:rPr>
            </w:pPr>
          </w:p>
        </w:tc>
        <w:tc>
          <w:tcPr>
            <w:tcW w:w="980" w:type="dxa"/>
            <w:vAlign w:val="bottom"/>
            <w:gridSpan w:val="2"/>
          </w:tcPr>
          <w:p>
            <w:pPr>
              <w:jc w:val="right"/>
              <w:ind w:right="8"/>
              <w:spacing w:after="0" w:line="208" w:lineRule="exact"/>
              <w:rPr>
                <w:sz w:val="20"/>
                <w:szCs w:val="20"/>
                <w:color w:val="auto"/>
              </w:rPr>
            </w:pPr>
            <w:r>
              <w:rPr>
                <w:rFonts w:ascii="Calibri" w:cs="Calibri" w:eastAsia="Calibri" w:hAnsi="Calibri"/>
                <w:sz w:val="18"/>
                <w:szCs w:val="18"/>
                <w:color w:val="auto"/>
              </w:rPr>
              <w:t>2 %</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-839470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-839470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-839470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-839470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-187960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Total other income, net decreased $0.9 million, or 22%, in the three months ended March 31, 2024, compared to the three months ended March 31, 2023. The $0.2 million increase in interest income was due primarily to higher interest earned on investments. These investments were subsequently sold during the three months ended March 31, 2024. The $1.1 million decrease in other (expense) income, net was due primarily to a $0.6 million increase in realized and unrealized loss associated with the fuctuaton of certain foreign currencies.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Provision for Income Taxes</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center"/>
              <w:ind w:right="408"/>
              <w:spacing w:after="0"/>
              <w:rPr>
                <w:sz w:val="20"/>
                <w:szCs w:val="20"/>
                <w:color w:val="auto"/>
              </w:rPr>
            </w:pPr>
            <w:r>
              <w:rPr>
                <w:rFonts w:ascii="Calibri" w:cs="Calibri" w:eastAsia="Calibri" w:hAnsi="Calibri"/>
                <w:sz w:val="14"/>
                <w:szCs w:val="14"/>
                <w:b w:val="1"/>
                <w:bCs w:val="1"/>
                <w:color w:val="auto"/>
              </w:rPr>
              <w:t>Three Months Ended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5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center"/>
              <w:ind w:left="461"/>
              <w:spacing w:after="0"/>
              <w:rPr>
                <w:sz w:val="20"/>
                <w:szCs w:val="20"/>
                <w:color w:val="auto"/>
              </w:rPr>
            </w:pPr>
            <w:r>
              <w:rPr>
                <w:rFonts w:ascii="Calibri" w:cs="Calibri" w:eastAsia="Calibri" w:hAnsi="Calibri"/>
                <w:sz w:val="14"/>
                <w:szCs w:val="14"/>
                <w:b w:val="1"/>
                <w:bCs w:val="1"/>
                <w:color w:val="auto"/>
              </w:rPr>
              <w:t>March 31,</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ind w:left="72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3"/>
        </w:trPr>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3"/>
        </w:trPr>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1"/>
              <w:spacing w:after="0" w:line="164" w:lineRule="exact"/>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339"/>
              <w:spacing w:after="0" w:line="164" w:lineRule="exact"/>
              <w:rPr>
                <w:sz w:val="20"/>
                <w:szCs w:val="20"/>
                <w:color w:val="auto"/>
              </w:rPr>
            </w:pPr>
            <w:r>
              <w:rPr>
                <w:rFonts w:ascii="Calibri" w:cs="Calibri" w:eastAsia="Calibri" w:hAnsi="Calibri"/>
                <w:sz w:val="14"/>
                <w:szCs w:val="14"/>
                <w:b w:val="1"/>
                <w:bCs w:val="1"/>
                <w:color w:val="auto"/>
              </w:rPr>
              <w:t>2023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ind w:left="60"/>
              <w:spacing w:after="0" w:line="164" w:lineRule="exact"/>
              <w:rPr>
                <w:sz w:val="20"/>
                <w:szCs w:val="20"/>
                <w:color w:val="auto"/>
              </w:rPr>
            </w:pPr>
            <w:r>
              <w:rPr>
                <w:rFonts w:ascii="Calibri" w:cs="Calibri" w:eastAsia="Calibri" w:hAnsi="Calibri"/>
                <w:sz w:val="14"/>
                <w:szCs w:val="14"/>
                <w:b w:val="1"/>
                <w:bCs w:val="1"/>
                <w:color w:val="auto"/>
              </w:rPr>
              <w:t>Amount</w:t>
            </w:r>
          </w:p>
        </w:tc>
        <w:tc>
          <w:tcPr>
            <w:tcW w:w="740" w:type="dxa"/>
            <w:vAlign w:val="bottom"/>
          </w:tcPr>
          <w:p>
            <w:pPr>
              <w:jc w:val="right"/>
              <w:ind w:right="399"/>
              <w:spacing w:after="0" w:line="164"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
        </w:trPr>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3"/>
        </w:trPr>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(dollars in</w:t>
            </w:r>
          </w:p>
        </w:tc>
        <w:tc>
          <w:tcPr>
            <w:tcW w:w="1120" w:type="dxa"/>
            <w:vAlign w:val="bottom"/>
            <w:gridSpan w:val="3"/>
          </w:tcPr>
          <w:p>
            <w:pPr>
              <w:jc w:val="right"/>
              <w:ind w:right="422"/>
              <w:spacing w:after="0" w:line="164" w:lineRule="exact"/>
              <w:rPr>
                <w:sz w:val="20"/>
                <w:szCs w:val="20"/>
                <w:color w:val="auto"/>
              </w:rPr>
            </w:pPr>
            <w:r>
              <w:rPr>
                <w:rFonts w:ascii="Calibri" w:cs="Calibri" w:eastAsia="Calibri" w:hAnsi="Calibri"/>
                <w:sz w:val="14"/>
                <w:szCs w:val="14"/>
                <w:b w:val="1"/>
                <w:bCs w:val="1"/>
                <w:color w:val="auto"/>
                <w:w w:val="92"/>
              </w:rPr>
              <w:t>thousands)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9"/>
        </w:trPr>
        <w:tc>
          <w:tcPr>
            <w:tcW w:w="5140" w:type="dxa"/>
            <w:vAlign w:val="bottom"/>
          </w:tcPr>
          <w:p>
            <w:pPr>
              <w:spacing w:after="0"/>
              <w:rPr>
                <w:sz w:val="20"/>
                <w:szCs w:val="20"/>
                <w:color w:val="auto"/>
              </w:rPr>
            </w:pPr>
            <w:r>
              <w:rPr>
                <w:rFonts w:ascii="Calibri" w:cs="Calibri" w:eastAsia="Calibri" w:hAnsi="Calibri"/>
                <w:sz w:val="18"/>
                <w:szCs w:val="18"/>
                <w:color w:val="auto"/>
              </w:rPr>
              <w:t>Provision for income taxes</w:t>
            </w:r>
          </w:p>
        </w:tc>
        <w:tc>
          <w:tcPr>
            <w:tcW w:w="260" w:type="dxa"/>
            <w:vAlign w:val="bottom"/>
          </w:tcPr>
          <w:p>
            <w:pPr>
              <w:jc w:val="right"/>
              <w:ind w:right="70"/>
              <w:spacing w:after="0"/>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rPr>
                <w:sz w:val="20"/>
                <w:szCs w:val="20"/>
                <w:color w:val="auto"/>
              </w:rPr>
            </w:pPr>
            <w:r>
              <w:rPr>
                <w:rFonts w:ascii="Calibri" w:cs="Calibri" w:eastAsia="Calibri" w:hAnsi="Calibri"/>
                <w:sz w:val="18"/>
                <w:szCs w:val="18"/>
                <w:color w:val="auto"/>
              </w:rPr>
              <w:t>8,384</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6,531</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1,853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Calibri" w:cs="Calibri" w:eastAsia="Calibri" w:hAnsi="Calibri"/>
                <w:sz w:val="18"/>
                <w:szCs w:val="18"/>
                <w:color w:val="auto"/>
              </w:rPr>
              <w:t>28 %</w:t>
            </w:r>
          </w:p>
        </w:tc>
      </w:tr>
      <w:tr>
        <w:trPr>
          <w:trHeight w:val="243"/>
        </w:trPr>
        <w:tc>
          <w:tcPr>
            <w:tcW w:w="5140" w:type="dxa"/>
            <w:vAlign w:val="bottom"/>
          </w:tcPr>
          <w:p>
            <w:pPr>
              <w:spacing w:after="0"/>
              <w:rPr>
                <w:sz w:val="20"/>
                <w:szCs w:val="20"/>
                <w:color w:val="auto"/>
              </w:rPr>
            </w:pPr>
            <w:r>
              <w:rPr>
                <w:rFonts w:ascii="Calibri" w:cs="Calibri" w:eastAsia="Calibri" w:hAnsi="Calibri"/>
                <w:sz w:val="18"/>
                <w:szCs w:val="18"/>
                <w:color w:val="auto"/>
              </w:rPr>
              <w:t>Percentage of total revenue</w:t>
            </w:r>
          </w:p>
        </w:tc>
        <w:tc>
          <w:tcPr>
            <w:tcW w:w="26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Calibri" w:cs="Calibri" w:eastAsia="Calibri" w:hAnsi="Calibri"/>
                <w:sz w:val="18"/>
                <w:szCs w:val="18"/>
                <w:color w:val="auto"/>
              </w:rPr>
              <w:t>4 %</w:t>
            </w:r>
          </w:p>
        </w:tc>
        <w:tc>
          <w:tcPr>
            <w:tcW w:w="3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Calibri" w:cs="Calibri" w:eastAsia="Calibri" w:hAnsi="Calibri"/>
                <w:sz w:val="18"/>
                <w:szCs w:val="18"/>
                <w:color w:val="auto"/>
              </w:rPr>
              <w:t>3 %</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-284480</wp:posOffset>
            </wp:positionV>
            <wp:extent cx="641223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11"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Provision for income taxes increased $1.9 million, or 28%, in the three months ended March 31, 2024, compared to the three months ended March 31, 2023, primarily due to increased proftability. This was partally ofset by an aggregated $0.4 million tax expense related to shortalls on the taxable compensaton of stock-based awards and the Secton 162(m) excess ofcer compensaton limitaton recorded during the three months ended March 31, 2024, compared to a $3.4 million tax expense related to shortalls on the taxable compensaton of stock-based awards and the Secton 162(m) excess ofcer compensaton limitaton recorded during the three months ended March 31, 2023.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8" w:name="page39"/>
    <w:bookmarkEnd w:id="38"/>
    <w:p>
      <w:pPr>
        <w:spacing w:after="0"/>
        <w:rPr>
          <w:sz w:val="20"/>
          <w:szCs w:val="20"/>
          <w:color w:val="auto"/>
        </w:rPr>
      </w:pPr>
      <w:r>
        <w:rPr>
          <w:rFonts w:ascii="Calibri" w:cs="Calibri" w:eastAsia="Calibri" w:hAnsi="Calibri"/>
          <w:sz w:val="18"/>
          <w:szCs w:val="18"/>
          <w:b w:val="1"/>
          <w:bCs w:val="1"/>
          <w:i w:val="1"/>
          <w:iCs w:val="1"/>
          <w:color w:val="auto"/>
        </w:rPr>
        <w:t>Segment Income (Loss) from Operatons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708"/>
              <w:spacing w:after="0"/>
              <w:rPr>
                <w:sz w:val="20"/>
                <w:szCs w:val="20"/>
                <w:color w:val="auto"/>
              </w:rPr>
            </w:pPr>
            <w:r>
              <w:rPr>
                <w:rFonts w:ascii="Calibri" w:cs="Calibri" w:eastAsia="Calibri" w:hAnsi="Calibri"/>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ind w:right="10"/>
              <w:spacing w:after="0"/>
              <w:rPr>
                <w:sz w:val="20"/>
                <w:szCs w:val="20"/>
                <w:color w:val="auto"/>
              </w:rPr>
            </w:pPr>
            <w:r>
              <w:rPr>
                <w:rFonts w:ascii="Calibri" w:cs="Calibri" w:eastAsia="Calibri" w:hAnsi="Calibri"/>
                <w:sz w:val="14"/>
                <w:szCs w:val="14"/>
                <w:b w:val="1"/>
                <w:bCs w:val="1"/>
                <w:color w:val="auto"/>
              </w:rPr>
              <w:t>March 31,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ind w:left="74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294"/>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ind w:left="80"/>
              <w:spacing w:after="0" w:line="164" w:lineRule="exact"/>
              <w:rPr>
                <w:sz w:val="20"/>
                <w:szCs w:val="20"/>
                <w:color w:val="auto"/>
              </w:rPr>
            </w:pPr>
            <w:r>
              <w:rPr>
                <w:rFonts w:ascii="Calibri" w:cs="Calibri" w:eastAsia="Calibri" w:hAnsi="Calibri"/>
                <w:sz w:val="14"/>
                <w:szCs w:val="14"/>
                <w:b w:val="1"/>
                <w:bCs w:val="1"/>
                <w:color w:val="auto"/>
              </w:rPr>
              <w:t>Amount</w:t>
            </w:r>
          </w:p>
        </w:tc>
        <w:tc>
          <w:tcPr>
            <w:tcW w:w="740" w:type="dxa"/>
            <w:vAlign w:val="bottom"/>
          </w:tcPr>
          <w:p>
            <w:pPr>
              <w:jc w:val="right"/>
              <w:ind w:right="394"/>
              <w:spacing w:after="0" w:line="164"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(dollars in</w:t>
            </w:r>
          </w:p>
        </w:tc>
        <w:tc>
          <w:tcPr>
            <w:tcW w:w="1240" w:type="dxa"/>
            <w:vAlign w:val="bottom"/>
            <w:gridSpan w:val="3"/>
          </w:tcPr>
          <w:p>
            <w:pPr>
              <w:jc w:val="right"/>
              <w:ind w:right="436"/>
              <w:spacing w:after="0" w:line="164" w:lineRule="exact"/>
              <w:rPr>
                <w:sz w:val="20"/>
                <w:szCs w:val="20"/>
                <w:color w:val="auto"/>
              </w:rPr>
            </w:pPr>
            <w:r>
              <w:rPr>
                <w:rFonts w:ascii="Calibri" w:cs="Calibri" w:eastAsia="Calibri" w:hAnsi="Calibri"/>
                <w:sz w:val="14"/>
                <w:szCs w:val="14"/>
                <w:b w:val="1"/>
                <w:bCs w:val="1"/>
                <w:color w:val="auto"/>
              </w:rPr>
              <w:t>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Segment Income (Loss) from Operatons:</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U.S. Marketplace</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34,217</w:t>
            </w:r>
          </w:p>
        </w:tc>
        <w:tc>
          <w:tcPr>
            <w:tcW w:w="240" w:type="dxa"/>
            <w:vAlign w:val="bottom"/>
          </w:tcPr>
          <w:p>
            <w:pPr>
              <w:spacing w:after="0"/>
              <w:rPr>
                <w:sz w:val="18"/>
                <w:szCs w:val="18"/>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26,539</w:t>
            </w:r>
          </w:p>
        </w:tc>
        <w:tc>
          <w:tcPr>
            <w:tcW w:w="22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7,678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29 %</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Digital Wholesale</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(10,340 )</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88"/>
              <w:spacing w:after="0" w:line="215" w:lineRule="exact"/>
              <w:rPr>
                <w:sz w:val="20"/>
                <w:szCs w:val="20"/>
                <w:color w:val="auto"/>
              </w:rPr>
            </w:pPr>
            <w:r>
              <w:rPr>
                <w:rFonts w:ascii="Calibri" w:cs="Calibri" w:eastAsia="Calibri" w:hAnsi="Calibri"/>
                <w:sz w:val="18"/>
                <w:szCs w:val="18"/>
                <w:color w:val="auto"/>
              </w:rPr>
              <w:t>(11,225 )</w:t>
            </w:r>
          </w:p>
        </w:tc>
        <w:tc>
          <w:tcPr>
            <w:tcW w:w="1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885</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2,407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8"/>
              <w:spacing w:after="0" w:line="215" w:lineRule="exact"/>
              <w:rPr>
                <w:sz w:val="20"/>
                <w:szCs w:val="20"/>
                <w:color w:val="auto"/>
              </w:rPr>
            </w:pPr>
            <w:r>
              <w:rPr>
                <w:rFonts w:ascii="Calibri" w:cs="Calibri" w:eastAsia="Calibri" w:hAnsi="Calibri"/>
                <w:sz w:val="18"/>
                <w:szCs w:val="18"/>
                <w:color w:val="auto"/>
              </w:rPr>
              <w:t>(1,255 )</w:t>
            </w:r>
          </w:p>
        </w:tc>
        <w:tc>
          <w:tcPr>
            <w:tcW w:w="18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3,662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292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200" w:type="dxa"/>
            <w:vAlign w:val="bottom"/>
            <w:vMerge w:val="restart"/>
          </w:tcPr>
          <w:p>
            <w:pPr>
              <w:ind w:left="180"/>
              <w:spacing w:after="0"/>
              <w:rPr>
                <w:sz w:val="20"/>
                <w:szCs w:val="20"/>
                <w:color w:val="auto"/>
              </w:rPr>
            </w:pPr>
            <w:r>
              <w:rPr>
                <w:rFonts w:ascii="Calibri" w:cs="Calibri" w:eastAsia="Calibri" w:hAnsi="Calibri"/>
                <w:sz w:val="18"/>
                <w:szCs w:val="18"/>
                <w:color w:val="auto"/>
              </w:rPr>
              <w:t>Total</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200" w:type="dxa"/>
            <w:vAlign w:val="bottom"/>
            <w:vMerge w:val="continue"/>
          </w:tcPr>
          <w:p>
            <w:pPr>
              <w:spacing w:after="0"/>
              <w:rPr>
                <w:sz w:val="18"/>
                <w:szCs w:val="18"/>
                <w:color w:val="auto"/>
              </w:rPr>
            </w:pPr>
          </w:p>
        </w:tc>
        <w:tc>
          <w:tcPr>
            <w:tcW w:w="240" w:type="dxa"/>
            <w:vAlign w:val="bottom"/>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08" w:lineRule="exact"/>
              <w:rPr>
                <w:sz w:val="20"/>
                <w:szCs w:val="20"/>
                <w:color w:val="auto"/>
              </w:rPr>
            </w:pPr>
            <w:r>
              <w:rPr>
                <w:rFonts w:ascii="Calibri" w:cs="Calibri" w:eastAsia="Calibri" w:hAnsi="Calibri"/>
                <w:sz w:val="18"/>
                <w:szCs w:val="18"/>
                <w:color w:val="auto"/>
              </w:rPr>
              <w:t>26,284</w:t>
            </w:r>
          </w:p>
        </w:tc>
        <w:tc>
          <w:tcPr>
            <w:tcW w:w="240" w:type="dxa"/>
            <w:vAlign w:val="bottom"/>
          </w:tcPr>
          <w:p>
            <w:pPr>
              <w:spacing w:after="0"/>
              <w:rPr>
                <w:sz w:val="18"/>
                <w:szCs w:val="18"/>
                <w:color w:val="auto"/>
              </w:rPr>
            </w:pPr>
          </w:p>
        </w:tc>
        <w:tc>
          <w:tcPr>
            <w:tcW w:w="280" w:type="dxa"/>
            <w:vAlign w:val="bottom"/>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760" w:type="dxa"/>
            <w:vAlign w:val="bottom"/>
          </w:tcPr>
          <w:p>
            <w:pPr>
              <w:jc w:val="right"/>
              <w:spacing w:after="0" w:line="208" w:lineRule="exact"/>
              <w:rPr>
                <w:sz w:val="20"/>
                <w:szCs w:val="20"/>
                <w:color w:val="auto"/>
              </w:rPr>
            </w:pPr>
            <w:r>
              <w:rPr>
                <w:rFonts w:ascii="Calibri" w:cs="Calibri" w:eastAsia="Calibri" w:hAnsi="Calibri"/>
                <w:sz w:val="18"/>
                <w:szCs w:val="18"/>
                <w:color w:val="auto"/>
              </w:rPr>
              <w:t>14,059</w:t>
            </w:r>
          </w:p>
        </w:tc>
        <w:tc>
          <w:tcPr>
            <w:tcW w:w="22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840" w:type="dxa"/>
            <w:vAlign w:val="bottom"/>
          </w:tcPr>
          <w:p>
            <w:pPr>
              <w:jc w:val="right"/>
              <w:spacing w:after="0" w:line="208" w:lineRule="exact"/>
              <w:rPr>
                <w:sz w:val="20"/>
                <w:szCs w:val="20"/>
                <w:color w:val="auto"/>
              </w:rPr>
            </w:pPr>
            <w:r>
              <w:rPr>
                <w:rFonts w:ascii="Calibri" w:cs="Calibri" w:eastAsia="Calibri" w:hAnsi="Calibri"/>
                <w:sz w:val="18"/>
                <w:szCs w:val="18"/>
                <w:color w:val="auto"/>
              </w:rPr>
              <w:t>12,225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3"/>
          </w:tcPr>
          <w:p>
            <w:pPr>
              <w:jc w:val="right"/>
              <w:spacing w:after="0" w:line="208" w:lineRule="exact"/>
              <w:rPr>
                <w:sz w:val="20"/>
                <w:szCs w:val="20"/>
                <w:color w:val="auto"/>
              </w:rPr>
            </w:pPr>
            <w:r>
              <w:rPr>
                <w:rFonts w:ascii="Calibri" w:cs="Calibri" w:eastAsia="Calibri" w:hAnsi="Calibri"/>
                <w:sz w:val="18"/>
                <w:szCs w:val="18"/>
                <w:color w:val="auto"/>
              </w:rPr>
              <w:t>87 %</w:t>
            </w:r>
          </w:p>
        </w:tc>
        <w:tc>
          <w:tcPr>
            <w:tcW w:w="0" w:type="dxa"/>
            <w:vAlign w:val="bottom"/>
          </w:tcPr>
          <w:p>
            <w:pPr>
              <w:spacing w:after="0"/>
              <w:rPr>
                <w:sz w:val="1"/>
                <w:szCs w:val="1"/>
                <w:color w:val="auto"/>
              </w:rPr>
            </w:pPr>
          </w:p>
        </w:tc>
      </w:tr>
      <w:tr>
        <w:trPr>
          <w:trHeight w:val="28"/>
        </w:trPr>
        <w:tc>
          <w:tcPr>
            <w:tcW w:w="5200" w:type="dxa"/>
            <w:vAlign w:val="bottom"/>
            <w:vMerge w:val="restart"/>
          </w:tcPr>
          <w:p>
            <w:pPr>
              <w:spacing w:after="0"/>
              <w:rPr>
                <w:sz w:val="20"/>
                <w:szCs w:val="20"/>
                <w:color w:val="auto"/>
              </w:rPr>
            </w:pPr>
            <w:r>
              <w:rPr>
                <w:rFonts w:ascii="Calibri" w:cs="Calibri" w:eastAsia="Calibri" w:hAnsi="Calibri"/>
                <w:sz w:val="18"/>
                <w:szCs w:val="18"/>
                <w:b w:val="1"/>
                <w:bCs w:val="1"/>
                <w:color w:val="auto"/>
              </w:rPr>
              <w:t>Percentage of segment revenue:</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U.S. Marketplace</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20 %</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8"/>
              <w:spacing w:after="0" w:line="215" w:lineRule="exact"/>
              <w:rPr>
                <w:sz w:val="20"/>
                <w:szCs w:val="20"/>
                <w:color w:val="auto"/>
              </w:rPr>
            </w:pPr>
            <w:r>
              <w:rPr>
                <w:rFonts w:ascii="Calibri" w:cs="Calibri" w:eastAsia="Calibri" w:hAnsi="Calibri"/>
                <w:sz w:val="18"/>
                <w:szCs w:val="18"/>
                <w:color w:val="auto"/>
              </w:rPr>
              <w:t>17 %</w:t>
            </w:r>
          </w:p>
        </w:tc>
        <w:tc>
          <w:tcPr>
            <w:tcW w:w="1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line="215" w:lineRule="exact"/>
              <w:rPr>
                <w:sz w:val="20"/>
                <w:szCs w:val="20"/>
                <w:color w:val="auto"/>
              </w:rPr>
            </w:pPr>
            <w:r>
              <w:rPr>
                <w:rFonts w:ascii="Calibri" w:cs="Calibri" w:eastAsia="Calibri" w:hAnsi="Calibri"/>
                <w:sz w:val="18"/>
                <w:szCs w:val="18"/>
                <w:color w:val="auto"/>
              </w:rPr>
              <w:t>Digital Wholesale</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(36 )</w:t>
            </w:r>
          </w:p>
        </w:tc>
        <w:tc>
          <w:tcPr>
            <w:tcW w:w="280" w:type="dxa"/>
            <w:vAlign w:val="bottom"/>
          </w:tcPr>
          <w:p>
            <w:pPr>
              <w:spacing w:after="0"/>
              <w:rPr>
                <w:sz w:val="18"/>
                <w:szCs w:val="18"/>
                <w:color w:val="auto"/>
              </w:rPr>
            </w:pPr>
          </w:p>
        </w:tc>
        <w:tc>
          <w:tcPr>
            <w:tcW w:w="980" w:type="dxa"/>
            <w:vAlign w:val="bottom"/>
            <w:gridSpan w:val="2"/>
          </w:tcPr>
          <w:p>
            <w:pPr>
              <w:jc w:val="right"/>
              <w:ind w:right="88"/>
              <w:spacing w:after="0" w:line="215" w:lineRule="exact"/>
              <w:rPr>
                <w:sz w:val="20"/>
                <w:szCs w:val="20"/>
                <w:color w:val="auto"/>
              </w:rPr>
            </w:pPr>
            <w:r>
              <w:rPr>
                <w:rFonts w:ascii="Calibri" w:cs="Calibri" w:eastAsia="Calibri" w:hAnsi="Calibri"/>
                <w:sz w:val="18"/>
                <w:szCs w:val="18"/>
                <w:color w:val="auto"/>
              </w:rPr>
              <w:t>(17 )</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88"/>
              <w:spacing w:after="0" w:line="215" w:lineRule="exact"/>
              <w:rPr>
                <w:sz w:val="20"/>
                <w:szCs w:val="20"/>
                <w:color w:val="auto"/>
              </w:rPr>
            </w:pPr>
            <w:r>
              <w:rPr>
                <w:rFonts w:ascii="Calibri" w:cs="Calibri" w:eastAsia="Calibri" w:hAnsi="Calibri"/>
                <w:sz w:val="18"/>
                <w:szCs w:val="18"/>
                <w:color w:val="auto"/>
              </w:rPr>
              <w:t>(11 )</w:t>
            </w:r>
          </w:p>
        </w:tc>
        <w:tc>
          <w:tcPr>
            <w:tcW w:w="1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tcPr>
          <w:p>
            <w:pPr>
              <w:ind w:left="180"/>
              <w:spacing w:after="0" w:line="208" w:lineRule="exact"/>
              <w:rPr>
                <w:sz w:val="20"/>
                <w:szCs w:val="20"/>
                <w:color w:val="auto"/>
              </w:rPr>
            </w:pPr>
            <w:r>
              <w:rPr>
                <w:rFonts w:ascii="Calibri" w:cs="Calibri" w:eastAsia="Calibri" w:hAnsi="Calibri"/>
                <w:sz w:val="18"/>
                <w:szCs w:val="18"/>
                <w:color w:val="auto"/>
              </w:rPr>
              <w:t>Total</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line="208" w:lineRule="exact"/>
              <w:rPr>
                <w:sz w:val="20"/>
                <w:szCs w:val="20"/>
                <w:color w:val="auto"/>
              </w:rPr>
            </w:pPr>
            <w:r>
              <w:rPr>
                <w:rFonts w:ascii="Calibri" w:cs="Calibri" w:eastAsia="Calibri" w:hAnsi="Calibri"/>
                <w:sz w:val="18"/>
                <w:szCs w:val="18"/>
                <w:color w:val="auto"/>
              </w:rPr>
              <w:t>12 %</w:t>
            </w:r>
          </w:p>
        </w:tc>
        <w:tc>
          <w:tcPr>
            <w:tcW w:w="280" w:type="dxa"/>
            <w:vAlign w:val="bottom"/>
          </w:tcPr>
          <w:p>
            <w:pPr>
              <w:spacing w:after="0"/>
              <w:rPr>
                <w:sz w:val="18"/>
                <w:szCs w:val="18"/>
                <w:color w:val="auto"/>
              </w:rPr>
            </w:pPr>
          </w:p>
        </w:tc>
        <w:tc>
          <w:tcPr>
            <w:tcW w:w="980" w:type="dxa"/>
            <w:vAlign w:val="bottom"/>
            <w:gridSpan w:val="2"/>
          </w:tcPr>
          <w:p>
            <w:pPr>
              <w:jc w:val="right"/>
              <w:ind w:right="8"/>
              <w:spacing w:after="0" w:line="208" w:lineRule="exact"/>
              <w:rPr>
                <w:sz w:val="20"/>
                <w:szCs w:val="20"/>
                <w:color w:val="auto"/>
              </w:rPr>
            </w:pPr>
            <w:r>
              <w:rPr>
                <w:rFonts w:ascii="Calibri" w:cs="Calibri" w:eastAsia="Calibri" w:hAnsi="Calibri"/>
                <w:sz w:val="18"/>
                <w:szCs w:val="18"/>
                <w:color w:val="auto"/>
              </w:rPr>
              <w:t>6 %</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-985520</wp:posOffset>
            </wp:positionV>
            <wp:extent cx="6412230"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412230" cy="17970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-187960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U.S. Marketplace segment income from operatons increased $7.7 million, or 29%, in the three months ended March 31, 2024, compared to the three months ended March 31, 2023, and represented 20% of U.S. Marketplace segment revenue for the three months ended March 31, 2024, and 17% of U.S. Marketplace segment revenue for the three months ended March 31, 2023. The increase was due to an increase in revenue of $17.4 million, a decrease in cost of revenue of $1.1 million, and an increase in operatng expenses of $10.8 million.</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Digital Wholesale segment loss from operatons decreased $0.9 million, or 8%, in the three months ended March 31, 2024, compared to the three months ended March 31, 2023, and represented (36)% of Digital Wholesale segment revenue for the three months ended March 31, 2024 and (17)% of Digital Wholesale segment revenue for the three months ended March 31, 2023. The decrease in the loss was due to a decrease in revenue of $36.3 million, a decrease in cost of revenue of $35.0 million, and a decrease in operatng expenses of $2.2 million.</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Cash Equivalents, Short-term Investments, and Borrowing Capacity</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As of March 31, 2024, our principal sources of liquidity were cash and cash equivalents of $246.3 million. As of December 31, 2023, our principal sources of liquidity were cash and cash equivalents of $291.4 million and short-term investments of $20.7 million. As of March 31, 2024, our borrowing capacity under the 2022 Revolver (as defned below) was $390.4 million.</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Sources and Uses of Cash</w:t>
      </w:r>
    </w:p>
    <w:p>
      <w:pPr>
        <w:spacing w:after="0" w:line="21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During the three months ended March 31, 2024 and 2023, our cash fows from operatng, investng, and fnancing actvites, as refected in the</w:t>
      </w:r>
    </w:p>
    <w:p>
      <w:pPr>
        <w:spacing w:after="0" w:line="235" w:lineRule="auto"/>
        <w:rPr>
          <w:sz w:val="20"/>
          <w:szCs w:val="20"/>
          <w:color w:val="auto"/>
        </w:rPr>
      </w:pPr>
      <w:r>
        <w:rPr>
          <w:rFonts w:ascii="Calibri" w:cs="Calibri" w:eastAsia="Calibri" w:hAnsi="Calibri"/>
          <w:sz w:val="18"/>
          <w:szCs w:val="18"/>
          <w:color w:val="auto"/>
        </w:rPr>
        <w:t>Unaudited Condensed Consolidated Statements of Cash Flows, were as follows:</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March 31,</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69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92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473"/>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4"/>
                <w:szCs w:val="14"/>
                <w:color w:val="auto"/>
              </w:rPr>
            </w:pPr>
          </w:p>
        </w:tc>
      </w:tr>
      <w:tr>
        <w:trPr>
          <w:trHeight w:val="33"/>
        </w:trPr>
        <w:tc>
          <w:tcPr>
            <w:tcW w:w="69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gridSpan w:val="3"/>
          </w:tcPr>
          <w:p>
            <w:pPr>
              <w:jc w:val="center"/>
              <w:spacing w:after="0" w:line="164" w:lineRule="exact"/>
              <w:rPr>
                <w:sz w:val="20"/>
                <w:szCs w:val="20"/>
                <w:color w:val="auto"/>
              </w:rPr>
            </w:pPr>
            <w:r>
              <w:rPr>
                <w:rFonts w:ascii="Calibri" w:cs="Calibri" w:eastAsia="Calibri" w:hAnsi="Calibri"/>
                <w:sz w:val="14"/>
                <w:szCs w:val="14"/>
                <w:b w:val="1"/>
                <w:bCs w:val="1"/>
                <w:color w:val="auto"/>
              </w:rPr>
              <w:t>(dollars in thousands)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Net cash provided by operatng actvites</w:t>
            </w:r>
          </w:p>
        </w:tc>
        <w:tc>
          <w:tcPr>
            <w:tcW w:w="860" w:type="dxa"/>
            <w:vAlign w:val="bottom"/>
            <w:tcBorders>
              <w:bottom w:val="single" w:sz="8" w:color="CFF0FC"/>
            </w:tcBorders>
            <w:shd w:val="clear" w:color="auto" w:fill="CFF0FC"/>
          </w:tcPr>
          <w:p>
            <w:pPr>
              <w:jc w:val="right"/>
              <w:ind w:right="676"/>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51,964</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ind w:right="33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66,345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Net cash used in investng actvites</w:t>
            </w:r>
          </w:p>
        </w:tc>
        <w:tc>
          <w:tcPr>
            <w:tcW w:w="860" w:type="dxa"/>
            <w:vAlign w:val="bottom"/>
          </w:tcPr>
          <w:p>
            <w:pPr>
              <w:spacing w:after="0"/>
              <w:rPr>
                <w:sz w:val="18"/>
                <w:szCs w:val="18"/>
                <w:color w:val="auto"/>
              </w:rPr>
            </w:pPr>
          </w:p>
        </w:tc>
        <w:tc>
          <w:tcPr>
            <w:tcW w:w="8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w w:val="92"/>
              </w:rPr>
              <w:t>(13,147 )</w:t>
            </w:r>
          </w:p>
        </w:tc>
        <w:tc>
          <w:tcPr>
            <w:tcW w:w="540" w:type="dxa"/>
            <w:vAlign w:val="bottom"/>
          </w:tcPr>
          <w:p>
            <w:pPr>
              <w:spacing w:after="0"/>
              <w:rPr>
                <w:sz w:val="18"/>
                <w:szCs w:val="18"/>
                <w:color w:val="auto"/>
              </w:rPr>
            </w:pPr>
          </w:p>
        </w:tc>
        <w:tc>
          <w:tcPr>
            <w:tcW w:w="9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(5,887 )</w:t>
            </w:r>
          </w:p>
        </w:tc>
      </w:tr>
      <w:tr>
        <w:trPr>
          <w:trHeight w:val="28"/>
        </w:trPr>
        <w:tc>
          <w:tcPr>
            <w:tcW w:w="6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Net cash used in fnancing actvites</w:t>
            </w:r>
          </w:p>
        </w:tc>
        <w:tc>
          <w:tcPr>
            <w:tcW w:w="8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w w:val="92"/>
              </w:rPr>
              <w:t>(83,038 )</w:t>
            </w:r>
          </w:p>
        </w:tc>
        <w:tc>
          <w:tcPr>
            <w:tcW w:w="5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(73,238 )</w:t>
            </w: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Impact of foreign currency on cash</w:t>
            </w:r>
          </w:p>
        </w:tc>
        <w:tc>
          <w:tcPr>
            <w:tcW w:w="860" w:type="dxa"/>
            <w:vAlign w:val="bottom"/>
          </w:tcPr>
          <w:p>
            <w:pPr>
              <w:spacing w:after="0"/>
              <w:rPr>
                <w:sz w:val="18"/>
                <w:szCs w:val="18"/>
                <w:color w:val="auto"/>
              </w:rPr>
            </w:pPr>
          </w:p>
        </w:tc>
        <w:tc>
          <w:tcPr>
            <w:tcW w:w="8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(577 )</w:t>
            </w:r>
          </w:p>
        </w:tc>
        <w:tc>
          <w:tcPr>
            <w:tcW w:w="5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329</w:t>
            </w:r>
          </w:p>
        </w:tc>
        <w:tc>
          <w:tcPr>
            <w:tcW w:w="100" w:type="dxa"/>
            <w:vAlign w:val="bottom"/>
          </w:tcPr>
          <w:p>
            <w:pPr>
              <w:spacing w:after="0"/>
              <w:rPr>
                <w:sz w:val="18"/>
                <w:szCs w:val="18"/>
                <w:color w:val="auto"/>
              </w:rPr>
            </w:pPr>
          </w:p>
        </w:tc>
      </w:tr>
      <w:tr>
        <w:trPr>
          <w:trHeight w:val="28"/>
        </w:trPr>
        <w:tc>
          <w:tcPr>
            <w:tcW w:w="69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1"/>
        </w:trPr>
        <w:tc>
          <w:tcPr>
            <w:tcW w:w="69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Net decrease in cash, cash equivalents, and restricted cash</w:t>
            </w:r>
          </w:p>
        </w:tc>
        <w:tc>
          <w:tcPr>
            <w:tcW w:w="860" w:type="dxa"/>
            <w:vAlign w:val="bottom"/>
            <w:tcBorders>
              <w:bottom w:val="single" w:sz="8" w:color="CFF0FC"/>
            </w:tcBorders>
            <w:shd w:val="clear" w:color="auto" w:fill="CFF0FC"/>
          </w:tcPr>
          <w:p>
            <w:pPr>
              <w:jc w:val="right"/>
              <w:ind w:right="676"/>
              <w:spacing w:after="0" w:line="208"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CFF0FC"/>
            </w:tcBorders>
            <w:gridSpan w:val="2"/>
            <w:shd w:val="clear" w:color="auto" w:fill="CFF0FC"/>
          </w:tcPr>
          <w:p>
            <w:pPr>
              <w:jc w:val="right"/>
              <w:ind w:right="200"/>
              <w:spacing w:after="0" w:line="208" w:lineRule="exact"/>
              <w:rPr>
                <w:sz w:val="20"/>
                <w:szCs w:val="20"/>
                <w:color w:val="auto"/>
              </w:rPr>
            </w:pPr>
            <w:r>
              <w:rPr>
                <w:rFonts w:ascii="Calibri" w:cs="Calibri" w:eastAsia="Calibri" w:hAnsi="Calibri"/>
                <w:sz w:val="18"/>
                <w:szCs w:val="18"/>
                <w:color w:val="auto"/>
                <w:w w:val="92"/>
              </w:rPr>
              <w:t>(44,798 )</w:t>
            </w:r>
          </w:p>
        </w:tc>
        <w:tc>
          <w:tcPr>
            <w:tcW w:w="540" w:type="dxa"/>
            <w:vAlign w:val="bottom"/>
            <w:tcBorders>
              <w:bottom w:val="single" w:sz="8" w:color="CFF0FC"/>
            </w:tcBorders>
            <w:shd w:val="clear" w:color="auto" w:fill="CFF0FC"/>
          </w:tcPr>
          <w:p>
            <w:pPr>
              <w:jc w:val="right"/>
              <w:ind w:right="330"/>
              <w:spacing w:after="0" w:line="208"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CFF0FC"/>
            </w:tcBorders>
            <w:gridSpan w:val="2"/>
            <w:shd w:val="clear" w:color="auto" w:fill="CFF0FC"/>
          </w:tcPr>
          <w:p>
            <w:pPr>
              <w:jc w:val="right"/>
              <w:ind w:right="40"/>
              <w:spacing w:after="0" w:line="208" w:lineRule="exact"/>
              <w:rPr>
                <w:sz w:val="20"/>
                <w:szCs w:val="20"/>
                <w:color w:val="auto"/>
              </w:rPr>
            </w:pPr>
            <w:r>
              <w:rPr>
                <w:rFonts w:ascii="Calibri" w:cs="Calibri" w:eastAsia="Calibri" w:hAnsi="Calibri"/>
                <w:sz w:val="18"/>
                <w:szCs w:val="18"/>
                <w:color w:val="auto"/>
              </w:rPr>
              <w:t>(12,451 )</w:t>
            </w:r>
          </w:p>
        </w:tc>
      </w:tr>
      <w:tr>
        <w:trPr>
          <w:trHeight w:val="20"/>
        </w:trPr>
        <w:tc>
          <w:tcPr>
            <w:tcW w:w="69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operatons have been fnanced primarily from operatng actvites. During the three months ended March 31, 2024 and 2023, we generated cash from operatng actvites of $52.0 million and $66.3 million, respectvely.</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9" w:name="page40"/>
    <w:bookmarkEnd w:id="39"/>
    <w:p>
      <w:pPr>
        <w:jc w:val="both"/>
        <w:ind w:firstLine="509"/>
        <w:spacing w:after="0" w:line="235" w:lineRule="auto"/>
        <w:rPr>
          <w:sz w:val="20"/>
          <w:szCs w:val="20"/>
          <w:color w:val="auto"/>
        </w:rPr>
      </w:pPr>
      <w:r>
        <w:rPr>
          <w:rFonts w:ascii="Calibri" w:cs="Calibri" w:eastAsia="Calibri" w:hAnsi="Calibri"/>
          <w:sz w:val="18"/>
          <w:szCs w:val="18"/>
          <w:color w:val="auto"/>
        </w:rPr>
        <w:t>We believe that our existng sources of liquidity, including access to the 2022 Revolver, will be sufcient to fund our operatons for at least the next 12 months from the date of the fling of this Quarterly Report. Our future capital requirements will depend on many factors, including our revenue; expenses associated with our sales and marketng actvites and the support of our product, technology, and development eforts; expenses associated with our facilites build-out under our 1001 Boylston Street lease in excess of tenant allowance; payments received in advance from a third-party transacton processor; actvity under the 2024 Share Repurchase Program (as defned below); and our investments in internatonal markets. Cash from operatons could also be afected by various risks and uncertaintes, including, but not limited to, macroeconomic efects and other risks detailed more specifcally in the “Risk Factors” secton in Part I, Item 1A in our Annual Report.</w:t>
      </w:r>
    </w:p>
    <w:p>
      <w:pPr>
        <w:spacing w:after="0" w:line="222"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On September 26, 2022, we entered into a Credit Agreement with PNC Bank, Natonal Associaton, as administratve agent and collateral agent and an L/C Issuer (as defned in the Credit Agreement), and the other lenders, L/C Issuers and partes thereto from tme to tme, or the Credit Agreement. The Credit Agreement consists of a revolving credit facility, or the 2022 Revolver, which allows us to borrow up to $400.0 million, $50.0 million of which may be comprised of a leter of credit sub-facility. The borrowing capacity under the Credit Agreement may be increased in accordance with the terms and subject to the adjustments as set forth in the Credit Agreement. Specifcally, the borrowing capacity may be increased by an amount up to the greater of $250.0 million or 100% of Four Quarter Consolidated EBITDA (as defned in the Credit Agreement) if certain criteria are met and subject to certain restrictons. Any such increase requires lender approval. Proceeds of any borrowings may be used for general corporate purposes. The 2022 Revolver is scheduled to mature on September 26, 2027. As of both March 31, 2024 and December 31, 2023, there were no borrowings and $9.6 million in leters of credit outstanding under the 2022 Revolver, which reduces the borrowing capacity under the 2022 Revolver to $390.4 million.</w:t>
      </w:r>
    </w:p>
    <w:p>
      <w:pPr>
        <w:spacing w:after="0" w:line="22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In connecton with the 1001 Boylston Street lease, we expect to spend an additonal $35.2 million to complete our buildout, of which $26.3 million has been commited and remains unspent as of March 31, 2024. These costs will be partally reimbursable under the tenant improvement allowance.</w:t>
      </w:r>
    </w:p>
    <w:p>
      <w:pPr>
        <w:spacing w:after="0" w:line="218"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On November 7, 2023, we announced that our Board of Directors authorized a share repurchase program, or the 2024 Share Repurchase Program, pursuant to which we may, from tme to tme, purchase shares of our Class A common stock for an aggregate purchase price not to exceed $250.0 million. Share repurchases under the 2024 Share Repurchase Program may be made through a variety of methods, including but not limited to open market purchases, privately negotated transactons, and transactons that may be efected pursuant to one or more plans under Rule 10b5-1 and/or Rule 10b-18 of the Securites Exchange Act of 1934, as amended, or the Exchange Act. The 2024 Share Repurchase Program does not obligate us to repurchase any minimum dollar amount or number of shares. The 2024 Share Repurchase Program has an efectve date of January 1, 2024, and an expiraton date of December 31, 2024, and prior to its expiraton may be modifed, suspended, or discontnued by our Board of Directors at any tme without prior notce. All repurchased shares of our Class A common stock under the 2024 Share Repurchase Program will be retred. We have funded share repurchases and expect to contnue to fund any additonal share repurchases under the 2024 Share Repurchase Program through cash on hand and cash generated from operatons. During the three months ended March 31, 2024, we repurchased and retred 3,538,194 shares for $81.1 million, exclusive of commissions and excise tax, at an average cost of $22.91 per share under the 2024 Share Repurchase Program. As of March 31, 2024, we had remaining authorizaton to purchase up to $168.9 million of our Class A common stock under the 2024 Share Repurchase Program.</w:t>
      </w:r>
    </w:p>
    <w:p>
      <w:pPr>
        <w:spacing w:after="0" w:line="226"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To the extent that our operatng income, existng cash, cash equivalents, short-term investments, and our borrowing capacity under the 2022 Revolver are insufcient to fund our future actvites, we may need to raise additonal funds through a public or private equity or debt fnancing. Additonal funds may not be available on terms favorable to us, or at all. See “</w:t>
      </w:r>
      <w:r>
        <w:rPr>
          <w:rFonts w:ascii="Calibri" w:cs="Calibri" w:eastAsia="Calibri" w:hAnsi="Calibri"/>
          <w:sz w:val="18"/>
          <w:szCs w:val="18"/>
          <w:i w:val="1"/>
          <w:iCs w:val="1"/>
          <w:color w:val="auto"/>
        </w:rPr>
        <w:t>Risk Factors—Risks Related to Our Business and Industry— We may require additonal capital to</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pursue our business objectves and respond to business opportunites, challenges, or unforeseen circumstances. If we are unable to generate sufcient cash fows or if capital is not available to us, our business, operatng results, fnancial conditon, and prospects could be adversely afected.” </w:t>
      </w:r>
      <w:r>
        <w:rPr>
          <w:rFonts w:ascii="Calibri" w:cs="Calibri" w:eastAsia="Calibri" w:hAnsi="Calibri"/>
          <w:sz w:val="18"/>
          <w:szCs w:val="18"/>
          <w:color w:val="auto"/>
        </w:rPr>
        <w:t>in Part I, Item 1A in our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Annual Report.</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Actvites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Net cash provided by operatng actvites of $52.0 million during the three months ended March 31, 2024 was due primarily to consolidated net income of $21.3 million, adjusted for $15.8 million of stock-based compensaton expense, $7.5 million of depreciaton and amortzaton, and $3.3 million of amortzaton of deferred contract costs, partally ofset by $9.1 million of deferred taxes. Net cash provided by operatng actvites was also atributable to a $12.7 million increase due to changes in our lease obligatons, a $6.0 million decrease in prepaid expenses, prepaid income taxes, and other assets, a $0.7 million increase in accounts payable, and a $0.7 million increase in accrued expenses, accrued income taxes, and other liabilites. The increases in cash fow from operatons were partally ofset by a $4.2 million increase in accounts receivable and a $3.3 million increase in deferred contract costs.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jc w:val="both"/>
        <w:ind w:firstLine="509"/>
        <w:spacing w:after="0" w:line="235" w:lineRule="auto"/>
        <w:rPr>
          <w:sz w:val="20"/>
          <w:szCs w:val="20"/>
          <w:color w:val="auto"/>
        </w:rPr>
      </w:pPr>
      <w:r>
        <w:rPr>
          <w:rFonts w:ascii="Calibri" w:cs="Calibri" w:eastAsia="Calibri" w:hAnsi="Calibri"/>
          <w:sz w:val="18"/>
          <w:szCs w:val="18"/>
          <w:color w:val="auto"/>
        </w:rPr>
        <w:t>Net cash provided by operatng actvites of $66.3 million during the three months ended March 31, 2023 was due primarily to consolidated net income of $11.9 million, adjusted for $14.9 million of stock-based compensaton expense, $11.6 million of depreciaton and amortzaton, and $2.7 million of amortzaton of deferred contract costs, partally ofset by $11.9 million of deferred taxes. Cash provided by operatng actvites was also atributable to a $10.3 million increase in accounts payable, an $8.6 million increase in deferred revenue, a $6.9 million decrease in accounts receivable, a $4.7 million decrease in prepaid expenses, prepaid income taxes, and other assets, a $4.5 million increase in accrued expenses, accrued income taxes, and other liabilites, a $4.5 million increase in lease obligatons, and a $3.6 million decrease in inventory. The increases in cash fow from operatons were partally ofset by a $5.1 million increase in deferred contract costs.</w:t>
      </w: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Investng Actvites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Net cash used in investng actvites of $13.1 million during the three months ended March 31, 2024 was due primarily to $28.7 million of purchases of property and equipment and $5.5 million of capitalizaton of website development costs, ofset in part by $20.7 million of sales of short-term investments, net of purchases.</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Net cash provided by investng actvites of $5.9 million during the three months ended March 31, 2023 was due to $3.5 million of capitalizaton of website development costs and $2.4 million of purchases of property and equipment.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Financing Actvites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Net cash used in fnancing actvites of $83.0 million during the three months ended March 31, 2024 was due primarily to $77.4 million of payment for repurchase of our Class A common stock under the 2024 Share Repurchase Program, $5.1 million of payment of withholding taxes on net share setlements of restricted stock units, and $0.5 million of change in gross advance payments received from third-party transacton processor.</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Net cash used in fnancing actvites of $73.2 million during the three months ended March 31, 2023 was due primarily to $69.0 million of payment for the repurchase of our Class A common stock under the share repurchase program announced by our Board of Directors in December 2022, pursuant to which we could, from tme to tme, purchase shares of our Class A common stock for an aggregate purchase price not to exceed $250.0 million, a $2.1 million change in gross advance payments received from third party transacton processor, and $2.1 million of payment of withholding taxes on net share setlements of restricted stock units.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Contractual Obligatons and Known Future Cash Requirements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As of March 31, 2024, there were no material changes in our contractual obligatons and commitments from those disclosed in our Annual Report, other than those appearing in the notes to the Unaudited Condensed Consolidated Financial Statements appearing elsewhere in this Quarterly Report, which are hereby incorporated by reference.</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Seasonality</w:t>
      </w:r>
    </w:p>
    <w:p>
      <w:pPr>
        <w:spacing w:after="0" w:line="217" w:lineRule="exact"/>
        <w:rPr>
          <w:sz w:val="20"/>
          <w:szCs w:val="20"/>
          <w:color w:val="auto"/>
        </w:rPr>
      </w:pPr>
    </w:p>
    <w:p>
      <w:pPr>
        <w:jc w:val="both"/>
        <w:ind w:firstLine="509"/>
        <w:spacing w:after="0" w:line="252" w:lineRule="auto"/>
        <w:rPr>
          <w:sz w:val="20"/>
          <w:szCs w:val="20"/>
          <w:color w:val="auto"/>
        </w:rPr>
      </w:pPr>
      <w:r>
        <w:rPr>
          <w:rFonts w:ascii="Calibri" w:cs="Calibri" w:eastAsia="Calibri" w:hAnsi="Calibri"/>
          <w:sz w:val="17"/>
          <w:szCs w:val="17"/>
          <w:color w:val="auto"/>
        </w:rPr>
        <w:t>Across the retail automotve industry, consumer purchases are typically greatest in the frst three quarters of each year, due in part to the introducton of new vehicle models from manufacturers and the seasonal nature of consumer spending. Additonally, the volume of wholesale vehicle sales can fuctuate from quarter to quarter driven by several factors, including the tming of used vehicles available for sale from selling customers, the seasonality of the retail market for used vehicles, and/or inventory challenges in the automotve industry, which afect the demand side of the wholesale industry.</w:t>
      </w:r>
    </w:p>
    <w:p>
      <w:pPr>
        <w:spacing w:after="0" w:line="208"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Macroeconomic conditons, such as slower growth or recession, higher interest rates, unemployment, consumer confdence in the economy, consumer debt levels, labor, disruptons, work stoppages, or strikes, the ongoing military confict between Russia and Ukraine, the confict in Israel and surrounding areas and the possible expansion of such confict, foreign currency exchange rate fuctuatons, and other maters that infuence consumer spending and preferences, can also impact the volume of wholesale vehicle sales, as was evidenced by the global semiconductor chip shortage and other supply related shortages.</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Digital Wholesale segment operatng results have refected the general seasonality of the wholesale vehicle sales market and macroeconomic conditons of the automotve industry. The U.S. Marketplace segment operatng results have refected the macroeconomic conditons of the automotve industry. However, to date, the U.S. Marketplace segment operatng results have not been materially impacted by the general seasonality of the automotve industry. This could possibly change as our business and markets mature.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1" w:name="page42"/>
    <w:bookmarkEnd w:id="41"/>
    <w:p>
      <w:pPr>
        <w:jc w:val="both"/>
        <w:ind w:firstLine="509"/>
        <w:spacing w:after="0" w:line="235" w:lineRule="auto"/>
        <w:rPr>
          <w:sz w:val="20"/>
          <w:szCs w:val="20"/>
          <w:color w:val="auto"/>
        </w:rPr>
      </w:pPr>
      <w:r>
        <w:rPr>
          <w:rFonts w:ascii="Calibri" w:cs="Calibri" w:eastAsia="Calibri" w:hAnsi="Calibri"/>
          <w:sz w:val="18"/>
          <w:szCs w:val="18"/>
          <w:color w:val="auto"/>
        </w:rPr>
        <w:t>As a result, revenue and cost of revenue related to volume will fuctuate accordingly on a quarterly basis. Typical seasonality trends may not be observed in periods where other external factors more signifcantly impact the wholesale industry.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Of-Balance Sheet Arrangements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As of March 31, 2024 and December 31, 2023, we did not have any of-balance sheet arrangement or material leases that are less than 12 months in duraton that have or are reasonably likely to have a current or future material efect on our fnancial conditon, changes in fnancial conditon, revenue or expenses, results of operatons, liquidity, capital expenditures, or capital resources.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Estmates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preparaton of the Unaudited Condensed Consolidated Financial Statements in conformity with GAAP requires management to make estmates and assumptons that afect the reported amounts of assets and liabilites, and the disclosure of contngent assets and liabilites at the date of the fnancial statements, and the reported amounts of revenue and expenses during the reportng period.</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Although we regularly assess these estmates, actual results could difer materially from these estmates. We base our estmates on historical experience and various other assumptons that we believe to be reasonable under the circumstances. Actual results may difer from management's estmates if these results difer from historical experience, or other assumptons do not turn out to be substantally accurate, even if such assumptons are reasonable when made. Changes in estmates are recognized in the period in which they become known.</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Critcal estmates relied upon in preparing the Unaudited Condensed Consolidated Financial Statements include the determinaton of sales allowance and variable consideraton in our revenue recogniton, allowance for doubtul accounts, the impairment of long-lived assets, the capitalizaton of product, technology, and development costs for website development, internal-use sofware and hostng arrangements, the valuaton of acquired assets and liabilites, the valuaton and recoverability of intangible assets and goodwill, the valuaton of redeemable noncontrolling interest, the recoverability of our net deferred tax assets and related valuaton allowance, the valuaton of inventory, and the valuaton of liability-classifed compensaton awards. Accordingly, we consider these to be our critcal accountng estmates and believe that of our signifcant accountng policies, these involve the greatest degree of judgment and complexity. For the three months ended March 31, 2024, there were no estmates related to the valuaton of redeemable noncontrolling interest and the valuaton of liability-classifed compensaton awards.</w:t>
      </w:r>
    </w:p>
    <w:p>
      <w:pPr>
        <w:spacing w:after="0" w:line="223"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Although no impairment was identfed during the annual impairment test as of October 1, 2023, the excess of the fair value over the carrying value declined for the CarOfer reportng unit in the Digital Wholesale segment. If projected future operatng results further decline, including as a result of economic conditons or operatonal challenges, we may need to record an impairment charge to reduce our goodwill at CarOfer, which could be material and negatvely afect our operatons. During the three months ended March 31, 2024, we did not identfy any triggering events that would require an interim impairment assessment.</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For a detailed explanaton of the judgments made in these areas, refer to Note 2 of the Unaudited Condensed Consolidated Financial Statements appearing elsewhere in this Quarterly Report and “Management’s Discussion and Analysis of Financial Conditon and Results of Operatons” in our Annual Report.</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Issued Accountng Pronouncements</w:t>
      </w:r>
    </w:p>
    <w:p>
      <w:pPr>
        <w:spacing w:after="0" w:line="217" w:lineRule="exact"/>
        <w:rPr>
          <w:sz w:val="20"/>
          <w:szCs w:val="20"/>
          <w:color w:val="auto"/>
        </w:rPr>
      </w:pPr>
    </w:p>
    <w:p>
      <w:pPr>
        <w:jc w:val="both"/>
        <w:ind w:right="20" w:firstLine="509"/>
        <w:spacing w:after="0" w:line="235" w:lineRule="auto"/>
        <w:rPr>
          <w:sz w:val="20"/>
          <w:szCs w:val="20"/>
          <w:color w:val="auto"/>
        </w:rPr>
      </w:pPr>
      <w:r>
        <w:rPr>
          <w:rFonts w:ascii="Calibri" w:cs="Calibri" w:eastAsia="Calibri" w:hAnsi="Calibri"/>
          <w:sz w:val="18"/>
          <w:szCs w:val="18"/>
          <w:color w:val="auto"/>
        </w:rPr>
        <w:t>Informaton concerning recently issued accountng pronouncements may be found in Note 2 of the Unaudited Condensed Consolidated Financial Statements appearing elsewhere in this Quarterly Report.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spacing w:after="0"/>
        <w:rPr>
          <w:sz w:val="20"/>
          <w:szCs w:val="20"/>
          <w:color w:val="auto"/>
        </w:rPr>
      </w:pPr>
      <w:r>
        <w:rPr>
          <w:rFonts w:ascii="Calibri" w:cs="Calibri" w:eastAsia="Calibri" w:hAnsi="Calibri"/>
          <w:sz w:val="18"/>
          <w:szCs w:val="18"/>
          <w:b w:val="1"/>
          <w:bCs w:val="1"/>
          <w:color w:val="auto"/>
        </w:rPr>
        <w:t>Item 3. Quanttatve and Qualitatve Disclosures about Market Risk</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Market risk represents the risk of loss that may afect our fnancial positon due to adverse changes in fnancial market prices and rates. We are exposed to market risks as described below.</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Rate Risk</w:t>
      </w:r>
    </w:p>
    <w:p>
      <w:pPr>
        <w:spacing w:after="0" w:line="217" w:lineRule="exact"/>
        <w:rPr>
          <w:sz w:val="20"/>
          <w:szCs w:val="20"/>
          <w:color w:val="auto"/>
        </w:rPr>
      </w:pPr>
    </w:p>
    <w:p>
      <w:pPr>
        <w:jc w:val="both"/>
        <w:ind w:firstLine="509"/>
        <w:spacing w:after="0" w:line="251" w:lineRule="auto"/>
        <w:rPr>
          <w:sz w:val="20"/>
          <w:szCs w:val="20"/>
          <w:color w:val="auto"/>
        </w:rPr>
      </w:pPr>
      <w:r>
        <w:rPr>
          <w:rFonts w:ascii="Calibri" w:cs="Calibri" w:eastAsia="Calibri" w:hAnsi="Calibri"/>
          <w:sz w:val="17"/>
          <w:szCs w:val="17"/>
          <w:color w:val="auto"/>
        </w:rPr>
        <w:t>As of March 31, 2024, our exposure to market risk associated with changes in interest rates relates primarily to the 2022 Revolver, which allows us to borrow up to $400.0 million. The applicable interest rate is, at our opton, based on a number of diferent benchmark rates and applicable spreads, as determined by the Consolidated Secured Net Leverage Rato (as defned in Note 7 of the Unaudited Condensed Consolidated Financial Statements appearing elsewhere in this Quarterly Report). A fuctuaton in interest rates does not have an impact on interest expense unless the 2022 Revolver is drawn upon. Such impact would also be dependent on the amount of the draw. As of both March 31, 2024 and December 31, 2023, there were no borrowings and $9.6 million in leters of credit outstanding under the 2022 Revolver, which reduces the borrowing capacity under the 2022 Revolver to $390.4 million.</w:t>
      </w:r>
    </w:p>
    <w:p>
      <w:pPr>
        <w:spacing w:after="0" w:line="21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As of March 31, 2024, we had cash and cash equivalents of $246.3 million, which consisted of bank deposits, money market accounts, and mutual funds. As of December 31, 2023, we had cash, cash equivalents, and short-term investments of $312.1 million, which consisted of bank deposits, money market accounts, and mutual funds.</w:t>
      </w:r>
    </w:p>
    <w:p>
      <w:pPr>
        <w:spacing w:after="0" w:line="259" w:lineRule="exact"/>
        <w:rPr>
          <w:sz w:val="20"/>
          <w:szCs w:val="20"/>
          <w:color w:val="auto"/>
        </w:rPr>
      </w:pPr>
    </w:p>
    <w:p>
      <w:pPr>
        <w:jc w:val="both"/>
        <w:ind w:firstLine="509"/>
        <w:spacing w:after="0"/>
        <w:rPr>
          <w:sz w:val="20"/>
          <w:szCs w:val="20"/>
          <w:color w:val="auto"/>
        </w:rPr>
      </w:pPr>
      <w:r>
        <w:rPr>
          <w:rFonts w:ascii="Calibri" w:cs="Calibri" w:eastAsia="Calibri" w:hAnsi="Calibri"/>
          <w:sz w:val="18"/>
          <w:szCs w:val="18"/>
          <w:color w:val="auto"/>
        </w:rPr>
        <w:t>Such interest-earning instruments carry a degree of interest rate risk. Given recent changes in the interest rate environment and in an efort to ensure liquidity, we expect variable returns from our cash equivalents for the foreseeable future. To date, fuctuatons resultng from changes in the interest rate environment in interest income have not been material to the operatons of the business.</w:t>
      </w:r>
    </w:p>
    <w:p>
      <w:pPr>
        <w:spacing w:after="0" w:line="218"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do not enter into investments for trading or speculatve purposes and have not used any derivatve fnancial instruments to manage our interest rate risk exposure.</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Infaton Risk</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do not believe that infaton has had a material efect on our business, fnancial conditon, or results of operatons to date. However, if our costs were to become subject to signifcant infatonary pressures, we may not be able to fully ofset such higher costs through price increases. Our inability or failure to do so could harm our business, operatng results, and fnancial conditon. Additonally, infatonary pressures could negatvely impact vehicle purchasing behavior, which could have an adverse impact on our fnancial results.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Foreign Currency Exchange Risk</w:t>
      </w:r>
    </w:p>
    <w:p>
      <w:pPr>
        <w:spacing w:after="0" w:line="217"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As of March 31, 2024 and December 31, 2023, we had immaterial foreign currency exposures in the Britsh pound, the Euro, and the Canadian dollar.</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Historically, because our operatons and sales have been primarily in the U.S., we have not faced any signifcant foreign currency risk.</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As we seek to grow our internatonal operatons in Canada and the U.K., our risks associated with fuctuaton in currency rates may become greater, and we will contnue to reassess our approach to managing these risks.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3" w:name="page44"/>
    <w:bookmarkEnd w:id="43"/>
    <w:p>
      <w:pPr>
        <w:spacing w:after="0"/>
        <w:rPr>
          <w:sz w:val="20"/>
          <w:szCs w:val="20"/>
          <w:color w:val="auto"/>
        </w:rPr>
      </w:pPr>
      <w:r>
        <w:rPr>
          <w:rFonts w:ascii="Calibri" w:cs="Calibri" w:eastAsia="Calibri" w:hAnsi="Calibri"/>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Evaluaton of Disclosure Controls and Procedures</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Our management, with the partcipaton of our Principal Executve Ofcer and Principal Financial Ofcer, has evaluated the efectveness of our disclosure controls and procedures (as defned in Rules 13a-15(e) and 15d-15(e) under the Exchange Act), as of the end of the period covered by this Quarterly Report.</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term “disclosure controls and procedures,” as defned in Rules 13a-15(e) and 15d-15(e) under the Exchange Act, means controls and other procedures of a company that are designed to ensure that informaton required to be disclosed by a company in the reports that it fles or submits under the Exchange Act is recorded, processed, summarized, and reported, within the tme periods specifed in the SEC’s rules and forms. Disclosure controls and procedures include, without limitaton, controls and procedures designed to ensure that informaton required to be disclosed by a company in the reports that it fles or submits under the Exchange Act is accumulated and communicated to the company’s management, including its principal executve and principal fnancial ofcers, or persons performing similar functons, as appropriate to allow tmely decisions regarding required disclosure.</w:t>
      </w:r>
    </w:p>
    <w:p>
      <w:pPr>
        <w:spacing w:after="0" w:line="221"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Management recognizes that any controls and procedures, no mater how well designed and operated, can provide only reasonable assurance of achieving their objectves and our management necessarily applies its judgment in evaluatng the cost-beneft relatonship of possible controls and procedures.</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As described below, based on the evaluaton of our disclosure controls and procedures as of the end of the period covered by this Quarterly Report, management identfed a material weakness in our internal control over fnancial reportng. As a result of the material weakness, our Principal Executve Ofcer and Principal Financial Ofcer have concluded that, as of such date, our disclosure controls and procedures were not efectve to provide reasonable assurance that informaton required to be disclosed in the reports we fle and submit under the Exchange Act is recorded, processed, summarized, and reported as and when required.</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Notwithstanding this material weakness noted above, our management, including our Principal Executve Ofcer and Principal Financial Ofcer, has concluded that our fnancial statements included in this Quarterly Report present fairly, in all material respects, our fnancial positon, results of operatons, and cash fows for the periods presented in accordance with GAAP.</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 material weakness is a defciency, or a combinaton of defciencies, in internal control over fnancial reportng, such that there is a reasonable possibility that a material misstatement of a company’s annual or interim fnancial statements will not be prevented or detected on a tmely basis.</w:t>
      </w:r>
    </w:p>
    <w:p>
      <w:pPr>
        <w:spacing w:after="0" w:line="218"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control defciencies, which, in the aggregate, were assessed as a material weakness as disclosed in our Annual Report, have not yet been fully remediated.</w:t>
      </w:r>
    </w:p>
    <w:p>
      <w:pPr>
        <w:spacing w:after="0" w:line="218" w:lineRule="exact"/>
        <w:rPr>
          <w:sz w:val="20"/>
          <w:szCs w:val="20"/>
          <w:color w:val="auto"/>
        </w:rPr>
      </w:pPr>
    </w:p>
    <w:p>
      <w:pPr>
        <w:jc w:val="both"/>
        <w:ind w:firstLine="509"/>
        <w:spacing w:after="0" w:line="251" w:lineRule="auto"/>
        <w:rPr>
          <w:sz w:val="20"/>
          <w:szCs w:val="20"/>
          <w:color w:val="auto"/>
        </w:rPr>
      </w:pPr>
      <w:r>
        <w:rPr>
          <w:rFonts w:ascii="Calibri" w:cs="Calibri" w:eastAsia="Calibri" w:hAnsi="Calibri"/>
          <w:sz w:val="17"/>
          <w:szCs w:val="17"/>
          <w:color w:val="auto"/>
        </w:rPr>
        <w:t>At December 31, 2023, we had unremediated operatonal control defciencies at CarOfer associated with the operaton of logical access and change management of informaton technology, or IT, general controls, or IT General Controls around program change and logical access in certain IT systems. Therefore, we were not able to have consistent, efectve operaton of manual controls that rely on data produced by and maintained within these afected IT systems. As of March 31, 2024, management was unable to demonstrate the consistent, efectve operaton of IT General Controls and manual controls that rely on data produced by and maintained within afected IT systems due to the limited remediaton period. As a result, we did not have efectve operaton of internal controls over fnancial reportng to address the risks of material misstatement of various fnancial statement accounts at March 31, 2024. Management has determined that the impact of the previously identfed defciencies contnue to aggregate into a material weakness at March 31, 2024.</w:t>
      </w:r>
    </w:p>
    <w:p>
      <w:pPr>
        <w:spacing w:after="0" w:line="20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This material weakness did not result in a known material misstatement to our fnancial statements. However, the material weakness could have resulted in material misstatements in our interim or annual fnancial statements and disclosures which then may not have been prevented or detected. The material weakness also impacts the efectveness of segregaton of dutes, impacts the efectveness of fnancial controls which rely on informaton from relevant fnancial systems, and increases the reliance on corporate accountng personnel to identfy errors at the CarOfer subsidiary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4" w:name="page45"/>
    <w:bookmarkEnd w:id="44"/>
    <w:p>
      <w:pPr>
        <w:ind w:left="520"/>
        <w:spacing w:after="0"/>
        <w:rPr>
          <w:sz w:val="20"/>
          <w:szCs w:val="20"/>
          <w:color w:val="auto"/>
        </w:rPr>
      </w:pPr>
      <w:r>
        <w:rPr>
          <w:rFonts w:ascii="Calibri" w:cs="Calibri" w:eastAsia="Calibri" w:hAnsi="Calibri"/>
          <w:sz w:val="18"/>
          <w:szCs w:val="18"/>
          <w:i w:val="1"/>
          <w:iCs w:val="1"/>
          <w:color w:val="auto"/>
        </w:rPr>
        <w:t>Remediaton Plan</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To address the material weaknesses in our internal control over fnancial reportng as of December 31, 2023, we have contnued remediaton eforts outlined in previous fnancial statements, as applicable, including enhancing our control procedures, and in some cases, increasing the frequency at which controls are performed for logical access in IT systems. In additon, untl remediaton steps have been completed and are operated for a sufcient period of tme, and subsequent evaluaton of their efectveness is completed, the material weakness described above will contnue to exist. Our ongoing remediaton eforts are focused on contnued employee training related to internal control over fnancial reportng and confrming sustained operaton of efectvely designed control actvites, including IT General Controls.</w:t>
      </w:r>
    </w:p>
    <w:p>
      <w:pPr>
        <w:spacing w:after="0" w:line="221"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Management is commited to successfully implementng the remediaton plan as promptly as possible. As of March 31, 2024, management has implemented or enhanced certain controls to address specifc issues related to the material weakness. The material weakness will not be considered remediated untl our management implements efectve controls that operate for a sufcient period of tme and our management has concluded through testng that these controls are efectve. The elements of our remediaton plan can only be accomplished over tme, and we can ofer no assurance that these initatves will ultmately have the intended efects. See “</w:t>
      </w:r>
      <w:r>
        <w:rPr>
          <w:rFonts w:ascii="Calibri" w:cs="Calibri" w:eastAsia="Calibri" w:hAnsi="Calibri"/>
          <w:sz w:val="18"/>
          <w:szCs w:val="18"/>
          <w:i w:val="1"/>
          <w:iCs w:val="1"/>
          <w:color w:val="auto"/>
        </w:rPr>
        <w:t>Risk Factors—Risks Related to Our Business and Industry—We have identfed a material weakness in</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our internal control over fnancial reportng. If we are unable to remediate this material weakness, we may not be able to accurately or tmely report our fnancial conditon or results of operatons, which may adversely afect our business and the market price of our common stock.” </w:t>
      </w:r>
      <w:r>
        <w:rPr>
          <w:rFonts w:ascii="Calibri" w:cs="Calibri" w:eastAsia="Calibri" w:hAnsi="Calibri"/>
          <w:sz w:val="18"/>
          <w:szCs w:val="18"/>
          <w:color w:val="auto"/>
        </w:rPr>
        <w:t>in Part I, Item 1A in our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Annual Report.</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Changes in Internal Control over Financial Reportng</w:t>
      </w:r>
    </w:p>
    <w:p>
      <w:pPr>
        <w:spacing w:after="0" w:line="21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Except as otherwise noted above under "Remediaton Plan," including the on-going remediaton eforts described, there were no changes in our internal control over fnancial reportng (as such term is defned in Exchange Act Rules 13a-15(f) and 15d-15(f)) during the period covered by this Quarterly Report that have materially afected, or are reasonably likely to materially afect, our internal control over fnancial reportng. Our plans for remediatng the material weakness, described above, will consttute changes in our internal control over fnancial reportng, prospectvely, when such remediaton plans are efectvely implemented.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5" w:name="page46"/>
    <w:bookmarkEnd w:id="45"/>
    <w:p>
      <w:pPr>
        <w:jc w:val="center"/>
        <w:ind w:right="-19"/>
        <w:spacing w:after="0"/>
        <w:rPr>
          <w:sz w:val="20"/>
          <w:szCs w:val="20"/>
          <w:color w:val="auto"/>
        </w:rPr>
      </w:pPr>
      <w:r>
        <w:rPr>
          <w:rFonts w:ascii="Calibri" w:cs="Calibri" w:eastAsia="Calibri" w:hAnsi="Calibri"/>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 Legal Proceedings.</w:t>
      </w:r>
    </w:p>
    <w:p>
      <w:pPr>
        <w:spacing w:after="0" w:line="10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From tme to tme, we may become involved in legal proceedings or be subject to claims arising in the ordinary course of our business. We are not presently subject to any pending or threatened litgaton that we believe, if determined adversely to us, would individually, or taken together, reasonably be expected to have a material adverse efect on our business or fnancial results.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1A. Risk Factors.</w:t>
      </w:r>
    </w:p>
    <w:p>
      <w:pPr>
        <w:spacing w:after="0" w:line="55"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Careful consideraton should be given to the factors discussed in Part I, Item 1A, “Risk Factors,” in our Annual Report, which could materially afect our business, fnancial conditon, or future results, in additon to the informaton set forth in this Quarterly Report</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2. Unregistered Sales of Equity Securites and Use of Proceeds.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Sales of Unregistered Securites</w:t>
      </w:r>
    </w:p>
    <w:p>
      <w:pPr>
        <w:spacing w:after="0" w:line="10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Purchases of Equity Securites</w:t>
      </w:r>
    </w:p>
    <w:p>
      <w:pPr>
        <w:spacing w:after="0" w:line="10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following table summarizes informaton about our purchases of our Class A common stock equity securites for each of the months during the three months ended March 31, 2024:</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Maximum</w:t>
            </w:r>
          </w:p>
        </w:tc>
      </w:tr>
      <w:tr>
        <w:trPr>
          <w:trHeight w:val="176"/>
        </w:trPr>
        <w:tc>
          <w:tcPr>
            <w:tcW w:w="5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Approximate</w:t>
            </w:r>
          </w:p>
        </w:tc>
      </w:tr>
      <w:tr>
        <w:trPr>
          <w:trHeight w:val="175"/>
        </w:trPr>
        <w:tc>
          <w:tcPr>
            <w:tcW w:w="5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 of</w:t>
            </w:r>
          </w:p>
        </w:tc>
        <w:tc>
          <w:tcPr>
            <w:tcW w:w="180" w:type="dxa"/>
            <w:vAlign w:val="bottom"/>
          </w:tcPr>
          <w:p>
            <w:pPr>
              <w:spacing w:after="0"/>
              <w:rPr>
                <w:sz w:val="15"/>
                <w:szCs w:val="15"/>
                <w:color w:val="auto"/>
              </w:rPr>
            </w:pPr>
          </w:p>
        </w:tc>
        <w:tc>
          <w:tcPr>
            <w:tcW w:w="116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auto"/>
              </w:rPr>
              <w:t>Dollar Value of</w:t>
            </w:r>
          </w:p>
        </w:tc>
      </w:tr>
      <w:tr>
        <w:trPr>
          <w:trHeight w:val="176"/>
        </w:trPr>
        <w:tc>
          <w:tcPr>
            <w:tcW w:w="5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Shares of</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Shares of</w:t>
            </w:r>
          </w:p>
        </w:tc>
      </w:tr>
      <w:tr>
        <w:trPr>
          <w:trHeight w:val="176"/>
        </w:trPr>
        <w:tc>
          <w:tcPr>
            <w:tcW w:w="5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Common Stock</w:t>
            </w:r>
          </w:p>
        </w:tc>
        <w:tc>
          <w:tcPr>
            <w:tcW w:w="180" w:type="dxa"/>
            <w:vAlign w:val="bottom"/>
          </w:tcPr>
          <w:p>
            <w:pPr>
              <w:spacing w:after="0"/>
              <w:rPr>
                <w:sz w:val="15"/>
                <w:szCs w:val="15"/>
                <w:color w:val="auto"/>
              </w:rPr>
            </w:pPr>
          </w:p>
        </w:tc>
        <w:tc>
          <w:tcPr>
            <w:tcW w:w="1160" w:type="dxa"/>
            <w:vAlign w:val="bottom"/>
            <w:gridSpan w:val="3"/>
          </w:tcPr>
          <w:p>
            <w:pPr>
              <w:jc w:val="center"/>
              <w:ind w:right="140"/>
              <w:spacing w:after="0"/>
              <w:rPr>
                <w:sz w:val="20"/>
                <w:szCs w:val="20"/>
                <w:color w:val="auto"/>
              </w:rPr>
            </w:pPr>
            <w:r>
              <w:rPr>
                <w:rFonts w:ascii="Calibri" w:cs="Calibri" w:eastAsia="Calibri" w:hAnsi="Calibri"/>
                <w:sz w:val="14"/>
                <w:szCs w:val="14"/>
                <w:b w:val="1"/>
                <w:bCs w:val="1"/>
                <w:color w:val="auto"/>
              </w:rPr>
              <w:t>Common Stock</w:t>
            </w:r>
          </w:p>
        </w:tc>
      </w:tr>
      <w:tr>
        <w:trPr>
          <w:trHeight w:val="175"/>
        </w:trPr>
        <w:tc>
          <w:tcPr>
            <w:tcW w:w="5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Purchased as</w:t>
            </w:r>
          </w:p>
        </w:tc>
        <w:tc>
          <w:tcPr>
            <w:tcW w:w="180" w:type="dxa"/>
            <w:vAlign w:val="bottom"/>
          </w:tcPr>
          <w:p>
            <w:pPr>
              <w:spacing w:after="0"/>
              <w:rPr>
                <w:sz w:val="15"/>
                <w:szCs w:val="15"/>
                <w:color w:val="auto"/>
              </w:rPr>
            </w:pPr>
          </w:p>
        </w:tc>
        <w:tc>
          <w:tcPr>
            <w:tcW w:w="1160" w:type="dxa"/>
            <w:vAlign w:val="bottom"/>
            <w:gridSpan w:val="3"/>
          </w:tcPr>
          <w:p>
            <w:pPr>
              <w:jc w:val="center"/>
              <w:ind w:right="140"/>
              <w:spacing w:after="0"/>
              <w:rPr>
                <w:sz w:val="20"/>
                <w:szCs w:val="20"/>
                <w:color w:val="auto"/>
              </w:rPr>
            </w:pPr>
            <w:r>
              <w:rPr>
                <w:rFonts w:ascii="Calibri" w:cs="Calibri" w:eastAsia="Calibri" w:hAnsi="Calibri"/>
                <w:sz w:val="14"/>
                <w:szCs w:val="14"/>
                <w:b w:val="1"/>
                <w:bCs w:val="1"/>
                <w:color w:val="auto"/>
              </w:rPr>
              <w:t>that May Yet be</w:t>
            </w:r>
          </w:p>
        </w:tc>
      </w:tr>
      <w:tr>
        <w:trPr>
          <w:trHeight w:val="175"/>
        </w:trPr>
        <w:tc>
          <w:tcPr>
            <w:tcW w:w="5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 of</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76"/>
              <w:spacing w:after="0"/>
              <w:rPr>
                <w:sz w:val="20"/>
                <w:szCs w:val="20"/>
                <w:color w:val="auto"/>
              </w:rPr>
            </w:pPr>
            <w:r>
              <w:rPr>
                <w:rFonts w:ascii="Calibri" w:cs="Calibri" w:eastAsia="Calibri" w:hAnsi="Calibri"/>
                <w:sz w:val="14"/>
                <w:szCs w:val="14"/>
                <w:b w:val="1"/>
                <w:bCs w:val="1"/>
                <w:color w:val="auto"/>
              </w:rPr>
              <w:t>Weighted</w:t>
            </w: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Part of Publicly</w:t>
            </w:r>
          </w:p>
        </w:tc>
        <w:tc>
          <w:tcPr>
            <w:tcW w:w="180" w:type="dxa"/>
            <w:vAlign w:val="bottom"/>
          </w:tcPr>
          <w:p>
            <w:pPr>
              <w:spacing w:after="0"/>
              <w:rPr>
                <w:sz w:val="15"/>
                <w:szCs w:val="15"/>
                <w:color w:val="auto"/>
              </w:rPr>
            </w:pPr>
          </w:p>
        </w:tc>
        <w:tc>
          <w:tcPr>
            <w:tcW w:w="1160" w:type="dxa"/>
            <w:vAlign w:val="bottom"/>
            <w:gridSpan w:val="3"/>
          </w:tcPr>
          <w:p>
            <w:pPr>
              <w:jc w:val="center"/>
              <w:ind w:right="100"/>
              <w:spacing w:after="0"/>
              <w:rPr>
                <w:sz w:val="20"/>
                <w:szCs w:val="20"/>
                <w:color w:val="auto"/>
              </w:rPr>
            </w:pPr>
            <w:r>
              <w:rPr>
                <w:rFonts w:ascii="Calibri" w:cs="Calibri" w:eastAsia="Calibri" w:hAnsi="Calibri"/>
                <w:sz w:val="14"/>
                <w:szCs w:val="14"/>
                <w:b w:val="1"/>
                <w:bCs w:val="1"/>
                <w:color w:val="auto"/>
              </w:rPr>
              <w:t>Purchased Under</w:t>
            </w:r>
          </w:p>
        </w:tc>
      </w:tr>
      <w:tr>
        <w:trPr>
          <w:trHeight w:val="176"/>
        </w:trPr>
        <w:tc>
          <w:tcPr>
            <w:tcW w:w="5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Shares of</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76"/>
              <w:spacing w:after="0"/>
              <w:rPr>
                <w:sz w:val="20"/>
                <w:szCs w:val="20"/>
                <w:color w:val="auto"/>
              </w:rPr>
            </w:pPr>
            <w:r>
              <w:rPr>
                <w:rFonts w:ascii="Calibri" w:cs="Calibri" w:eastAsia="Calibri" w:hAnsi="Calibri"/>
                <w:sz w:val="14"/>
                <w:szCs w:val="14"/>
                <w:b w:val="1"/>
                <w:bCs w:val="1"/>
                <w:color w:val="auto"/>
                <w:w w:val="97"/>
              </w:rPr>
              <w:t>Average Price</w:t>
            </w: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Announced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the Plans or</w:t>
            </w:r>
          </w:p>
        </w:tc>
      </w:tr>
      <w:tr>
        <w:trPr>
          <w:trHeight w:val="159"/>
        </w:trPr>
        <w:tc>
          <w:tcPr>
            <w:tcW w:w="516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Common Stock</w:t>
            </w:r>
          </w:p>
        </w:tc>
        <w:tc>
          <w:tcPr>
            <w:tcW w:w="200" w:type="dxa"/>
            <w:vAlign w:val="bottom"/>
          </w:tcPr>
          <w:p>
            <w:pPr>
              <w:spacing w:after="0"/>
              <w:rPr>
                <w:sz w:val="13"/>
                <w:szCs w:val="13"/>
                <w:color w:val="auto"/>
              </w:rPr>
            </w:pPr>
          </w:p>
        </w:tc>
        <w:tc>
          <w:tcPr>
            <w:tcW w:w="1080" w:type="dxa"/>
            <w:vAlign w:val="bottom"/>
            <w:gridSpan w:val="2"/>
          </w:tcPr>
          <w:p>
            <w:pPr>
              <w:ind w:left="20"/>
              <w:spacing w:after="0" w:line="159" w:lineRule="exact"/>
              <w:rPr>
                <w:sz w:val="20"/>
                <w:szCs w:val="20"/>
                <w:color w:val="auto"/>
              </w:rPr>
            </w:pPr>
            <w:r>
              <w:rPr>
                <w:rFonts w:ascii="Calibri" w:cs="Calibri" w:eastAsia="Calibri" w:hAnsi="Calibri"/>
                <w:sz w:val="14"/>
                <w:szCs w:val="14"/>
                <w:b w:val="1"/>
                <w:bCs w:val="1"/>
                <w:color w:val="auto"/>
              </w:rPr>
              <w:t>Paid per Share of</w:t>
            </w:r>
          </w:p>
        </w:tc>
        <w:tc>
          <w:tcPr>
            <w:tcW w:w="200" w:type="dxa"/>
            <w:vAlign w:val="bottom"/>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Plans or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9" w:lineRule="exact"/>
              <w:rPr>
                <w:sz w:val="20"/>
                <w:szCs w:val="20"/>
                <w:color w:val="auto"/>
              </w:rPr>
            </w:pPr>
            <w:r>
              <w:rPr>
                <w:rFonts w:ascii="Calibri" w:cs="Calibri" w:eastAsia="Calibri" w:hAnsi="Calibri"/>
                <w:sz w:val="14"/>
                <w:szCs w:val="14"/>
                <w:b w:val="1"/>
                <w:bCs w:val="1"/>
                <w:color w:val="auto"/>
              </w:rPr>
              <w:t>Programs</w:t>
            </w:r>
          </w:p>
        </w:tc>
      </w:tr>
      <w:tr>
        <w:trPr>
          <w:trHeight w:val="224"/>
        </w:trPr>
        <w:tc>
          <w:tcPr>
            <w:tcW w:w="5160" w:type="dxa"/>
            <w:vAlign w:val="bottom"/>
          </w:tcPr>
          <w:p>
            <w:pPr>
              <w:ind w:left="2340"/>
              <w:spacing w:after="0"/>
              <w:rPr>
                <w:sz w:val="20"/>
                <w:szCs w:val="20"/>
                <w:color w:val="auto"/>
              </w:rPr>
            </w:pPr>
            <w:r>
              <w:rPr>
                <w:rFonts w:ascii="Calibri" w:cs="Calibri" w:eastAsia="Calibri" w:hAnsi="Calibri"/>
                <w:sz w:val="14"/>
                <w:szCs w:val="14"/>
                <w:b w:val="1"/>
                <w:bCs w:val="1"/>
                <w:color w:val="auto"/>
              </w:rPr>
              <w:t>Period</w:t>
            </w: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Purchased</w:t>
            </w:r>
          </w:p>
        </w:tc>
        <w:tc>
          <w:tcPr>
            <w:tcW w:w="200" w:type="dxa"/>
            <w:vAlign w:val="bottom"/>
          </w:tcPr>
          <w:p>
            <w:pPr>
              <w:spacing w:after="0"/>
              <w:rPr>
                <w:sz w:val="19"/>
                <w:szCs w:val="19"/>
                <w:color w:val="auto"/>
              </w:rPr>
            </w:pPr>
          </w:p>
        </w:tc>
        <w:tc>
          <w:tcPr>
            <w:tcW w:w="1080" w:type="dxa"/>
            <w:vAlign w:val="bottom"/>
            <w:gridSpan w:val="2"/>
          </w:tcPr>
          <w:p>
            <w:pPr>
              <w:ind w:left="40"/>
              <w:spacing w:after="0" w:line="223" w:lineRule="exact"/>
              <w:rPr>
                <w:sz w:val="20"/>
                <w:szCs w:val="20"/>
                <w:color w:val="auto"/>
              </w:rPr>
            </w:pPr>
            <w:r>
              <w:rPr>
                <w:rFonts w:ascii="Calibri" w:cs="Calibri" w:eastAsia="Calibri" w:hAnsi="Calibri"/>
                <w:sz w:val="14"/>
                <w:szCs w:val="14"/>
                <w:b w:val="1"/>
                <w:bCs w:val="1"/>
                <w:color w:val="auto"/>
              </w:rPr>
              <w:t>Common Stock</w:t>
            </w:r>
            <w:r>
              <w:rPr>
                <w:rFonts w:ascii="Calibri" w:cs="Calibri" w:eastAsia="Calibri" w:hAnsi="Calibri"/>
                <w:sz w:val="19"/>
                <w:szCs w:val="19"/>
                <w:b w:val="1"/>
                <w:bCs w:val="1"/>
                <w:color w:val="auto"/>
                <w:vertAlign w:val="superscript"/>
              </w:rPr>
              <w:t>(1)</w:t>
            </w:r>
          </w:p>
        </w:tc>
        <w:tc>
          <w:tcPr>
            <w:tcW w:w="200" w:type="dxa"/>
            <w:vAlign w:val="bottom"/>
          </w:tcPr>
          <w:p>
            <w:pPr>
              <w:spacing w:after="0"/>
              <w:rPr>
                <w:sz w:val="19"/>
                <w:szCs w:val="19"/>
                <w:color w:val="auto"/>
              </w:rPr>
            </w:pPr>
          </w:p>
        </w:tc>
        <w:tc>
          <w:tcPr>
            <w:tcW w:w="1040" w:type="dxa"/>
            <w:vAlign w:val="bottom"/>
          </w:tcPr>
          <w:p>
            <w:pPr>
              <w:jc w:val="center"/>
              <w:spacing w:after="0" w:line="223" w:lineRule="exact"/>
              <w:rPr>
                <w:sz w:val="20"/>
                <w:szCs w:val="20"/>
                <w:color w:val="auto"/>
              </w:rPr>
            </w:pPr>
            <w:r>
              <w:rPr>
                <w:rFonts w:ascii="Calibri" w:cs="Calibri" w:eastAsia="Calibri" w:hAnsi="Calibri"/>
                <w:sz w:val="14"/>
                <w:szCs w:val="14"/>
                <w:b w:val="1"/>
                <w:bCs w:val="1"/>
                <w:color w:val="auto"/>
                <w:w w:val="92"/>
              </w:rPr>
              <w:t>Programs</w:t>
            </w:r>
            <w:r>
              <w:rPr>
                <w:rFonts w:ascii="Calibri" w:cs="Calibri" w:eastAsia="Calibri" w:hAnsi="Calibri"/>
                <w:sz w:val="19"/>
                <w:szCs w:val="19"/>
                <w:b w:val="1"/>
                <w:bCs w:val="1"/>
                <w:color w:val="auto"/>
                <w:w w:val="92"/>
                <w:vertAlign w:val="superscript"/>
              </w:rPr>
              <w:t>(2)(3)</w:t>
            </w:r>
          </w:p>
        </w:tc>
        <w:tc>
          <w:tcPr>
            <w:tcW w:w="180" w:type="dxa"/>
            <w:vAlign w:val="bottom"/>
          </w:tcPr>
          <w:p>
            <w:pPr>
              <w:spacing w:after="0"/>
              <w:rPr>
                <w:sz w:val="19"/>
                <w:szCs w:val="19"/>
                <w:color w:val="auto"/>
              </w:rPr>
            </w:pPr>
          </w:p>
        </w:tc>
        <w:tc>
          <w:tcPr>
            <w:tcW w:w="1160" w:type="dxa"/>
            <w:vAlign w:val="bottom"/>
            <w:gridSpan w:val="3"/>
          </w:tcPr>
          <w:p>
            <w:pPr>
              <w:jc w:val="center"/>
              <w:ind w:right="100"/>
              <w:spacing w:after="0" w:line="223" w:lineRule="exact"/>
              <w:rPr>
                <w:sz w:val="20"/>
                <w:szCs w:val="20"/>
                <w:color w:val="auto"/>
              </w:rPr>
            </w:pPr>
            <w:r>
              <w:rPr>
                <w:rFonts w:ascii="Calibri" w:cs="Calibri" w:eastAsia="Calibri" w:hAnsi="Calibri"/>
                <w:sz w:val="14"/>
                <w:szCs w:val="14"/>
                <w:b w:val="1"/>
                <w:bCs w:val="1"/>
                <w:color w:val="auto"/>
              </w:rPr>
              <w:t>(in thousands)</w:t>
            </w:r>
            <w:r>
              <w:rPr>
                <w:rFonts w:ascii="Calibri" w:cs="Calibri" w:eastAsia="Calibri" w:hAnsi="Calibri"/>
                <w:sz w:val="19"/>
                <w:szCs w:val="19"/>
                <w:b w:val="1"/>
                <w:bCs w:val="1"/>
                <w:color w:val="auto"/>
                <w:vertAlign w:val="superscript"/>
              </w:rPr>
              <w:t>(2)</w:t>
            </w:r>
          </w:p>
        </w:tc>
      </w:tr>
      <w:tr>
        <w:trPr>
          <w:trHeight w:val="197"/>
        </w:trPr>
        <w:tc>
          <w:tcPr>
            <w:tcW w:w="51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516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January 1, 2024 through January 31, 2024</w:t>
            </w: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760,089</w:t>
            </w:r>
          </w:p>
        </w:tc>
        <w:tc>
          <w:tcPr>
            <w:tcW w:w="320" w:type="dxa"/>
            <w:vAlign w:val="bottom"/>
            <w:tcBorders>
              <w:bottom w:val="single" w:sz="8" w:color="CFF0FC"/>
            </w:tcBorders>
            <w:gridSpan w:val="2"/>
            <w:shd w:val="clear" w:color="auto" w:fill="CFF0FC"/>
          </w:tcPr>
          <w:p>
            <w:pPr>
              <w:ind w:left="22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23.02</w:t>
            </w:r>
          </w:p>
        </w:tc>
        <w:tc>
          <w:tcPr>
            <w:tcW w:w="12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760,089</w:t>
            </w:r>
          </w:p>
        </w:tc>
        <w:tc>
          <w:tcPr>
            <w:tcW w:w="3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232,503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160" w:type="dxa"/>
            <w:vAlign w:val="bottom"/>
          </w:tcPr>
          <w:p>
            <w:pPr>
              <w:ind w:left="140"/>
              <w:spacing w:after="0" w:line="215" w:lineRule="exact"/>
              <w:rPr>
                <w:sz w:val="20"/>
                <w:szCs w:val="20"/>
                <w:color w:val="auto"/>
              </w:rPr>
            </w:pPr>
            <w:r>
              <w:rPr>
                <w:rFonts w:ascii="Calibri" w:cs="Calibri" w:eastAsia="Calibri" w:hAnsi="Calibri"/>
                <w:sz w:val="18"/>
                <w:szCs w:val="18"/>
                <w:color w:val="auto"/>
              </w:rPr>
              <w:t>February 1, 2024 through February 29, 2024</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575,503</w:t>
            </w:r>
          </w:p>
        </w:tc>
        <w:tc>
          <w:tcPr>
            <w:tcW w:w="320" w:type="dxa"/>
            <w:vAlign w:val="bottom"/>
            <w:gridSpan w:val="2"/>
          </w:tcPr>
          <w:p>
            <w:pPr>
              <w:ind w:left="22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22.97</w:t>
            </w:r>
          </w:p>
        </w:tc>
        <w:tc>
          <w:tcPr>
            <w:tcW w:w="12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575,503</w:t>
            </w:r>
          </w:p>
        </w:tc>
        <w:tc>
          <w:tcPr>
            <w:tcW w:w="3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219,284</w:t>
            </w:r>
          </w:p>
        </w:tc>
        <w:tc>
          <w:tcPr>
            <w:tcW w:w="100" w:type="dxa"/>
            <w:vAlign w:val="bottom"/>
          </w:tcPr>
          <w:p>
            <w:pPr>
              <w:spacing w:after="0"/>
              <w:rPr>
                <w:sz w:val="18"/>
                <w:szCs w:val="18"/>
                <w:color w:val="auto"/>
              </w:rPr>
            </w:pPr>
          </w:p>
        </w:tc>
      </w:tr>
      <w:tr>
        <w:trPr>
          <w:trHeight w:val="28"/>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516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March 1, 2024 through March 31, 2024</w:t>
            </w: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2,202,602</w:t>
            </w:r>
          </w:p>
        </w:tc>
        <w:tc>
          <w:tcPr>
            <w:tcW w:w="320" w:type="dxa"/>
            <w:vAlign w:val="bottom"/>
            <w:tcBorders>
              <w:bottom w:val="single" w:sz="8" w:color="CFF0FC"/>
            </w:tcBorders>
            <w:gridSpan w:val="2"/>
            <w:shd w:val="clear" w:color="auto" w:fill="CFF0FC"/>
          </w:tcPr>
          <w:p>
            <w:pPr>
              <w:ind w:left="220"/>
              <w:spacing w:after="0"/>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rPr>
              <w:t>22.86</w:t>
            </w:r>
          </w:p>
        </w:tc>
        <w:tc>
          <w:tcPr>
            <w:tcW w:w="12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2,202,602</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rPr>
              <w:t>168,933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60" w:type="dxa"/>
            <w:vAlign w:val="bottom"/>
            <w:tcBorders>
              <w:top w:val="single" w:sz="8" w:color="CFF0FC"/>
            </w:tcBorders>
          </w:tcPr>
          <w:p>
            <w:pPr>
              <w:ind w:left="220"/>
              <w:spacing w:after="0" w:line="215" w:lineRule="exact"/>
              <w:rPr>
                <w:sz w:val="20"/>
                <w:szCs w:val="20"/>
                <w:color w:val="auto"/>
              </w:rPr>
            </w:pPr>
            <w:r>
              <w:rPr>
                <w:rFonts w:ascii="Calibri" w:cs="Calibri" w:eastAsia="Calibri" w:hAnsi="Calibri"/>
                <w:sz w:val="18"/>
                <w:szCs w:val="18"/>
                <w:color w:val="auto"/>
              </w:rPr>
              <w:t>Total</w:t>
            </w: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3,538,194</w:t>
            </w:r>
          </w:p>
        </w:tc>
        <w:tc>
          <w:tcPr>
            <w:tcW w:w="320" w:type="dxa"/>
            <w:vAlign w:val="bottom"/>
            <w:tcBorders>
              <w:top w:val="single" w:sz="8" w:color="CFF0FC"/>
            </w:tcBorders>
            <w:gridSpan w:val="2"/>
          </w:tcPr>
          <w:p>
            <w:pPr>
              <w:ind w:left="220"/>
              <w:spacing w:after="0"/>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CFF0FC"/>
            </w:tcBorders>
          </w:tcPr>
          <w:p>
            <w:pPr>
              <w:jc w:val="right"/>
              <w:spacing w:after="0"/>
              <w:rPr>
                <w:sz w:val="20"/>
                <w:szCs w:val="20"/>
                <w:color w:val="auto"/>
              </w:rPr>
            </w:pPr>
            <w:r>
              <w:rPr>
                <w:rFonts w:ascii="Calibri" w:cs="Calibri" w:eastAsia="Calibri" w:hAnsi="Calibri"/>
                <w:sz w:val="18"/>
                <w:szCs w:val="18"/>
                <w:color w:val="auto"/>
              </w:rPr>
              <w:t>22.91</w:t>
            </w:r>
          </w:p>
        </w:tc>
        <w:tc>
          <w:tcPr>
            <w:tcW w:w="200" w:type="dxa"/>
            <w:vAlign w:val="bottom"/>
            <w:tcBorders>
              <w:top w:val="single" w:sz="8" w:color="CFF0FC"/>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3,538,194</w:t>
            </w:r>
          </w:p>
        </w:tc>
        <w:tc>
          <w:tcPr>
            <w:tcW w:w="300" w:type="dxa"/>
            <w:vAlign w:val="bottom"/>
            <w:tcBorders>
              <w:top w:val="single" w:sz="8" w:color="CFF0FC"/>
            </w:tcBorders>
            <w:gridSpan w:val="2"/>
          </w:tcPr>
          <w:p>
            <w:pPr>
              <w:jc w:val="right"/>
              <w:spacing w:after="0"/>
              <w:rPr>
                <w:sz w:val="20"/>
                <w:szCs w:val="20"/>
                <w:color w:val="auto"/>
              </w:rPr>
            </w:pPr>
            <w:r>
              <w:rPr>
                <w:rFonts w:ascii="Calibri" w:cs="Calibri" w:eastAsia="Calibri" w:hAnsi="Calibri"/>
                <w:sz w:val="18"/>
                <w:szCs w:val="18"/>
                <w:color w:val="auto"/>
              </w:rPr>
              <w:t>$</w:t>
            </w:r>
          </w:p>
        </w:tc>
        <w:tc>
          <w:tcPr>
            <w:tcW w:w="940" w:type="dxa"/>
            <w:vAlign w:val="bottom"/>
            <w:tcBorders>
              <w:top w:val="single" w:sz="8" w:color="CFF0FC"/>
            </w:tcBorders>
          </w:tcPr>
          <w:p>
            <w:pPr>
              <w:jc w:val="right"/>
              <w:spacing w:after="0"/>
              <w:rPr>
                <w:sz w:val="20"/>
                <w:szCs w:val="20"/>
                <w:color w:val="auto"/>
              </w:rPr>
            </w:pPr>
            <w:r>
              <w:rPr>
                <w:rFonts w:ascii="Calibri" w:cs="Calibri" w:eastAsia="Calibri" w:hAnsi="Calibri"/>
                <w:sz w:val="18"/>
                <w:szCs w:val="18"/>
                <w:color w:val="auto"/>
              </w:rPr>
              <w:t>168,933</w:t>
            </w:r>
          </w:p>
        </w:tc>
        <w:tc>
          <w:tcPr>
            <w:tcW w:w="100" w:type="dxa"/>
            <w:vAlign w:val="bottom"/>
            <w:tcBorders>
              <w:top w:val="single" w:sz="8" w:color="CFF0FC"/>
            </w:tcBorders>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-187960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1020" w:hanging="499"/>
        <w:spacing w:after="0" w:line="201" w:lineRule="auto"/>
        <w:tabs>
          <w:tab w:leader="none" w:pos="1020" w:val="left"/>
        </w:tabs>
        <w:numPr>
          <w:ilvl w:val="0"/>
          <w:numId w:val="7"/>
        </w:numPr>
        <w:rPr>
          <w:rFonts w:ascii="Calibri" w:cs="Calibri" w:eastAsia="Calibri" w:hAnsi="Calibri"/>
          <w:sz w:val="24"/>
          <w:szCs w:val="24"/>
          <w:color w:val="auto"/>
          <w:vertAlign w:val="subscript"/>
        </w:rPr>
      </w:pPr>
      <w:r>
        <w:rPr>
          <w:rFonts w:ascii="Calibri" w:cs="Calibri" w:eastAsia="Calibri" w:hAnsi="Calibri"/>
          <w:sz w:val="12"/>
          <w:szCs w:val="12"/>
          <w:color w:val="auto"/>
        </w:rPr>
        <w:t>The weighted average price paid per share of our Class A common stock does not include cost of commissions.</w:t>
      </w:r>
    </w:p>
    <w:p>
      <w:pPr>
        <w:spacing w:after="0" w:line="112" w:lineRule="exact"/>
        <w:rPr>
          <w:rFonts w:ascii="Calibri" w:cs="Calibri" w:eastAsia="Calibri" w:hAnsi="Calibri"/>
          <w:sz w:val="24"/>
          <w:szCs w:val="24"/>
          <w:color w:val="auto"/>
          <w:vertAlign w:val="subscript"/>
        </w:rPr>
      </w:pPr>
    </w:p>
    <w:p>
      <w:pPr>
        <w:jc w:val="both"/>
        <w:ind w:left="1020" w:hanging="499"/>
        <w:spacing w:after="0" w:line="261" w:lineRule="auto"/>
        <w:tabs>
          <w:tab w:leader="none" w:pos="1020" w:val="left"/>
        </w:tabs>
        <w:numPr>
          <w:ilvl w:val="0"/>
          <w:numId w:val="7"/>
        </w:numPr>
        <w:rPr>
          <w:rFonts w:ascii="Calibri" w:cs="Calibri" w:eastAsia="Calibri" w:hAnsi="Calibri"/>
          <w:sz w:val="24"/>
          <w:szCs w:val="24"/>
          <w:color w:val="auto"/>
          <w:vertAlign w:val="subscript"/>
        </w:rPr>
      </w:pPr>
      <w:r>
        <w:rPr>
          <w:rFonts w:ascii="Calibri" w:cs="Calibri" w:eastAsia="Calibri" w:hAnsi="Calibri"/>
          <w:sz w:val="12"/>
          <w:szCs w:val="12"/>
          <w:color w:val="auto"/>
        </w:rPr>
        <w:t>On November 7, 2023, we announced that our Board of Directors authorized the 2024 Share Repurchase Program, pursuant to which we may, from tme to tme, purchase shares of our Class A common stock for an aggregate purchase price not to exceed $250.0 million. Share repurchases under the 2024 Share Repurchase Program may be made through a variety of methods, including but not limited to open market purchases, privately negotated transactons, and transactons that may be efected pursuant to one or more plans under Rule 10b5-1 and/or Rule 10b-18 of the Exchange Act. The 2024 Share Repurchase Program does not obligate us to repurchase any minimum dollar amount or number of shares. The 2024 Share Repurchase Program has an efectve date of January 1, 2024, and an expiraton date of December 31, 2024, and prior to its expiraton may be modifed, suspended, or discontnued by our Board of Directors at any tme without prior notce. All repurchased shares of our Class A common stock under the 2024 Share Repurchase Program will be retred. We have funded share repurchases and expect to contnue to fund any additonal share repurchases under the 2024 Share Repurchase Program through cash on hand and cash generated from operatons.</w:t>
      </w:r>
    </w:p>
    <w:p>
      <w:pPr>
        <w:spacing w:after="0" w:line="3" w:lineRule="exact"/>
        <w:rPr>
          <w:rFonts w:ascii="Calibri" w:cs="Calibri" w:eastAsia="Calibri" w:hAnsi="Calibri"/>
          <w:sz w:val="24"/>
          <w:szCs w:val="24"/>
          <w:color w:val="auto"/>
          <w:vertAlign w:val="subscript"/>
        </w:rPr>
      </w:pPr>
    </w:p>
    <w:p>
      <w:pPr>
        <w:ind w:left="1020" w:hanging="499"/>
        <w:spacing w:after="0" w:line="185" w:lineRule="auto"/>
        <w:tabs>
          <w:tab w:leader="none" w:pos="1020" w:val="left"/>
        </w:tabs>
        <w:numPr>
          <w:ilvl w:val="0"/>
          <w:numId w:val="7"/>
        </w:numPr>
        <w:rPr>
          <w:rFonts w:ascii="Calibri" w:cs="Calibri" w:eastAsia="Calibri" w:hAnsi="Calibri"/>
          <w:sz w:val="20"/>
          <w:szCs w:val="20"/>
          <w:color w:val="auto"/>
          <w:vertAlign w:val="subscript"/>
        </w:rPr>
      </w:pPr>
      <w:r>
        <w:rPr>
          <w:rFonts w:ascii="Calibri" w:cs="Calibri" w:eastAsia="Calibri" w:hAnsi="Calibri"/>
          <w:sz w:val="11"/>
          <w:szCs w:val="11"/>
          <w:color w:val="auto"/>
        </w:rPr>
        <w:t>The total number of shares of our Class A common stock purchased as part of the 2024 Share Repurchase Program was inclusive of any shares purchased but not setled as of March 31, 2024.</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46" w:name="page47"/>
    <w:bookmarkEnd w:id="46"/>
    <w:p>
      <w:pPr>
        <w:spacing w:after="0"/>
        <w:rPr>
          <w:sz w:val="20"/>
          <w:szCs w:val="20"/>
          <w:color w:val="auto"/>
        </w:rPr>
      </w:pPr>
      <w:r>
        <w:rPr>
          <w:rFonts w:ascii="Calibri" w:cs="Calibri" w:eastAsia="Calibri" w:hAnsi="Calibri"/>
          <w:sz w:val="18"/>
          <w:szCs w:val="18"/>
          <w:b w:val="1"/>
          <w:bCs w:val="1"/>
          <w:color w:val="auto"/>
        </w:rPr>
        <w:t>Item 5. Other Informaton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Rule 10b5-1 Plan Trading Arrangements</w:t>
      </w:r>
    </w:p>
    <w:p>
      <w:pPr>
        <w:spacing w:after="0" w:line="21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During the three months ended March 31, 2024, each of the following ofcers adopted a “Rule 10b5-1 trading arrangement” (as defned in Item 408 of Regulaton S-K) that is intended to satsfy the afrmatve defense of Rule 10b5-1(c) under the Exchange Act and our policies on insider trading: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Aggregate Number of Shares of Class</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A Common Stock to be Purchased or</w:t>
            </w: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Sold Pursuant to Trading Arrangement</w:t>
            </w:r>
          </w:p>
        </w:tc>
        <w:tc>
          <w:tcPr>
            <w:tcW w:w="80" w:type="dxa"/>
            <w:vAlign w:val="bottom"/>
          </w:tcPr>
          <w:p>
            <w:pPr>
              <w:spacing w:after="0"/>
              <w:rPr>
                <w:sz w:val="18"/>
                <w:szCs w:val="18"/>
                <w:color w:val="auto"/>
              </w:rPr>
            </w:pPr>
          </w:p>
        </w:tc>
        <w:tc>
          <w:tcPr>
            <w:tcW w:w="224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7"/>
              </w:rPr>
              <w:t>Expiraton Date</w:t>
            </w:r>
            <w:r>
              <w:rPr>
                <w:rFonts w:ascii="Calibri" w:cs="Calibri" w:eastAsia="Calibri" w:hAnsi="Calibri"/>
                <w:sz w:val="24"/>
                <w:szCs w:val="24"/>
                <w:b w:val="1"/>
                <w:bCs w:val="1"/>
                <w:color w:val="auto"/>
                <w:w w:val="97"/>
                <w:vertAlign w:val="superscript"/>
              </w:rPr>
              <w:t>(1)</w:t>
            </w:r>
          </w:p>
        </w:tc>
        <w:tc>
          <w:tcPr>
            <w:tcW w:w="0" w:type="dxa"/>
            <w:vAlign w:val="bottom"/>
          </w:tcPr>
          <w:p>
            <w:pPr>
              <w:spacing w:after="0"/>
              <w:rPr>
                <w:sz w:val="1"/>
                <w:szCs w:val="1"/>
                <w:color w:val="auto"/>
              </w:rPr>
            </w:pPr>
          </w:p>
        </w:tc>
      </w:tr>
      <w:tr>
        <w:trPr>
          <w:trHeight w:val="253"/>
        </w:trPr>
        <w:tc>
          <w:tcPr>
            <w:tcW w:w="2580" w:type="dxa"/>
            <w:vAlign w:val="bottom"/>
            <w:tcBorders>
              <w:bottom w:val="single" w:sz="8" w:color="auto"/>
            </w:tcBorders>
          </w:tcPr>
          <w:p>
            <w:pPr>
              <w:ind w:left="820"/>
              <w:spacing w:after="0" w:line="216" w:lineRule="exact"/>
              <w:rPr>
                <w:sz w:val="20"/>
                <w:szCs w:val="20"/>
                <w:color w:val="auto"/>
              </w:rPr>
            </w:pPr>
            <w:r>
              <w:rPr>
                <w:rFonts w:ascii="Calibri" w:cs="Calibri" w:eastAsia="Calibri" w:hAnsi="Calibri"/>
                <w:sz w:val="18"/>
                <w:szCs w:val="18"/>
                <w:b w:val="1"/>
                <w:bCs w:val="1"/>
                <w:color w:val="auto"/>
              </w:rPr>
              <w:t>Name &amp; Title</w:t>
            </w:r>
          </w:p>
        </w:tc>
        <w:tc>
          <w:tcPr>
            <w:tcW w:w="120" w:type="dxa"/>
            <w:vAlign w:val="bottom"/>
          </w:tcPr>
          <w:p>
            <w:pPr>
              <w:spacing w:after="0"/>
              <w:rPr>
                <w:sz w:val="22"/>
                <w:szCs w:val="22"/>
                <w:color w:val="auto"/>
              </w:rPr>
            </w:pPr>
          </w:p>
        </w:tc>
        <w:tc>
          <w:tcPr>
            <w:tcW w:w="2200" w:type="dxa"/>
            <w:vAlign w:val="bottom"/>
            <w:tcBorders>
              <w:bottom w:val="single" w:sz="8" w:color="auto"/>
            </w:tcBorders>
          </w:tcPr>
          <w:p>
            <w:pPr>
              <w:ind w:left="600"/>
              <w:spacing w:after="0" w:line="216" w:lineRule="exact"/>
              <w:rPr>
                <w:sz w:val="20"/>
                <w:szCs w:val="20"/>
                <w:color w:val="auto"/>
              </w:rPr>
            </w:pPr>
            <w:r>
              <w:rPr>
                <w:rFonts w:ascii="Calibri" w:cs="Calibri" w:eastAsia="Calibri" w:hAnsi="Calibri"/>
                <w:sz w:val="18"/>
                <w:szCs w:val="18"/>
                <w:b w:val="1"/>
                <w:bCs w:val="1"/>
                <w:color w:val="auto"/>
              </w:rPr>
              <w:t>Date Adopted</w:t>
            </w:r>
          </w:p>
        </w:tc>
        <w:tc>
          <w:tcPr>
            <w:tcW w:w="120" w:type="dxa"/>
            <w:vAlign w:val="bottom"/>
          </w:tcPr>
          <w:p>
            <w:pPr>
              <w:spacing w:after="0"/>
              <w:rPr>
                <w:sz w:val="22"/>
                <w:szCs w:val="22"/>
                <w:color w:val="auto"/>
              </w:rPr>
            </w:pPr>
          </w:p>
        </w:tc>
        <w:tc>
          <w:tcPr>
            <w:tcW w:w="30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580" w:type="dxa"/>
            <w:vAlign w:val="bottom"/>
          </w:tcPr>
          <w:p>
            <w:pPr>
              <w:ind w:left="120"/>
              <w:spacing w:after="0" w:line="201" w:lineRule="exact"/>
              <w:rPr>
                <w:sz w:val="20"/>
                <w:szCs w:val="20"/>
                <w:color w:val="auto"/>
              </w:rPr>
            </w:pPr>
            <w:r>
              <w:rPr>
                <w:rFonts w:ascii="Calibri" w:cs="Calibri" w:eastAsia="Calibri" w:hAnsi="Calibri"/>
                <w:sz w:val="18"/>
                <w:szCs w:val="18"/>
                <w:color w:val="auto"/>
              </w:rPr>
              <w:t>Jason Trevisan</w:t>
            </w:r>
          </w:p>
        </w:tc>
        <w:tc>
          <w:tcPr>
            <w:tcW w:w="120" w:type="dxa"/>
            <w:vAlign w:val="bottom"/>
          </w:tcPr>
          <w:p>
            <w:pPr>
              <w:spacing w:after="0"/>
              <w:rPr>
                <w:sz w:val="17"/>
                <w:szCs w:val="17"/>
                <w:color w:val="auto"/>
              </w:rPr>
            </w:pPr>
          </w:p>
        </w:tc>
        <w:tc>
          <w:tcPr>
            <w:tcW w:w="2200" w:type="dxa"/>
            <w:vAlign w:val="bottom"/>
          </w:tcPr>
          <w:p>
            <w:pPr>
              <w:ind w:left="580"/>
              <w:spacing w:after="0" w:line="201" w:lineRule="exact"/>
              <w:rPr>
                <w:sz w:val="20"/>
                <w:szCs w:val="20"/>
                <w:color w:val="auto"/>
              </w:rPr>
            </w:pPr>
            <w:r>
              <w:rPr>
                <w:rFonts w:ascii="Calibri" w:cs="Calibri" w:eastAsia="Calibri" w:hAnsi="Calibri"/>
                <w:sz w:val="18"/>
                <w:szCs w:val="18"/>
                <w:color w:val="auto"/>
              </w:rPr>
              <w:t>March 8, 2024</w:t>
            </w:r>
          </w:p>
        </w:tc>
        <w:tc>
          <w:tcPr>
            <w:tcW w:w="120" w:type="dxa"/>
            <w:vAlign w:val="bottom"/>
          </w:tcPr>
          <w:p>
            <w:pPr>
              <w:spacing w:after="0"/>
              <w:rPr>
                <w:sz w:val="17"/>
                <w:szCs w:val="17"/>
                <w:color w:val="auto"/>
              </w:rPr>
            </w:pPr>
          </w:p>
        </w:tc>
        <w:tc>
          <w:tcPr>
            <w:tcW w:w="3000" w:type="dxa"/>
            <w:vAlign w:val="bottom"/>
          </w:tcPr>
          <w:p>
            <w:pPr>
              <w:jc w:val="center"/>
              <w:spacing w:after="0" w:line="201" w:lineRule="exact"/>
              <w:rPr>
                <w:sz w:val="20"/>
                <w:szCs w:val="20"/>
                <w:color w:val="auto"/>
              </w:rPr>
            </w:pPr>
            <w:r>
              <w:rPr>
                <w:rFonts w:ascii="Calibri" w:cs="Calibri" w:eastAsia="Calibri" w:hAnsi="Calibri"/>
                <w:sz w:val="18"/>
                <w:szCs w:val="18"/>
                <w:color w:val="auto"/>
                <w:w w:val="96"/>
              </w:rPr>
              <w:t>30,000 shares to be sold</w:t>
            </w:r>
          </w:p>
        </w:tc>
        <w:tc>
          <w:tcPr>
            <w:tcW w:w="80" w:type="dxa"/>
            <w:vAlign w:val="bottom"/>
          </w:tcPr>
          <w:p>
            <w:pPr>
              <w:spacing w:after="0"/>
              <w:rPr>
                <w:sz w:val="17"/>
                <w:szCs w:val="17"/>
                <w:color w:val="auto"/>
              </w:rPr>
            </w:pPr>
          </w:p>
        </w:tc>
        <w:tc>
          <w:tcPr>
            <w:tcW w:w="2240" w:type="dxa"/>
            <w:vAlign w:val="bottom"/>
          </w:tcPr>
          <w:p>
            <w:pPr>
              <w:jc w:val="center"/>
              <w:spacing w:after="0" w:line="201" w:lineRule="exact"/>
              <w:rPr>
                <w:sz w:val="20"/>
                <w:szCs w:val="20"/>
                <w:color w:val="auto"/>
              </w:rPr>
            </w:pPr>
            <w:r>
              <w:rPr>
                <w:rFonts w:ascii="Calibri" w:cs="Calibri" w:eastAsia="Calibri" w:hAnsi="Calibri"/>
                <w:sz w:val="18"/>
                <w:szCs w:val="18"/>
                <w:color w:val="auto"/>
                <w:w w:val="96"/>
              </w:rPr>
              <w:t>May 30, 2025</w:t>
            </w:r>
          </w:p>
        </w:tc>
        <w:tc>
          <w:tcPr>
            <w:tcW w:w="0" w:type="dxa"/>
            <w:vAlign w:val="bottom"/>
          </w:tcPr>
          <w:p>
            <w:pPr>
              <w:spacing w:after="0"/>
              <w:rPr>
                <w:sz w:val="1"/>
                <w:szCs w:val="1"/>
                <w:color w:val="auto"/>
              </w:rPr>
            </w:pPr>
          </w:p>
        </w:tc>
      </w:tr>
      <w:tr>
        <w:trPr>
          <w:trHeight w:val="215"/>
        </w:trPr>
        <w:tc>
          <w:tcPr>
            <w:tcW w:w="2580" w:type="dxa"/>
            <w:vAlign w:val="bottom"/>
          </w:tcPr>
          <w:p>
            <w:pPr>
              <w:ind w:left="120"/>
              <w:spacing w:after="0" w:line="215" w:lineRule="exact"/>
              <w:rPr>
                <w:sz w:val="20"/>
                <w:szCs w:val="20"/>
                <w:color w:val="auto"/>
              </w:rPr>
            </w:pPr>
            <w:r>
              <w:rPr>
                <w:rFonts w:ascii="Calibri" w:cs="Calibri" w:eastAsia="Calibri" w:hAnsi="Calibri"/>
                <w:sz w:val="18"/>
                <w:szCs w:val="18"/>
                <w:color w:val="auto"/>
              </w:rPr>
              <w:t>Chief Executve Ofcer</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580" w:type="dxa"/>
            <w:vAlign w:val="bottom"/>
          </w:tcPr>
          <w:p>
            <w:pPr>
              <w:ind w:left="120"/>
              <w:spacing w:after="0"/>
              <w:rPr>
                <w:sz w:val="20"/>
                <w:szCs w:val="20"/>
                <w:color w:val="auto"/>
              </w:rPr>
            </w:pPr>
            <w:r>
              <w:rPr>
                <w:rFonts w:ascii="Calibri" w:cs="Calibri" w:eastAsia="Calibri" w:hAnsi="Calibri"/>
                <w:sz w:val="18"/>
                <w:szCs w:val="18"/>
                <w:color w:val="auto"/>
              </w:rPr>
              <w:t>Mathew Quinn</w:t>
            </w:r>
          </w:p>
        </w:tc>
        <w:tc>
          <w:tcPr>
            <w:tcW w:w="120" w:type="dxa"/>
            <w:vAlign w:val="bottom"/>
          </w:tcPr>
          <w:p>
            <w:pPr>
              <w:spacing w:after="0"/>
              <w:rPr>
                <w:sz w:val="22"/>
                <w:szCs w:val="22"/>
                <w:color w:val="auto"/>
              </w:rPr>
            </w:pPr>
          </w:p>
        </w:tc>
        <w:tc>
          <w:tcPr>
            <w:tcW w:w="2200" w:type="dxa"/>
            <w:vAlign w:val="bottom"/>
          </w:tcPr>
          <w:p>
            <w:pPr>
              <w:ind w:left="580"/>
              <w:spacing w:after="0"/>
              <w:rPr>
                <w:sz w:val="20"/>
                <w:szCs w:val="20"/>
                <w:color w:val="auto"/>
              </w:rPr>
            </w:pPr>
            <w:r>
              <w:rPr>
                <w:rFonts w:ascii="Calibri" w:cs="Calibri" w:eastAsia="Calibri" w:hAnsi="Calibri"/>
                <w:sz w:val="18"/>
                <w:szCs w:val="18"/>
                <w:color w:val="auto"/>
              </w:rPr>
              <w:t>March 5, 2024</w:t>
            </w:r>
          </w:p>
        </w:tc>
        <w:tc>
          <w:tcPr>
            <w:tcW w:w="120" w:type="dxa"/>
            <w:vAlign w:val="bottom"/>
          </w:tcPr>
          <w:p>
            <w:pPr>
              <w:spacing w:after="0"/>
              <w:rPr>
                <w:sz w:val="22"/>
                <w:szCs w:val="22"/>
                <w:color w:val="auto"/>
              </w:rPr>
            </w:pPr>
          </w:p>
        </w:tc>
        <w:tc>
          <w:tcPr>
            <w:tcW w:w="3000" w:type="dxa"/>
            <w:vAlign w:val="bottom"/>
          </w:tcPr>
          <w:p>
            <w:pPr>
              <w:jc w:val="center"/>
              <w:spacing w:after="0" w:line="257" w:lineRule="exact"/>
              <w:rPr>
                <w:sz w:val="20"/>
                <w:szCs w:val="20"/>
                <w:color w:val="auto"/>
              </w:rPr>
            </w:pPr>
            <w:r>
              <w:rPr>
                <w:rFonts w:ascii="Calibri" w:cs="Calibri" w:eastAsia="Calibri" w:hAnsi="Calibri"/>
                <w:sz w:val="18"/>
                <w:szCs w:val="18"/>
                <w:color w:val="auto"/>
                <w:w w:val="95"/>
              </w:rPr>
              <w:t>Up to 50,757 shares to be sold</w:t>
            </w:r>
            <w:r>
              <w:rPr>
                <w:rFonts w:ascii="Calibri" w:cs="Calibri" w:eastAsia="Calibri" w:hAnsi="Calibri"/>
                <w:sz w:val="24"/>
                <w:szCs w:val="24"/>
                <w:color w:val="auto"/>
                <w:w w:val="95"/>
                <w:vertAlign w:val="superscript"/>
              </w:rPr>
              <w:t>(2)</w:t>
            </w:r>
          </w:p>
        </w:tc>
        <w:tc>
          <w:tcPr>
            <w:tcW w:w="80" w:type="dxa"/>
            <w:vAlign w:val="bottom"/>
          </w:tcPr>
          <w:p>
            <w:pPr>
              <w:spacing w:after="0"/>
              <w:rPr>
                <w:sz w:val="22"/>
                <w:szCs w:val="22"/>
                <w:color w:val="auto"/>
              </w:rPr>
            </w:pPr>
          </w:p>
        </w:tc>
        <w:tc>
          <w:tcPr>
            <w:tcW w:w="2240" w:type="dxa"/>
            <w:vAlign w:val="bottom"/>
          </w:tcPr>
          <w:p>
            <w:pPr>
              <w:jc w:val="center"/>
              <w:spacing w:after="0"/>
              <w:rPr>
                <w:sz w:val="20"/>
                <w:szCs w:val="20"/>
                <w:color w:val="auto"/>
              </w:rPr>
            </w:pPr>
            <w:r>
              <w:rPr>
                <w:rFonts w:ascii="Calibri" w:cs="Calibri" w:eastAsia="Calibri" w:hAnsi="Calibri"/>
                <w:sz w:val="18"/>
                <w:szCs w:val="18"/>
                <w:color w:val="auto"/>
                <w:w w:val="98"/>
              </w:rPr>
              <w:t>March 3, 2025</w:t>
            </w:r>
          </w:p>
        </w:tc>
        <w:tc>
          <w:tcPr>
            <w:tcW w:w="0" w:type="dxa"/>
            <w:vAlign w:val="bottom"/>
          </w:tcPr>
          <w:p>
            <w:pPr>
              <w:spacing w:after="0"/>
              <w:rPr>
                <w:sz w:val="1"/>
                <w:szCs w:val="1"/>
                <w:color w:val="auto"/>
              </w:rPr>
            </w:pPr>
          </w:p>
        </w:tc>
      </w:tr>
      <w:tr>
        <w:trPr>
          <w:trHeight w:val="215"/>
        </w:trPr>
        <w:tc>
          <w:tcPr>
            <w:tcW w:w="2580" w:type="dxa"/>
            <w:vAlign w:val="bottom"/>
          </w:tcPr>
          <w:p>
            <w:pPr>
              <w:ind w:left="120"/>
              <w:spacing w:after="0" w:line="215" w:lineRule="exact"/>
              <w:rPr>
                <w:sz w:val="20"/>
                <w:szCs w:val="20"/>
                <w:color w:val="auto"/>
              </w:rPr>
            </w:pPr>
            <w:r>
              <w:rPr>
                <w:rFonts w:ascii="Calibri" w:cs="Calibri" w:eastAsia="Calibri" w:hAnsi="Calibri"/>
                <w:sz w:val="18"/>
                <w:szCs w:val="18"/>
                <w:color w:val="auto"/>
              </w:rPr>
              <w:t>Chief Technology Ofcer</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580" w:type="dxa"/>
            <w:vAlign w:val="bottom"/>
          </w:tcPr>
          <w:p>
            <w:pPr>
              <w:ind w:left="120"/>
              <w:spacing w:after="0"/>
              <w:rPr>
                <w:sz w:val="20"/>
                <w:szCs w:val="20"/>
                <w:color w:val="auto"/>
              </w:rPr>
            </w:pPr>
            <w:r>
              <w:rPr>
                <w:rFonts w:ascii="Calibri" w:cs="Calibri" w:eastAsia="Calibri" w:hAnsi="Calibri"/>
                <w:sz w:val="18"/>
                <w:szCs w:val="18"/>
                <w:color w:val="auto"/>
              </w:rPr>
              <w:t>Javier Zamora</w:t>
            </w:r>
          </w:p>
        </w:tc>
        <w:tc>
          <w:tcPr>
            <w:tcW w:w="120" w:type="dxa"/>
            <w:vAlign w:val="bottom"/>
          </w:tcPr>
          <w:p>
            <w:pPr>
              <w:spacing w:after="0"/>
              <w:rPr>
                <w:sz w:val="22"/>
                <w:szCs w:val="22"/>
                <w:color w:val="auto"/>
              </w:rPr>
            </w:pPr>
          </w:p>
        </w:tc>
        <w:tc>
          <w:tcPr>
            <w:tcW w:w="2200" w:type="dxa"/>
            <w:vAlign w:val="bottom"/>
          </w:tcPr>
          <w:p>
            <w:pPr>
              <w:ind w:left="580"/>
              <w:spacing w:after="0"/>
              <w:rPr>
                <w:sz w:val="20"/>
                <w:szCs w:val="20"/>
                <w:color w:val="auto"/>
              </w:rPr>
            </w:pPr>
            <w:r>
              <w:rPr>
                <w:rFonts w:ascii="Calibri" w:cs="Calibri" w:eastAsia="Calibri" w:hAnsi="Calibri"/>
                <w:sz w:val="18"/>
                <w:szCs w:val="18"/>
                <w:color w:val="auto"/>
              </w:rPr>
              <w:t>March 4, 2024</w:t>
            </w:r>
          </w:p>
        </w:tc>
        <w:tc>
          <w:tcPr>
            <w:tcW w:w="120" w:type="dxa"/>
            <w:vAlign w:val="bottom"/>
          </w:tcPr>
          <w:p>
            <w:pPr>
              <w:spacing w:after="0"/>
              <w:rPr>
                <w:sz w:val="22"/>
                <w:szCs w:val="22"/>
                <w:color w:val="auto"/>
              </w:rPr>
            </w:pPr>
          </w:p>
        </w:tc>
        <w:tc>
          <w:tcPr>
            <w:tcW w:w="3000" w:type="dxa"/>
            <w:vAlign w:val="bottom"/>
          </w:tcPr>
          <w:p>
            <w:pPr>
              <w:jc w:val="center"/>
              <w:spacing w:after="0" w:line="257" w:lineRule="exact"/>
              <w:rPr>
                <w:sz w:val="20"/>
                <w:szCs w:val="20"/>
                <w:color w:val="auto"/>
              </w:rPr>
            </w:pPr>
            <w:r>
              <w:rPr>
                <w:rFonts w:ascii="Calibri" w:cs="Calibri" w:eastAsia="Calibri" w:hAnsi="Calibri"/>
                <w:sz w:val="18"/>
                <w:szCs w:val="18"/>
                <w:color w:val="auto"/>
                <w:w w:val="95"/>
              </w:rPr>
              <w:t>22,808 shares to be sold</w:t>
            </w:r>
            <w:r>
              <w:rPr>
                <w:rFonts w:ascii="Calibri" w:cs="Calibri" w:eastAsia="Calibri" w:hAnsi="Calibri"/>
                <w:sz w:val="24"/>
                <w:szCs w:val="24"/>
                <w:color w:val="auto"/>
                <w:w w:val="95"/>
                <w:vertAlign w:val="superscript"/>
              </w:rPr>
              <w:t>(3)</w:t>
            </w:r>
          </w:p>
        </w:tc>
        <w:tc>
          <w:tcPr>
            <w:tcW w:w="80" w:type="dxa"/>
            <w:vAlign w:val="bottom"/>
          </w:tcPr>
          <w:p>
            <w:pPr>
              <w:spacing w:after="0"/>
              <w:rPr>
                <w:sz w:val="22"/>
                <w:szCs w:val="22"/>
                <w:color w:val="auto"/>
              </w:rPr>
            </w:pPr>
          </w:p>
        </w:tc>
        <w:tc>
          <w:tcPr>
            <w:tcW w:w="2240" w:type="dxa"/>
            <w:vAlign w:val="bottom"/>
          </w:tcPr>
          <w:p>
            <w:pPr>
              <w:jc w:val="center"/>
              <w:spacing w:after="0"/>
              <w:rPr>
                <w:sz w:val="20"/>
                <w:szCs w:val="20"/>
                <w:color w:val="auto"/>
              </w:rPr>
            </w:pPr>
            <w:r>
              <w:rPr>
                <w:rFonts w:ascii="Calibri" w:cs="Calibri" w:eastAsia="Calibri" w:hAnsi="Calibri"/>
                <w:sz w:val="18"/>
                <w:szCs w:val="18"/>
                <w:color w:val="auto"/>
                <w:w w:val="98"/>
              </w:rPr>
              <w:t>March 3, 2025</w:t>
            </w:r>
          </w:p>
        </w:tc>
        <w:tc>
          <w:tcPr>
            <w:tcW w:w="0" w:type="dxa"/>
            <w:vAlign w:val="bottom"/>
          </w:tcPr>
          <w:p>
            <w:pPr>
              <w:spacing w:after="0"/>
              <w:rPr>
                <w:sz w:val="1"/>
                <w:szCs w:val="1"/>
                <w:color w:val="auto"/>
              </w:rPr>
            </w:pPr>
          </w:p>
        </w:tc>
      </w:tr>
      <w:tr>
        <w:trPr>
          <w:trHeight w:val="215"/>
        </w:trPr>
        <w:tc>
          <w:tcPr>
            <w:tcW w:w="2580" w:type="dxa"/>
            <w:vAlign w:val="bottom"/>
          </w:tcPr>
          <w:p>
            <w:pPr>
              <w:ind w:left="120"/>
              <w:spacing w:after="0" w:line="215" w:lineRule="exact"/>
              <w:rPr>
                <w:sz w:val="20"/>
                <w:szCs w:val="20"/>
                <w:color w:val="auto"/>
              </w:rPr>
            </w:pPr>
            <w:r>
              <w:rPr>
                <w:rFonts w:ascii="Calibri" w:cs="Calibri" w:eastAsia="Calibri" w:hAnsi="Calibri"/>
                <w:sz w:val="18"/>
                <w:szCs w:val="18"/>
                <w:color w:val="auto"/>
              </w:rPr>
              <w:t>General Counsel and Corporate</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20"/>
              <w:spacing w:after="0" w:line="216" w:lineRule="exact"/>
              <w:rPr>
                <w:sz w:val="20"/>
                <w:szCs w:val="20"/>
                <w:color w:val="auto"/>
              </w:rPr>
            </w:pPr>
            <w:r>
              <w:rPr>
                <w:rFonts w:ascii="Calibri" w:cs="Calibri" w:eastAsia="Calibri" w:hAnsi="Calibri"/>
                <w:sz w:val="18"/>
                <w:szCs w:val="18"/>
                <w:color w:val="auto"/>
              </w:rPr>
              <w:t>Secretary</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firstLine="8"/>
        <w:spacing w:after="0" w:line="211" w:lineRule="auto"/>
        <w:tabs>
          <w:tab w:leader="none" w:pos="345" w:val="left"/>
        </w:tabs>
        <w:numPr>
          <w:ilvl w:val="0"/>
          <w:numId w:val="8"/>
        </w:numPr>
        <w:rPr>
          <w:rFonts w:ascii="Calibri" w:cs="Calibri" w:eastAsia="Calibri" w:hAnsi="Calibri"/>
          <w:sz w:val="24"/>
          <w:szCs w:val="24"/>
          <w:color w:val="auto"/>
          <w:vertAlign w:val="superscript"/>
        </w:rPr>
      </w:pPr>
      <w:r>
        <w:rPr>
          <w:rFonts w:ascii="Calibri" w:cs="Calibri" w:eastAsia="Calibri" w:hAnsi="Calibri"/>
          <w:sz w:val="18"/>
          <w:szCs w:val="18"/>
          <w:color w:val="auto"/>
        </w:rPr>
        <w:t>The Rule 10b5-1 trading arrangement permits transactons through and including the earlier to occur of (a) the completon of all sales or (b) the date listed in the table. The arrangement also provides for automatc expiraton in the event of liquidaton, dissoluton, bankruptcy, insolvency, or death of the adoptng person.</w:t>
      </w:r>
    </w:p>
    <w:p>
      <w:pPr>
        <w:spacing w:after="0" w:line="247" w:lineRule="exact"/>
        <w:rPr>
          <w:rFonts w:ascii="Calibri" w:cs="Calibri" w:eastAsia="Calibri" w:hAnsi="Calibri"/>
          <w:sz w:val="24"/>
          <w:szCs w:val="24"/>
          <w:color w:val="auto"/>
          <w:vertAlign w:val="superscript"/>
        </w:rPr>
      </w:pPr>
    </w:p>
    <w:p>
      <w:pPr>
        <w:jc w:val="both"/>
        <w:ind w:firstLine="8"/>
        <w:spacing w:after="0" w:line="223" w:lineRule="auto"/>
        <w:tabs>
          <w:tab w:leader="none" w:pos="355" w:val="left"/>
        </w:tabs>
        <w:numPr>
          <w:ilvl w:val="0"/>
          <w:numId w:val="8"/>
        </w:numPr>
        <w:rPr>
          <w:rFonts w:ascii="Calibri" w:cs="Calibri" w:eastAsia="Calibri" w:hAnsi="Calibri"/>
          <w:sz w:val="24"/>
          <w:szCs w:val="24"/>
          <w:color w:val="auto"/>
          <w:vertAlign w:val="superscript"/>
        </w:rPr>
      </w:pPr>
      <w:r>
        <w:rPr>
          <w:rFonts w:ascii="Calibri" w:cs="Calibri" w:eastAsia="Calibri" w:hAnsi="Calibri"/>
          <w:sz w:val="18"/>
          <w:szCs w:val="18"/>
          <w:color w:val="auto"/>
        </w:rPr>
        <w:t>The Rule 10b5-1 trading arrangement includes the sale of shares to be received upon future vestng of certain outstanding equity awards, net of any shares withheld by us to satsfy applicable taxes. The number of shares to be withheld, and thus the exact number of shares to be sold pursuant to Mr. Quinn’s Rule 10b5-1 trading arrangement, can only be determined upon the occurrence of the future vestng events. For purposes of this disclosure, we have reported the gross number of shares to be received upon the future vestng of such equity awards, before subtractng any shares to be withheld by us to satsfy applicable taxes in connecton with such future vestng events. Furthermore, the Rule 10b5-1 trading arrangement provides for the sale of 40% of the net shares that vest on the applicable vestng date.</w:t>
      </w:r>
    </w:p>
    <w:p>
      <w:pPr>
        <w:spacing w:after="0" w:line="245" w:lineRule="exact"/>
        <w:rPr>
          <w:rFonts w:ascii="Calibri" w:cs="Calibri" w:eastAsia="Calibri" w:hAnsi="Calibri"/>
          <w:sz w:val="24"/>
          <w:szCs w:val="24"/>
          <w:color w:val="auto"/>
          <w:vertAlign w:val="superscript"/>
        </w:rPr>
      </w:pPr>
    </w:p>
    <w:p>
      <w:pPr>
        <w:jc w:val="both"/>
        <w:ind w:firstLine="8"/>
        <w:spacing w:after="0" w:line="220" w:lineRule="auto"/>
        <w:tabs>
          <w:tab w:leader="none" w:pos="355" w:val="left"/>
        </w:tabs>
        <w:numPr>
          <w:ilvl w:val="0"/>
          <w:numId w:val="8"/>
        </w:numPr>
        <w:rPr>
          <w:rFonts w:ascii="Calibri" w:cs="Calibri" w:eastAsia="Calibri" w:hAnsi="Calibri"/>
          <w:sz w:val="24"/>
          <w:szCs w:val="24"/>
          <w:color w:val="auto"/>
          <w:vertAlign w:val="superscript"/>
        </w:rPr>
      </w:pPr>
      <w:r>
        <w:rPr>
          <w:rFonts w:ascii="Calibri" w:cs="Calibri" w:eastAsia="Calibri" w:hAnsi="Calibri"/>
          <w:sz w:val="18"/>
          <w:szCs w:val="18"/>
          <w:color w:val="auto"/>
        </w:rPr>
        <w:t>The Rule 10b5-1 trading arrangement includes the sale of shares to be received upon future vestng of certain outstanding equity awards, net of any shares withheld by us to satsfy applicable taxes. The number of shares to be withheld, and thus the exact number of shares to be sold pursuant to Mr. Zamora’s Rule 10b5-1 trading arrangement, can only be determined upon the occurrence of the future vestng events. For purposes of this disclosure, we have reported the gross number of shares to be received upon the future vestng of such equity awards, before subtractng any shares to be withheld by us to satsfy applicable taxes in connecton with such future vestng events.</w:t>
      </w:r>
    </w:p>
    <w:p>
      <w:pPr>
        <w:spacing w:after="0" w:line="222"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On December 5, 2023, Mr. Quinn adopted a “Rule 10b5-1 trading arrangement” that was intended to satsfy the afrmatve defense of Rule 10b5-1(c) under the Exchange Act and our policies on insider trading, or the Quinn 2023 Plan. Pursuant to the Quinn 2023 Plan, $45,000 in shares were to be sold and it had an expiraton date of December 31, 2024. On March 4, 2024, Mr. Quinn terminated the Quinn 2023 Plan.</w:t>
      </w:r>
    </w:p>
    <w:p>
      <w:pPr>
        <w:spacing w:after="0" w:line="21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Other than those disclosed above, none of our directors or ofcers adopted, modifed, or terminated a “Rule 10b5-1 trading arrangement” or “non-Rule 10b5-1 trading arrangement,” in each case as defned in Item 408 of Regulaton S-K.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7" w:name="page48"/>
    <w:bookmarkEnd w:id="47"/>
    <w:p>
      <w:pPr>
        <w:spacing w:after="0"/>
        <w:rPr>
          <w:sz w:val="20"/>
          <w:szCs w:val="20"/>
          <w:color w:val="auto"/>
        </w:rPr>
      </w:pPr>
      <w:r>
        <w:rPr>
          <w:rFonts w:ascii="Calibri" w:cs="Calibri" w:eastAsia="Calibri" w:hAnsi="Calibri"/>
          <w:sz w:val="18"/>
          <w:szCs w:val="18"/>
          <w:b w:val="1"/>
          <w:bCs w:val="1"/>
          <w:color w:val="auto"/>
        </w:rPr>
        <w:t>Item 6. Exhibits.</w:t>
      </w:r>
    </w:p>
    <w:p>
      <w:pPr>
        <w:spacing w:after="0" w:line="10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exhibits listed below are fled or incorporated by reference into this Quarterly Report.</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80" w:type="dxa"/>
            <w:vAlign w:val="bottom"/>
            <w:gridSpan w:val="2"/>
          </w:tcPr>
          <w:p>
            <w:pPr>
              <w:ind w:left="460"/>
              <w:spacing w:after="0"/>
              <w:rPr>
                <w:sz w:val="20"/>
                <w:szCs w:val="20"/>
                <w:color w:val="auto"/>
              </w:rPr>
            </w:pPr>
            <w:r>
              <w:rPr>
                <w:rFonts w:ascii="Calibri" w:cs="Calibri" w:eastAsia="Calibri" w:hAnsi="Calibri"/>
                <w:sz w:val="14"/>
                <w:szCs w:val="14"/>
                <w:b w:val="1"/>
                <w:bCs w:val="1"/>
                <w:color w:val="auto"/>
              </w:rPr>
              <w:t>Incorporated by Reference</w:t>
            </w: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Filed or</w:t>
            </w:r>
          </w:p>
        </w:tc>
        <w:tc>
          <w:tcPr>
            <w:tcW w:w="0" w:type="dxa"/>
            <w:vAlign w:val="bottom"/>
          </w:tcPr>
          <w:p>
            <w:pPr>
              <w:spacing w:after="0"/>
              <w:rPr>
                <w:sz w:val="1"/>
                <w:szCs w:val="1"/>
                <w:color w:val="auto"/>
              </w:rPr>
            </w:pPr>
          </w:p>
        </w:tc>
      </w:tr>
      <w:tr>
        <w:trPr>
          <w:trHeight w:val="163"/>
        </w:trPr>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20"/>
                <w:szCs w:val="20"/>
                <w:color w:val="auto"/>
              </w:rPr>
            </w:pPr>
            <w:r>
              <w:rPr>
                <w:rFonts w:ascii="Calibri" w:cs="Calibri" w:eastAsia="Calibri" w:hAnsi="Calibri"/>
                <w:sz w:val="14"/>
                <w:szCs w:val="14"/>
                <w:b w:val="1"/>
                <w:bCs w:val="1"/>
                <w:color w:val="auto"/>
              </w:rPr>
              <w:t>Exhibit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File</w:t>
            </w:r>
          </w:p>
        </w:tc>
        <w:tc>
          <w:tcPr>
            <w:tcW w:w="1100" w:type="dxa"/>
            <w:vAlign w:val="bottom"/>
          </w:tcPr>
          <w:p>
            <w:pPr>
              <w:ind w:left="440"/>
              <w:spacing w:after="0"/>
              <w:rPr>
                <w:sz w:val="20"/>
                <w:szCs w:val="20"/>
                <w:color w:val="auto"/>
              </w:rPr>
            </w:pPr>
            <w:r>
              <w:rPr>
                <w:rFonts w:ascii="Calibri" w:cs="Calibri" w:eastAsia="Calibri" w:hAnsi="Calibri"/>
                <w:sz w:val="14"/>
                <w:szCs w:val="14"/>
                <w:b w:val="1"/>
                <w:bCs w:val="1"/>
                <w:color w:val="auto"/>
              </w:rPr>
              <w:t>Filing</w:t>
            </w:r>
          </w:p>
        </w:tc>
        <w:tc>
          <w:tcPr>
            <w:tcW w:w="1080" w:type="dxa"/>
            <w:vAlign w:val="bottom"/>
          </w:tcPr>
          <w:p>
            <w:pPr>
              <w:jc w:val="center"/>
              <w:ind w:left="28"/>
              <w:spacing w:after="0"/>
              <w:rPr>
                <w:sz w:val="20"/>
                <w:szCs w:val="20"/>
                <w:color w:val="auto"/>
              </w:rPr>
            </w:pPr>
            <w:r>
              <w:rPr>
                <w:rFonts w:ascii="Calibri" w:cs="Calibri" w:eastAsia="Calibri" w:hAnsi="Calibri"/>
                <w:sz w:val="14"/>
                <w:szCs w:val="14"/>
                <w:b w:val="1"/>
                <w:bCs w:val="1"/>
                <w:color w:val="auto"/>
              </w:rPr>
              <w:t>Exhibit</w:t>
            </w:r>
          </w:p>
        </w:tc>
        <w:tc>
          <w:tcPr>
            <w:tcW w:w="660" w:type="dxa"/>
            <w:vAlign w:val="bottom"/>
          </w:tcPr>
          <w:p>
            <w:pPr>
              <w:jc w:val="center"/>
              <w:spacing w:after="0"/>
              <w:rPr>
                <w:sz w:val="20"/>
                <w:szCs w:val="20"/>
                <w:color w:val="auto"/>
              </w:rPr>
            </w:pPr>
            <w:r>
              <w:rPr>
                <w:rFonts w:ascii="Calibri" w:cs="Calibri" w:eastAsia="Calibri" w:hAnsi="Calibri"/>
                <w:sz w:val="14"/>
                <w:szCs w:val="14"/>
                <w:b w:val="1"/>
                <w:bCs w:val="1"/>
                <w:color w:val="auto"/>
              </w:rPr>
              <w:t>Furnished</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20"/>
                <w:szCs w:val="20"/>
                <w:color w:val="auto"/>
              </w:rPr>
            </w:pPr>
            <w:r>
              <w:rPr>
                <w:rFonts w:ascii="Calibri" w:cs="Calibri" w:eastAsia="Calibri" w:hAnsi="Calibri"/>
                <w:sz w:val="14"/>
                <w:szCs w:val="14"/>
                <w:b w:val="1"/>
                <w:bCs w:val="1"/>
                <w:color w:val="auto"/>
              </w:rPr>
              <w:t>Number</w:t>
            </w:r>
          </w:p>
        </w:tc>
        <w:tc>
          <w:tcPr>
            <w:tcW w:w="5140" w:type="dxa"/>
            <w:vAlign w:val="bottom"/>
            <w:gridSpan w:val="13"/>
          </w:tcPr>
          <w:p>
            <w:pPr>
              <w:spacing w:after="0"/>
              <w:rPr>
                <w:sz w:val="20"/>
                <w:szCs w:val="20"/>
                <w:color w:val="auto"/>
              </w:rPr>
            </w:pPr>
            <w:r>
              <w:rPr>
                <w:rFonts w:ascii="Calibri" w:cs="Calibri" w:eastAsia="Calibri" w:hAnsi="Calibri"/>
                <w:sz w:val="14"/>
                <w:szCs w:val="14"/>
                <w:b w:val="1"/>
                <w:bCs w:val="1"/>
                <w:color w:val="auto"/>
              </w:rPr>
              <w:t>Exhibit Descripton</w:t>
            </w:r>
          </w:p>
        </w:tc>
        <w:tc>
          <w:tcPr>
            <w:tcW w:w="960" w:type="dxa"/>
            <w:vAlign w:val="bottom"/>
          </w:tcPr>
          <w:p>
            <w:pPr>
              <w:ind w:left="300"/>
              <w:spacing w:after="0"/>
              <w:rPr>
                <w:sz w:val="20"/>
                <w:szCs w:val="20"/>
                <w:color w:val="auto"/>
              </w:rPr>
            </w:pPr>
            <w:r>
              <w:rPr>
                <w:rFonts w:ascii="Calibri" w:cs="Calibri" w:eastAsia="Calibri" w:hAnsi="Calibri"/>
                <w:sz w:val="14"/>
                <w:szCs w:val="14"/>
                <w:b w:val="1"/>
                <w:bCs w:val="1"/>
                <w:color w:val="auto"/>
              </w:rPr>
              <w:t>Form</w:t>
            </w: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Number</w:t>
            </w:r>
          </w:p>
        </w:tc>
        <w:tc>
          <w:tcPr>
            <w:tcW w:w="1100" w:type="dxa"/>
            <w:vAlign w:val="bottom"/>
          </w:tcPr>
          <w:p>
            <w:pPr>
              <w:ind w:left="460"/>
              <w:spacing w:after="0"/>
              <w:rPr>
                <w:sz w:val="20"/>
                <w:szCs w:val="20"/>
                <w:color w:val="auto"/>
              </w:rPr>
            </w:pPr>
            <w:r>
              <w:rPr>
                <w:rFonts w:ascii="Calibri" w:cs="Calibri" w:eastAsia="Calibri" w:hAnsi="Calibri"/>
                <w:sz w:val="14"/>
                <w:szCs w:val="14"/>
                <w:b w:val="1"/>
                <w:bCs w:val="1"/>
                <w:color w:val="auto"/>
              </w:rPr>
              <w:t>Date</w:t>
            </w:r>
          </w:p>
        </w:tc>
        <w:tc>
          <w:tcPr>
            <w:tcW w:w="1080" w:type="dxa"/>
            <w:vAlign w:val="bottom"/>
          </w:tcPr>
          <w:p>
            <w:pPr>
              <w:jc w:val="center"/>
              <w:ind w:left="8"/>
              <w:spacing w:after="0"/>
              <w:rPr>
                <w:sz w:val="20"/>
                <w:szCs w:val="20"/>
                <w:color w:val="auto"/>
              </w:rPr>
            </w:pPr>
            <w:r>
              <w:rPr>
                <w:rFonts w:ascii="Calibri" w:cs="Calibri" w:eastAsia="Calibri" w:hAnsi="Calibri"/>
                <w:sz w:val="14"/>
                <w:szCs w:val="14"/>
                <w:b w:val="1"/>
                <w:bCs w:val="1"/>
                <w:color w:val="auto"/>
              </w:rPr>
              <w:t>Number</w:t>
            </w:r>
          </w:p>
        </w:tc>
        <w:tc>
          <w:tcPr>
            <w:tcW w:w="660" w:type="dxa"/>
            <w:vAlign w:val="bottom"/>
          </w:tcPr>
          <w:p>
            <w:pPr>
              <w:jc w:val="center"/>
              <w:spacing w:after="0"/>
              <w:rPr>
                <w:sz w:val="20"/>
                <w:szCs w:val="20"/>
                <w:color w:val="auto"/>
              </w:rPr>
            </w:pPr>
            <w:r>
              <w:rPr>
                <w:rFonts w:ascii="Calibri" w:cs="Calibri" w:eastAsia="Calibri" w:hAnsi="Calibri"/>
                <w:sz w:val="14"/>
                <w:szCs w:val="14"/>
                <w:b w:val="1"/>
                <w:bCs w:val="1"/>
                <w:color w:val="auto"/>
              </w:rPr>
              <w:t>Herewith</w:t>
            </w:r>
          </w:p>
        </w:tc>
        <w:tc>
          <w:tcPr>
            <w:tcW w:w="0" w:type="dxa"/>
            <w:vAlign w:val="bottom"/>
          </w:tcPr>
          <w:p>
            <w:pPr>
              <w:spacing w:after="0"/>
              <w:rPr>
                <w:sz w:val="1"/>
                <w:szCs w:val="1"/>
                <w:color w:val="auto"/>
              </w:rPr>
            </w:pPr>
          </w:p>
        </w:tc>
      </w:tr>
      <w:tr>
        <w:trPr>
          <w:trHeight w:val="209"/>
        </w:trPr>
        <w:tc>
          <w:tcPr>
            <w:tcW w:w="940" w:type="dxa"/>
            <w:vAlign w:val="bottom"/>
          </w:tcPr>
          <w:p>
            <w:pPr>
              <w:spacing w:after="0" w:line="209" w:lineRule="exact"/>
              <w:rPr>
                <w:sz w:val="20"/>
                <w:szCs w:val="20"/>
                <w:color w:val="auto"/>
              </w:rPr>
            </w:pPr>
            <w:r>
              <w:rPr>
                <w:rFonts w:ascii="Calibri" w:cs="Calibri" w:eastAsia="Calibri" w:hAnsi="Calibri"/>
                <w:sz w:val="18"/>
                <w:szCs w:val="18"/>
                <w:color w:val="auto"/>
              </w:rPr>
              <w:t>10.1#</w:t>
            </w:r>
          </w:p>
        </w:tc>
        <w:tc>
          <w:tcPr>
            <w:tcW w:w="5140" w:type="dxa"/>
            <w:vAlign w:val="bottom"/>
            <w:gridSpan w:val="13"/>
          </w:tcPr>
          <w:p>
            <w:pPr>
              <w:spacing w:after="0" w:line="209" w:lineRule="exact"/>
              <w:rPr>
                <w:sz w:val="20"/>
                <w:szCs w:val="20"/>
                <w:color w:val="auto"/>
              </w:rPr>
            </w:pPr>
            <w:r>
              <w:rPr>
                <w:rFonts w:ascii="Calibri" w:cs="Calibri" w:eastAsia="Calibri" w:hAnsi="Calibri"/>
                <w:sz w:val="18"/>
                <w:szCs w:val="18"/>
                <w:color w:val="0000FF"/>
              </w:rPr>
              <w:t>Separaton Agreement and Release, dated February 26, 2024, by and</w:t>
            </w: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center"/>
              <w:spacing w:after="0" w:line="209" w:lineRule="exact"/>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13"/>
          </w:tcPr>
          <w:p>
            <w:pPr>
              <w:spacing w:after="0" w:line="196" w:lineRule="exact"/>
              <w:rPr>
                <w:sz w:val="20"/>
                <w:szCs w:val="20"/>
                <w:color w:val="auto"/>
              </w:rPr>
            </w:pPr>
            <w:r>
              <w:rPr>
                <w:rFonts w:ascii="Calibri" w:cs="Calibri" w:eastAsia="Calibri" w:hAnsi="Calibri"/>
                <w:sz w:val="18"/>
                <w:szCs w:val="18"/>
                <w:color w:val="0000FF"/>
              </w:rPr>
              <w:t>between the Registrant and Andrea Eldridge.</w:t>
            </w: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Calibri" w:cs="Calibri" w:eastAsia="Calibri" w:hAnsi="Calibri"/>
                <w:sz w:val="18"/>
                <w:szCs w:val="18"/>
                <w:color w:val="auto"/>
              </w:rPr>
              <w:t>10.2</w:t>
            </w:r>
          </w:p>
        </w:tc>
        <w:tc>
          <w:tcPr>
            <w:tcW w:w="5140" w:type="dxa"/>
            <w:vAlign w:val="bottom"/>
            <w:gridSpan w:val="13"/>
          </w:tcPr>
          <w:p>
            <w:pPr>
              <w:spacing w:after="0"/>
              <w:rPr>
                <w:sz w:val="20"/>
                <w:szCs w:val="20"/>
                <w:color w:val="auto"/>
              </w:rPr>
            </w:pPr>
            <w:r>
              <w:rPr>
                <w:rFonts w:ascii="Calibri" w:cs="Calibri" w:eastAsia="Calibri" w:hAnsi="Calibri"/>
                <w:sz w:val="18"/>
                <w:szCs w:val="18"/>
                <w:color w:val="0000FF"/>
              </w:rPr>
              <w:t>Leter Agreement regarding Lease between P-12 Property LLC (as</w:t>
            </w: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13"/>
          </w:tcPr>
          <w:p>
            <w:pPr>
              <w:spacing w:after="0" w:line="196" w:lineRule="exact"/>
              <w:rPr>
                <w:sz w:val="20"/>
                <w:szCs w:val="20"/>
                <w:color w:val="auto"/>
              </w:rPr>
            </w:pPr>
            <w:r>
              <w:rPr>
                <w:rFonts w:ascii="Calibri" w:cs="Calibri" w:eastAsia="Calibri" w:hAnsi="Calibri"/>
                <w:sz w:val="18"/>
                <w:szCs w:val="18"/>
                <w:color w:val="0000FF"/>
              </w:rPr>
              <w:t>successor-in-interest to S&amp;A P-12 Property LLC) and the Registrant,</w:t>
            </w: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13"/>
          </w:tcPr>
          <w:p>
            <w:pPr>
              <w:spacing w:after="0" w:line="196" w:lineRule="exact"/>
              <w:rPr>
                <w:sz w:val="20"/>
                <w:szCs w:val="20"/>
                <w:color w:val="auto"/>
              </w:rPr>
            </w:pPr>
            <w:r>
              <w:rPr>
                <w:rFonts w:ascii="Calibri" w:cs="Calibri" w:eastAsia="Calibri" w:hAnsi="Calibri"/>
                <w:sz w:val="18"/>
                <w:szCs w:val="18"/>
                <w:color w:val="0000FF"/>
              </w:rPr>
              <w:t>dated as of March 19, 2024.</w:t>
            </w: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Calibri" w:cs="Calibri" w:eastAsia="Calibri" w:hAnsi="Calibri"/>
                <w:sz w:val="18"/>
                <w:szCs w:val="18"/>
                <w:color w:val="auto"/>
              </w:rPr>
              <w:t>31.1</w:t>
            </w:r>
          </w:p>
        </w:tc>
        <w:tc>
          <w:tcPr>
            <w:tcW w:w="5140" w:type="dxa"/>
            <w:vAlign w:val="bottom"/>
            <w:gridSpan w:val="13"/>
          </w:tcPr>
          <w:p>
            <w:pPr>
              <w:spacing w:after="0"/>
              <w:rPr>
                <w:sz w:val="20"/>
                <w:szCs w:val="20"/>
                <w:color w:val="auto"/>
              </w:rPr>
            </w:pPr>
            <w:r>
              <w:rPr>
                <w:rFonts w:ascii="Calibri" w:cs="Calibri" w:eastAsia="Calibri" w:hAnsi="Calibri"/>
                <w:sz w:val="18"/>
                <w:szCs w:val="18"/>
                <w:color w:val="0000FF"/>
              </w:rPr>
              <w:t>Certfcaton of Principal Executve Ofcer pursuant to Rules 13a-14(a)</w:t>
            </w: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13"/>
          </w:tcPr>
          <w:p>
            <w:pPr>
              <w:spacing w:after="0" w:line="196" w:lineRule="exact"/>
              <w:rPr>
                <w:sz w:val="20"/>
                <w:szCs w:val="20"/>
                <w:color w:val="auto"/>
              </w:rPr>
            </w:pPr>
            <w:r>
              <w:rPr>
                <w:rFonts w:ascii="Calibri" w:cs="Calibri" w:eastAsia="Calibri" w:hAnsi="Calibri"/>
                <w:sz w:val="18"/>
                <w:szCs w:val="18"/>
                <w:color w:val="0000FF"/>
              </w:rPr>
              <w:t>and 15d-14(a) under the Securites Exchange Act of 1934, as adopted</w:t>
            </w: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13"/>
          </w:tcPr>
          <w:p>
            <w:pPr>
              <w:spacing w:after="0" w:line="196" w:lineRule="exact"/>
              <w:rPr>
                <w:sz w:val="20"/>
                <w:szCs w:val="20"/>
                <w:color w:val="auto"/>
              </w:rPr>
            </w:pPr>
            <w:r>
              <w:rPr>
                <w:rFonts w:ascii="Calibri" w:cs="Calibri" w:eastAsia="Calibri" w:hAnsi="Calibri"/>
                <w:sz w:val="18"/>
                <w:szCs w:val="18"/>
                <w:color w:val="0000FF"/>
              </w:rPr>
              <w:t>pursuant to Secton 302 of the Sarbanes-Oxley Act of 2002.</w:t>
            </w: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Calibri" w:cs="Calibri" w:eastAsia="Calibri" w:hAnsi="Calibri"/>
                <w:sz w:val="18"/>
                <w:szCs w:val="18"/>
                <w:color w:val="auto"/>
              </w:rPr>
              <w:t>31.2</w:t>
            </w:r>
          </w:p>
        </w:tc>
        <w:tc>
          <w:tcPr>
            <w:tcW w:w="5140" w:type="dxa"/>
            <w:vAlign w:val="bottom"/>
            <w:gridSpan w:val="13"/>
          </w:tcPr>
          <w:p>
            <w:pPr>
              <w:spacing w:after="0"/>
              <w:rPr>
                <w:sz w:val="20"/>
                <w:szCs w:val="20"/>
                <w:color w:val="auto"/>
              </w:rPr>
            </w:pPr>
            <w:r>
              <w:rPr>
                <w:rFonts w:ascii="Calibri" w:cs="Calibri" w:eastAsia="Calibri" w:hAnsi="Calibri"/>
                <w:sz w:val="18"/>
                <w:szCs w:val="18"/>
                <w:color w:val="0000FF"/>
              </w:rPr>
              <w:t>Certfcaton of Principal Financial Ofcer pursuant to Rules 13a-14(a)</w:t>
            </w: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13"/>
          </w:tcPr>
          <w:p>
            <w:pPr>
              <w:spacing w:after="0" w:line="196" w:lineRule="exact"/>
              <w:rPr>
                <w:sz w:val="20"/>
                <w:szCs w:val="20"/>
                <w:color w:val="auto"/>
              </w:rPr>
            </w:pPr>
            <w:r>
              <w:rPr>
                <w:rFonts w:ascii="Calibri" w:cs="Calibri" w:eastAsia="Calibri" w:hAnsi="Calibri"/>
                <w:sz w:val="18"/>
                <w:szCs w:val="18"/>
                <w:color w:val="0000FF"/>
              </w:rPr>
              <w:t>and 15d-14(a) under the Securites Exchange Act of 1934, as adopted</w:t>
            </w: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13"/>
          </w:tcPr>
          <w:p>
            <w:pPr>
              <w:spacing w:after="0" w:line="196" w:lineRule="exact"/>
              <w:rPr>
                <w:sz w:val="20"/>
                <w:szCs w:val="20"/>
                <w:color w:val="auto"/>
              </w:rPr>
            </w:pPr>
            <w:r>
              <w:rPr>
                <w:rFonts w:ascii="Calibri" w:cs="Calibri" w:eastAsia="Calibri" w:hAnsi="Calibri"/>
                <w:sz w:val="18"/>
                <w:szCs w:val="18"/>
                <w:color w:val="0000FF"/>
              </w:rPr>
              <w:t>pursuant to Secton 302 of the Sarbanes-Oxley Act of 2002.</w:t>
            </w: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Calibri" w:cs="Calibri" w:eastAsia="Calibri" w:hAnsi="Calibri"/>
                <w:sz w:val="18"/>
                <w:szCs w:val="18"/>
                <w:color w:val="auto"/>
              </w:rPr>
              <w:t>32.1*</w:t>
            </w:r>
          </w:p>
        </w:tc>
        <w:tc>
          <w:tcPr>
            <w:tcW w:w="5140" w:type="dxa"/>
            <w:vAlign w:val="bottom"/>
            <w:gridSpan w:val="13"/>
          </w:tcPr>
          <w:p>
            <w:pPr>
              <w:spacing w:after="0"/>
              <w:rPr>
                <w:sz w:val="20"/>
                <w:szCs w:val="20"/>
                <w:color w:val="auto"/>
              </w:rPr>
            </w:pPr>
            <w:r>
              <w:rPr>
                <w:rFonts w:ascii="Calibri" w:cs="Calibri" w:eastAsia="Calibri" w:hAnsi="Calibri"/>
                <w:sz w:val="18"/>
                <w:szCs w:val="18"/>
                <w:color w:val="0000FF"/>
              </w:rPr>
              <w:t>Certfcaton of Principal Executve Ofcer pursuant to 18 U.S.C.</w:t>
            </w: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13"/>
          </w:tcPr>
          <w:p>
            <w:pPr>
              <w:spacing w:after="0" w:line="196" w:lineRule="exact"/>
              <w:rPr>
                <w:sz w:val="20"/>
                <w:szCs w:val="20"/>
                <w:color w:val="auto"/>
              </w:rPr>
            </w:pPr>
            <w:r>
              <w:rPr>
                <w:rFonts w:ascii="Calibri" w:cs="Calibri" w:eastAsia="Calibri" w:hAnsi="Calibri"/>
                <w:sz w:val="18"/>
                <w:szCs w:val="18"/>
                <w:color w:val="0000FF"/>
              </w:rPr>
              <w:t>Secton 1350, as adopted pursuant to Secton 906 of the Sarbanes-</w:t>
            </w: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420" w:type="dxa"/>
            <w:vAlign w:val="bottom"/>
            <w:gridSpan w:val="6"/>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13"/>
          </w:tcPr>
          <w:p>
            <w:pPr>
              <w:spacing w:after="0" w:line="196" w:lineRule="exact"/>
              <w:rPr>
                <w:sz w:val="20"/>
                <w:szCs w:val="20"/>
                <w:color w:val="auto"/>
              </w:rPr>
            </w:pPr>
            <w:r>
              <w:rPr>
                <w:rFonts w:ascii="Calibri" w:cs="Calibri" w:eastAsia="Calibri" w:hAnsi="Calibri"/>
                <w:sz w:val="18"/>
                <w:szCs w:val="18"/>
                <w:color w:val="0000FF"/>
              </w:rPr>
              <w:t>Oxley Act of 2002.</w:t>
            </w: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Calibri" w:cs="Calibri" w:eastAsia="Calibri" w:hAnsi="Calibri"/>
                <w:sz w:val="18"/>
                <w:szCs w:val="18"/>
                <w:color w:val="auto"/>
              </w:rPr>
              <w:t>32.2*</w:t>
            </w:r>
          </w:p>
        </w:tc>
        <w:tc>
          <w:tcPr>
            <w:tcW w:w="5140" w:type="dxa"/>
            <w:vAlign w:val="bottom"/>
            <w:gridSpan w:val="13"/>
          </w:tcPr>
          <w:p>
            <w:pPr>
              <w:spacing w:after="0"/>
              <w:rPr>
                <w:sz w:val="20"/>
                <w:szCs w:val="20"/>
                <w:color w:val="auto"/>
              </w:rPr>
            </w:pPr>
            <w:r>
              <w:rPr>
                <w:rFonts w:ascii="Calibri" w:cs="Calibri" w:eastAsia="Calibri" w:hAnsi="Calibri"/>
                <w:sz w:val="18"/>
                <w:szCs w:val="18"/>
                <w:color w:val="0000FF"/>
              </w:rPr>
              <w:t>Certfcaton of Principal Financial Ofcer pursuant to 18 U.S.C. Secton</w:t>
            </w: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600" w:type="dxa"/>
            <w:vAlign w:val="bottom"/>
            <w:gridSpan w:val="11"/>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gridSpan w:val="13"/>
          </w:tcPr>
          <w:p>
            <w:pPr>
              <w:spacing w:after="0" w:line="196" w:lineRule="exact"/>
              <w:rPr>
                <w:sz w:val="20"/>
                <w:szCs w:val="20"/>
                <w:color w:val="auto"/>
              </w:rPr>
            </w:pPr>
            <w:r>
              <w:rPr>
                <w:rFonts w:ascii="Calibri" w:cs="Calibri" w:eastAsia="Calibri" w:hAnsi="Calibri"/>
                <w:sz w:val="18"/>
                <w:szCs w:val="18"/>
                <w:color w:val="0000FF"/>
                <w:w w:val="99"/>
              </w:rPr>
              <w:t>1350, as adopted pursuant to Secton 906 of the Sarbanes-Oxley Act of</w:t>
            </w: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Calibri" w:cs="Calibri" w:eastAsia="Calibri" w:hAnsi="Calibri"/>
                <w:sz w:val="18"/>
                <w:szCs w:val="18"/>
                <w:color w:val="0000FF"/>
                <w:w w:val="92"/>
              </w:rPr>
              <w:t>2002.</w:t>
            </w: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720" w:type="dxa"/>
            <w:vAlign w:val="bottom"/>
            <w:gridSpan w:val="1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940" w:type="dxa"/>
            <w:vAlign w:val="bottom"/>
          </w:tcPr>
          <w:p>
            <w:pPr>
              <w:spacing w:after="0"/>
              <w:rPr>
                <w:sz w:val="20"/>
                <w:szCs w:val="20"/>
                <w:color w:val="auto"/>
              </w:rPr>
            </w:pPr>
            <w:r>
              <w:rPr>
                <w:rFonts w:ascii="Calibri" w:cs="Calibri" w:eastAsia="Calibri" w:hAnsi="Calibri"/>
                <w:sz w:val="18"/>
                <w:szCs w:val="18"/>
                <w:color w:val="auto"/>
              </w:rPr>
              <w:t>101.INS</w:t>
            </w:r>
          </w:p>
        </w:tc>
        <w:tc>
          <w:tcPr>
            <w:tcW w:w="5140" w:type="dxa"/>
            <w:vAlign w:val="bottom"/>
            <w:gridSpan w:val="13"/>
          </w:tcPr>
          <w:p>
            <w:pPr>
              <w:spacing w:after="0"/>
              <w:rPr>
                <w:sz w:val="20"/>
                <w:szCs w:val="20"/>
                <w:color w:val="auto"/>
              </w:rPr>
            </w:pPr>
            <w:r>
              <w:rPr>
                <w:rFonts w:ascii="Calibri" w:cs="Calibri" w:eastAsia="Calibri" w:hAnsi="Calibri"/>
                <w:sz w:val="18"/>
                <w:szCs w:val="18"/>
                <w:color w:val="auto"/>
              </w:rPr>
              <w:t>Inline XBRL Instance Document- the instance document does not</w:t>
            </w:r>
          </w:p>
        </w:tc>
        <w:tc>
          <w:tcPr>
            <w:tcW w:w="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40" w:type="dxa"/>
            <w:vAlign w:val="bottom"/>
            <w:gridSpan w:val="13"/>
          </w:tcPr>
          <w:p>
            <w:pPr>
              <w:spacing w:after="0" w:line="216" w:lineRule="exact"/>
              <w:rPr>
                <w:sz w:val="20"/>
                <w:szCs w:val="20"/>
                <w:color w:val="auto"/>
              </w:rPr>
            </w:pPr>
            <w:r>
              <w:rPr>
                <w:rFonts w:ascii="Calibri" w:cs="Calibri" w:eastAsia="Calibri" w:hAnsi="Calibri"/>
                <w:sz w:val="18"/>
                <w:szCs w:val="18"/>
                <w:color w:val="auto"/>
              </w:rPr>
              <w:t>appear in the Interactve Data File because its XBRL tags are</w:t>
            </w: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40" w:type="dxa"/>
            <w:vAlign w:val="bottom"/>
            <w:gridSpan w:val="13"/>
          </w:tcPr>
          <w:p>
            <w:pPr>
              <w:spacing w:after="0" w:line="216" w:lineRule="exact"/>
              <w:rPr>
                <w:sz w:val="20"/>
                <w:szCs w:val="20"/>
                <w:color w:val="auto"/>
              </w:rPr>
            </w:pPr>
            <w:r>
              <w:rPr>
                <w:rFonts w:ascii="Calibri" w:cs="Calibri" w:eastAsia="Calibri" w:hAnsi="Calibri"/>
                <w:sz w:val="18"/>
                <w:szCs w:val="18"/>
                <w:color w:val="auto"/>
              </w:rPr>
              <w:t>embedded within the Inline XBRL document.</w:t>
            </w: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 w:type="dxa"/>
            <w:vAlign w:val="bottom"/>
          </w:tcPr>
          <w:p>
            <w:pPr>
              <w:spacing w:after="0"/>
              <w:rPr>
                <w:sz w:val="20"/>
                <w:szCs w:val="20"/>
                <w:color w:val="auto"/>
              </w:rPr>
            </w:pPr>
            <w:r>
              <w:rPr>
                <w:rFonts w:ascii="Calibri" w:cs="Calibri" w:eastAsia="Calibri" w:hAnsi="Calibri"/>
                <w:sz w:val="18"/>
                <w:szCs w:val="18"/>
                <w:color w:val="auto"/>
              </w:rPr>
              <w:t>101.SCH</w:t>
            </w:r>
          </w:p>
        </w:tc>
        <w:tc>
          <w:tcPr>
            <w:tcW w:w="5140" w:type="dxa"/>
            <w:vAlign w:val="bottom"/>
            <w:gridSpan w:val="13"/>
          </w:tcPr>
          <w:p>
            <w:pPr>
              <w:spacing w:after="0"/>
              <w:rPr>
                <w:sz w:val="20"/>
                <w:szCs w:val="20"/>
                <w:color w:val="auto"/>
              </w:rPr>
            </w:pPr>
            <w:r>
              <w:rPr>
                <w:rFonts w:ascii="Calibri" w:cs="Calibri" w:eastAsia="Calibri" w:hAnsi="Calibri"/>
                <w:sz w:val="18"/>
                <w:szCs w:val="18"/>
                <w:color w:val="auto"/>
              </w:rPr>
              <w:t>Inline XBRL Taxonomy Extension Schema With Embedded Linkbase</w:t>
            </w: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40" w:type="dxa"/>
            <w:vAlign w:val="bottom"/>
            <w:gridSpan w:val="13"/>
          </w:tcPr>
          <w:p>
            <w:pPr>
              <w:spacing w:after="0" w:line="216" w:lineRule="exact"/>
              <w:rPr>
                <w:sz w:val="20"/>
                <w:szCs w:val="20"/>
                <w:color w:val="auto"/>
              </w:rPr>
            </w:pPr>
            <w:r>
              <w:rPr>
                <w:rFonts w:ascii="Calibri" w:cs="Calibri" w:eastAsia="Calibri" w:hAnsi="Calibri"/>
                <w:sz w:val="18"/>
                <w:szCs w:val="18"/>
                <w:color w:val="auto"/>
              </w:rPr>
              <w:t>Documents.</w:t>
            </w: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 w:type="dxa"/>
            <w:vAlign w:val="bottom"/>
          </w:tcPr>
          <w:p>
            <w:pPr>
              <w:spacing w:after="0"/>
              <w:rPr>
                <w:sz w:val="20"/>
                <w:szCs w:val="20"/>
                <w:color w:val="auto"/>
              </w:rPr>
            </w:pPr>
            <w:r>
              <w:rPr>
                <w:rFonts w:ascii="Calibri" w:cs="Calibri" w:eastAsia="Calibri" w:hAnsi="Calibri"/>
                <w:sz w:val="18"/>
                <w:szCs w:val="18"/>
                <w:color w:val="auto"/>
              </w:rPr>
              <w:t>104</w:t>
            </w:r>
          </w:p>
        </w:tc>
        <w:tc>
          <w:tcPr>
            <w:tcW w:w="5140" w:type="dxa"/>
            <w:vAlign w:val="bottom"/>
            <w:gridSpan w:val="13"/>
          </w:tcPr>
          <w:p>
            <w:pPr>
              <w:spacing w:after="0"/>
              <w:rPr>
                <w:sz w:val="20"/>
                <w:szCs w:val="20"/>
                <w:color w:val="auto"/>
              </w:rPr>
            </w:pPr>
            <w:r>
              <w:rPr>
                <w:rFonts w:ascii="Calibri" w:cs="Calibri" w:eastAsia="Calibri" w:hAnsi="Calibri"/>
                <w:sz w:val="18"/>
                <w:szCs w:val="18"/>
                <w:color w:val="auto"/>
              </w:rPr>
              <w:t>Cover Page Interactve Data File (Embedded within the Inline XBRL</w:t>
            </w: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40" w:type="dxa"/>
            <w:vAlign w:val="bottom"/>
            <w:gridSpan w:val="13"/>
          </w:tcPr>
          <w:p>
            <w:pPr>
              <w:spacing w:after="0" w:line="216" w:lineRule="exact"/>
              <w:rPr>
                <w:sz w:val="20"/>
                <w:szCs w:val="20"/>
                <w:color w:val="auto"/>
              </w:rPr>
            </w:pPr>
            <w:r>
              <w:rPr>
                <w:rFonts w:ascii="Calibri" w:cs="Calibri" w:eastAsia="Calibri" w:hAnsi="Calibri"/>
                <w:sz w:val="18"/>
                <w:szCs w:val="18"/>
                <w:color w:val="auto"/>
              </w:rPr>
              <w:t>document and included in Exhibit)</w:t>
            </w: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1912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Calibri" w:cs="Calibri" w:eastAsia="Calibri" w:hAnsi="Calibri"/>
          <w:sz w:val="18"/>
          <w:szCs w:val="18"/>
          <w:color w:val="auto"/>
        </w:rPr>
        <w:t># Indicates a management contract or compensatory plan.</w:t>
      </w:r>
    </w:p>
    <w:p>
      <w:pPr>
        <w:spacing w:after="0" w:line="285" w:lineRule="exact"/>
        <w:rPr>
          <w:sz w:val="20"/>
          <w:szCs w:val="20"/>
          <w:color w:val="auto"/>
        </w:rPr>
      </w:pPr>
    </w:p>
    <w:p>
      <w:pPr>
        <w:ind w:firstLine="8"/>
        <w:spacing w:after="0" w:line="258" w:lineRule="auto"/>
        <w:tabs>
          <w:tab w:leader="none" w:pos="147"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The certfcatons furnished in Exhibit 32.1 and Exhibit 32.2 hereto are deemed to accompany this Quarterly Report and will not be deemed “fled” for purposes of Secton 18 of the Securites Exchange Act of 1934, as amended, except to the extent that the registrant specifcally incorporates it by reference.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8" w:name="page49"/>
    <w:bookmarkEnd w:id="48"/>
    <w:p>
      <w:pPr>
        <w:jc w:val="center"/>
        <w:ind w:right="-19"/>
        <w:spacing w:after="0"/>
        <w:rPr>
          <w:sz w:val="20"/>
          <w:szCs w:val="20"/>
          <w:color w:val="auto"/>
        </w:rPr>
      </w:pPr>
      <w:r>
        <w:rPr>
          <w:rFonts w:ascii="Calibri" w:cs="Calibri" w:eastAsia="Calibri" w:hAnsi="Calibri"/>
          <w:sz w:val="18"/>
          <w:szCs w:val="18"/>
          <w:b w:val="1"/>
          <w:bCs w:val="1"/>
          <w:color w:val="auto"/>
        </w:rPr>
        <w:t>SIGNATURES</w:t>
      </w:r>
    </w:p>
    <w:p>
      <w:pPr>
        <w:spacing w:after="0" w:line="21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420" w:type="dxa"/>
            <w:vAlign w:val="bottom"/>
          </w:tcPr>
          <w:p>
            <w:pPr>
              <w:spacing w:after="0"/>
              <w:rPr>
                <w:sz w:val="19"/>
                <w:szCs w:val="19"/>
                <w:color w:val="auto"/>
              </w:rPr>
            </w:pPr>
          </w:p>
        </w:tc>
        <w:tc>
          <w:tcPr>
            <w:tcW w:w="7800" w:type="dxa"/>
            <w:vAlign w:val="bottom"/>
            <w:gridSpan w:val="2"/>
          </w:tcPr>
          <w:p>
            <w:pPr>
              <w:ind w:left="2100"/>
              <w:spacing w:after="0"/>
              <w:rPr>
                <w:sz w:val="20"/>
                <w:szCs w:val="20"/>
                <w:color w:val="auto"/>
              </w:rPr>
            </w:pPr>
            <w:r>
              <w:rPr>
                <w:rFonts w:ascii="Calibri" w:cs="Calibri" w:eastAsia="Calibri" w:hAnsi="Calibri"/>
                <w:sz w:val="18"/>
                <w:szCs w:val="18"/>
                <w:b w:val="1"/>
                <w:bCs w:val="1"/>
                <w:color w:val="auto"/>
              </w:rPr>
              <w:t>CarGurus, Inc.</w:t>
            </w:r>
          </w:p>
        </w:tc>
      </w:tr>
      <w:tr>
        <w:trPr>
          <w:trHeight w:val="527"/>
        </w:trPr>
        <w:tc>
          <w:tcPr>
            <w:tcW w:w="3420" w:type="dxa"/>
            <w:vAlign w:val="bottom"/>
          </w:tcPr>
          <w:p>
            <w:pPr>
              <w:spacing w:after="0"/>
              <w:rPr>
                <w:sz w:val="20"/>
                <w:szCs w:val="20"/>
                <w:color w:val="auto"/>
              </w:rPr>
            </w:pPr>
            <w:r>
              <w:rPr>
                <w:rFonts w:ascii="Calibri" w:cs="Calibri" w:eastAsia="Calibri" w:hAnsi="Calibri"/>
                <w:sz w:val="18"/>
                <w:szCs w:val="18"/>
                <w:color w:val="auto"/>
              </w:rPr>
              <w:t>Date: May 9, 2024</w:t>
            </w:r>
          </w:p>
        </w:tc>
        <w:tc>
          <w:tcPr>
            <w:tcW w:w="2580" w:type="dxa"/>
            <w:vAlign w:val="bottom"/>
          </w:tcPr>
          <w:p>
            <w:pPr>
              <w:ind w:left="2100"/>
              <w:spacing w:after="0"/>
              <w:rPr>
                <w:sz w:val="20"/>
                <w:szCs w:val="20"/>
                <w:color w:val="auto"/>
              </w:rPr>
            </w:pPr>
            <w:r>
              <w:rPr>
                <w:rFonts w:ascii="Calibri" w:cs="Calibri" w:eastAsia="Calibri" w:hAnsi="Calibri"/>
                <w:sz w:val="18"/>
                <w:szCs w:val="18"/>
                <w:color w:val="auto"/>
              </w:rPr>
              <w:t>By:</w:t>
            </w:r>
          </w:p>
        </w:tc>
        <w:tc>
          <w:tcPr>
            <w:tcW w:w="5220" w:type="dxa"/>
            <w:vAlign w:val="bottom"/>
          </w:tcPr>
          <w:p>
            <w:pPr>
              <w:ind w:left="20"/>
              <w:spacing w:after="0"/>
              <w:rPr>
                <w:sz w:val="20"/>
                <w:szCs w:val="20"/>
                <w:color w:val="auto"/>
              </w:rPr>
            </w:pPr>
            <w:r>
              <w:rPr>
                <w:rFonts w:ascii="Calibri" w:cs="Calibri" w:eastAsia="Calibri" w:hAnsi="Calibri"/>
                <w:sz w:val="18"/>
                <w:szCs w:val="18"/>
                <w:color w:val="auto"/>
              </w:rPr>
              <w:t>/s/ Jason Trevisan</w:t>
            </w:r>
          </w:p>
        </w:tc>
      </w:tr>
      <w:tr>
        <w:trPr>
          <w:trHeight w:val="23"/>
        </w:trPr>
        <w:tc>
          <w:tcPr>
            <w:tcW w:w="34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08"/>
        </w:trPr>
        <w:tc>
          <w:tcPr>
            <w:tcW w:w="3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20" w:type="dxa"/>
            <w:vAlign w:val="bottom"/>
          </w:tcPr>
          <w:p>
            <w:pPr>
              <w:ind w:left="20"/>
              <w:spacing w:after="0" w:line="208" w:lineRule="exact"/>
              <w:rPr>
                <w:sz w:val="20"/>
                <w:szCs w:val="20"/>
                <w:color w:val="auto"/>
              </w:rPr>
            </w:pPr>
            <w:r>
              <w:rPr>
                <w:rFonts w:ascii="Calibri" w:cs="Calibri" w:eastAsia="Calibri" w:hAnsi="Calibri"/>
                <w:sz w:val="18"/>
                <w:szCs w:val="18"/>
                <w:color w:val="auto"/>
              </w:rPr>
              <w:t>Jason Trevisan</w:t>
            </w:r>
          </w:p>
        </w:tc>
      </w:tr>
    </w:tbl>
    <w:p>
      <w:pPr>
        <w:ind w:left="6040"/>
        <w:spacing w:after="0" w:line="226" w:lineRule="auto"/>
        <w:rPr>
          <w:sz w:val="20"/>
          <w:szCs w:val="20"/>
          <w:color w:val="auto"/>
        </w:rPr>
      </w:pPr>
      <w:r>
        <w:rPr>
          <w:rFonts w:ascii="Calibri" w:cs="Calibri" w:eastAsia="Calibri" w:hAnsi="Calibri"/>
          <w:sz w:val="18"/>
          <w:szCs w:val="18"/>
          <w:color w:val="auto"/>
        </w:rPr>
        <w:t>Chief Executve Ofcer</w:t>
      </w:r>
    </w:p>
    <w:p>
      <w:pPr>
        <w:ind w:left="6040"/>
        <w:spacing w:after="0" w:line="236" w:lineRule="auto"/>
        <w:rPr>
          <w:sz w:val="20"/>
          <w:szCs w:val="20"/>
          <w:color w:val="auto"/>
        </w:rPr>
      </w:pPr>
      <w:r>
        <w:rPr>
          <w:rFonts w:ascii="Calibri" w:cs="Calibri" w:eastAsia="Calibri" w:hAnsi="Calibri"/>
          <w:sz w:val="18"/>
          <w:szCs w:val="18"/>
          <w:i w:val="1"/>
          <w:iCs w:val="1"/>
          <w:color w:val="auto"/>
        </w:rPr>
        <w:t>(Principal Executve Ofcer)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10.1</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AGREEMENT AND RELEASE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Andrea Eldridge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Andrea:</w:t>
      </w:r>
    </w:p>
    <w:p>
      <w:pPr>
        <w:spacing w:after="0" w:line="20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22"/>
          <w:szCs w:val="22"/>
          <w:color w:val="auto"/>
        </w:rPr>
        <w:t>The purpose of this Separation Agreement (the “Agreement”) is to set forth the terms of your separation of employment from CarGurus, Inc. (“CarGurus” or the “Company”), including the following defined terms:</w:t>
      </w:r>
    </w:p>
    <w:p>
      <w:pPr>
        <w:spacing w:after="0" w:line="158"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this Agreement</w:t>
      </w:r>
      <w:r>
        <w:rPr>
          <w:rFonts w:ascii="Times New Roman" w:cs="Times New Roman" w:eastAsia="Times New Roman" w:hAnsi="Times New Roman"/>
          <w:sz w:val="22"/>
          <w:szCs w:val="22"/>
          <w:color w:val="auto"/>
        </w:rPr>
        <w:t>: February 26, 2024</w:t>
      </w:r>
    </w:p>
    <w:p>
      <w:pPr>
        <w:spacing w:after="0" w:line="14"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April 5, 2024, or your last day of employment with the Company if terminated earlier (such actual date, the “Separation Date”).</w:t>
      </w:r>
    </w:p>
    <w:p>
      <w:pPr>
        <w:spacing w:after="0" w:line="1" w:lineRule="exact"/>
        <w:rPr>
          <w:rFonts w:ascii="Times New Roman" w:cs="Times New Roman" w:eastAsia="Times New Roman" w:hAnsi="Times New Roman"/>
          <w:sz w:val="22"/>
          <w:szCs w:val="22"/>
          <w:color w:val="auto"/>
        </w:rPr>
      </w:pPr>
    </w:p>
    <w:p>
      <w:pPr>
        <w:jc w:val="both"/>
        <w:ind w:left="760" w:hanging="378"/>
        <w:spacing w:after="0" w:line="230" w:lineRule="auto"/>
        <w:tabs>
          <w:tab w:leader="none" w:pos="7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w:t>
      </w:r>
      <w:r>
        <w:rPr>
          <w:rFonts w:ascii="Times New Roman" w:cs="Times New Roman" w:eastAsia="Times New Roman" w:hAnsi="Times New Roman"/>
          <w:sz w:val="22"/>
          <w:szCs w:val="22"/>
          <w:color w:val="auto"/>
        </w:rPr>
        <w:t>: A total gross amount of $258,750, less all applicable federal, state and other employment related deductions, representing an amount equal to nine (9) months of your current base salary (the “Severance Pay”). For the avoidance of doubt, the Severance Pay is inclusive of, and is not offered in addition to, any severance payment contemplated in your Offer Letter with the Company dated January 17, 2020 (the “Offer Letter”).</w:t>
      </w:r>
    </w:p>
    <w:p>
      <w:pPr>
        <w:spacing w:after="0" w:line="2" w:lineRule="exact"/>
        <w:rPr>
          <w:rFonts w:ascii="Times New Roman" w:cs="Times New Roman" w:eastAsia="Times New Roman" w:hAnsi="Times New Roman"/>
          <w:sz w:val="22"/>
          <w:szCs w:val="22"/>
          <w:color w:val="auto"/>
        </w:rPr>
      </w:pPr>
    </w:p>
    <w:p>
      <w:pPr>
        <w:jc w:val="both"/>
        <w:ind w:left="760" w:hanging="378"/>
        <w:spacing w:after="0" w:line="231" w:lineRule="auto"/>
        <w:tabs>
          <w:tab w:leader="none" w:pos="7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Subject to your completion of the appropriate forms, and subject to all the requirements of the Consolidated Omnibus Budget Reconciliation Act of 1985, as amended (“COBRA”), through January 31, 2025 (the Separation Date through this date is the “COBRA subsidy period”), the Company will pay the employer portion of premiums for your participation in the Company’s medical and dental insurance plans through COBRA, to the same extent that such insurance is provided to persons currently employed by the Company (the “Severance Benefits”). The Company will make these payments to the COBRA administrator each month during the COBRA subsidy period while you remain eligible if you do not become eligible for other benefits through new employment, and you will be required to pay the employee portion of premiums plus a 2% administrative fee, also directly to the Company’s COBRA administrator. If you obtain employment that provides medical and/or dental insurance, you agree to promptly notify the Company, and the Company will no longer be obligated to provide payment for the benefit continuation hereunder. You also have the right to continue insurance coverage after this period, subject to the requirements of COBRA, at your own cost.</w:t>
      </w:r>
    </w:p>
    <w:p>
      <w:pPr>
        <w:spacing w:after="0" w:line="182"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of Agreement</w:t>
      </w:r>
      <w:r>
        <w:rPr>
          <w:rFonts w:ascii="Times New Roman" w:cs="Times New Roman" w:eastAsia="Times New Roman" w:hAnsi="Times New Roman"/>
          <w:sz w:val="22"/>
          <w:szCs w:val="22"/>
          <w:color w:val="auto"/>
        </w:rPr>
        <w:t>. To accept this Agreement, you must sign and return the Agreement within three (3)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of the date of this Agreement. This Agreement shall be effective and binding on all parties on the date that the Agreement is executed by both you and the Company (the “Effective Date”).</w:t>
      </w:r>
    </w:p>
    <w:p>
      <w:pPr>
        <w:spacing w:after="0" w:line="167"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018"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 Your employment with the Company will terminate on the Separation Date.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 you shall have no authority to represent yourself as an employee or agent of the Company. On the Separation Date, the Company shall pay your accrued but unpaid base salary and any accrued but unused vacation through the Separation Date. You acknowledge that from and after the Separation Date, you shall have no authority to and shall not represent yourself as an employee or agent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0" w:name="page51"/>
    <w:bookmarkEnd w:id="50"/>
    <w:p>
      <w:pPr>
        <w:spacing w:after="0" w:line="181" w:lineRule="exact"/>
        <w:rPr>
          <w:sz w:val="20"/>
          <w:szCs w:val="20"/>
          <w:color w:val="auto"/>
        </w:rPr>
      </w:pPr>
    </w:p>
    <w:p>
      <w:pPr>
        <w:jc w:val="both"/>
        <w:ind w:firstLine="757"/>
        <w:spacing w:after="0" w:line="237" w:lineRule="auto"/>
        <w:tabs>
          <w:tab w:leader="none" w:pos="1018"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Transition Period</w:t>
      </w:r>
      <w:r>
        <w:rPr>
          <w:rFonts w:ascii="Times New Roman" w:cs="Times New Roman" w:eastAsia="Times New Roman" w:hAnsi="Times New Roman"/>
          <w:sz w:val="22"/>
          <w:szCs w:val="22"/>
          <w:color w:val="auto"/>
        </w:rPr>
        <w:t>. From the date you sign this Agreement through the Separation Date (the “Transition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agree to continue to perform your duties as a full-time employee of the Company and to comply with all CarGurus policies and procedures. During the Transition Period, you will be paid your usual and customary wages and remain eligible to participate in the benefits generally available to employees of the Company. Further, during the Transition Period, you agree to (i) remain an employee with the Company in good standing, and (ii) transition any of your responsibility areas and related activities, contacts, and action items to the appropriate CarGurus team members (collectively, the Transition Duties”).</w:t>
      </w:r>
    </w:p>
    <w:p>
      <w:pPr>
        <w:spacing w:after="0" w:line="175"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018"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Package</w:t>
      </w:r>
      <w:r>
        <w:rPr>
          <w:rFonts w:ascii="Times New Roman" w:cs="Times New Roman" w:eastAsia="Times New Roman" w:hAnsi="Times New Roman"/>
          <w:sz w:val="22"/>
          <w:szCs w:val="22"/>
          <w:color w:val="auto"/>
        </w:rPr>
        <w:t>. In consideration of the mutual covenants set forth in this Agreement and provided that you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accepted this Agreement and complied with its terms and conditions, including, but not limited to, the completion of the Transition Duties and your execution and non-revocation of a post-employment release of claims on the Separation Date (the “Supplemental Release,”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the Company agrees to provide you with the following (together, the “Severance Package”):</w:t>
      </w:r>
    </w:p>
    <w:p>
      <w:pPr>
        <w:spacing w:after="0" w:line="180" w:lineRule="exact"/>
        <w:rPr>
          <w:rFonts w:ascii="Times New Roman" w:cs="Times New Roman" w:eastAsia="Times New Roman" w:hAnsi="Times New Roman"/>
          <w:sz w:val="22"/>
          <w:szCs w:val="22"/>
          <w:b w:val="1"/>
          <w:bCs w:val="1"/>
          <w:color w:val="auto"/>
        </w:rPr>
      </w:pPr>
    </w:p>
    <w:p>
      <w:pPr>
        <w:ind w:right="20" w:firstLine="1505"/>
        <w:spacing w:after="0" w:line="258" w:lineRule="auto"/>
        <w:tabs>
          <w:tab w:leader="none" w:pos="203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will pay you the Severance Pay. The Severance Pay will be paid as a one-time, lump sum payment on the first practicable payroll date following the Supplemental Release Effective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will accelerate the vesting of those restricted stock units (“RSUs”) and those shares subject to the nonqualified stock option (“NQSO”) granted to you during your employment that would have vested during the nine (9) month period following the Separation Date (equal to a total of 34,364 RSUs (the “Accelerated RSUs”) and a total of 6,161 shares subject to the NQSO (the “Accelerated NQSO Shares”)) had your employment continued during that time, as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(the “Acceleration of Vesting”). The Acceleration of Vesting will occur on the Supplemental Release Effective Date.</w:t>
      </w:r>
    </w:p>
    <w:p>
      <w:pPr>
        <w:spacing w:after="0" w:line="181"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issue to you one (1) share of Class A common stock of the Company for each Accelerated RSU, within thirty (30) days following the Supplemental Release Effective Date, in accordance with the terms of the applicable Company plan and the applicable RSU agreement. All remaining unvested RSUs shall be forfeited as of the Separation Date without any consideration. The NQSO with respect to the Accelerated NQSO Shares shall be exercisable only in accordance with the terms and conditions of the applicable Company plan and the applicable stock option grant agreement, including those provisions regarding the time in which you must exercise vested options, except that, notwithstanding anything to the contrary in such plan or agreement, the Accelerated NQSO Shares subject to the NQSO shall be deemed outstanding following the Separation Date for purposes of the accelerated vesting provisions of this Section 4. For the avoidance of doubt, the vested portion of the NQSO, including the Accelerated NQSO Shares subject to the NQSO, shall remain outstanding until the expiration of the 90-day period following the Separation Date, in accordance with the applicable stock option grant agreement, and shall automatically terminate on the last day of such 90-day period.</w:t>
      </w:r>
    </w:p>
    <w:p>
      <w:pPr>
        <w:spacing w:after="0" w:line="187"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provide you with the Severance Benefits. If you do not accept and allow this Agreement to become effective, then subject to your completion of the appropriate forms, and subject to all the requirements of COBRA, you will be entitled to continue your participation, if any, in the Company’s medical and dental insurance plans, to the same extent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that such insurance is provided to persons then employed by the Company and made available to you prior to the date hereof, in accordance with applicable law, at your own cost. In all cases, the “qualifying event” under COBRA shall be deemed to have occurred on the Separation Date.</w:t>
      </w:r>
    </w:p>
    <w:p>
      <w:pPr>
        <w:spacing w:after="0" w:line="173" w:lineRule="exact"/>
        <w:rPr>
          <w:sz w:val="20"/>
          <w:szCs w:val="20"/>
          <w:color w:val="auto"/>
        </w:rPr>
      </w:pPr>
    </w:p>
    <w:p>
      <w:pPr>
        <w:ind w:left="2040" w:hanging="535"/>
        <w:spacing w:after="0"/>
        <w:tabs>
          <w:tab w:leader="none" w:pos="2040"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Severance Package is subject to tax withholdings and any other authorized deductions (as applicable).</w:t>
      </w:r>
    </w:p>
    <w:p>
      <w:pPr>
        <w:spacing w:after="0" w:line="213" w:lineRule="exact"/>
        <w:rPr>
          <w:rFonts w:ascii="Times New Roman" w:cs="Times New Roman" w:eastAsia="Times New Roman" w:hAnsi="Times New Roman"/>
          <w:sz w:val="21"/>
          <w:szCs w:val="21"/>
          <w:color w:val="auto"/>
        </w:rPr>
      </w:pPr>
    </w:p>
    <w:p>
      <w:pPr>
        <w:jc w:val="both"/>
        <w:ind w:firstLine="757"/>
        <w:spacing w:after="0" w:line="233" w:lineRule="auto"/>
        <w:tabs>
          <w:tab w:leader="none" w:pos="1018"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Additional Amounts Owing</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acknowledge and agree that the Severance Package is not otherwise due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owing to you under any other agreement (including, but not limited to, the Offer Letter), obligation or any Company policy or practice. The Severance Package is not intended to be, and shall not be construed to constitute, a severance plan, and shall confer no benefit on anyone other than the parties specified herein. You further acknowledge that except for (i) the specific financial consideration set forth in this Agreement, (ii) any unpaid regular wages earned through the Separation Date, (iii) any accrued but unused vacation earned through the Separation Date, (iv) any business expenses incurred by you on behalf of the Company for which you submit a timely reimbursement claim in accordance with Company policy on or prior to the Separation Date (which will be paid as soon as practicable thereafter), (v) the Company’s obligations for indemnification pursuant to Company charter documents, Bylaws, or an indemnification agreement with the Company, if any, or applicable directors’ and officers’ liability insurance, and (vi) any vested amount owing to you pursuant to any 401(k) savings plan of the Company, you are not and shall not in the future be entitled to any other compensation, benefit or reimbursement including, without limitation, other wages, commissions, bonuses, incentives, vacation pay, holiday pay, overtime pay, sabbatical pay, any form of equity, any equity vesting or acceleration or any other form of compensation or benefit.</w:t>
      </w:r>
    </w:p>
    <w:p>
      <w:pPr>
        <w:spacing w:after="0" w:line="182"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018"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Equity Grants</w:t>
      </w:r>
      <w:r>
        <w:rPr>
          <w:rFonts w:ascii="Times New Roman" w:cs="Times New Roman" w:eastAsia="Times New Roman" w:hAnsi="Times New Roman"/>
          <w:sz w:val="22"/>
          <w:szCs w:val="22"/>
          <w:color w:val="auto"/>
        </w:rPr>
        <w:t>. Except for the Acceleration of Vesting that is included with the Severance Package and specified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if you have received a grant of equity from the Company, you acknowledge and agree that from and after the Separation Date, all vesting of any equity grant under any equity plan (of whatever name or kind, including, without limitation, any stock option plan or plan relating to RSUs) that you participated in or were eligible to participate in during your employment with the Company will terminate. If you have received a grant of stock options from the Company, you further acknowledge and agree that you are entitled to exercise only those stock options that have vested as of the Separation Date (including in connection with the Acceleration of Vesting hereunder), and only in accordance with the terms and conditions of the applicable Company plan, including those provisions regarding the time in which you must exercise vested options.</w:t>
      </w:r>
    </w:p>
    <w:p>
      <w:pPr>
        <w:spacing w:after="0" w:line="178" w:lineRule="exact"/>
        <w:rPr>
          <w:rFonts w:ascii="Times New Roman" w:cs="Times New Roman" w:eastAsia="Times New Roman" w:hAnsi="Times New Roman"/>
          <w:sz w:val="22"/>
          <w:szCs w:val="22"/>
          <w:b w:val="1"/>
          <w:bCs w:val="1"/>
          <w:color w:val="auto"/>
        </w:rPr>
      </w:pPr>
    </w:p>
    <w:p>
      <w:pPr>
        <w:ind w:firstLine="757"/>
        <w:spacing w:after="0" w:line="262" w:lineRule="auto"/>
        <w:tabs>
          <w:tab w:leader="none" w:pos="1018"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 Acknowledgements and Other Obligations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and the Company expressly acknowledge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to the following:</w:t>
      </w:r>
    </w:p>
    <w:p>
      <w:pPr>
        <w:spacing w:after="0" w:line="153"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You will keep all confidential information and trade secrets of the Company confidential, and not use or disclose any of the same, and you will abide by any and all common law and statutory obligations relating to protection and non-disclosure of the Company’s trade secrets and confidential or proprietary documents and information. In addition, you acknowledge that the Company is providing you with notice of immunity under the Defend Trade Secrets Act of 2016, attached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85" w:lineRule="exact"/>
        <w:rPr>
          <w:sz w:val="20"/>
          <w:szCs w:val="20"/>
          <w:color w:val="auto"/>
        </w:rPr>
      </w:pPr>
    </w:p>
    <w:p>
      <w:pPr>
        <w:jc w:val="both"/>
        <w:ind w:firstLine="1505"/>
        <w:spacing w:after="0" w:line="235" w:lineRule="auto"/>
        <w:tabs>
          <w:tab w:leader="none" w:pos="203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may be set forth in this Agreement, you acknowledge that you remain obligated under, and agree that you will comply with, the provisions of any agreement between you and the Company that protects the confidentiality of the Company’s information and imposes certain restrictions and obligations on you after your employment, including on your ability to use or share confidential information, to solicit employees or customers of the Company or to compete with the Company (each such agreement, collectively, the “NDA”), each of which is incorporated herein by reference. You specifically acknowledge and agree that you have received and are now receiving consideration for any restrictive covenants included in the NDA, and you expressly reaffirm these restrictive covenants.</w:t>
      </w:r>
    </w:p>
    <w:p>
      <w:pPr>
        <w:spacing w:after="0" w:line="18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shall keep confidential all information relating to the negotiations associated with this Agreement, and shall not disclose such information to any person or entity (other than an immediate family member, legal counsel or financial advisor, provided that you instruct any such individual to whom disclosure is made about these obligations and such individual agrees to be bound by these confidentiality obligations), except as required by law.</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Transition Period, you may continue using any Company property (including computer equipment) and Company information for the sole and exclusive purpose of performing the Transition Duties. Within five (5) business days after request by the Company, you will return to the Company in the manner specified by the Company all Company property and equipment and all Company documents, code, information and data in any form (including financial plans, management reports, customer lists and other documents and information), in each case without deleting or otherwise damaging or altering the same and without retaining any copies. On or prior to the Separation Date, you will provide the Company with all information necessary to log in to, assume control of and access any database, system, account or application over which you had control or to which you had access during your employment (including username, password, PIN information and any other access credentials for any devices or accounts). From and after the Separation Date, unless specifically requested by the Company in writing, you will no longer access any such database, system, account or application.</w:t>
      </w:r>
    </w:p>
    <w:p>
      <w:pPr>
        <w:spacing w:after="0" w:line="179"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not make any statements that are professionally or personally disparaging about, or adverse to, the interests of the Company (including its officers, directors and employees) including, but not limited to, any statements that disparage any person, product, service, financial condition, capability or any other aspect of the business of the Company, and you will not engage in any conduct that could reasonably be expected to harm professionally or personally the reputation of the Company (including its officers, directors and employees).</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represent to the Company that you have not engaged in any fraudulent or unlawful conduct relating to the Company or your employment, that you have complied with all contractual obligations with the Company, that you have complied with Company policies and procedures and that you have fully disclosed to the Company all material information relating to the performance of your employment.</w:t>
      </w:r>
    </w:p>
    <w:p>
      <w:pPr>
        <w:spacing w:after="0" w:line="176"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Cooperation</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 the Separation Date and thereafter, you will make yourself available to the Company,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notice, to assist in any matter relating to the services performed by you during your employment with the Company including, but not limited to,</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transitioning your duties to others at the Company and providing assistance in any legal or regulatory investigation, matter or Claim (as defined below).</w:t>
      </w:r>
    </w:p>
    <w:p>
      <w:pPr>
        <w:spacing w:after="0" w:line="154" w:lineRule="exact"/>
        <w:rPr>
          <w:sz w:val="20"/>
          <w:szCs w:val="20"/>
          <w:color w:val="auto"/>
        </w:rPr>
      </w:pPr>
    </w:p>
    <w:p>
      <w:pPr>
        <w:jc w:val="both"/>
        <w:ind w:firstLine="757"/>
        <w:spacing w:after="0" w:line="238" w:lineRule="auto"/>
        <w:tabs>
          <w:tab w:leader="none" w:pos="1018"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Release of Claims</w:t>
      </w:r>
      <w:r>
        <w:rPr>
          <w:rFonts w:ascii="Times New Roman" w:cs="Times New Roman" w:eastAsia="Times New Roman" w:hAnsi="Times New Roman"/>
          <w:sz w:val="22"/>
          <w:szCs w:val="22"/>
          <w:color w:val="auto"/>
        </w:rPr>
        <w:t>. You hereby acknowledge and agree that by signing this Agreement and accepting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to be provided to you, including but not limited to the Severance Package, you (on behalf of yourself and your representatives, agents, estate, heirs, attorneys, insurers, spouse, executors, administrators, successors and assigns) are waiving and releasing your right to assert any Claim, and you hereby release the Company from any Claim, arising from acts, omissions, facts or circumstances that occurred on or before the Effective Date.</w:t>
      </w:r>
    </w:p>
    <w:p>
      <w:pPr>
        <w:spacing w:after="0" w:line="1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You agree that your waiver and release bars any form of legal claim, lawsuit, charge, complaint or any other form of action against the Company (each, a “Claim”) seeking money or any other form of relief, including without limitation equitable relief (whether declaratory, injunctive or otherwise), damages or any other form of monetary recovery whatsoever (including without limitation back pay, front pay, compensatory damages, overtime pay, emotional distress, punitive damages, attorneys’ fees and any other costs or expenses). You understand that there could be unknown or unanticipated Claims resulting from your employment with the Company and the termination of your employment, and you agree that such Claims are included in this waiver and release. You specifically waive and release the Company from any Claims arising from or related to your employment relationship with the Company or the termination of your employment, including without limitation Claims under any statute, ordinance, regulation, executive order, common law, constitution and any other source of law of any state, country and/or locality, including but not limited to the United States, the Commonwealth of Massachusetts, the state in which you reside, and/or any other state or locality where you worked for the Company (collectively “Law” or “Laws”).</w:t>
      </w:r>
    </w:p>
    <w:p>
      <w:pPr>
        <w:spacing w:after="0" w:line="18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Without limiting the foregoing waiver and release, except for Claims resulting from the failure of the Company to perform its obligations under this Agreement or your rights to indemnification pursuant to Company charter documents, Bylaws, or an indemnification agreement with the Company, and applicable directors’ and officers’ liability insurance, you specifically waive and release the Company from:</w:t>
      </w:r>
    </w:p>
    <w:p>
      <w:pPr>
        <w:spacing w:after="0" w:line="180" w:lineRule="exact"/>
        <w:rPr>
          <w:sz w:val="20"/>
          <w:szCs w:val="20"/>
          <w:color w:val="auto"/>
        </w:rPr>
      </w:pPr>
    </w:p>
    <w:p>
      <w:pPr>
        <w:jc w:val="both"/>
        <w:ind w:firstLine="1505"/>
        <w:spacing w:after="0" w:line="233" w:lineRule="auto"/>
        <w:tabs>
          <w:tab w:leader="none" w:pos="203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under any Law concerning equal pay, civil rights, discrimination, harassment, retaliation and fair employment practices, including the Massachusetts Sexual Harassment Law (M.G.L. c. 214, § 1C), the Massachusetts Equal Pay Act (M.G.L. c. 149, § 105A), the Massachusetts Equal Rights Act (M.G.L. c. 93, §§ 102, 103), the Massachusetts Fair Employment Practices Statute (M.G.L. c. 151B §§ 1 et seq.), the Massachusetts Civil Rights Act (M.G.L. c. 12 §§ 11H &amp; 11I), the Massachusetts Privacy Statute (M.G.L. c. 214 § 1B), the Massachusetts Sexual Harassment Statute (M.G.L. c. 214 § 1C), the Civil Rights Acts of 1866 and 1871 and Title VII of the Civil Rights Act of 1964 and the Civil Rights Act of 1991 (42 U.S.C. § 2000e et seq.), 42 U.S.C. § 1981, the Age Discrimination in Employment Act and Older Workers Benefit Protection Act (29 U.S.C. § 621 et seq.), the Equal Pay Act (29 U.S.C. § 201 et seq.), the Genetic Information Non-Discrimination Act (42 U.S.C. §2000ff et seq.), the Uniformed Services Employment and Reemployment Rights Act of 1994 (38 U.S.C. § 4301 et seq.), the Lily Ledbetter Fair Pay Act, the Americans with Disabilities Act of 1990 (42 U.S.C. § 12101 et seq.), the Rehabilitation Act of 1973, the Americans with Disabilities Act (42 U.S.C. § 12101 et seq.) and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any similar Massachusetts or other local, state or federal statute, Law or ordinance, each as they may have been amended through the Effective Date.</w:t>
      </w:r>
    </w:p>
    <w:p>
      <w:pPr>
        <w:spacing w:after="0" w:line="158" w:lineRule="exact"/>
        <w:rPr>
          <w:sz w:val="20"/>
          <w:szCs w:val="20"/>
          <w:color w:val="auto"/>
        </w:rPr>
      </w:pPr>
    </w:p>
    <w:p>
      <w:pPr>
        <w:jc w:val="both"/>
        <w:ind w:firstLine="1505"/>
        <w:spacing w:after="0" w:line="243" w:lineRule="auto"/>
        <w:tabs>
          <w:tab w:leader="none" w:pos="2036"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Claims under any Law relating to wages, hours, overtime, whistleblowing, leaves of absence or any other terms and conditions of employment, including but not limited to the Massachusetts Payment of Wages Law (M.G.L. c. 149, §§ 148, 150), Massachusetts General Laws Chapter 149 in its entirety, Massachusetts General Laws Chapter 151 in its entirety (including but not limited to the minimum wage and overtime provisions), the Massachusetts Wage Act (M.G.L. c. 149 §§ 148 et. seq.</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the Massachusetts Minimum Fair Wages Act (M.G.L. c. 151 §§ 1 et. seq.), the Massachusetts Equal Pay Act (M.G.L. c. 149 § 105A), the Family and Medical Leave Act of 1993 (29 U.S.C. § 2601 et seq.), the Family and Medical Leave Act (29 U.S.C. §2601 et seq.), the Employee Retirement Income Security Act of 1974 (29 U.S.C. § 1000 et seq.), the federal Consolidated Omnibus Budget Reconciliation Act (29 U.S.C. § 1161 et seq.), the Families First Coronavirus Response Act (Public Law No: 116-127, as amended and corrected), the Coronavirus Aid, Relief, and Economic Security Act (Public Law No: 116-136) and all other local, state or federal Laws, regulations or ordinances relating to personal, sick, medical and/or family leave or benefits, the Sarbanes-Oxley Act (including 18 U.S.C. § 1514A), the Dodd-Frank Act (12 U.S.C. § 5301 et seq.), and any similar state Law, the Occupational Safety and Health Act (29 U.S.C. § 651 et seq.), the Fair Labor Standards Act (29 U.S.C.</w:t>
      </w:r>
    </w:p>
    <w:p>
      <w:pPr>
        <w:spacing w:after="0" w:line="5" w:lineRule="exact"/>
        <w:rPr>
          <w:rFonts w:ascii="Times New Roman" w:cs="Times New Roman" w:eastAsia="Times New Roman" w:hAnsi="Times New Roman"/>
          <w:sz w:val="21"/>
          <w:szCs w:val="21"/>
          <w:color w:val="auto"/>
        </w:rPr>
      </w:pPr>
    </w:p>
    <w:p>
      <w:pPr>
        <w:jc w:val="both"/>
        <w:ind w:firstLine="8"/>
        <w:spacing w:after="0" w:line="232" w:lineRule="auto"/>
        <w:tabs>
          <w:tab w:leader="none" w:pos="17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201 et seq.), the National Labor Relations Act (29 U.S.C. § 151 et seq.), the Worker Adjustment and Retraining Notification Act (29 U.S.C. § 2101 et seq.) and any similar Massachusetts or other local, state or federal statute, Law or ordinance, each as they may have been amended through the Effective Date. </w:t>
      </w:r>
      <w:r>
        <w:rPr>
          <w:rFonts w:ascii="Times New Roman" w:cs="Times New Roman" w:eastAsia="Times New Roman" w:hAnsi="Times New Roman"/>
          <w:sz w:val="22"/>
          <w:szCs w:val="22"/>
          <w:b w:val="1"/>
          <w:bCs w:val="1"/>
          <w:color w:val="auto"/>
        </w:rPr>
        <w:t>Please note that this section specifically includes a waiver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release of Claims that you have or may have regarding payments or amounts covered by the Massachusetts Wage Act and the Massachusetts Minimum Fair Wages Act (including, for instance, hourly wages, salary, overtime, minimum wages, commissions, vacation pay, holiday pay, sick leave pay, dismissal pay, bonus pay or severance pay), as well as Claims for retaliation under the Massachusetts Wage Act and the Massachusetts Minimum Fair Wages Act.</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under any local, state or federal common law theory including, without limitation, any Claim for wrongful discharge, unjust enrichment, breach of a covenant of good faith and fair dealing, violating of public policy, defamation, interference with contractual relations, intentional or negligent infliction of emotional distress, invasion of privacy, misrepresentation, deceit, fraud or negligence, breach of contract, implied contract, promissory estoppel, quantum meruit, any Claim to attorney’s fees under any applicable statute or common law theory of recovery or any Claim sounding in tort.</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under any Massachusetts (or any other state) or federal statute, regulation or executive order (as amended through the Effective Date) relating to whistleblower protections, violation of public policy or any other form of retaliation or wrongful termination, including but not limited to the Sarbanes-Oxley Act of 2002 and any similar Massachusetts or other state or federal statute.</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arising under any Company compensation, employment, benefit, stock, stock option, incentive compensation, bonus, carried interest, restricted stock and/or equity plan, program, policy, practice or agreement, including, without limitation, your Offer Letter with the Company.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85" w:lineRule="exact"/>
        <w:rPr>
          <w:sz w:val="20"/>
          <w:szCs w:val="20"/>
          <w:color w:val="auto"/>
        </w:rPr>
      </w:pPr>
    </w:p>
    <w:p>
      <w:pPr>
        <w:ind w:left="2360" w:hanging="855"/>
        <w:spacing w:after="0"/>
        <w:tabs>
          <w:tab w:leader="none" w:pos="23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arising under any other Law or constitution.</w:t>
      </w:r>
    </w:p>
    <w:p>
      <w:pPr>
        <w:spacing w:after="0" w:line="2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You acknowledge and agree that your receipt of the Severance Package is contingent upon your providing the waivers and releases in this Agreement, and not revoking this Agreement or the Supplemental Release.</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Nothing in this Agreement prohibits or prevents you from filing a charge with or participating, testifying or assisting in any investigation, hearing, whistleblower proceeding or other proceeding before any federal, state, or local government agency (e.g., U.S. Equal Employment Opportunity Commission, National Labor Relations Board, U.S Securities and Exchange Commission) (each, a “Government Agency”), nor does anything in this Agreement preclude, prohibit or otherwise limit, in any way, your rights and abilities to contact, communicate with, report matters to or otherwise participate in any whistleblower program administered by any such Government Agencies. You further understands this Agreement does not limit your or the Company’s ability to communicate with any Government Agency or otherwise participate in any investigation or proceeding that may be conducted by any Government Agency in connection with reporting a possible securities Law violation, or other violation of Law, without notice to the Company. You acknowledge and agree that by signing this Agreement, however, you waive your right to, and shall not seek or accept, any monetary or other relief of any nature whatsoever in connection with any such charges, investigations or proceedings. Further, nothing in this Agreement shall limit the Company’s right to seek immediate dismissal of such charge or complaint on the basis that your signing of this Agreement constitutes a full release of any individual rights under applicable Law, or the Company’s right to seek restitution or other legal remedies of the economic benefits provided to you under this Agreement in the event that you successfully challenge the validity of this release and prevail in any claim brought before a Government Agency.</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2"/>
          <w:szCs w:val="22"/>
          <w:b w:val="1"/>
          <w:bCs w:val="1"/>
          <w:u w:val="single" w:color="auto"/>
          <w:color w:val="auto"/>
        </w:rPr>
        <w:t>Consequences of Breach or Revocation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addition to any other remedies set forth in this Agreement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available to the Company in law or equity, a breach by you of any of your obligations set forth in this Agreement shall entitle the Company to cease providing any Severance Pay or other portion of the Severance Package and to recover any Severance Pay or other portion of the Severance Package already provided to you. Notwithstanding any such breach, your release and waiver set forth in this Agreement will remain in full force and effect to the maximum extent permitted by law.</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22"/>
          <w:szCs w:val="22"/>
          <w:b w:val="1"/>
          <w:bCs w:val="1"/>
          <w:u w:val="single" w:color="auto"/>
          <w:color w:val="auto"/>
        </w:rPr>
        <w:t>Unemployment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seek unemployment benefits as a result of the termination of your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Company. Decisions regarding unemployment eligibility, including whether the Severance Package affects the amount of eligibility, if any, are made by the applicable unemployment agency, not by the Company. The Company agrees to provide any necessary documents to enable you to seek such unemployment benefits promptly after a request in writing by an applicable state unemployment agency. Nothing in this Section 11 shall be construed to require the Company to make, and the Company will not make, untruthful statements to an agency in connection with any claim for unemployment benefits.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22"/>
          <w:szCs w:val="22"/>
          <w:b w:val="1"/>
          <w:bCs w:val="1"/>
          <w:u w:val="single" w:color="auto"/>
          <w:color w:val="auto"/>
        </w:rPr>
        <w:t>Governing Provisions.</w:t>
      </w:r>
    </w:p>
    <w:p>
      <w:pPr>
        <w:spacing w:after="0" w:line="210" w:lineRule="exact"/>
        <w:rPr>
          <w:sz w:val="20"/>
          <w:szCs w:val="20"/>
          <w:color w:val="auto"/>
        </w:rPr>
      </w:pPr>
    </w:p>
    <w:p>
      <w:pPr>
        <w:ind w:firstLine="1505"/>
        <w:spacing w:after="0" w:line="258" w:lineRule="auto"/>
        <w:tabs>
          <w:tab w:leader="none" w:pos="203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expressly provided in this Agreement and specifically your continuing obligations under the NDA, this Agreement (including </w:t>
      </w:r>
      <w:r>
        <w:rPr>
          <w:rFonts w:ascii="Times New Roman" w:cs="Times New Roman" w:eastAsia="Times New Roman" w:hAnsi="Times New Roman"/>
          <w:sz w:val="22"/>
          <w:szCs w:val="22"/>
          <w:u w:val="single" w:color="auto"/>
          <w:color w:val="auto"/>
        </w:rPr>
        <w:t>Exhibits A, B, and C</w:t>
      </w:r>
      <w:r>
        <w:rPr>
          <w:rFonts w:ascii="Times New Roman" w:cs="Times New Roman" w:eastAsia="Times New Roman" w:hAnsi="Times New Roman"/>
          <w:sz w:val="22"/>
          <w:szCs w:val="22"/>
          <w:color w:val="auto"/>
        </w:rPr>
        <w: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supersedes any prior oral or written agreement, including, but not limited to, your Offer Letter, and sets forth the entire agreement between you and the Company. No variations or modifications to this Agreement shall be valid unless reduced to writing and signed by the parties to this Agreement.</w:t>
      </w:r>
    </w:p>
    <w:p>
      <w:pPr>
        <w:spacing w:after="0" w:line="173" w:lineRule="exact"/>
        <w:rPr>
          <w:sz w:val="20"/>
          <w:szCs w:val="20"/>
          <w:color w:val="auto"/>
        </w:rPr>
      </w:pPr>
    </w:p>
    <w:p>
      <w:pPr>
        <w:jc w:val="both"/>
        <w:ind w:firstLine="1505"/>
        <w:spacing w:after="0" w:line="235" w:lineRule="auto"/>
        <w:tabs>
          <w:tab w:leader="none" w:pos="20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interpretation and performance of this Agreement shall be governed by, and construed in accordance with, the internal laws of the Commonwealth of Massachusetts, or if required by the laws of the state in which you reside, the laws of such state, without giving effect to conflict of law principles. Any action, demand, claim or counterclaim relating to the terms and provisions of this Agreement, or to its breach, shall be commenced in Massachusetts in a court of competent jurisdiction, and venue for such actions shall lie exclusively in Massachusetts. To the fullest extent permitted by law, any action, demand, claim or counterclaim relating to this Agreement shall be resolved by a judge alone, and both parties hereby waive the right to a trial before a civil jury.</w:t>
      </w:r>
    </w:p>
    <w:p>
      <w:pPr>
        <w:spacing w:after="0" w:line="183"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this Agreement are severable, and if for any reason any part hereof shall be found to be unenforceable, the remaining terms and conditions shall be enforced in full.</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inure to the benefit of the Company and any of its successors and assigns and shall be enforceable against your heirs, executors and assigns.</w:t>
      </w:r>
    </w:p>
    <w:p>
      <w:pPr>
        <w:spacing w:after="0" w:line="158"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Company’s obligations set forth in Section 4 of this Agreement, which shall be the obligations solely of CarGurus, Inc., wherever the term the Company is used in this Agreement, it shall include CarGurus, Inc. and any and all entities corporately related to CarGurus, Inc. (including but not limited to any parents, divisions, affiliates and subsidiaries), and its and their respective partners, officers, directors, employees, agents, representatives, successors, predecessors and assigns. The parties agree that all of such foregoing entities and persons are intended third party beneficiaries of this Agreement.</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advises you to consult with legal counsel for the purpose of reviewing the terms of this Agreement. By executing this Agreement, you are acknowledging that you have been afforded sufficient time to understand the terms and effects of this Agreement and to consult with legal counsel, that your agreements and obligations hereunder are made voluntarily, knowingly and without duress, and that neither the Company nor any of its employees, agents or representatives has made any representations to you inconsistent with the provisions of this Agreement.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immediately follows</w:t>
      </w:r>
      <w:r>
        <w:rPr>
          <w:rFonts w:ascii="Times New Roman" w:cs="Times New Roman" w:eastAsia="Times New Roman" w:hAnsi="Times New Roman"/>
          <w:sz w:val="22"/>
          <w:szCs w:val="22"/>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82" w:lineRule="auto"/>
        <w:rPr>
          <w:sz w:val="20"/>
          <w:szCs w:val="20"/>
          <w:color w:val="auto"/>
        </w:rPr>
      </w:pPr>
      <w:r>
        <w:rPr>
          <w:rFonts w:ascii="Times New Roman" w:cs="Times New Roman" w:eastAsia="Times New Roman" w:hAnsi="Times New Roman"/>
          <w:sz w:val="21"/>
          <w:szCs w:val="21"/>
          <w:color w:val="auto"/>
        </w:rPr>
        <w:t>To accept the terms of this Agreement, you must sign and return this Agreement to the Company’s General Counsel at [email] or by electronic signature and transmission (if made available by the Company) within the applicable period specified in Section 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CARGURUS,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6878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Name:</w:t>
        <w:tab/>
        <w:t>Jason Trevisan</w:t>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 Andrea Eldridge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1945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Printed Name: Andrea Eldridge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-13970</wp:posOffset>
            </wp:positionV>
            <wp:extent cx="13639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-13970</wp:posOffset>
            </wp:positionV>
            <wp:extent cx="18630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863090" cy="825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8" w:name="page59"/>
    <w:bookmarkEnd w:id="58"/>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SUPPLEMENTAL RELEASE OF CLAIMS</w:t>
      </w:r>
    </w:p>
    <w:p>
      <w:pPr>
        <w:spacing w:after="0" w:line="210"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In consideration of the covenants set forth in my Separation Agreement with CarGurus, Inc., including but not limited to any parents, divisions, affiliates and subsidiaries, and its and their respective partners, officers, directors, employees, agents, representatives, successors, predecessors and assigns (“CarGurus” or the “Company”), dated February 26, 2024 (the “Separation Agreement”), and more particularly in consideration of the Severance Package provided to me pursuant to the Separation Agreement and other good and valuable consideration, I, Andrea Eldridge (on behalf of myself and my representatives, agents, estate, heirs, attorneys, insurers, spouse, executors, administrators, successors and assigns), am waiving and releasing my right to assert any Claim (defined below), and I hereby release the Company from any Claim, arising from acts, omissions, facts or circumstances that occurred on or before the Supplemental Release Effective Date (defined below).</w:t>
      </w:r>
    </w:p>
    <w:p>
      <w:pPr>
        <w:spacing w:after="0" w:line="205"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22"/>
          <w:szCs w:val="22"/>
          <w:color w:val="auto"/>
        </w:rPr>
        <w:t>I agree that my waiver and release bars any form of legal claim, lawsuit, charge, complaint or any other form of action against the Company (each, a “Claim”) seeking money or any other form of relief, including without limitation equitable relief (whether declaratory, injunctive or otherwise), damages or any other form of monetary recovery whatsoever (including without limitation back pay, front pay, compensatory damages, overtime pay, emotional distress, punitive damages, attorneys’ fees and any other costs or expenses). I understand that there could be unknown or unanticipated Claims resulting from my employment with the Company and the termination of my employment, and I agree that such Claims are included in this waiver and release. I specifically waive and release the Company from any Claims arising from or related to my employment relationship with the Company or the termination of my employment, including without limitation Claims under any statute, ordinance, regulation, executive order, common law, constitution and any other source of law of any state, country and/or locality, including but not limited to the United States, the Commonwealth of Massachusetts, the state in which I reside, and/or any other state or locality where I worked for the Company (collectively “Law” or “Laws”).</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Without limiting the foregoing waiver and release, except for Claims resulting from the failure of the Company to perform its obligations under the Separation Agreement or my rights to indemnification pursuant to Company charter documents, Bylaws, or an indemnification agreement with the Company, and applicable directors’ and officers’ liability insurance, I specifically waive and release the Company from:</w:t>
      </w:r>
    </w:p>
    <w:p>
      <w:pPr>
        <w:spacing w:after="0" w:line="207" w:lineRule="exact"/>
        <w:rPr>
          <w:sz w:val="20"/>
          <w:szCs w:val="20"/>
          <w:color w:val="auto"/>
        </w:rPr>
      </w:pPr>
    </w:p>
    <w:p>
      <w:pPr>
        <w:jc w:val="both"/>
        <w:ind w:firstLine="1505"/>
        <w:spacing w:after="0" w:line="235" w:lineRule="auto"/>
        <w:tabs>
          <w:tab w:leader="none" w:pos="203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under any Law concerning equal pay, civil rights, discrimination, harassment, retaliation and fair employment practices, including the Massachusetts Sexual Harassment Law (M.G.L. c. 214, § 1C), the Massachusetts Equal Pay Act (M.G.L. c. 149, § 105A), the Massachusetts Equal Rights Act (M.G.L. c. 93, §§ 102, 103), the Massachusetts Fair Employment Practices Statute (M.G.L. c. 151B §§ 1 et seq.), the Massachusetts Civil Rights Act (M.G.L. c. 12 §§ 11H &amp; 11I), the Massachusetts Privacy Statute (M.G.L. c. 214 § 1B), the Massachusetts Sexual Harassment Statute (M.G.L. c. 214 § 1C), the Civil Rights Acts of 1866 and 1871 and Title VII of the Civil Rights Act of 1964 and the Civil Rights Act of 1991 (42 U.S.C. § 2000e et seq.), 42 U.S.C. § 1981, the Age Discrimination in Employment Act and Older Workers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jc w:val="both"/>
        <w:spacing w:after="0" w:line="236" w:lineRule="auto"/>
        <w:rPr>
          <w:sz w:val="20"/>
          <w:szCs w:val="20"/>
          <w:color w:val="auto"/>
        </w:rPr>
      </w:pPr>
      <w:r>
        <w:rPr>
          <w:rFonts w:ascii="Times New Roman" w:cs="Times New Roman" w:eastAsia="Times New Roman" w:hAnsi="Times New Roman"/>
          <w:sz w:val="22"/>
          <w:szCs w:val="22"/>
          <w:color w:val="auto"/>
        </w:rPr>
        <w:t>Benefit Protection Act (29 U.S.C. § 621 et seq.), the Equal Pay Act (29 U.S.C. § 201 et seq.), the Genetic Information Non-Discrimination Act (42 U.S.C. §2000ff et seq.), the Uniformed Services Employment and Reemployment Rights Act of 1994 (38 U.S.C. § 4301 et seq.), the Lily Ledbetter Fair Pay Act, the Americans with Disabilities Act of 1990 (42 U.S.C. § 12101 et seq.), the Rehabilitation Act of 1973, the Americans with Disabilities Act (42 U.S.C. § 12101 et seq.) and any similar Massachusetts or other local, state or federal statute, Law or ordinance, each as they may have been amended through the Supplemental Release Effective Date.</w:t>
      </w:r>
    </w:p>
    <w:p>
      <w:pPr>
        <w:spacing w:after="0" w:line="208" w:lineRule="exact"/>
        <w:rPr>
          <w:sz w:val="20"/>
          <w:szCs w:val="20"/>
          <w:color w:val="auto"/>
        </w:rPr>
      </w:pPr>
    </w:p>
    <w:p>
      <w:pPr>
        <w:jc w:val="both"/>
        <w:ind w:firstLine="1505"/>
        <w:spacing w:after="0" w:line="243" w:lineRule="auto"/>
        <w:tabs>
          <w:tab w:leader="none" w:pos="2036"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Claims under any Law relating to wages, hours, overtime, whistleblowing, leaves of absence or any other terms and conditions of employment, including but not limited to the Massachusetts Payment of Wages Law (M.G.L. c. 149, §§ 148, 150), Massachusetts General Laws Chapter 149 in its entirety, Massachusetts General Laws Chapter 151 in its entirety (including but not limited to the minimum wage and overtime provisions), the Massachusetts Wage Act (M.G.L. c. 149 §§ 148 et. seq.</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the Massachusetts Minimum Fair Wages Act (M.G.L. c. 151 §§ 1 et. seq.), the Massachusetts Equal Pay Act (M.G.L. c. 149 § 105A), the Family and Medical Leave Act of 1993 (29 U.S.C. § 2601 et seq.), the Family and Medical Leave Act (29 U.S.C. §2601 et seq.), the Employee Retirement Income Security Act of 1974 (29 U.S.C. § 1000 et seq.), the federal Consolidated Omnibus Budget Reconciliation Act (29 U.S.C. § 1161 et seq.), the Families First Coronavirus Response Act (Public Law No: 116-127, as amended and corrected), the Coronavirus Aid, Relief, and Economic Security Act (Public Law No: 116-136) and all other local, state or federal Laws, regulations or ordinances relating to personal, sick, medical and/or family leave or benefits, the Sarbanes-Oxley Act (including 18 U.S.C. § 1514A), the Dodd-Frank Act (12 U.S.C. § 5301 et seq.), and any similar state Law, the Occupational Safety and Health Act (29 U.S.C. § 651 et seq.), the Fair Labor Standards Act (29 U.S.C.</w:t>
      </w:r>
    </w:p>
    <w:p>
      <w:pPr>
        <w:spacing w:after="0" w:line="5" w:lineRule="exact"/>
        <w:rPr>
          <w:rFonts w:ascii="Times New Roman" w:cs="Times New Roman" w:eastAsia="Times New Roman" w:hAnsi="Times New Roman"/>
          <w:sz w:val="21"/>
          <w:szCs w:val="21"/>
          <w:color w:val="auto"/>
        </w:rPr>
      </w:pPr>
    </w:p>
    <w:p>
      <w:pPr>
        <w:jc w:val="both"/>
        <w:ind w:firstLine="8"/>
        <w:spacing w:after="0" w:line="232" w:lineRule="auto"/>
        <w:tabs>
          <w:tab w:leader="none" w:pos="17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201 et seq.), the National Labor Relations Act (29 U.S.C. § 151 et seq.), the Worker Adjustment and Retraining Notification Act (29 U.S.C. § 2101 et seq</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and any similar Massachusetts or other local, state or federal statute, Law or ordinance, each as they may have been amended through the Supplemental Release Effective Date. </w:t>
      </w:r>
      <w:r>
        <w:rPr>
          <w:rFonts w:ascii="Times New Roman" w:cs="Times New Roman" w:eastAsia="Times New Roman" w:hAnsi="Times New Roman"/>
          <w:sz w:val="22"/>
          <w:szCs w:val="22"/>
          <w:b w:val="1"/>
          <w:bCs w:val="1"/>
          <w:color w:val="auto"/>
        </w:rPr>
        <w:t>I specifically note that this section specifically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includes a waiver and release of Claims that I have or may have regarding payments or amounts covered by the Massachusetts Wage Act and the Massachusetts Minimum Fair Wages Act (including, for instance, hourly wages, salary, overtime, minimum wages, commissions, vacation pay, holiday pay, sick leave pay, dismissal pay, bonus pay or severance pay), as well as Claims for retaliation under the Massachusetts Wage Act and the Massachusetts Minimum Fair Wages Act.</w:t>
      </w:r>
    </w:p>
    <w:p>
      <w:pPr>
        <w:spacing w:after="0" w:line="179"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under any local, state or federal common law theory including, without limitation, any Claim for wrongful discharge, unjust enrichment, breach of a covenant of good faith and fair dealing, violating of public policy, defamation, interference with contractual relations, intentional or negligent infliction of emotional distress, invasion of privacy, misrepresentation, deceit, fraud or negligence, breach of contract, implied contract, promissory estoppel, quantum meruit, any Claim to attorney’s fees under any applicable statute or common law theory of recovery, or any Claim sounding in tort.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under any Massachusetts (or any other state) or federal statute, regulation or executive order (as amended through the Supplemental Release Effective Date)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0" w:name="page61"/>
    <w:bookmarkEnd w:id="60"/>
    <w:p>
      <w:pPr>
        <w:spacing w:after="0" w:line="258" w:lineRule="auto"/>
        <w:rPr>
          <w:sz w:val="20"/>
          <w:szCs w:val="20"/>
          <w:color w:val="auto"/>
        </w:rPr>
      </w:pPr>
      <w:r>
        <w:rPr>
          <w:rFonts w:ascii="Times New Roman" w:cs="Times New Roman" w:eastAsia="Times New Roman" w:hAnsi="Times New Roman"/>
          <w:sz w:val="22"/>
          <w:szCs w:val="22"/>
          <w:color w:val="auto"/>
        </w:rPr>
        <w:t>relating to whistleblower protections, violation of public policy or any other form of retaliation or wrongful termination, including but not limited to the Sarbanes-Oxley Act of 2002 and any similar Massachusetts or other state or federal statute.</w:t>
      </w:r>
    </w:p>
    <w:p>
      <w:pPr>
        <w:spacing w:after="0" w:line="158" w:lineRule="exact"/>
        <w:rPr>
          <w:sz w:val="20"/>
          <w:szCs w:val="20"/>
          <w:color w:val="auto"/>
        </w:rPr>
      </w:pPr>
    </w:p>
    <w:p>
      <w:pPr>
        <w:jc w:val="both"/>
        <w:ind w:firstLine="1505"/>
        <w:spacing w:after="0" w:line="244" w:lineRule="auto"/>
        <w:tabs>
          <w:tab w:leader="none" w:pos="203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arising under any Company compensation, employment, benefit, stock, stock option, incentive compensation, bonus, carried interest, restricted stock and/or equity plan, program, policy, practice or agreement, including, without limitation, my Offer Letter with the Company dated January 17, 2020.</w:t>
      </w:r>
    </w:p>
    <w:p>
      <w:pPr>
        <w:spacing w:after="0" w:line="173" w:lineRule="exact"/>
        <w:rPr>
          <w:sz w:val="20"/>
          <w:szCs w:val="20"/>
          <w:color w:val="auto"/>
        </w:rPr>
      </w:pPr>
    </w:p>
    <w:p>
      <w:pPr>
        <w:ind w:left="2360" w:hanging="855"/>
        <w:spacing w:after="0"/>
        <w:tabs>
          <w:tab w:leader="none" w:pos="23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arising under any other Law or constitution.</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 acknowledge and agree that my receipt of the Severance Package is contingent upon my providing the waivers and releases in this Supplemental Release of Claims, and not revoking Supplemental Release of Claims.</w:t>
      </w:r>
    </w:p>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Nothing in this Agreement prohibits or prevents me from filing a charge with or participating, testifying, or assisting in any investigation, hearing, whistleblower proceeding or other proceeding before any federal, state, or local government agency (e.g., U.S. Equal Employment Opportunity Commission, National Labor Relations Board, U.S. Securities and Exchange Commission) (each, a “Government Agency”), nor does anything in this Supplemental Release of Claims preclude, prohibit or otherwise limit, in any way, my rights and abilities to contact, communicate with, report matters to or otherwise participate in any whistleblower program administered by any such Government Agencies. I further understand this Supplemental Release of Claims does not limit my or the Company’s ability to communicate with any Government Agency or otherwise participate in any investigation or proceeding that may be conducted by any Government Agency in connection with reporting a possible securities Law violation, or other violation of Law, without notice to the Company. I acknowledge and agree that by signing this Supplemental Release of Claims, however, I waive my right to, and shall not seek or accept, any monetary or other relief of any nature whatsoever in connection with any such charges, investigations or proceedings. Further, nothing in this Supplemental Release of Claims shall limit the Company’s right to seek immediate dismissal of such charge or complaint on the basis that my signing of this Supplemental Release of Claims constitutes a full release of any individual rights under applicable Law, or the Company’s right to seek restitution or other legal remedies of the economic benefits provided to me under this Supplemental Release of Claims and the Separation Agreement in the event that I successfully challenge the validity of this Supplemental Release of Claims and prevail in any claim brought before a Government Agency.</w:t>
      </w:r>
    </w:p>
    <w:p>
      <w:pPr>
        <w:spacing w:after="0" w:line="2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Because I am at least forty (40) years of age, I have specific rights under the federal Age Discrimination in Employment Act (“ADEA”) and Older Workers Benefits Protection Act (“OWBPA”), which prohibit discrimination on the basis of age. The release in this Supplemental Release of Claims is intended to release any Claim I may have against the Company alleging discrimination on the basis of age under the ADEA, OWBPA and other Laws. </w:t>
      </w:r>
      <w:r>
        <w:rPr>
          <w:rFonts w:ascii="Times New Roman" w:cs="Times New Roman" w:eastAsia="Times New Roman" w:hAnsi="Times New Roman"/>
          <w:sz w:val="22"/>
          <w:szCs w:val="22"/>
          <w:color w:val="auto"/>
        </w:rPr>
        <w:t>Notwithstanding anything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in this Supplemental Release of Claims, the release in this Supplemental Release of Claims does not cover rights or Claims under the ADEA that arise after the Supplemental Release Effective Date. The Company desires that I fully understand the provisions and effects of this Supplemental Release of Claims. Consistent with the provisions of the OWBPA, I have a period of twenty-one (21) days from the Separation Date (as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1" w:name="page62"/>
    <w:bookmarkEnd w:id="61"/>
    <w:p>
      <w:pPr>
        <w:spacing w:after="0" w:line="253" w:lineRule="auto"/>
        <w:rPr>
          <w:sz w:val="20"/>
          <w:szCs w:val="20"/>
          <w:color w:val="auto"/>
        </w:rPr>
      </w:pPr>
      <w:r>
        <w:rPr>
          <w:rFonts w:ascii="Times New Roman" w:cs="Times New Roman" w:eastAsia="Times New Roman" w:hAnsi="Times New Roman"/>
          <w:sz w:val="21"/>
          <w:szCs w:val="21"/>
          <w:color w:val="auto"/>
        </w:rPr>
        <w:t>defined in the Separation Agreement) to consider and accept the provisions of this Agreement. I acknowledge and agree that any changes to this Agreement, whether material or immaterial, do not extend this period. I may revoke this Agreement within seven</w:t>
      </w:r>
    </w:p>
    <w:p>
      <w:pPr>
        <w:spacing w:after="0" w:line="1" w:lineRule="exact"/>
        <w:rPr>
          <w:sz w:val="20"/>
          <w:szCs w:val="20"/>
          <w:color w:val="auto"/>
        </w:rPr>
      </w:pPr>
    </w:p>
    <w:p>
      <w:pPr>
        <w:jc w:val="both"/>
        <w:ind w:firstLine="8"/>
        <w:spacing w:after="0" w:line="235" w:lineRule="auto"/>
        <w:tabs>
          <w:tab w:leader="none" w:pos="3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the Supplemental Release Effective Date by sending an email to the Company’s General Counsel at [email] with a copy to the Company’s Legal Department at [email] that specifically notifies the Company of my revocation of this Supplemental Release of Claims .</w:t>
      </w:r>
    </w:p>
    <w:p>
      <w:pPr>
        <w:spacing w:after="0" w:line="218"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22"/>
          <w:szCs w:val="22"/>
          <w:color w:val="auto"/>
        </w:rPr>
        <w:t>This Supplemental Release of Claims shall become effective on the eighth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my acceptance of it (the “Supplemental Release Effective Date”).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286"/>
        </w:trPr>
        <w:tc>
          <w:tcPr>
            <w:tcW w:w="41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Confirmed And Agreed:</w:t>
            </w:r>
          </w:p>
        </w:tc>
        <w:tc>
          <w:tcPr>
            <w:tcW w:w="4380" w:type="dxa"/>
            <w:vAlign w:val="bottom"/>
            <w:gridSpan w:val="5"/>
          </w:tcPr>
          <w:p>
            <w:pPr>
              <w:ind w:left="1440"/>
              <w:spacing w:after="0"/>
              <w:rPr>
                <w:sz w:val="20"/>
                <w:szCs w:val="20"/>
                <w:color w:val="auto"/>
              </w:rPr>
            </w:pPr>
            <w:r>
              <w:rPr>
                <w:rFonts w:ascii="Times New Roman" w:cs="Times New Roman" w:eastAsia="Times New Roman" w:hAnsi="Times New Roman"/>
                <w:sz w:val="22"/>
                <w:szCs w:val="22"/>
                <w:b w:val="1"/>
                <w:bCs w:val="1"/>
                <w:color w:val="auto"/>
              </w:rPr>
              <w:t>CarGurus, Inc.</w:t>
            </w:r>
          </w:p>
        </w:tc>
      </w:tr>
      <w:tr>
        <w:trPr>
          <w:trHeight w:val="865"/>
        </w:trPr>
        <w:tc>
          <w:tcPr>
            <w:tcW w:w="41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/s/ Andrea Eldridge</w:t>
            </w:r>
          </w:p>
        </w:tc>
        <w:tc>
          <w:tcPr>
            <w:tcW w:w="1440" w:type="dxa"/>
            <w:vAlign w:val="bottom"/>
          </w:tcPr>
          <w:p>
            <w:pPr>
              <w:spacing w:after="0"/>
              <w:rPr>
                <w:sz w:val="24"/>
                <w:szCs w:val="24"/>
                <w:color w:val="auto"/>
              </w:rPr>
            </w:pPr>
          </w:p>
        </w:tc>
        <w:tc>
          <w:tcPr>
            <w:tcW w:w="294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/s/ Jason Trevisan</w:t>
            </w: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52"/>
        </w:trPr>
        <w:tc>
          <w:tcPr>
            <w:tcW w:w="41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Printed Name: Andrea Eldridge</w:t>
            </w:r>
          </w:p>
        </w:tc>
        <w:tc>
          <w:tcPr>
            <w:tcW w:w="2080" w:type="dxa"/>
            <w:vAlign w:val="bottom"/>
            <w:gridSpan w:val="2"/>
          </w:tcPr>
          <w:p>
            <w:pPr>
              <w:ind w:left="1440"/>
              <w:spacing w:after="0"/>
              <w:rPr>
                <w:sz w:val="20"/>
                <w:szCs w:val="20"/>
                <w:color w:val="auto"/>
              </w:rPr>
            </w:pPr>
            <w:r>
              <w:rPr>
                <w:rFonts w:ascii="Times New Roman" w:cs="Times New Roman" w:eastAsia="Times New Roman" w:hAnsi="Times New Roman"/>
                <w:sz w:val="22"/>
                <w:szCs w:val="22"/>
                <w:color w:val="auto"/>
              </w:rPr>
              <w:t>Name:</w:t>
            </w:r>
          </w:p>
        </w:tc>
        <w:tc>
          <w:tcPr>
            <w:tcW w:w="230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Jason Trevisan</w:t>
            </w:r>
          </w:p>
        </w:tc>
      </w:tr>
      <w:tr>
        <w:trPr>
          <w:trHeight w:val="282"/>
        </w:trPr>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80" w:type="dxa"/>
            <w:vAlign w:val="bottom"/>
            <w:gridSpan w:val="2"/>
          </w:tcPr>
          <w:p>
            <w:pPr>
              <w:ind w:left="1440"/>
              <w:spacing w:after="0"/>
              <w:rPr>
                <w:sz w:val="20"/>
                <w:szCs w:val="20"/>
                <w:color w:val="auto"/>
              </w:rPr>
            </w:pPr>
            <w:r>
              <w:rPr>
                <w:rFonts w:ascii="Times New Roman" w:cs="Times New Roman" w:eastAsia="Times New Roman" w:hAnsi="Times New Roman"/>
                <w:sz w:val="22"/>
                <w:szCs w:val="22"/>
                <w:color w:val="auto"/>
              </w:rPr>
              <w:t>Title:</w:t>
            </w:r>
          </w:p>
        </w:tc>
        <w:tc>
          <w:tcPr>
            <w:tcW w:w="230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w w:val="97"/>
              </w:rPr>
              <w:t>Chief Executive Officer</w:t>
            </w:r>
          </w:p>
        </w:tc>
      </w:tr>
      <w:tr>
        <w:trPr>
          <w:trHeight w:val="407"/>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33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April 5, 2024</w:t>
            </w:r>
          </w:p>
        </w:tc>
        <w:tc>
          <w:tcPr>
            <w:tcW w:w="2080" w:type="dxa"/>
            <w:vAlign w:val="bottom"/>
            <w:gridSpan w:val="2"/>
          </w:tcPr>
          <w:p>
            <w:pPr>
              <w:ind w:left="1440"/>
              <w:spacing w:after="0"/>
              <w:rPr>
                <w:sz w:val="20"/>
                <w:szCs w:val="20"/>
                <w:color w:val="auto"/>
              </w:rPr>
            </w:pPr>
            <w:r>
              <w:rPr>
                <w:rFonts w:ascii="Times New Roman" w:cs="Times New Roman" w:eastAsia="Times New Roman" w:hAnsi="Times New Roman"/>
                <w:sz w:val="22"/>
                <w:szCs w:val="22"/>
                <w:color w:val="auto"/>
              </w:rPr>
              <w:t>Dated:</w:t>
            </w:r>
          </w:p>
        </w:tc>
        <w:tc>
          <w:tcPr>
            <w:tcW w:w="23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April 5, 2024</w:t>
            </w:r>
          </w:p>
        </w:tc>
      </w:tr>
      <w:tr>
        <w:trPr>
          <w:trHeight w:val="20"/>
        </w:trPr>
        <w:tc>
          <w:tcPr>
            <w:tcW w:w="8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chart below shows the number of RSUs and shares subject to the NQSO under your outstanding equity awards that will accelerate and become vested as of the Supplemental Release Effective Date, subject to the terms and conditions of the Agreement: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 w:type="dxa"/>
            <w:vAlign w:val="bottom"/>
            <w:tcBorders>
              <w:right w:val="single" w:sz="8" w:color="auto"/>
            </w:tcBorders>
          </w:tcPr>
          <w:p>
            <w:pPr>
              <w:spacing w:after="0"/>
              <w:rPr>
                <w:sz w:val="19"/>
                <w:szCs w:val="19"/>
                <w:color w:val="auto"/>
              </w:rPr>
            </w:pPr>
          </w:p>
        </w:tc>
        <w:tc>
          <w:tcPr>
            <w:tcW w:w="270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Grant Date</w:t>
            </w:r>
          </w:p>
        </w:tc>
        <w:tc>
          <w:tcPr>
            <w:tcW w:w="206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Type of Award</w:t>
            </w:r>
          </w:p>
        </w:tc>
        <w:tc>
          <w:tcPr>
            <w:tcW w:w="30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Original Vesting Date</w:t>
            </w:r>
          </w:p>
        </w:tc>
        <w:tc>
          <w:tcPr>
            <w:tcW w:w="3080" w:type="dxa"/>
            <w:vAlign w:val="bottom"/>
            <w:tcBorders>
              <w:top w:val="single" w:sz="8" w:color="auto"/>
            </w:tcBorders>
          </w:tcPr>
          <w:p>
            <w:pPr>
              <w:spacing w:after="0" w:line="228" w:lineRule="exact"/>
              <w:rPr>
                <w:sz w:val="20"/>
                <w:szCs w:val="20"/>
                <w:color w:val="auto"/>
              </w:rPr>
            </w:pPr>
            <w:r>
              <w:rPr>
                <w:rFonts w:ascii="Times New Roman" w:cs="Times New Roman" w:eastAsia="Times New Roman" w:hAnsi="Times New Roman"/>
                <w:sz w:val="22"/>
                <w:szCs w:val="22"/>
                <w:b w:val="1"/>
                <w:bCs w:val="1"/>
                <w:color w:val="auto"/>
              </w:rPr>
              <w:t>Number of RSUs Scheduled to</w:t>
            </w:r>
          </w:p>
        </w:tc>
        <w:tc>
          <w:tcPr>
            <w:tcW w:w="180" w:type="dxa"/>
            <w:vAlign w:val="bottom"/>
            <w:tcBorders>
              <w:lef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vMerge w:val="continue"/>
          </w:tcPr>
          <w:p>
            <w:pPr>
              <w:spacing w:after="0"/>
              <w:rPr>
                <w:sz w:val="14"/>
                <w:szCs w:val="14"/>
                <w:color w:val="auto"/>
              </w:rPr>
            </w:pPr>
          </w:p>
        </w:tc>
        <w:tc>
          <w:tcPr>
            <w:tcW w:w="2060" w:type="dxa"/>
            <w:vAlign w:val="bottom"/>
            <w:tcBorders>
              <w:right w:val="single" w:sz="8" w:color="auto"/>
            </w:tcBorders>
            <w:vMerge w:val="continue"/>
          </w:tcPr>
          <w:p>
            <w:pPr>
              <w:spacing w:after="0"/>
              <w:rPr>
                <w:sz w:val="14"/>
                <w:szCs w:val="14"/>
                <w:color w:val="auto"/>
              </w:rPr>
            </w:pPr>
          </w:p>
        </w:tc>
        <w:tc>
          <w:tcPr>
            <w:tcW w:w="3020" w:type="dxa"/>
            <w:vAlign w:val="bottom"/>
            <w:tcBorders>
              <w:right w:val="single" w:sz="8" w:color="auto"/>
            </w:tcBorders>
            <w:vMerge w:val="continue"/>
          </w:tcPr>
          <w:p>
            <w:pPr>
              <w:spacing w:after="0"/>
              <w:rPr>
                <w:sz w:val="14"/>
                <w:szCs w:val="14"/>
                <w:color w:val="auto"/>
              </w:rPr>
            </w:pPr>
          </w:p>
        </w:tc>
        <w:tc>
          <w:tcPr>
            <w:tcW w:w="30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Vest on the Vesting Date</w:t>
            </w:r>
          </w:p>
        </w:tc>
        <w:tc>
          <w:tcPr>
            <w:tcW w:w="180" w:type="dxa"/>
            <w:vAlign w:val="bottom"/>
            <w:tcBorders>
              <w:lef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0" w:type="dxa"/>
            <w:vAlign w:val="bottom"/>
            <w:tcBorders>
              <w:right w:val="single" w:sz="8" w:color="auto"/>
            </w:tcBorders>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020" w:type="dxa"/>
            <w:vAlign w:val="bottom"/>
            <w:tcBorders>
              <w:right w:val="single" w:sz="8" w:color="auto"/>
            </w:tcBorders>
          </w:tcPr>
          <w:p>
            <w:pPr>
              <w:spacing w:after="0"/>
              <w:rPr>
                <w:sz w:val="10"/>
                <w:szCs w:val="10"/>
                <w:color w:val="auto"/>
              </w:rPr>
            </w:pPr>
          </w:p>
        </w:tc>
        <w:tc>
          <w:tcPr>
            <w:tcW w:w="3080" w:type="dxa"/>
            <w:vAlign w:val="bottom"/>
            <w:vMerge w:val="continue"/>
          </w:tcPr>
          <w:p>
            <w:pPr>
              <w:spacing w:after="0"/>
              <w:rPr>
                <w:sz w:val="10"/>
                <w:szCs w:val="10"/>
                <w:color w:val="auto"/>
              </w:rPr>
            </w:pPr>
          </w:p>
        </w:tc>
        <w:tc>
          <w:tcPr>
            <w:tcW w:w="180" w:type="dxa"/>
            <w:vAlign w:val="bottom"/>
            <w:tcBorders>
              <w:lef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0" w:type="dxa"/>
            <w:vAlign w:val="bottom"/>
            <w:tcBorders>
              <w:right w:val="single" w:sz="8" w:color="auto"/>
            </w:tcBorders>
          </w:tcPr>
          <w:p>
            <w:pPr>
              <w:spacing w:after="0"/>
              <w:rPr>
                <w:sz w:val="22"/>
                <w:szCs w:val="22"/>
                <w:color w:val="auto"/>
              </w:rPr>
            </w:pPr>
          </w:p>
        </w:tc>
        <w:tc>
          <w:tcPr>
            <w:tcW w:w="270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right w:val="single" w:sz="8" w:color="auto"/>
            </w:tcBorders>
          </w:tcPr>
          <w:p>
            <w:pPr>
              <w:spacing w:after="0"/>
              <w:rPr>
                <w:sz w:val="22"/>
                <w:szCs w:val="22"/>
                <w:color w:val="auto"/>
              </w:rPr>
            </w:pPr>
          </w:p>
        </w:tc>
        <w:tc>
          <w:tcPr>
            <w:tcW w:w="3020" w:type="dxa"/>
            <w:vAlign w:val="bottom"/>
            <w:tcBorders>
              <w:bottom w:val="single" w:sz="8" w:color="auto"/>
              <w:right w:val="single" w:sz="8" w:color="auto"/>
            </w:tcBorders>
          </w:tcPr>
          <w:p>
            <w:pPr>
              <w:spacing w:after="0"/>
              <w:rPr>
                <w:sz w:val="22"/>
                <w:szCs w:val="22"/>
                <w:color w:val="auto"/>
              </w:rPr>
            </w:pPr>
          </w:p>
        </w:tc>
        <w:tc>
          <w:tcPr>
            <w:tcW w:w="3080" w:type="dxa"/>
            <w:vAlign w:val="bottom"/>
            <w:tcBorders>
              <w:bottom w:val="single" w:sz="8" w:color="auto"/>
            </w:tcBorders>
          </w:tcPr>
          <w:p>
            <w:pPr>
              <w:spacing w:after="0"/>
              <w:rPr>
                <w:sz w:val="22"/>
                <w:szCs w:val="22"/>
                <w:color w:val="auto"/>
              </w:rPr>
            </w:pPr>
          </w:p>
        </w:tc>
        <w:tc>
          <w:tcPr>
            <w:tcW w:w="180" w:type="dxa"/>
            <w:vAlign w:val="bottom"/>
            <w:tcBorders>
              <w:lef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September 21, 2020</w:t>
            </w:r>
          </w:p>
        </w:tc>
        <w:tc>
          <w:tcPr>
            <w:tcW w:w="206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RSU</w:t>
            </w:r>
          </w:p>
        </w:tc>
        <w:tc>
          <w:tcPr>
            <w:tcW w:w="302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July 1, 2024</w:t>
            </w:r>
          </w:p>
        </w:tc>
        <w:tc>
          <w:tcPr>
            <w:tcW w:w="3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641</w:t>
            </w:r>
          </w:p>
        </w:tc>
        <w:tc>
          <w:tcPr>
            <w:tcW w:w="180" w:type="dxa"/>
            <w:vAlign w:val="bottom"/>
            <w:tcBorders>
              <w:lef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0" w:type="dxa"/>
            <w:vAlign w:val="bottom"/>
            <w:tcBorders>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0" w:type="dxa"/>
            <w:vAlign w:val="bottom"/>
            <w:tcBorders>
              <w:right w:val="single" w:sz="8" w:color="auto"/>
            </w:tcBorders>
          </w:tcPr>
          <w:p>
            <w:pPr>
              <w:spacing w:after="0"/>
              <w:rPr>
                <w:sz w:val="23"/>
                <w:szCs w:val="23"/>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February 10, 2021</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NQSO</w:t>
            </w: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July 1, 2024</w:t>
            </w:r>
          </w:p>
        </w:tc>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2,054</w:t>
            </w:r>
          </w:p>
        </w:tc>
        <w:tc>
          <w:tcPr>
            <w:tcW w:w="180" w:type="dxa"/>
            <w:vAlign w:val="bottom"/>
            <w:tcBorders>
              <w:lef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tcBorders>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0" w:type="dxa"/>
            <w:vAlign w:val="bottom"/>
            <w:tcBorders>
              <w:right w:val="single" w:sz="8" w:color="auto"/>
            </w:tcBorders>
          </w:tcPr>
          <w:p>
            <w:pPr>
              <w:spacing w:after="0"/>
              <w:rPr>
                <w:sz w:val="23"/>
                <w:szCs w:val="23"/>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February 10, 2021</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NQSO</w:t>
            </w: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October 1, 2024</w:t>
            </w:r>
          </w:p>
        </w:tc>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2,053</w:t>
            </w:r>
          </w:p>
        </w:tc>
        <w:tc>
          <w:tcPr>
            <w:tcW w:w="180" w:type="dxa"/>
            <w:vAlign w:val="bottom"/>
            <w:tcBorders>
              <w:lef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tcBorders>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0" w:type="dxa"/>
            <w:vAlign w:val="bottom"/>
            <w:tcBorders>
              <w:right w:val="single" w:sz="8" w:color="auto"/>
            </w:tcBorders>
          </w:tcPr>
          <w:p>
            <w:pPr>
              <w:spacing w:after="0"/>
              <w:rPr>
                <w:sz w:val="23"/>
                <w:szCs w:val="23"/>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February 10, 2021</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NQSO</w:t>
            </w: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January 1, 2025</w:t>
            </w:r>
          </w:p>
        </w:tc>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2,054</w:t>
            </w:r>
          </w:p>
        </w:tc>
        <w:tc>
          <w:tcPr>
            <w:tcW w:w="180" w:type="dxa"/>
            <w:vAlign w:val="bottom"/>
            <w:tcBorders>
              <w:lef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tcBorders>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0" w:type="dxa"/>
            <w:vAlign w:val="bottom"/>
            <w:tcBorders>
              <w:right w:val="single" w:sz="8" w:color="auto"/>
            </w:tcBorders>
          </w:tcPr>
          <w:p>
            <w:pPr>
              <w:spacing w:after="0"/>
              <w:rPr>
                <w:sz w:val="23"/>
                <w:szCs w:val="23"/>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February 10, 2021</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RSU</w:t>
            </w: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July 1, 2024</w:t>
            </w:r>
          </w:p>
        </w:tc>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1,975</w:t>
            </w:r>
          </w:p>
        </w:tc>
        <w:tc>
          <w:tcPr>
            <w:tcW w:w="180" w:type="dxa"/>
            <w:vAlign w:val="bottom"/>
            <w:tcBorders>
              <w:lef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tcBorders>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0" w:type="dxa"/>
            <w:vAlign w:val="bottom"/>
            <w:tcBorders>
              <w:right w:val="single" w:sz="8" w:color="auto"/>
            </w:tcBorders>
          </w:tcPr>
          <w:p>
            <w:pPr>
              <w:spacing w:after="0"/>
              <w:rPr>
                <w:sz w:val="23"/>
                <w:szCs w:val="23"/>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February 10, 2021</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RSU</w:t>
            </w: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October 1, 2024</w:t>
            </w:r>
          </w:p>
        </w:tc>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1,974</w:t>
            </w:r>
          </w:p>
        </w:tc>
        <w:tc>
          <w:tcPr>
            <w:tcW w:w="180" w:type="dxa"/>
            <w:vAlign w:val="bottom"/>
            <w:tcBorders>
              <w:lef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tcBorders>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0" w:type="dxa"/>
            <w:vAlign w:val="bottom"/>
            <w:tcBorders>
              <w:right w:val="single" w:sz="8" w:color="auto"/>
            </w:tcBorders>
          </w:tcPr>
          <w:p>
            <w:pPr>
              <w:spacing w:after="0"/>
              <w:rPr>
                <w:sz w:val="23"/>
                <w:szCs w:val="23"/>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February 10, 2021</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RSU</w:t>
            </w: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January 1, 2025</w:t>
            </w:r>
          </w:p>
        </w:tc>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1,975</w:t>
            </w:r>
          </w:p>
        </w:tc>
        <w:tc>
          <w:tcPr>
            <w:tcW w:w="180" w:type="dxa"/>
            <w:vAlign w:val="bottom"/>
            <w:tcBorders>
              <w:lef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tcBorders>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0" w:type="dxa"/>
            <w:vAlign w:val="bottom"/>
            <w:tcBorders>
              <w:right w:val="single" w:sz="8" w:color="auto"/>
            </w:tcBorders>
          </w:tcPr>
          <w:p>
            <w:pPr>
              <w:spacing w:after="0"/>
              <w:rPr>
                <w:sz w:val="23"/>
                <w:szCs w:val="23"/>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February 8, 2022</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RSU</w:t>
            </w: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July 1, 2024</w:t>
            </w:r>
          </w:p>
        </w:tc>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4,033</w:t>
            </w:r>
          </w:p>
        </w:tc>
        <w:tc>
          <w:tcPr>
            <w:tcW w:w="180" w:type="dxa"/>
            <w:vAlign w:val="bottom"/>
            <w:tcBorders>
              <w:lef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tcBorders>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0" w:type="dxa"/>
            <w:vAlign w:val="bottom"/>
            <w:tcBorders>
              <w:right w:val="single" w:sz="8" w:color="auto"/>
            </w:tcBorders>
          </w:tcPr>
          <w:p>
            <w:pPr>
              <w:spacing w:after="0"/>
              <w:rPr>
                <w:sz w:val="23"/>
                <w:szCs w:val="23"/>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February 8, 2022</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RSU</w:t>
            </w: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October 1, 2024</w:t>
            </w:r>
          </w:p>
        </w:tc>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4,033</w:t>
            </w:r>
          </w:p>
        </w:tc>
        <w:tc>
          <w:tcPr>
            <w:tcW w:w="180" w:type="dxa"/>
            <w:vAlign w:val="bottom"/>
            <w:tcBorders>
              <w:lef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tcBorders>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0" w:type="dxa"/>
            <w:vAlign w:val="bottom"/>
            <w:tcBorders>
              <w:right w:val="single" w:sz="8" w:color="auto"/>
            </w:tcBorders>
          </w:tcPr>
          <w:p>
            <w:pPr>
              <w:spacing w:after="0"/>
              <w:rPr>
                <w:sz w:val="23"/>
                <w:szCs w:val="23"/>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February 8, 2022</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RSU</w:t>
            </w: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January 1, 2025</w:t>
            </w:r>
          </w:p>
        </w:tc>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4,033</w:t>
            </w:r>
          </w:p>
        </w:tc>
        <w:tc>
          <w:tcPr>
            <w:tcW w:w="180" w:type="dxa"/>
            <w:vAlign w:val="bottom"/>
            <w:tcBorders>
              <w:lef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tcBorders>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0" w:type="dxa"/>
            <w:vAlign w:val="bottom"/>
            <w:tcBorders>
              <w:right w:val="single" w:sz="8" w:color="auto"/>
            </w:tcBorders>
          </w:tcPr>
          <w:p>
            <w:pPr>
              <w:spacing w:after="0"/>
              <w:rPr>
                <w:sz w:val="23"/>
                <w:szCs w:val="23"/>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February 16, 2023</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RSU</w:t>
            </w: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July 1, 2024</w:t>
            </w:r>
          </w:p>
        </w:tc>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5,233</w:t>
            </w:r>
          </w:p>
        </w:tc>
        <w:tc>
          <w:tcPr>
            <w:tcW w:w="180" w:type="dxa"/>
            <w:vAlign w:val="bottom"/>
            <w:tcBorders>
              <w:lef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tcBorders>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0" w:type="dxa"/>
            <w:vAlign w:val="bottom"/>
            <w:tcBorders>
              <w:right w:val="single" w:sz="8" w:color="auto"/>
            </w:tcBorders>
          </w:tcPr>
          <w:p>
            <w:pPr>
              <w:spacing w:after="0"/>
              <w:rPr>
                <w:sz w:val="23"/>
                <w:szCs w:val="23"/>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February 16, 2023</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RSU</w:t>
            </w: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October 1, 2024</w:t>
            </w:r>
          </w:p>
        </w:tc>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5,233</w:t>
            </w:r>
          </w:p>
        </w:tc>
        <w:tc>
          <w:tcPr>
            <w:tcW w:w="180" w:type="dxa"/>
            <w:vAlign w:val="bottom"/>
            <w:tcBorders>
              <w:lef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tcBorders>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0" w:type="dxa"/>
            <w:vAlign w:val="bottom"/>
            <w:tcBorders>
              <w:right w:val="single" w:sz="8" w:color="auto"/>
            </w:tcBorders>
          </w:tcPr>
          <w:p>
            <w:pPr>
              <w:spacing w:after="0"/>
              <w:rPr>
                <w:sz w:val="23"/>
                <w:szCs w:val="23"/>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February 16, 2023</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RSU</w:t>
            </w: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January 1, 2025</w:t>
            </w:r>
          </w:p>
        </w:tc>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5,234</w:t>
            </w:r>
          </w:p>
        </w:tc>
        <w:tc>
          <w:tcPr>
            <w:tcW w:w="180" w:type="dxa"/>
            <w:vAlign w:val="bottom"/>
            <w:tcBorders>
              <w:lef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tcBorders>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0" w:type="dxa"/>
            <w:vAlign w:val="bottom"/>
            <w:tcBorders>
              <w:right w:val="single" w:sz="8" w:color="auto"/>
            </w:tcBorders>
          </w:tcPr>
          <w:p>
            <w:pPr>
              <w:spacing w:after="0"/>
              <w:rPr>
                <w:sz w:val="23"/>
                <w:szCs w:val="23"/>
                <w:color w:val="auto"/>
              </w:rPr>
            </w:pPr>
          </w:p>
        </w:tc>
        <w:tc>
          <w:tcPr>
            <w:tcW w:w="2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TOTAL</w:t>
            </w:r>
          </w:p>
        </w:tc>
        <w:tc>
          <w:tcPr>
            <w:tcW w:w="2060" w:type="dxa"/>
            <w:vAlign w:val="bottom"/>
          </w:tcPr>
          <w:p>
            <w:pPr>
              <w:spacing w:after="0"/>
              <w:rPr>
                <w:sz w:val="23"/>
                <w:szCs w:val="23"/>
                <w:color w:val="auto"/>
              </w:rPr>
            </w:pPr>
          </w:p>
        </w:tc>
        <w:tc>
          <w:tcPr>
            <w:tcW w:w="3020" w:type="dxa"/>
            <w:vAlign w:val="bottom"/>
            <w:tcBorders>
              <w:right w:val="single" w:sz="8" w:color="auto"/>
            </w:tcBorders>
          </w:tcPr>
          <w:p>
            <w:pPr>
              <w:spacing w:after="0"/>
              <w:rPr>
                <w:sz w:val="23"/>
                <w:szCs w:val="23"/>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34,364 RSUs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200" w:type="dxa"/>
            <w:vAlign w:val="bottom"/>
            <w:tcBorders>
              <w:right w:val="single" w:sz="8" w:color="auto"/>
            </w:tcBorders>
          </w:tcPr>
          <w:p>
            <w:pPr>
              <w:spacing w:after="0"/>
              <w:rPr>
                <w:sz w:val="17"/>
                <w:szCs w:val="17"/>
                <w:color w:val="auto"/>
              </w:rPr>
            </w:pPr>
          </w:p>
        </w:tc>
        <w:tc>
          <w:tcPr>
            <w:tcW w:w="270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c>
          <w:tcPr>
            <w:tcW w:w="3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6,161 shares subject to the NQSO</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0" w:type="dxa"/>
            <w:vAlign w:val="bottom"/>
            <w:tcBorders>
              <w:right w:val="single" w:sz="8" w:color="auto"/>
            </w:tcBorders>
          </w:tcPr>
          <w:p>
            <w:pPr>
              <w:spacing w:after="0"/>
              <w:rPr>
                <w:sz w:val="22"/>
                <w:szCs w:val="22"/>
                <w:color w:val="auto"/>
              </w:rPr>
            </w:pPr>
          </w:p>
        </w:tc>
        <w:tc>
          <w:tcPr>
            <w:tcW w:w="27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020" w:type="dxa"/>
            <w:vAlign w:val="bottom"/>
            <w:tcBorders>
              <w:right w:val="single" w:sz="8" w:color="auto"/>
            </w:tcBorders>
          </w:tcPr>
          <w:p>
            <w:pPr>
              <w:spacing w:after="0"/>
              <w:rPr>
                <w:sz w:val="22"/>
                <w:szCs w:val="22"/>
                <w:color w:val="auto"/>
              </w:rPr>
            </w:pPr>
          </w:p>
        </w:tc>
        <w:tc>
          <w:tcPr>
            <w:tcW w:w="3080" w:type="dxa"/>
            <w:vAlign w:val="bottom"/>
            <w:vMerge w:val="continue"/>
          </w:tcPr>
          <w:p>
            <w:pPr>
              <w:spacing w:after="0"/>
              <w:rPr>
                <w:sz w:val="22"/>
                <w:szCs w:val="22"/>
                <w:color w:val="auto"/>
              </w:rPr>
            </w:pPr>
          </w:p>
        </w:tc>
        <w:tc>
          <w:tcPr>
            <w:tcW w:w="180" w:type="dxa"/>
            <w:vAlign w:val="bottom"/>
            <w:tcBorders>
              <w:lef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0" w:type="dxa"/>
            <w:vAlign w:val="bottom"/>
            <w:tcBorders>
              <w:right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8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0"/>
        </w:trPr>
        <w:tc>
          <w:tcPr>
            <w:tcW w:w="2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7012940</wp:posOffset>
            </wp:positionH>
            <wp:positionV relativeFrom="paragraph">
              <wp:posOffset>-1966595</wp:posOffset>
            </wp:positionV>
            <wp:extent cx="34290" cy="3340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IMMUNITY</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Consistent with federal law, the Company hereby notifies you of the following provisions of the Defend Trade Secrets Act of 2016.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mmunity from</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iability for</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onfidential</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isclosure of a</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rade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ecret to the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overnment or in a</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ourt</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iling</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140" w:hanging="383"/>
        <w:spacing w:after="0" w:line="258" w:lineRule="auto"/>
        <w:tabs>
          <w:tab w:leader="none" w:pos="11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mmunity</w:t>
      </w:r>
      <w:r>
        <w:rPr>
          <w:rFonts w:ascii="Times New Roman" w:cs="Times New Roman" w:eastAsia="Times New Roman" w:hAnsi="Times New Roman"/>
          <w:sz w:val="22"/>
          <w:szCs w:val="22"/>
          <w:color w:val="auto"/>
        </w:rPr>
        <w:t>.—An individual shall not be held criminally or civilly liable under any Federal or State trade secret law for the disclosure of a trade secret that—</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is made –</w:t>
      </w:r>
    </w:p>
    <w:p>
      <w:pPr>
        <w:spacing w:after="0" w:line="179" w:lineRule="exact"/>
        <w:rPr>
          <w:sz w:val="20"/>
          <w:szCs w:val="20"/>
          <w:color w:val="auto"/>
        </w:rPr>
      </w:pPr>
    </w:p>
    <w:p>
      <w:pPr>
        <w:ind w:left="3000" w:hanging="746"/>
        <w:spacing w:after="0" w:line="258" w:lineRule="auto"/>
        <w:tabs>
          <w:tab w:leader="none" w:pos="30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confidence to a Federal, State, or local government official, either directly or indirectly, or to an attorney; and</w:t>
      </w:r>
    </w:p>
    <w:p>
      <w:pPr>
        <w:spacing w:after="0" w:line="117" w:lineRule="exact"/>
        <w:rPr>
          <w:rFonts w:ascii="Times New Roman" w:cs="Times New Roman" w:eastAsia="Times New Roman" w:hAnsi="Times New Roman"/>
          <w:sz w:val="22"/>
          <w:szCs w:val="22"/>
          <w:color w:val="auto"/>
        </w:rPr>
      </w:pPr>
    </w:p>
    <w:p>
      <w:pPr>
        <w:ind w:left="3000" w:hanging="746"/>
        <w:spacing w:after="0"/>
        <w:tabs>
          <w:tab w:leader="none" w:pos="30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the purpose of reporting or investigating a suspected violation of law; or</w:t>
      </w:r>
    </w:p>
    <w:p>
      <w:pPr>
        <w:spacing w:after="0" w:line="165"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in a complaint or other document filed in a lawsuit or other proceeding, if such filing is made under seal.</w:t>
      </w:r>
    </w:p>
    <w:p>
      <w:pPr>
        <w:spacing w:after="0" w:line="179" w:lineRule="exact"/>
        <w:rPr>
          <w:sz w:val="20"/>
          <w:szCs w:val="20"/>
          <w:color w:val="auto"/>
        </w:rPr>
      </w:pPr>
    </w:p>
    <w:p>
      <w:pPr>
        <w:jc w:val="both"/>
        <w:ind w:left="1140" w:hanging="383"/>
        <w:spacing w:after="0" w:line="244" w:lineRule="auto"/>
        <w:tabs>
          <w:tab w:leader="none" w:pos="11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w:t>
      </w:r>
      <w:r>
        <w:rPr>
          <w:rFonts w:ascii="Times New Roman" w:cs="Times New Roman" w:eastAsia="Times New Roman" w:hAnsi="Times New Roman"/>
          <w:sz w:val="14"/>
          <w:szCs w:val="14"/>
          <w:color w:val="auto"/>
        </w:rPr>
        <w:t>se of</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rade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ecret</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nformation in</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nti</w:t>
      </w: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etaliation</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awsuit</w:t>
      </w:r>
      <w:r>
        <w:rPr>
          <w:rFonts w:ascii="Times New Roman" w:cs="Times New Roman" w:eastAsia="Times New Roman" w:hAnsi="Times New Roman"/>
          <w:sz w:val="22"/>
          <w:szCs w:val="22"/>
          <w:color w:val="auto"/>
        </w:rPr>
        <w:t>—An individual who files a lawsuit for retaliation by an employer for reporting a suspected violation of law may disclose the trade secret to the attorney of the individual and use the trade secret information in the court proceeding, if the individual—</w:t>
      </w:r>
    </w:p>
    <w:p>
      <w:pPr>
        <w:spacing w:after="0" w:line="132" w:lineRule="exact"/>
        <w:rPr>
          <w:rFonts w:ascii="Times New Roman" w:cs="Times New Roman" w:eastAsia="Times New Roman" w:hAnsi="Times New Roman"/>
          <w:sz w:val="22"/>
          <w:szCs w:val="22"/>
          <w:color w:val="auto"/>
        </w:rPr>
      </w:pPr>
    </w:p>
    <w:p>
      <w:pPr>
        <w:ind w:left="1920" w:hanging="415"/>
        <w:spacing w:after="0"/>
        <w:tabs>
          <w:tab w:leader="none" w:pos="19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any document containing the trade secret under seal; and</w:t>
      </w:r>
    </w:p>
    <w:p>
      <w:pPr>
        <w:spacing w:after="0" w:line="165" w:lineRule="exact"/>
        <w:rPr>
          <w:rFonts w:ascii="Times New Roman" w:cs="Times New Roman" w:eastAsia="Times New Roman" w:hAnsi="Times New Roman"/>
          <w:sz w:val="22"/>
          <w:szCs w:val="22"/>
          <w:color w:val="auto"/>
        </w:rPr>
      </w:pPr>
    </w:p>
    <w:p>
      <w:pPr>
        <w:ind w:left="1900" w:hanging="395"/>
        <w:spacing w:after="0"/>
        <w:tabs>
          <w:tab w:leader="none" w:pos="190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disclose the trade secret, except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1283970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10.2</w:t>
      </w:r>
    </w:p>
    <w:p>
      <w:pPr>
        <w:spacing w:after="0" w:line="3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P-12 PROPERTY LLC</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c/o Samuels &amp; Associates 136 Brookline Avenue</w:t>
      </w:r>
    </w:p>
    <w:p>
      <w:pPr>
        <w:ind w:left="4820"/>
        <w:spacing w:after="0" w:line="237" w:lineRule="auto"/>
        <w:rPr>
          <w:sz w:val="20"/>
          <w:szCs w:val="20"/>
          <w:color w:val="auto"/>
        </w:rPr>
      </w:pPr>
      <w:r>
        <w:rPr>
          <w:rFonts w:ascii="Times New Roman" w:cs="Times New Roman" w:eastAsia="Times New Roman" w:hAnsi="Times New Roman"/>
          <w:sz w:val="19"/>
          <w:szCs w:val="19"/>
          <w:color w:val="auto"/>
        </w:rPr>
        <w:t>Boston, MA 02215</w:t>
      </w:r>
    </w:p>
    <w:p>
      <w:pPr>
        <w:ind w:left="5800"/>
        <w:spacing w:after="0"/>
        <w:rPr>
          <w:sz w:val="20"/>
          <w:szCs w:val="20"/>
          <w:color w:val="auto"/>
        </w:rPr>
      </w:pPr>
      <w:r>
        <w:rPr>
          <w:rFonts w:ascii="Times New Roman" w:cs="Times New Roman" w:eastAsia="Times New Roman" w:hAnsi="Times New Roman"/>
          <w:sz w:val="19"/>
          <w:szCs w:val="19"/>
          <w:color w:val="auto"/>
        </w:rPr>
        <w:t>March 19, 2024</w:t>
      </w:r>
    </w:p>
    <w:p>
      <w:pPr>
        <w:spacing w:after="0" w:line="1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CarGurus, Inc.</w:t>
      </w:r>
    </w:p>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2 Canal Park</w:t>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Cambridge, MA 02141</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Attention: Senior Manager Facilities &amp; Operations</w:t>
      </w:r>
    </w:p>
    <w:p>
      <w:pPr>
        <w:spacing w:after="0" w:line="194" w:lineRule="exact"/>
        <w:rPr>
          <w:sz w:val="20"/>
          <w:szCs w:val="20"/>
          <w:color w:val="auto"/>
        </w:rPr>
      </w:pPr>
    </w:p>
    <w:p>
      <w:pPr>
        <w:ind w:left="1500" w:right="3780" w:hanging="716"/>
        <w:spacing w:after="0" w:line="246" w:lineRule="auto"/>
        <w:rPr>
          <w:sz w:val="20"/>
          <w:szCs w:val="20"/>
          <w:color w:val="auto"/>
        </w:rPr>
      </w:pPr>
      <w:r>
        <w:rPr>
          <w:rFonts w:ascii="Times New Roman" w:cs="Times New Roman" w:eastAsia="Times New Roman" w:hAnsi="Times New Roman"/>
          <w:sz w:val="19"/>
          <w:szCs w:val="19"/>
          <w:color w:val="auto"/>
        </w:rPr>
        <w:t>Re: Lease dated December 19, 2019 between P-12 Property LLC (as successor-in­ interest to S&amp;A P-12 Property LLC) and CarGurus, Inc., as amended by that certain First Amendment to Lease dated as of June 12, 2020 (as amended, the “Lease”) at 1001 Boylston Street, Boston,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-28575</wp:posOffset>
            </wp:positionV>
            <wp:extent cx="33604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200" w:lineRule="exact"/>
        <w:rPr>
          <w:sz w:val="20"/>
          <w:szCs w:val="20"/>
          <w:color w:val="auto"/>
        </w:rPr>
      </w:pPr>
    </w:p>
    <w:p>
      <w:pPr>
        <w:ind w:left="60" w:right="360" w:firstLine="710"/>
        <w:spacing w:after="0" w:line="265" w:lineRule="auto"/>
        <w:rPr>
          <w:sz w:val="20"/>
          <w:szCs w:val="20"/>
          <w:color w:val="auto"/>
        </w:rPr>
      </w:pPr>
      <w:r>
        <w:rPr>
          <w:rFonts w:ascii="Times New Roman" w:cs="Times New Roman" w:eastAsia="Times New Roman" w:hAnsi="Times New Roman"/>
          <w:sz w:val="19"/>
          <w:szCs w:val="19"/>
          <w:color w:val="auto"/>
        </w:rPr>
        <w:t>Reference is hereby made to the Lease. Capitalized terms used herein but not otherwise defined shall have the meanings ascribed to them in the Lease.</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This letter agreement is entered into by Landlord and Tenant to confirm and memorialize the following with respect to the Lease:</w:t>
      </w:r>
    </w:p>
    <w:p>
      <w:pPr>
        <w:spacing w:after="0" w:line="200" w:lineRule="exact"/>
        <w:rPr>
          <w:sz w:val="20"/>
          <w:szCs w:val="20"/>
          <w:color w:val="auto"/>
        </w:rPr>
      </w:pPr>
    </w:p>
    <w:p>
      <w:pPr>
        <w:ind w:left="1120" w:hanging="359"/>
        <w:spacing w:after="0"/>
        <w:tabs>
          <w:tab w:leader="none" w:pos="1120" w:val="left"/>
        </w:tabs>
        <w:numPr>
          <w:ilvl w:val="0"/>
          <w:numId w:val="33"/>
        </w:numPr>
        <w:rPr>
          <w:rFonts w:ascii="Times New Roman" w:cs="Times New Roman" w:eastAsia="Times New Roman" w:hAnsi="Times New Roman"/>
          <w:sz w:val="19"/>
          <w:szCs w:val="19"/>
          <w:color w:val="2D2D2D"/>
        </w:rPr>
      </w:pPr>
      <w:r>
        <w:rPr>
          <w:rFonts w:ascii="Times New Roman" w:cs="Times New Roman" w:eastAsia="Times New Roman" w:hAnsi="Times New Roman"/>
          <w:sz w:val="19"/>
          <w:szCs w:val="19"/>
          <w:color w:val="auto"/>
        </w:rPr>
        <w:t>The Substantial Completion Date is December 4, 2023.</w:t>
      </w:r>
    </w:p>
    <w:p>
      <w:pPr>
        <w:spacing w:after="0" w:line="213" w:lineRule="exact"/>
        <w:rPr>
          <w:rFonts w:ascii="Times New Roman" w:cs="Times New Roman" w:eastAsia="Times New Roman" w:hAnsi="Times New Roman"/>
          <w:sz w:val="19"/>
          <w:szCs w:val="19"/>
          <w:color w:val="2D2D2D"/>
        </w:rPr>
      </w:pPr>
    </w:p>
    <w:p>
      <w:pPr>
        <w:ind w:left="1120" w:hanging="359"/>
        <w:spacing w:after="0"/>
        <w:tabs>
          <w:tab w:leader="none" w:pos="1120" w:val="left"/>
        </w:tabs>
        <w:numPr>
          <w:ilvl w:val="0"/>
          <w:numId w:val="33"/>
        </w:numPr>
        <w:rPr>
          <w:rFonts w:ascii="Times New Roman" w:cs="Times New Roman" w:eastAsia="Times New Roman" w:hAnsi="Times New Roman"/>
          <w:sz w:val="19"/>
          <w:szCs w:val="19"/>
          <w:color w:val="2D2D2D"/>
        </w:rPr>
      </w:pPr>
      <w:r>
        <w:rPr>
          <w:rFonts w:ascii="Times New Roman" w:cs="Times New Roman" w:eastAsia="Times New Roman" w:hAnsi="Times New Roman"/>
          <w:sz w:val="19"/>
          <w:szCs w:val="19"/>
          <w:color w:val="auto"/>
        </w:rPr>
        <w:t>The Commencement Date is February 3, 2024.</w:t>
      </w:r>
    </w:p>
    <w:p>
      <w:pPr>
        <w:spacing w:after="0" w:line="227" w:lineRule="exact"/>
        <w:rPr>
          <w:rFonts w:ascii="Times New Roman" w:cs="Times New Roman" w:eastAsia="Times New Roman" w:hAnsi="Times New Roman"/>
          <w:sz w:val="19"/>
          <w:szCs w:val="19"/>
          <w:color w:val="2D2D2D"/>
        </w:rPr>
      </w:pPr>
    </w:p>
    <w:p>
      <w:pPr>
        <w:ind w:left="1120" w:hanging="359"/>
        <w:spacing w:after="0"/>
        <w:tabs>
          <w:tab w:leader="none" w:pos="1120" w:val="left"/>
        </w:tabs>
        <w:numPr>
          <w:ilvl w:val="0"/>
          <w:numId w:val="33"/>
        </w:numPr>
        <w:rPr>
          <w:rFonts w:ascii="Times New Roman" w:cs="Times New Roman" w:eastAsia="Times New Roman" w:hAnsi="Times New Roman"/>
          <w:sz w:val="19"/>
          <w:szCs w:val="19"/>
          <w:color w:val="2D2D2D"/>
        </w:rPr>
      </w:pPr>
      <w:r>
        <w:rPr>
          <w:rFonts w:ascii="Times New Roman" w:cs="Times New Roman" w:eastAsia="Times New Roman" w:hAnsi="Times New Roman"/>
          <w:sz w:val="19"/>
          <w:szCs w:val="19"/>
          <w:color w:val="auto"/>
        </w:rPr>
        <w:t>The Fixed Rent Commencement Date is October 3, 2024.</w:t>
      </w:r>
    </w:p>
    <w:p>
      <w:pPr>
        <w:spacing w:after="0" w:line="200" w:lineRule="exact"/>
        <w:rPr>
          <w:rFonts w:ascii="Times New Roman" w:cs="Times New Roman" w:eastAsia="Times New Roman" w:hAnsi="Times New Roman"/>
          <w:sz w:val="19"/>
          <w:szCs w:val="19"/>
          <w:color w:val="2D2D2D"/>
        </w:rPr>
      </w:pPr>
    </w:p>
    <w:p>
      <w:pPr>
        <w:ind w:left="1120" w:hanging="359"/>
        <w:spacing w:after="0"/>
        <w:tabs>
          <w:tab w:leader="none" w:pos="1120" w:val="left"/>
        </w:tabs>
        <w:numPr>
          <w:ilvl w:val="0"/>
          <w:numId w:val="33"/>
        </w:numPr>
        <w:rPr>
          <w:rFonts w:ascii="Times New Roman" w:cs="Times New Roman" w:eastAsia="Times New Roman" w:hAnsi="Times New Roman"/>
          <w:sz w:val="19"/>
          <w:szCs w:val="19"/>
          <w:color w:val="2D2D2D"/>
        </w:rPr>
      </w:pPr>
      <w:r>
        <w:rPr>
          <w:rFonts w:ascii="Times New Roman" w:cs="Times New Roman" w:eastAsia="Times New Roman" w:hAnsi="Times New Roman"/>
          <w:sz w:val="19"/>
          <w:szCs w:val="19"/>
          <w:color w:val="auto"/>
        </w:rPr>
        <w:t>As the parties have previously agreed, Tenant is entitled to rent credits in the amount of</w:t>
      </w:r>
    </w:p>
    <w:p>
      <w:pPr>
        <w:spacing w:after="0" w:line="17" w:lineRule="exact"/>
        <w:rPr>
          <w:rFonts w:ascii="Times New Roman" w:cs="Times New Roman" w:eastAsia="Times New Roman" w:hAnsi="Times New Roman"/>
          <w:sz w:val="19"/>
          <w:szCs w:val="19"/>
          <w:color w:val="2D2D2D"/>
        </w:rPr>
      </w:pPr>
    </w:p>
    <w:p>
      <w:pPr>
        <w:jc w:val="both"/>
        <w:ind w:left="1120" w:right="120" w:firstLine="4"/>
        <w:spacing w:after="0" w:line="239" w:lineRule="auto"/>
        <w:rPr>
          <w:rFonts w:ascii="Times New Roman" w:cs="Times New Roman" w:eastAsia="Times New Roman" w:hAnsi="Times New Roman"/>
          <w:sz w:val="19"/>
          <w:szCs w:val="19"/>
          <w:color w:val="2D2D2D"/>
        </w:rPr>
      </w:pPr>
      <w:r>
        <w:rPr>
          <w:rFonts w:ascii="Times New Roman" w:cs="Times New Roman" w:eastAsia="Times New Roman" w:hAnsi="Times New Roman"/>
          <w:sz w:val="19"/>
          <w:szCs w:val="19"/>
          <w:color w:val="auto"/>
        </w:rPr>
        <w:t>$7,862,311.03 (the “Delivery Date Rent Credits”) on account of the Delivery Date occurring on February 3, 2023. The Delivery Date Rent Credits shall be applied by Landlord against the payments of Annual Fixed Rent otherwise due and payable under the Lease commencing on the Fixed Rent Commencement Date and each month thereafter until such Delivery Date Rent Credits have been credited in full to Annual Fixed Rent, as set forth in the chart below.</w:t>
      </w:r>
    </w:p>
    <w:p>
      <w:pPr>
        <w:spacing w:after="0" w:line="139" w:lineRule="exact"/>
        <w:rPr>
          <w:sz w:val="20"/>
          <w:szCs w:val="20"/>
          <w:color w:val="auto"/>
        </w:rPr>
      </w:pPr>
    </w:p>
    <w:tbl>
      <w:tblPr>
        <w:tblLayout w:type="fixed"/>
        <w:tblInd w:w="750" w:type="dxa"/>
        <w:tblCellMar>
          <w:top w:w="0" w:type="dxa"/>
          <w:left w:w="0" w:type="dxa"/>
          <w:bottom w:w="0" w:type="dxa"/>
          <w:right w:w="0" w:type="dxa"/>
        </w:tblCellMar>
      </w:tblPr>
      <w:tr>
        <w:trPr>
          <w:trHeight w:val="233"/>
        </w:trPr>
        <w:tc>
          <w:tcPr>
            <w:tcW w:w="120" w:type="dxa"/>
            <w:vAlign w:val="bottom"/>
            <w:tcBorders>
              <w:top w:val="single" w:sz="8" w:color="auto"/>
              <w:left w:val="single" w:sz="8" w:color="auto"/>
            </w:tcBorders>
          </w:tcPr>
          <w:p>
            <w:pPr>
              <w:spacing w:after="0"/>
              <w:rPr>
                <w:sz w:val="20"/>
                <w:szCs w:val="20"/>
                <w:color w:val="auto"/>
              </w:rPr>
            </w:pPr>
          </w:p>
        </w:tc>
        <w:tc>
          <w:tcPr>
            <w:tcW w:w="430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rPr>
              <w:t>Tine Period</w:t>
            </w:r>
          </w:p>
        </w:tc>
        <w:tc>
          <w:tcPr>
            <w:tcW w:w="80" w:type="dxa"/>
            <w:vAlign w:val="bottom"/>
            <w:tcBorders>
              <w:top w:val="single" w:sz="8" w:color="auto"/>
            </w:tcBorders>
          </w:tcPr>
          <w:p>
            <w:pPr>
              <w:spacing w:after="0"/>
              <w:rPr>
                <w:sz w:val="20"/>
                <w:szCs w:val="20"/>
                <w:color w:val="auto"/>
              </w:rPr>
            </w:pPr>
          </w:p>
        </w:tc>
        <w:tc>
          <w:tcPr>
            <w:tcW w:w="1880" w:type="dxa"/>
            <w:vAlign w:val="bottom"/>
            <w:tcBorders>
              <w:top w:val="single" w:sz="8" w:color="auto"/>
              <w:bottom w:val="single" w:sz="8" w:color="auto"/>
            </w:tcBorders>
          </w:tcPr>
          <w:p>
            <w:pPr>
              <w:spacing w:after="0" w:line="216" w:lineRule="exact"/>
              <w:rPr>
                <w:sz w:val="20"/>
                <w:szCs w:val="20"/>
                <w:color w:val="auto"/>
              </w:rPr>
            </w:pPr>
            <w:r>
              <w:rPr>
                <w:rFonts w:ascii="Times New Roman" w:cs="Times New Roman" w:eastAsia="Times New Roman" w:hAnsi="Times New Roman"/>
                <w:sz w:val="19"/>
                <w:szCs w:val="19"/>
                <w:color w:val="auto"/>
                <w:w w:val="97"/>
              </w:rPr>
              <w:t>Monthly Fixed Rent Due</w:t>
            </w:r>
          </w:p>
        </w:tc>
        <w:tc>
          <w:tcPr>
            <w:tcW w:w="760" w:type="dxa"/>
            <w:vAlign w:val="bottom"/>
            <w:tcBorders>
              <w:top w:val="single" w:sz="8" w:color="auto"/>
              <w:bottom w:val="single" w:sz="8" w:color="auto"/>
              <w:right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9"/>
                <w:szCs w:val="19"/>
                <w:color w:val="auto"/>
              </w:rPr>
              <w:t>Delivery Date Rent</w:t>
            </w: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360" w:type="dxa"/>
            <w:vAlign w:val="bottom"/>
            <w:tcBorders>
              <w:right w:val="single" w:sz="8" w:color="auto"/>
            </w:tcBorders>
            <w:gridSpan w:val="4"/>
            <w:vMerge w:val="restart"/>
          </w:tcPr>
          <w:p>
            <w:pPr>
              <w:jc w:val="center"/>
              <w:ind w:right="500"/>
              <w:spacing w:after="0" w:line="196" w:lineRule="exact"/>
              <w:rPr>
                <w:sz w:val="20"/>
                <w:szCs w:val="20"/>
                <w:color w:val="auto"/>
              </w:rPr>
            </w:pPr>
            <w:r>
              <w:rPr>
                <w:rFonts w:ascii="Times New Roman" w:cs="Times New Roman" w:eastAsia="Times New Roman" w:hAnsi="Times New Roman"/>
                <w:sz w:val="19"/>
                <w:szCs w:val="19"/>
                <w:color w:val="auto"/>
                <w:w w:val="98"/>
              </w:rPr>
              <w:t>Credits Amount Applied</w:t>
            </w: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3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500" w:type="dxa"/>
            <w:vAlign w:val="bottom"/>
            <w:vMerge w:val="continue"/>
          </w:tcPr>
          <w:p>
            <w:pPr>
              <w:spacing w:after="0"/>
              <w:rPr>
                <w:sz w:val="13"/>
                <w:szCs w:val="13"/>
                <w:color w:val="auto"/>
              </w:rPr>
            </w:pPr>
          </w:p>
        </w:tc>
        <w:tc>
          <w:tcPr>
            <w:tcW w:w="2360" w:type="dxa"/>
            <w:vAlign w:val="bottom"/>
            <w:tcBorders>
              <w:right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120" w:type="dxa"/>
            <w:vAlign w:val="bottom"/>
            <w:tcBorders>
              <w:left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148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20" w:type="dxa"/>
            <w:vAlign w:val="bottom"/>
            <w:tcBorders>
              <w:left w:val="single" w:sz="8" w:color="auto"/>
              <w:bottom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9"/>
                <w:szCs w:val="19"/>
                <w:color w:val="auto"/>
              </w:rPr>
              <w:t>Fixed Rent Commencement Date – October 31, 2024</w:t>
            </w:r>
          </w:p>
        </w:tc>
        <w:tc>
          <w:tcPr>
            <w:tcW w:w="19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9"/>
                <w:szCs w:val="19"/>
                <w:color w:val="auto"/>
              </w:rPr>
              <w:t>$1,141,411.05</w:t>
            </w:r>
          </w:p>
        </w:tc>
        <w:tc>
          <w:tcPr>
            <w:tcW w:w="760" w:type="dxa"/>
            <w:vAlign w:val="bottom"/>
            <w:tcBorders>
              <w:bottom w:val="single" w:sz="8" w:color="auto"/>
              <w:right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left="566"/>
              <w:spacing w:after="0"/>
              <w:rPr>
                <w:sz w:val="20"/>
                <w:szCs w:val="20"/>
                <w:color w:val="auto"/>
              </w:rPr>
            </w:pPr>
            <w:r>
              <w:rPr>
                <w:rFonts w:ascii="Times New Roman" w:cs="Times New Roman" w:eastAsia="Times New Roman" w:hAnsi="Times New Roman"/>
                <w:sz w:val="19"/>
                <w:szCs w:val="19"/>
                <w:color w:val="auto"/>
                <w:w w:val="98"/>
              </w:rPr>
              <w:t>$ 1,141,411.05</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3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9"/>
                <w:szCs w:val="19"/>
                <w:color w:val="auto"/>
              </w:rPr>
              <w:t>November 1. 2024 – November 30. 2024</w:t>
            </w:r>
          </w:p>
        </w:tc>
        <w:tc>
          <w:tcPr>
            <w:tcW w:w="19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9"/>
                <w:szCs w:val="19"/>
                <w:color w:val="auto"/>
              </w:rPr>
              <w:t>$1,220,129.05</w:t>
            </w:r>
          </w:p>
        </w:tc>
        <w:tc>
          <w:tcPr>
            <w:tcW w:w="76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566"/>
              <w:spacing w:after="0"/>
              <w:rPr>
                <w:sz w:val="20"/>
                <w:szCs w:val="20"/>
                <w:color w:val="auto"/>
              </w:rPr>
            </w:pPr>
            <w:r>
              <w:rPr>
                <w:rFonts w:ascii="Times New Roman" w:cs="Times New Roman" w:eastAsia="Times New Roman" w:hAnsi="Times New Roman"/>
                <w:sz w:val="19"/>
                <w:szCs w:val="19"/>
                <w:color w:val="auto"/>
                <w:w w:val="98"/>
              </w:rPr>
              <w:t>$1,220,129.05</w:t>
            </w: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3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rPr>
              <w:t>December 1, 2024 – December 31, 2024</w:t>
            </w:r>
          </w:p>
        </w:tc>
        <w:tc>
          <w:tcPr>
            <w:tcW w:w="19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9"/>
                <w:szCs w:val="19"/>
                <w:color w:val="auto"/>
              </w:rPr>
              <w:t>$1,220,129.05</w:t>
            </w:r>
          </w:p>
        </w:tc>
        <w:tc>
          <w:tcPr>
            <w:tcW w:w="76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566"/>
              <w:spacing w:after="0"/>
              <w:rPr>
                <w:sz w:val="20"/>
                <w:szCs w:val="20"/>
                <w:color w:val="auto"/>
              </w:rPr>
            </w:pPr>
            <w:r>
              <w:rPr>
                <w:rFonts w:ascii="Times New Roman" w:cs="Times New Roman" w:eastAsia="Times New Roman" w:hAnsi="Times New Roman"/>
                <w:sz w:val="19"/>
                <w:szCs w:val="19"/>
                <w:color w:val="auto"/>
                <w:w w:val="98"/>
              </w:rPr>
              <w:t>$1,220,129.05</w:t>
            </w: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auto"/>
              <w:bottom w:val="single" w:sz="8" w:color="auto"/>
            </w:tcBorders>
          </w:tcPr>
          <w:p>
            <w:pPr>
              <w:spacing w:after="0"/>
              <w:rPr>
                <w:sz w:val="20"/>
                <w:szCs w:val="20"/>
                <w:color w:val="auto"/>
              </w:rPr>
            </w:pPr>
          </w:p>
        </w:tc>
        <w:tc>
          <w:tcPr>
            <w:tcW w:w="43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9"/>
                <w:szCs w:val="19"/>
                <w:color w:val="auto"/>
              </w:rPr>
              <w:t>January 1, 2025 – January 31, 2025</w:t>
            </w:r>
          </w:p>
        </w:tc>
        <w:tc>
          <w:tcPr>
            <w:tcW w:w="19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9"/>
                <w:szCs w:val="19"/>
                <w:color w:val="auto"/>
              </w:rPr>
              <w:t>$1,220.129.05</w:t>
            </w:r>
          </w:p>
        </w:tc>
        <w:tc>
          <w:tcPr>
            <w:tcW w:w="76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566"/>
              <w:spacing w:after="0"/>
              <w:rPr>
                <w:sz w:val="20"/>
                <w:szCs w:val="20"/>
                <w:color w:val="auto"/>
              </w:rPr>
            </w:pPr>
            <w:r>
              <w:rPr>
                <w:rFonts w:ascii="Times New Roman" w:cs="Times New Roman" w:eastAsia="Times New Roman" w:hAnsi="Times New Roman"/>
                <w:sz w:val="19"/>
                <w:szCs w:val="19"/>
                <w:color w:val="auto"/>
                <w:w w:val="98"/>
              </w:rPr>
              <w:t>$1,220,129.05</w:t>
            </w: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3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rPr>
              <w:t>February 1, 2025 – February 28, 2025</w:t>
            </w:r>
          </w:p>
        </w:tc>
        <w:tc>
          <w:tcPr>
            <w:tcW w:w="19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9"/>
                <w:szCs w:val="19"/>
                <w:color w:val="auto"/>
              </w:rPr>
              <w:t>$1,220,129.05</w:t>
            </w:r>
          </w:p>
        </w:tc>
        <w:tc>
          <w:tcPr>
            <w:tcW w:w="76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566"/>
              <w:spacing w:after="0"/>
              <w:rPr>
                <w:sz w:val="20"/>
                <w:szCs w:val="20"/>
                <w:color w:val="auto"/>
              </w:rPr>
            </w:pPr>
            <w:r>
              <w:rPr>
                <w:rFonts w:ascii="Times New Roman" w:cs="Times New Roman" w:eastAsia="Times New Roman" w:hAnsi="Times New Roman"/>
                <w:sz w:val="19"/>
                <w:szCs w:val="19"/>
                <w:color w:val="auto"/>
                <w:w w:val="98"/>
              </w:rPr>
              <w:t>$1,220,129.05</w:t>
            </w: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auto"/>
              <w:bottom w:val="single" w:sz="8" w:color="auto"/>
            </w:tcBorders>
          </w:tcPr>
          <w:p>
            <w:pPr>
              <w:spacing w:after="0"/>
              <w:rPr>
                <w:sz w:val="20"/>
                <w:szCs w:val="20"/>
                <w:color w:val="auto"/>
              </w:rPr>
            </w:pPr>
          </w:p>
        </w:tc>
        <w:tc>
          <w:tcPr>
            <w:tcW w:w="43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rPr>
              <w:t>March 1, 2025 – March 31, 2025</w:t>
            </w:r>
          </w:p>
        </w:tc>
        <w:tc>
          <w:tcPr>
            <w:tcW w:w="19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9"/>
                <w:szCs w:val="19"/>
                <w:color w:val="auto"/>
              </w:rPr>
              <w:t>$1,244,550.42</w:t>
            </w:r>
          </w:p>
        </w:tc>
        <w:tc>
          <w:tcPr>
            <w:tcW w:w="76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586"/>
              <w:spacing w:after="0"/>
              <w:rPr>
                <w:sz w:val="20"/>
                <w:szCs w:val="20"/>
                <w:color w:val="auto"/>
              </w:rPr>
            </w:pPr>
            <w:r>
              <w:rPr>
                <w:rFonts w:ascii="Times New Roman" w:cs="Times New Roman" w:eastAsia="Times New Roman" w:hAnsi="Times New Roman"/>
                <w:sz w:val="19"/>
                <w:szCs w:val="19"/>
                <w:color w:val="auto"/>
              </w:rPr>
              <w:t>$1,244,550.42</w:t>
            </w: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3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rPr>
              <w:t>April 1, 2025 – April 30, 2025</w:t>
            </w:r>
          </w:p>
        </w:tc>
        <w:tc>
          <w:tcPr>
            <w:tcW w:w="19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9"/>
                <w:szCs w:val="19"/>
                <w:color w:val="auto"/>
              </w:rPr>
              <w:t>$1,244,550.42</w:t>
            </w:r>
          </w:p>
        </w:tc>
        <w:tc>
          <w:tcPr>
            <w:tcW w:w="76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566"/>
              <w:spacing w:after="0"/>
              <w:rPr>
                <w:sz w:val="20"/>
                <w:szCs w:val="20"/>
                <w:color w:val="auto"/>
              </w:rPr>
            </w:pPr>
            <w:r>
              <w:rPr>
                <w:rFonts w:ascii="Times New Roman" w:cs="Times New Roman" w:eastAsia="Times New Roman" w:hAnsi="Times New Roman"/>
                <w:sz w:val="19"/>
                <w:szCs w:val="19"/>
                <w:color w:val="auto"/>
                <w:w w:val="99"/>
              </w:rPr>
              <w:t>$595,833.36*</w:t>
            </w: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left="740" w:right="140" w:hanging="3"/>
        <w:spacing w:after="0" w:line="251" w:lineRule="auto"/>
        <w:rPr>
          <w:sz w:val="20"/>
          <w:szCs w:val="20"/>
          <w:color w:val="auto"/>
        </w:rPr>
      </w:pPr>
      <w:r>
        <w:rPr>
          <w:rFonts w:ascii="Times New Roman" w:cs="Times New Roman" w:eastAsia="Times New Roman" w:hAnsi="Times New Roman"/>
          <w:sz w:val="19"/>
          <w:szCs w:val="19"/>
          <w:color w:val="auto"/>
        </w:rPr>
        <w:t>*Tenant shall, on or before April 1, 2025, pay to Landlord $648,717.06, constituting the balance of Monthly Fixed Rent due for the month of April 2025. From and after May 1, 2025, Tenant shall pay Monthly Fixed Rent in the amount, time, and manner set forth in the Lease.</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4881-1237-2394, </w:t>
      </w:r>
      <w:r>
        <w:rPr>
          <w:rFonts w:ascii="Times New Roman" w:cs="Times New Roman" w:eastAsia="Times New Roman" w:hAnsi="Times New Roman"/>
          <w:sz w:val="17"/>
          <w:szCs w:val="17"/>
          <w:color w:val="auto"/>
        </w:rPr>
        <w:t>v.</w:t>
      </w:r>
      <w:r>
        <w:rPr>
          <w:rFonts w:ascii="Times New Roman" w:cs="Times New Roman" w:eastAsia="Times New Roman" w:hAnsi="Times New Roman"/>
          <w:sz w:val="14"/>
          <w:szCs w:val="14"/>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492125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761" w:right="339" w:bottom="1440" w:gutter="0" w:footer="0" w:header="0"/>
        </w:sectPr>
      </w:pPr>
    </w:p>
    <w:bookmarkStart w:id="65" w:name="page66"/>
    <w:bookmarkEnd w:id="65"/>
    <w:p>
      <w:pPr>
        <w:jc w:val="both"/>
        <w:ind w:left="1140" w:right="20" w:hanging="338"/>
        <w:spacing w:after="0" w:line="251" w:lineRule="auto"/>
        <w:tabs>
          <w:tab w:leader="none" w:pos="1532" w:val="left"/>
        </w:tabs>
        <w:numPr>
          <w:ilvl w:val="3"/>
          <w:numId w:val="34"/>
        </w:numPr>
        <w:rPr>
          <w:rFonts w:ascii="Times New Roman" w:cs="Times New Roman" w:eastAsia="Times New Roman" w:hAnsi="Times New Roman"/>
          <w:sz w:val="19"/>
          <w:szCs w:val="19"/>
          <w:color w:val="2D2D2D"/>
        </w:rPr>
      </w:pPr>
      <w:r>
        <w:rPr>
          <w:rFonts w:ascii="Times New Roman" w:cs="Times New Roman" w:eastAsia="Times New Roman" w:hAnsi="Times New Roman"/>
          <w:sz w:val="19"/>
          <w:szCs w:val="19"/>
          <w:color w:val="1D1D1D"/>
        </w:rPr>
        <w:t xml:space="preserve">As the parties </w:t>
      </w:r>
      <w:r>
        <w:rPr>
          <w:rFonts w:ascii="Times New Roman" w:cs="Times New Roman" w:eastAsia="Times New Roman" w:hAnsi="Times New Roman"/>
          <w:sz w:val="19"/>
          <w:szCs w:val="19"/>
          <w:color w:val="0C0C0C"/>
        </w:rPr>
        <w:t>have</w:t>
      </w:r>
      <w:r>
        <w:rPr>
          <w:rFonts w:ascii="Times New Roman" w:cs="Times New Roman" w:eastAsia="Times New Roman" w:hAnsi="Times New Roman"/>
          <w:sz w:val="19"/>
          <w:szCs w:val="19"/>
          <w:color w:val="1D1D1D"/>
        </w:rPr>
        <w:t xml:space="preserve"> </w:t>
      </w:r>
      <w:r>
        <w:rPr>
          <w:rFonts w:ascii="Times New Roman" w:cs="Times New Roman" w:eastAsia="Times New Roman" w:hAnsi="Times New Roman"/>
          <w:sz w:val="19"/>
          <w:szCs w:val="19"/>
          <w:color w:val="2D2D2D"/>
        </w:rPr>
        <w:t>previously</w:t>
      </w:r>
      <w:r>
        <w:rPr>
          <w:rFonts w:ascii="Times New Roman" w:cs="Times New Roman" w:eastAsia="Times New Roman" w:hAnsi="Times New Roman"/>
          <w:sz w:val="19"/>
          <w:szCs w:val="19"/>
          <w:color w:val="1D1D1D"/>
        </w:rPr>
        <w:t xml:space="preserve"> agreed, the full </w:t>
      </w:r>
      <w:r>
        <w:rPr>
          <w:rFonts w:ascii="Times New Roman" w:cs="Times New Roman" w:eastAsia="Times New Roman" w:hAnsi="Times New Roman"/>
          <w:sz w:val="19"/>
          <w:szCs w:val="19"/>
          <w:color w:val="2D2D2D"/>
        </w:rPr>
        <w:t>and</w:t>
      </w:r>
      <w:r>
        <w:rPr>
          <w:rFonts w:ascii="Times New Roman" w:cs="Times New Roman" w:eastAsia="Times New Roman" w:hAnsi="Times New Roman"/>
          <w:sz w:val="19"/>
          <w:szCs w:val="19"/>
          <w:color w:val="1D1D1D"/>
        </w:rPr>
        <w:t xml:space="preserve"> final amount </w:t>
      </w:r>
      <w:r>
        <w:rPr>
          <w:rFonts w:ascii="Times New Roman" w:cs="Times New Roman" w:eastAsia="Times New Roman" w:hAnsi="Times New Roman"/>
          <w:sz w:val="19"/>
          <w:szCs w:val="19"/>
          <w:color w:val="2D2D2D"/>
        </w:rPr>
        <w:t>of</w:t>
      </w:r>
      <w:r>
        <w:rPr>
          <w:rFonts w:ascii="Times New Roman" w:cs="Times New Roman" w:eastAsia="Times New Roman" w:hAnsi="Times New Roman"/>
          <w:sz w:val="19"/>
          <w:szCs w:val="19"/>
          <w:color w:val="1D1D1D"/>
        </w:rPr>
        <w:t xml:space="preserve"> the Holdover </w:t>
      </w:r>
      <w:r>
        <w:rPr>
          <w:rFonts w:ascii="Times New Roman" w:cs="Times New Roman" w:eastAsia="Times New Roman" w:hAnsi="Times New Roman"/>
          <w:sz w:val="19"/>
          <w:szCs w:val="19"/>
          <w:color w:val="2D2D2D"/>
        </w:rPr>
        <w:t>Compensation</w:t>
      </w:r>
      <w:r>
        <w:rPr>
          <w:rFonts w:ascii="Times New Roman" w:cs="Times New Roman" w:eastAsia="Times New Roman" w:hAnsi="Times New Roman"/>
          <w:sz w:val="19"/>
          <w:szCs w:val="19"/>
          <w:color w:val="1D1D1D"/>
        </w:rPr>
        <w:t xml:space="preserve"> payable by Landlord to </w:t>
      </w:r>
      <w:r>
        <w:rPr>
          <w:rFonts w:ascii="Times New Roman" w:cs="Times New Roman" w:eastAsia="Times New Roman" w:hAnsi="Times New Roman"/>
          <w:sz w:val="19"/>
          <w:szCs w:val="19"/>
          <w:color w:val="2D2D2D"/>
        </w:rPr>
        <w:t xml:space="preserve">Tenant </w:t>
      </w:r>
      <w:r>
        <w:rPr>
          <w:rFonts w:ascii="Times New Roman" w:cs="Times New Roman" w:eastAsia="Times New Roman" w:hAnsi="Times New Roman"/>
          <w:sz w:val="19"/>
          <w:szCs w:val="19"/>
          <w:color w:val="1D1D1D"/>
        </w:rPr>
        <w:t>is $1,</w:t>
      </w:r>
      <w:r>
        <w:rPr>
          <w:rFonts w:ascii="Times New Roman" w:cs="Times New Roman" w:eastAsia="Times New Roman" w:hAnsi="Times New Roman"/>
          <w:sz w:val="19"/>
          <w:szCs w:val="19"/>
          <w:color w:val="2D2D2D"/>
        </w:rPr>
        <w:t xml:space="preserve">482,487.76. </w:t>
      </w:r>
      <w:r>
        <w:rPr>
          <w:rFonts w:ascii="Times New Roman" w:cs="Times New Roman" w:eastAsia="Times New Roman" w:hAnsi="Times New Roman"/>
          <w:sz w:val="19"/>
          <w:szCs w:val="19"/>
          <w:color w:val="1D1D1D"/>
        </w:rPr>
        <w:t>Landlord</w:t>
      </w:r>
      <w:r>
        <w:rPr>
          <w:rFonts w:ascii="Times New Roman" w:cs="Times New Roman" w:eastAsia="Times New Roman" w:hAnsi="Times New Roman"/>
          <w:sz w:val="19"/>
          <w:szCs w:val="19"/>
          <w:color w:val="2D2D2D"/>
        </w:rPr>
        <w:t xml:space="preserve"> shall </w:t>
      </w:r>
      <w:r>
        <w:rPr>
          <w:rFonts w:ascii="Times New Roman" w:cs="Times New Roman" w:eastAsia="Times New Roman" w:hAnsi="Times New Roman"/>
          <w:sz w:val="19"/>
          <w:szCs w:val="19"/>
          <w:color w:val="1D1D1D"/>
        </w:rPr>
        <w:t>pay the Holdover</w:t>
      </w:r>
      <w:r>
        <w:rPr>
          <w:rFonts w:ascii="Times New Roman" w:cs="Times New Roman" w:eastAsia="Times New Roman" w:hAnsi="Times New Roman"/>
          <w:sz w:val="19"/>
          <w:szCs w:val="19"/>
          <w:color w:val="2D2D2D"/>
        </w:rPr>
        <w:t xml:space="preserve"> Compensation to Tenant within ten (10) business </w:t>
      </w:r>
      <w:r>
        <w:rPr>
          <w:rFonts w:ascii="Times New Roman" w:cs="Times New Roman" w:eastAsia="Times New Roman" w:hAnsi="Times New Roman"/>
          <w:sz w:val="19"/>
          <w:szCs w:val="19"/>
          <w:color w:val="1D1D1D"/>
        </w:rPr>
        <w:t>days</w:t>
      </w:r>
      <w:r>
        <w:rPr>
          <w:rFonts w:ascii="Times New Roman" w:cs="Times New Roman" w:eastAsia="Times New Roman" w:hAnsi="Times New Roman"/>
          <w:sz w:val="19"/>
          <w:szCs w:val="19"/>
          <w:color w:val="2D2D2D"/>
        </w:rPr>
        <w:t xml:space="preserve"> after </w:t>
      </w:r>
      <w:r>
        <w:rPr>
          <w:rFonts w:ascii="Times New Roman" w:cs="Times New Roman" w:eastAsia="Times New Roman" w:hAnsi="Times New Roman"/>
          <w:sz w:val="19"/>
          <w:szCs w:val="19"/>
          <w:color w:val="1D1D1D"/>
        </w:rPr>
        <w:t>the</w:t>
      </w:r>
      <w:r>
        <w:rPr>
          <w:rFonts w:ascii="Times New Roman" w:cs="Times New Roman" w:eastAsia="Times New Roman" w:hAnsi="Times New Roman"/>
          <w:sz w:val="19"/>
          <w:szCs w:val="19"/>
          <w:color w:val="2D2D2D"/>
        </w:rPr>
        <w:t xml:space="preserve"> execution and </w:t>
      </w:r>
      <w:r>
        <w:rPr>
          <w:rFonts w:ascii="Times New Roman" w:cs="Times New Roman" w:eastAsia="Times New Roman" w:hAnsi="Times New Roman"/>
          <w:sz w:val="19"/>
          <w:szCs w:val="19"/>
          <w:color w:val="1D1D1D"/>
        </w:rPr>
        <w:t>delivery of this</w:t>
      </w:r>
      <w:r>
        <w:rPr>
          <w:rFonts w:ascii="Times New Roman" w:cs="Times New Roman" w:eastAsia="Times New Roman" w:hAnsi="Times New Roman"/>
          <w:sz w:val="19"/>
          <w:szCs w:val="19"/>
          <w:color w:val="2D2D2D"/>
        </w:rPr>
        <w:t xml:space="preserve"> </w:t>
      </w:r>
      <w:r>
        <w:rPr>
          <w:rFonts w:ascii="Times New Roman" w:cs="Times New Roman" w:eastAsia="Times New Roman" w:hAnsi="Times New Roman"/>
          <w:sz w:val="19"/>
          <w:szCs w:val="19"/>
          <w:color w:val="0C0C0C"/>
        </w:rPr>
        <w:t>letter</w:t>
      </w:r>
      <w:r>
        <w:rPr>
          <w:rFonts w:ascii="Times New Roman" w:cs="Times New Roman" w:eastAsia="Times New Roman" w:hAnsi="Times New Roman"/>
          <w:sz w:val="19"/>
          <w:szCs w:val="19"/>
          <w:color w:val="2D2D2D"/>
        </w:rPr>
        <w:t xml:space="preserve"> agreement.</w:t>
      </w:r>
    </w:p>
    <w:p>
      <w:pPr>
        <w:spacing w:after="0" w:line="178" w:lineRule="exact"/>
        <w:rPr>
          <w:rFonts w:ascii="Times New Roman" w:cs="Times New Roman" w:eastAsia="Times New Roman" w:hAnsi="Times New Roman"/>
          <w:sz w:val="19"/>
          <w:szCs w:val="19"/>
          <w:color w:val="2D2D2D"/>
        </w:rPr>
      </w:pPr>
    </w:p>
    <w:p>
      <w:pPr>
        <w:jc w:val="both"/>
        <w:ind w:left="1120" w:hanging="350"/>
        <w:spacing w:after="0" w:line="251" w:lineRule="auto"/>
        <w:tabs>
          <w:tab w:leader="none" w:pos="1498" w:val="left"/>
        </w:tabs>
        <w:numPr>
          <w:ilvl w:val="2"/>
          <w:numId w:val="35"/>
        </w:numPr>
        <w:rPr>
          <w:rFonts w:ascii="Times New Roman" w:cs="Times New Roman" w:eastAsia="Times New Roman" w:hAnsi="Times New Roman"/>
          <w:sz w:val="19"/>
          <w:szCs w:val="19"/>
          <w:color w:val="2D2D2D"/>
        </w:rPr>
      </w:pPr>
      <w:r>
        <w:rPr>
          <w:rFonts w:ascii="Times New Roman" w:cs="Times New Roman" w:eastAsia="Times New Roman" w:hAnsi="Times New Roman"/>
          <w:sz w:val="19"/>
          <w:szCs w:val="19"/>
          <w:color w:val="2D2D2D"/>
        </w:rPr>
        <w:t xml:space="preserve">Notwithstanding the </w:t>
      </w:r>
      <w:r>
        <w:rPr>
          <w:rFonts w:ascii="Times New Roman" w:cs="Times New Roman" w:eastAsia="Times New Roman" w:hAnsi="Times New Roman"/>
          <w:sz w:val="19"/>
          <w:szCs w:val="19"/>
          <w:color w:val="1D1D1D"/>
        </w:rPr>
        <w:t>provisions of</w:t>
      </w:r>
      <w:r>
        <w:rPr>
          <w:rFonts w:ascii="Times New Roman" w:cs="Times New Roman" w:eastAsia="Times New Roman" w:hAnsi="Times New Roman"/>
          <w:sz w:val="19"/>
          <w:szCs w:val="19"/>
          <w:color w:val="2D2D2D"/>
        </w:rPr>
        <w:t xml:space="preserve"> Section </w:t>
      </w:r>
      <w:r>
        <w:rPr>
          <w:rFonts w:ascii="Times New Roman" w:cs="Times New Roman" w:eastAsia="Times New Roman" w:hAnsi="Times New Roman"/>
          <w:sz w:val="19"/>
          <w:szCs w:val="19"/>
          <w:color w:val="1D1D1D"/>
        </w:rPr>
        <w:t>10.1</w:t>
      </w:r>
      <w:r>
        <w:rPr>
          <w:rFonts w:ascii="Times New Roman" w:cs="Times New Roman" w:eastAsia="Times New Roman" w:hAnsi="Times New Roman"/>
          <w:sz w:val="19"/>
          <w:szCs w:val="19"/>
          <w:color w:val="2D2D2D"/>
        </w:rPr>
        <w:t xml:space="preserve"> of the Lease, for </w:t>
      </w:r>
      <w:r>
        <w:rPr>
          <w:rFonts w:ascii="Times New Roman" w:cs="Times New Roman" w:eastAsia="Times New Roman" w:hAnsi="Times New Roman"/>
          <w:sz w:val="19"/>
          <w:szCs w:val="19"/>
          <w:color w:val="1D1D1D"/>
        </w:rPr>
        <w:t>the period prior to June 1,</w:t>
      </w:r>
      <w:r>
        <w:rPr>
          <w:rFonts w:ascii="Times New Roman" w:cs="Times New Roman" w:eastAsia="Times New Roman" w:hAnsi="Times New Roman"/>
          <w:sz w:val="19"/>
          <w:szCs w:val="19"/>
          <w:color w:val="2D2D2D"/>
        </w:rPr>
        <w:t xml:space="preserve"> 2024 only, (i) Landlord shall </w:t>
      </w:r>
      <w:r>
        <w:rPr>
          <w:rFonts w:ascii="Times New Roman" w:cs="Times New Roman" w:eastAsia="Times New Roman" w:hAnsi="Times New Roman"/>
          <w:sz w:val="19"/>
          <w:szCs w:val="19"/>
          <w:color w:val="1D1D1D"/>
        </w:rPr>
        <w:t>not</w:t>
      </w:r>
      <w:r>
        <w:rPr>
          <w:rFonts w:ascii="Times New Roman" w:cs="Times New Roman" w:eastAsia="Times New Roman" w:hAnsi="Times New Roman"/>
          <w:sz w:val="19"/>
          <w:szCs w:val="19"/>
          <w:color w:val="2D2D2D"/>
        </w:rPr>
        <w:t xml:space="preserve"> be </w:t>
      </w:r>
      <w:r>
        <w:rPr>
          <w:rFonts w:ascii="Times New Roman" w:cs="Times New Roman" w:eastAsia="Times New Roman" w:hAnsi="Times New Roman"/>
          <w:sz w:val="19"/>
          <w:szCs w:val="19"/>
          <w:color w:val="1D1D1D"/>
        </w:rPr>
        <w:t>obligated to provide the Parking Privileges</w:t>
      </w:r>
      <w:r>
        <w:rPr>
          <w:rFonts w:ascii="Times New Roman" w:cs="Times New Roman" w:eastAsia="Times New Roman" w:hAnsi="Times New Roman"/>
          <w:sz w:val="19"/>
          <w:szCs w:val="19"/>
          <w:color w:val="2D2D2D"/>
        </w:rPr>
        <w:t xml:space="preserve"> to </w:t>
      </w:r>
      <w:r>
        <w:rPr>
          <w:rFonts w:ascii="Times New Roman" w:cs="Times New Roman" w:eastAsia="Times New Roman" w:hAnsi="Times New Roman"/>
          <w:sz w:val="19"/>
          <w:szCs w:val="19"/>
          <w:color w:val="1D1D1D"/>
        </w:rPr>
        <w:t>Tenant,</w:t>
      </w:r>
      <w:r>
        <w:rPr>
          <w:rFonts w:ascii="Times New Roman" w:cs="Times New Roman" w:eastAsia="Times New Roman" w:hAnsi="Times New Roman"/>
          <w:sz w:val="19"/>
          <w:szCs w:val="19"/>
          <w:color w:val="2D2D2D"/>
        </w:rPr>
        <w:t xml:space="preserve"> (ii) </w:t>
      </w:r>
      <w:r>
        <w:rPr>
          <w:rFonts w:ascii="Times New Roman" w:cs="Times New Roman" w:eastAsia="Times New Roman" w:hAnsi="Times New Roman"/>
          <w:sz w:val="19"/>
          <w:szCs w:val="19"/>
          <w:color w:val="1D1D1D"/>
        </w:rPr>
        <w:t>Landlord may</w:t>
      </w:r>
      <w:r>
        <w:rPr>
          <w:rFonts w:ascii="Times New Roman" w:cs="Times New Roman" w:eastAsia="Times New Roman" w:hAnsi="Times New Roman"/>
          <w:sz w:val="19"/>
          <w:szCs w:val="19"/>
          <w:color w:val="2D2D2D"/>
        </w:rPr>
        <w:t xml:space="preserve"> close </w:t>
      </w:r>
      <w:r>
        <w:rPr>
          <w:rFonts w:ascii="Times New Roman" w:cs="Times New Roman" w:eastAsia="Times New Roman" w:hAnsi="Times New Roman"/>
          <w:sz w:val="19"/>
          <w:szCs w:val="19"/>
          <w:color w:val="1D1D1D"/>
        </w:rPr>
        <w:t>the Parking</w:t>
      </w:r>
      <w:r>
        <w:rPr>
          <w:rFonts w:ascii="Times New Roman" w:cs="Times New Roman" w:eastAsia="Times New Roman" w:hAnsi="Times New Roman"/>
          <w:sz w:val="19"/>
          <w:szCs w:val="19"/>
          <w:color w:val="2D2D2D"/>
        </w:rPr>
        <w:t xml:space="preserve"> Facility and </w:t>
      </w:r>
      <w:r>
        <w:rPr>
          <w:rFonts w:ascii="Times New Roman" w:cs="Times New Roman" w:eastAsia="Times New Roman" w:hAnsi="Times New Roman"/>
          <w:sz w:val="19"/>
          <w:szCs w:val="19"/>
          <w:color w:val="1D1D1D"/>
        </w:rPr>
        <w:t>cease</w:t>
      </w:r>
      <w:r>
        <w:rPr>
          <w:rFonts w:ascii="Times New Roman" w:cs="Times New Roman" w:eastAsia="Times New Roman" w:hAnsi="Times New Roman"/>
          <w:sz w:val="19"/>
          <w:szCs w:val="19"/>
          <w:color w:val="2D2D2D"/>
        </w:rPr>
        <w:t xml:space="preserve"> operations thereof, and </w:t>
      </w:r>
      <w:r>
        <w:rPr>
          <w:rFonts w:ascii="Times New Roman" w:cs="Times New Roman" w:eastAsia="Times New Roman" w:hAnsi="Times New Roman"/>
          <w:sz w:val="19"/>
          <w:szCs w:val="19"/>
          <w:color w:val="1D1D1D"/>
        </w:rPr>
        <w:t>(iii) Tenant shall not be required to pay the Monthly Parking</w:t>
      </w:r>
      <w:r>
        <w:rPr>
          <w:rFonts w:ascii="Times New Roman" w:cs="Times New Roman" w:eastAsia="Times New Roman" w:hAnsi="Times New Roman"/>
          <w:sz w:val="19"/>
          <w:szCs w:val="19"/>
          <w:color w:val="2D2D2D"/>
        </w:rPr>
        <w:t xml:space="preserve"> Charge. Commencing on </w:t>
      </w:r>
      <w:r>
        <w:rPr>
          <w:rFonts w:ascii="Times New Roman" w:cs="Times New Roman" w:eastAsia="Times New Roman" w:hAnsi="Times New Roman"/>
          <w:sz w:val="19"/>
          <w:szCs w:val="19"/>
          <w:color w:val="1D1D1D"/>
        </w:rPr>
        <w:t>June 1</w:t>
      </w:r>
      <w:r>
        <w:rPr>
          <w:rFonts w:ascii="Arial" w:cs="Arial" w:eastAsia="Arial" w:hAnsi="Arial"/>
          <w:sz w:val="19"/>
          <w:szCs w:val="19"/>
          <w:color w:val="0C0C0C"/>
        </w:rPr>
        <w:t>,</w:t>
      </w:r>
      <w:r>
        <w:rPr>
          <w:rFonts w:ascii="Times New Roman" w:cs="Times New Roman" w:eastAsia="Times New Roman" w:hAnsi="Times New Roman"/>
          <w:sz w:val="19"/>
          <w:szCs w:val="19"/>
          <w:color w:val="2D2D2D"/>
        </w:rPr>
        <w:t xml:space="preserve"> 2024, </w:t>
      </w:r>
      <w:r>
        <w:rPr>
          <w:rFonts w:ascii="Times New Roman" w:cs="Times New Roman" w:eastAsia="Times New Roman" w:hAnsi="Times New Roman"/>
          <w:sz w:val="19"/>
          <w:szCs w:val="19"/>
          <w:color w:val="1D1D1D"/>
        </w:rPr>
        <w:t>Landlord</w:t>
      </w:r>
      <w:r>
        <w:rPr>
          <w:rFonts w:ascii="Times New Roman" w:cs="Times New Roman" w:eastAsia="Times New Roman" w:hAnsi="Times New Roman"/>
          <w:sz w:val="19"/>
          <w:szCs w:val="19"/>
          <w:color w:val="2D2D2D"/>
        </w:rPr>
        <w:t xml:space="preserve"> and Tenant shall each perform </w:t>
      </w:r>
      <w:r>
        <w:rPr>
          <w:rFonts w:ascii="Times New Roman" w:cs="Times New Roman" w:eastAsia="Times New Roman" w:hAnsi="Times New Roman"/>
          <w:sz w:val="19"/>
          <w:szCs w:val="19"/>
          <w:color w:val="1D1D1D"/>
        </w:rPr>
        <w:t>their</w:t>
      </w:r>
      <w:r>
        <w:rPr>
          <w:rFonts w:ascii="Times New Roman" w:cs="Times New Roman" w:eastAsia="Times New Roman" w:hAnsi="Times New Roman"/>
          <w:sz w:val="19"/>
          <w:szCs w:val="19"/>
          <w:color w:val="2D2D2D"/>
        </w:rPr>
        <w:t xml:space="preserve"> respective obligations </w:t>
      </w:r>
      <w:r>
        <w:rPr>
          <w:rFonts w:ascii="Times New Roman" w:cs="Times New Roman" w:eastAsia="Times New Roman" w:hAnsi="Times New Roman"/>
          <w:sz w:val="19"/>
          <w:szCs w:val="19"/>
          <w:color w:val="1D1D1D"/>
        </w:rPr>
        <w:t>under</w:t>
      </w:r>
      <w:r>
        <w:rPr>
          <w:rFonts w:ascii="Times New Roman" w:cs="Times New Roman" w:eastAsia="Times New Roman" w:hAnsi="Times New Roman"/>
          <w:sz w:val="19"/>
          <w:szCs w:val="19"/>
          <w:color w:val="2D2D2D"/>
        </w:rPr>
        <w:t xml:space="preserve"> Article X </w:t>
      </w:r>
      <w:r>
        <w:rPr>
          <w:rFonts w:ascii="Times New Roman" w:cs="Times New Roman" w:eastAsia="Times New Roman" w:hAnsi="Times New Roman"/>
          <w:sz w:val="19"/>
          <w:szCs w:val="19"/>
          <w:color w:val="1D1D1D"/>
        </w:rPr>
        <w:t>of the Lease.</w:t>
      </w:r>
    </w:p>
    <w:p>
      <w:pPr>
        <w:spacing w:after="0" w:line="178" w:lineRule="exact"/>
        <w:rPr>
          <w:rFonts w:ascii="Times New Roman" w:cs="Times New Roman" w:eastAsia="Times New Roman" w:hAnsi="Times New Roman"/>
          <w:sz w:val="19"/>
          <w:szCs w:val="19"/>
          <w:color w:val="2D2D2D"/>
        </w:rPr>
      </w:pPr>
    </w:p>
    <w:p>
      <w:pPr>
        <w:jc w:val="both"/>
        <w:ind w:left="1100" w:hanging="343"/>
        <w:spacing w:after="0" w:line="246" w:lineRule="auto"/>
        <w:tabs>
          <w:tab w:leader="none" w:pos="1478" w:val="left"/>
        </w:tabs>
        <w:numPr>
          <w:ilvl w:val="1"/>
          <w:numId w:val="36"/>
        </w:numPr>
        <w:rPr>
          <w:rFonts w:ascii="Times New Roman" w:cs="Times New Roman" w:eastAsia="Times New Roman" w:hAnsi="Times New Roman"/>
          <w:sz w:val="19"/>
          <w:szCs w:val="19"/>
          <w:color w:val="2D2D2D"/>
        </w:rPr>
      </w:pPr>
      <w:r>
        <w:rPr>
          <w:rFonts w:ascii="Times New Roman" w:cs="Times New Roman" w:eastAsia="Times New Roman" w:hAnsi="Times New Roman"/>
          <w:sz w:val="19"/>
          <w:szCs w:val="19"/>
          <w:color w:val="2D2D2D"/>
        </w:rPr>
        <w:t xml:space="preserve">As </w:t>
      </w:r>
      <w:r>
        <w:rPr>
          <w:rFonts w:ascii="Times New Roman" w:cs="Times New Roman" w:eastAsia="Times New Roman" w:hAnsi="Times New Roman"/>
          <w:sz w:val="19"/>
          <w:szCs w:val="19"/>
          <w:color w:val="1D1D1D"/>
        </w:rPr>
        <w:t>the parties have</w:t>
      </w:r>
      <w:r>
        <w:rPr>
          <w:rFonts w:ascii="Times New Roman" w:cs="Times New Roman" w:eastAsia="Times New Roman" w:hAnsi="Times New Roman"/>
          <w:sz w:val="19"/>
          <w:szCs w:val="19"/>
          <w:color w:val="2D2D2D"/>
        </w:rPr>
        <w:t xml:space="preserve"> previously agreed, Landlord shall </w:t>
      </w:r>
      <w:r>
        <w:rPr>
          <w:rFonts w:ascii="Times New Roman" w:cs="Times New Roman" w:eastAsia="Times New Roman" w:hAnsi="Times New Roman"/>
          <w:sz w:val="19"/>
          <w:szCs w:val="19"/>
          <w:color w:val="1D1D1D"/>
        </w:rPr>
        <w:t>pay to Tenant</w:t>
      </w:r>
      <w:r>
        <w:rPr>
          <w:rFonts w:ascii="Times New Roman" w:cs="Times New Roman" w:eastAsia="Times New Roman" w:hAnsi="Times New Roman"/>
          <w:sz w:val="19"/>
          <w:szCs w:val="19"/>
          <w:color w:val="2D2D2D"/>
        </w:rPr>
        <w:t xml:space="preserve"> the amount of $26,246.00 </w:t>
      </w:r>
      <w:r>
        <w:rPr>
          <w:rFonts w:ascii="Times New Roman" w:cs="Times New Roman" w:eastAsia="Times New Roman" w:hAnsi="Times New Roman"/>
          <w:sz w:val="19"/>
          <w:szCs w:val="19"/>
          <w:color w:val="1D1D1D"/>
        </w:rPr>
        <w:t>as reimbursement to</w:t>
      </w:r>
      <w:r>
        <w:rPr>
          <w:rFonts w:ascii="Times New Roman" w:cs="Times New Roman" w:eastAsia="Times New Roman" w:hAnsi="Times New Roman"/>
          <w:sz w:val="19"/>
          <w:szCs w:val="19"/>
          <w:color w:val="2D2D2D"/>
        </w:rPr>
        <w:t xml:space="preserve"> Tenant </w:t>
      </w:r>
      <w:r>
        <w:rPr>
          <w:rFonts w:ascii="Times New Roman" w:cs="Times New Roman" w:eastAsia="Times New Roman" w:hAnsi="Times New Roman"/>
          <w:sz w:val="19"/>
          <w:szCs w:val="19"/>
          <w:color w:val="1D1D1D"/>
        </w:rPr>
        <w:t xml:space="preserve">for </w:t>
      </w:r>
      <w:r>
        <w:rPr>
          <w:rFonts w:ascii="Times New Roman" w:cs="Times New Roman" w:eastAsia="Times New Roman" w:hAnsi="Times New Roman"/>
          <w:sz w:val="19"/>
          <w:szCs w:val="19"/>
          <w:color w:val="2D2D2D"/>
        </w:rPr>
        <w:t>costs</w:t>
      </w:r>
      <w:r>
        <w:rPr>
          <w:rFonts w:ascii="Times New Roman" w:cs="Times New Roman" w:eastAsia="Times New Roman" w:hAnsi="Times New Roman"/>
          <w:sz w:val="19"/>
          <w:szCs w:val="19"/>
          <w:color w:val="1D1D1D"/>
        </w:rPr>
        <w:t xml:space="preserve"> incurred by </w:t>
      </w:r>
      <w:r>
        <w:rPr>
          <w:rFonts w:ascii="Times New Roman" w:cs="Times New Roman" w:eastAsia="Times New Roman" w:hAnsi="Times New Roman"/>
          <w:sz w:val="19"/>
          <w:szCs w:val="19"/>
          <w:color w:val="2D2D2D"/>
        </w:rPr>
        <w:t>Tenant</w:t>
      </w:r>
      <w:r>
        <w:rPr>
          <w:rFonts w:ascii="Times New Roman" w:cs="Times New Roman" w:eastAsia="Times New Roman" w:hAnsi="Times New Roman"/>
          <w:sz w:val="19"/>
          <w:szCs w:val="19"/>
          <w:color w:val="1D1D1D"/>
        </w:rPr>
        <w:t xml:space="preserve"> in connection with </w:t>
      </w:r>
      <w:r>
        <w:rPr>
          <w:rFonts w:ascii="Times New Roman" w:cs="Times New Roman" w:eastAsia="Times New Roman" w:hAnsi="Times New Roman"/>
          <w:sz w:val="19"/>
          <w:szCs w:val="19"/>
          <w:color w:val="2D2D2D"/>
        </w:rPr>
        <w:t>elevator car no. 5</w:t>
      </w:r>
      <w:r>
        <w:rPr>
          <w:rFonts w:ascii="Times New Roman" w:cs="Times New Roman" w:eastAsia="Times New Roman" w:hAnsi="Times New Roman"/>
          <w:sz w:val="19"/>
          <w:szCs w:val="19"/>
          <w:color w:val="1D1D1D"/>
        </w:rPr>
        <w:t xml:space="preserve"> being </w:t>
      </w:r>
      <w:r>
        <w:rPr>
          <w:rFonts w:ascii="Times New Roman" w:cs="Times New Roman" w:eastAsia="Times New Roman" w:hAnsi="Times New Roman"/>
          <w:sz w:val="19"/>
          <w:szCs w:val="19"/>
          <w:color w:val="2D2D2D"/>
        </w:rPr>
        <w:t>out of service from September 25, 2023 through</w:t>
      </w:r>
      <w:r>
        <w:rPr>
          <w:rFonts w:ascii="Times New Roman" w:cs="Times New Roman" w:eastAsia="Times New Roman" w:hAnsi="Times New Roman"/>
          <w:sz w:val="19"/>
          <w:szCs w:val="19"/>
          <w:color w:val="1D1D1D"/>
        </w:rPr>
        <w:t xml:space="preserve"> October </w:t>
      </w:r>
      <w:r>
        <w:rPr>
          <w:rFonts w:ascii="Times New Roman" w:cs="Times New Roman" w:eastAsia="Times New Roman" w:hAnsi="Times New Roman"/>
          <w:sz w:val="19"/>
          <w:szCs w:val="19"/>
          <w:color w:val="2D2D2D"/>
        </w:rPr>
        <w:t xml:space="preserve">20, 2023 </w:t>
      </w:r>
      <w:r>
        <w:rPr>
          <w:rFonts w:ascii="Times New Roman" w:cs="Times New Roman" w:eastAsia="Times New Roman" w:hAnsi="Times New Roman"/>
          <w:sz w:val="19"/>
          <w:szCs w:val="19"/>
          <w:color w:val="1D1D1D"/>
        </w:rPr>
        <w:t>for</w:t>
      </w:r>
      <w:r>
        <w:rPr>
          <w:rFonts w:ascii="Times New Roman" w:cs="Times New Roman" w:eastAsia="Times New Roman" w:hAnsi="Times New Roman"/>
          <w:sz w:val="19"/>
          <w:szCs w:val="19"/>
          <w:color w:val="2D2D2D"/>
        </w:rPr>
        <w:t xml:space="preserve"> cab finish work. Landlord </w:t>
      </w:r>
      <w:r>
        <w:rPr>
          <w:rFonts w:ascii="Times New Roman" w:cs="Times New Roman" w:eastAsia="Times New Roman" w:hAnsi="Times New Roman"/>
          <w:sz w:val="19"/>
          <w:szCs w:val="19"/>
          <w:color w:val="1D1D1D"/>
        </w:rPr>
        <w:t>shall make such</w:t>
      </w:r>
      <w:r>
        <w:rPr>
          <w:rFonts w:ascii="Times New Roman" w:cs="Times New Roman" w:eastAsia="Times New Roman" w:hAnsi="Times New Roman"/>
          <w:sz w:val="19"/>
          <w:szCs w:val="19"/>
          <w:color w:val="2D2D2D"/>
        </w:rPr>
        <w:t xml:space="preserve"> payment </w:t>
      </w:r>
      <w:r>
        <w:rPr>
          <w:rFonts w:ascii="Times New Roman" w:cs="Times New Roman" w:eastAsia="Times New Roman" w:hAnsi="Times New Roman"/>
          <w:sz w:val="19"/>
          <w:szCs w:val="19"/>
          <w:color w:val="1D1D1D"/>
        </w:rPr>
        <w:t>to</w:t>
      </w:r>
      <w:r>
        <w:rPr>
          <w:rFonts w:ascii="Times New Roman" w:cs="Times New Roman" w:eastAsia="Times New Roman" w:hAnsi="Times New Roman"/>
          <w:sz w:val="19"/>
          <w:szCs w:val="19"/>
          <w:color w:val="2D2D2D"/>
        </w:rPr>
        <w:t xml:space="preserve"> Tenant within </w:t>
      </w:r>
      <w:r>
        <w:rPr>
          <w:rFonts w:ascii="Times New Roman" w:cs="Times New Roman" w:eastAsia="Times New Roman" w:hAnsi="Times New Roman"/>
          <w:sz w:val="19"/>
          <w:szCs w:val="19"/>
          <w:color w:val="1D1D1D"/>
        </w:rPr>
        <w:t>ten (10) business days</w:t>
      </w:r>
      <w:r>
        <w:rPr>
          <w:rFonts w:ascii="Times New Roman" w:cs="Times New Roman" w:eastAsia="Times New Roman" w:hAnsi="Times New Roman"/>
          <w:sz w:val="19"/>
          <w:szCs w:val="19"/>
          <w:color w:val="2D2D2D"/>
        </w:rPr>
        <w:t xml:space="preserve"> after </w:t>
      </w:r>
      <w:r>
        <w:rPr>
          <w:rFonts w:ascii="Times New Roman" w:cs="Times New Roman" w:eastAsia="Times New Roman" w:hAnsi="Times New Roman"/>
          <w:sz w:val="19"/>
          <w:szCs w:val="19"/>
          <w:color w:val="1D1D1D"/>
        </w:rPr>
        <w:t>the</w:t>
      </w:r>
      <w:r>
        <w:rPr>
          <w:rFonts w:ascii="Times New Roman" w:cs="Times New Roman" w:eastAsia="Times New Roman" w:hAnsi="Times New Roman"/>
          <w:sz w:val="19"/>
          <w:szCs w:val="19"/>
          <w:color w:val="2D2D2D"/>
        </w:rPr>
        <w:t xml:space="preserve"> execution and </w:t>
      </w:r>
      <w:r>
        <w:rPr>
          <w:rFonts w:ascii="Times New Roman" w:cs="Times New Roman" w:eastAsia="Times New Roman" w:hAnsi="Times New Roman"/>
          <w:sz w:val="19"/>
          <w:szCs w:val="19"/>
          <w:color w:val="1D1D1D"/>
        </w:rPr>
        <w:t xml:space="preserve">delivery </w:t>
      </w:r>
      <w:r>
        <w:rPr>
          <w:rFonts w:ascii="Times New Roman" w:cs="Times New Roman" w:eastAsia="Times New Roman" w:hAnsi="Times New Roman"/>
          <w:sz w:val="19"/>
          <w:szCs w:val="19"/>
          <w:color w:val="2D2D2D"/>
        </w:rPr>
        <w:t>of</w:t>
      </w:r>
      <w:r>
        <w:rPr>
          <w:rFonts w:ascii="Times New Roman" w:cs="Times New Roman" w:eastAsia="Times New Roman" w:hAnsi="Times New Roman"/>
          <w:sz w:val="19"/>
          <w:szCs w:val="19"/>
          <w:color w:val="1D1D1D"/>
        </w:rPr>
        <w:t xml:space="preserve"> this letter </w:t>
      </w:r>
      <w:r>
        <w:rPr>
          <w:rFonts w:ascii="Times New Roman" w:cs="Times New Roman" w:eastAsia="Times New Roman" w:hAnsi="Times New Roman"/>
          <w:sz w:val="19"/>
          <w:szCs w:val="19"/>
          <w:color w:val="2D2D2D"/>
        </w:rPr>
        <w:t>agreement.</w:t>
      </w:r>
    </w:p>
    <w:p>
      <w:pPr>
        <w:spacing w:after="0" w:line="184" w:lineRule="exact"/>
        <w:rPr>
          <w:rFonts w:ascii="Times New Roman" w:cs="Times New Roman" w:eastAsia="Times New Roman" w:hAnsi="Times New Roman"/>
          <w:sz w:val="19"/>
          <w:szCs w:val="19"/>
          <w:color w:val="2D2D2D"/>
        </w:rPr>
      </w:pPr>
    </w:p>
    <w:p>
      <w:pPr>
        <w:jc w:val="both"/>
        <w:ind w:left="1100" w:right="20" w:hanging="359"/>
        <w:spacing w:after="0" w:line="251" w:lineRule="auto"/>
        <w:tabs>
          <w:tab w:leader="none" w:pos="1100" w:val="left"/>
        </w:tabs>
        <w:numPr>
          <w:ilvl w:val="0"/>
          <w:numId w:val="37"/>
        </w:numPr>
        <w:rPr>
          <w:rFonts w:ascii="Times New Roman" w:cs="Times New Roman" w:eastAsia="Times New Roman" w:hAnsi="Times New Roman"/>
          <w:sz w:val="19"/>
          <w:szCs w:val="19"/>
          <w:color w:val="2D2D2D"/>
        </w:rPr>
      </w:pPr>
      <w:r>
        <w:rPr>
          <w:rFonts w:ascii="Times New Roman" w:cs="Times New Roman" w:eastAsia="Times New Roman" w:hAnsi="Times New Roman"/>
          <w:sz w:val="19"/>
          <w:szCs w:val="19"/>
          <w:color w:val="2D2D2D"/>
        </w:rPr>
        <w:t xml:space="preserve">Tenant </w:t>
      </w:r>
      <w:r>
        <w:rPr>
          <w:rFonts w:ascii="Times New Roman" w:cs="Times New Roman" w:eastAsia="Times New Roman" w:hAnsi="Times New Roman"/>
          <w:sz w:val="19"/>
          <w:szCs w:val="19"/>
          <w:color w:val="1D1D1D"/>
        </w:rPr>
        <w:t>hereby</w:t>
      </w:r>
      <w:r>
        <w:rPr>
          <w:rFonts w:ascii="Times New Roman" w:cs="Times New Roman" w:eastAsia="Times New Roman" w:hAnsi="Times New Roman"/>
          <w:sz w:val="19"/>
          <w:szCs w:val="19"/>
          <w:color w:val="2D2D2D"/>
        </w:rPr>
        <w:t xml:space="preserve"> acknowledges and agrees </w:t>
      </w:r>
      <w:r>
        <w:rPr>
          <w:rFonts w:ascii="Times New Roman" w:cs="Times New Roman" w:eastAsia="Times New Roman" w:hAnsi="Times New Roman"/>
          <w:sz w:val="19"/>
          <w:szCs w:val="19"/>
          <w:color w:val="1D1D1D"/>
        </w:rPr>
        <w:t>that apart</w:t>
      </w:r>
      <w:r>
        <w:rPr>
          <w:rFonts w:ascii="Times New Roman" w:cs="Times New Roman" w:eastAsia="Times New Roman" w:hAnsi="Times New Roman"/>
          <w:sz w:val="19"/>
          <w:szCs w:val="19"/>
          <w:color w:val="2D2D2D"/>
        </w:rPr>
        <w:t xml:space="preserve"> from </w:t>
      </w:r>
      <w:r>
        <w:rPr>
          <w:rFonts w:ascii="Times New Roman" w:cs="Times New Roman" w:eastAsia="Times New Roman" w:hAnsi="Times New Roman"/>
          <w:sz w:val="19"/>
          <w:szCs w:val="19"/>
          <w:color w:val="1D1D1D"/>
        </w:rPr>
        <w:t>the</w:t>
      </w:r>
      <w:r>
        <w:rPr>
          <w:rFonts w:ascii="Times New Roman" w:cs="Times New Roman" w:eastAsia="Times New Roman" w:hAnsi="Times New Roman"/>
          <w:sz w:val="19"/>
          <w:szCs w:val="19"/>
          <w:color w:val="2D2D2D"/>
        </w:rPr>
        <w:t xml:space="preserve"> credits and reimbursements </w:t>
      </w:r>
      <w:r>
        <w:rPr>
          <w:rFonts w:ascii="Times New Roman" w:cs="Times New Roman" w:eastAsia="Times New Roman" w:hAnsi="Times New Roman"/>
          <w:sz w:val="19"/>
          <w:szCs w:val="19"/>
          <w:color w:val="1D1D1D"/>
        </w:rPr>
        <w:t>in</w:t>
      </w:r>
      <w:r>
        <w:rPr>
          <w:rFonts w:ascii="Times New Roman" w:cs="Times New Roman" w:eastAsia="Times New Roman" w:hAnsi="Times New Roman"/>
          <w:sz w:val="19"/>
          <w:szCs w:val="19"/>
          <w:color w:val="2D2D2D"/>
        </w:rPr>
        <w:t xml:space="preserve"> the </w:t>
      </w:r>
      <w:r>
        <w:rPr>
          <w:rFonts w:ascii="Times New Roman" w:cs="Times New Roman" w:eastAsia="Times New Roman" w:hAnsi="Times New Roman"/>
          <w:sz w:val="19"/>
          <w:szCs w:val="19"/>
          <w:color w:val="1D1D1D"/>
        </w:rPr>
        <w:t>amounts</w:t>
      </w:r>
      <w:r>
        <w:rPr>
          <w:rFonts w:ascii="Times New Roman" w:cs="Times New Roman" w:eastAsia="Times New Roman" w:hAnsi="Times New Roman"/>
          <w:sz w:val="19"/>
          <w:szCs w:val="19"/>
          <w:color w:val="2D2D2D"/>
        </w:rPr>
        <w:t xml:space="preserve"> set </w:t>
      </w:r>
      <w:r>
        <w:rPr>
          <w:rFonts w:ascii="Times New Roman" w:cs="Times New Roman" w:eastAsia="Times New Roman" w:hAnsi="Times New Roman"/>
          <w:sz w:val="19"/>
          <w:szCs w:val="19"/>
          <w:color w:val="1D1D1D"/>
        </w:rPr>
        <w:t>forth</w:t>
      </w:r>
      <w:r>
        <w:rPr>
          <w:rFonts w:ascii="Times New Roman" w:cs="Times New Roman" w:eastAsia="Times New Roman" w:hAnsi="Times New Roman"/>
          <w:sz w:val="19"/>
          <w:szCs w:val="19"/>
          <w:color w:val="2D2D2D"/>
        </w:rPr>
        <w:t xml:space="preserve"> above and as </w:t>
      </w:r>
      <w:r>
        <w:rPr>
          <w:rFonts w:ascii="Times New Roman" w:cs="Times New Roman" w:eastAsia="Times New Roman" w:hAnsi="Times New Roman"/>
          <w:sz w:val="19"/>
          <w:szCs w:val="19"/>
          <w:color w:val="1D1D1D"/>
        </w:rPr>
        <w:t xml:space="preserve">specifically stated herein, Tenant has no </w:t>
      </w:r>
      <w:r>
        <w:rPr>
          <w:rFonts w:ascii="Times New Roman" w:cs="Times New Roman" w:eastAsia="Times New Roman" w:hAnsi="Times New Roman"/>
          <w:sz w:val="19"/>
          <w:szCs w:val="19"/>
          <w:color w:val="2D2D2D"/>
        </w:rPr>
        <w:t>other existing</w:t>
      </w:r>
      <w:r>
        <w:rPr>
          <w:rFonts w:ascii="Times New Roman" w:cs="Times New Roman" w:eastAsia="Times New Roman" w:hAnsi="Times New Roman"/>
          <w:sz w:val="19"/>
          <w:szCs w:val="19"/>
          <w:color w:val="1D1D1D"/>
        </w:rPr>
        <w:t xml:space="preserve"> claims </w:t>
      </w:r>
      <w:r>
        <w:rPr>
          <w:rFonts w:ascii="Times New Roman" w:cs="Times New Roman" w:eastAsia="Times New Roman" w:hAnsi="Times New Roman"/>
          <w:sz w:val="19"/>
          <w:szCs w:val="19"/>
          <w:color w:val="2D2D2D"/>
        </w:rPr>
        <w:t>for rent credits,</w:t>
      </w:r>
      <w:r>
        <w:rPr>
          <w:rFonts w:ascii="Times New Roman" w:cs="Times New Roman" w:eastAsia="Times New Roman" w:hAnsi="Times New Roman"/>
          <w:sz w:val="19"/>
          <w:szCs w:val="19"/>
          <w:color w:val="1D1D1D"/>
        </w:rPr>
        <w:t xml:space="preserve"> rent </w:t>
      </w:r>
      <w:r>
        <w:rPr>
          <w:rFonts w:ascii="Times New Roman" w:cs="Times New Roman" w:eastAsia="Times New Roman" w:hAnsi="Times New Roman"/>
          <w:sz w:val="19"/>
          <w:szCs w:val="19"/>
          <w:color w:val="2D2D2D"/>
        </w:rPr>
        <w:t>abatements or offsets</w:t>
      </w:r>
      <w:r>
        <w:rPr>
          <w:rFonts w:ascii="Times New Roman" w:cs="Times New Roman" w:eastAsia="Times New Roman" w:hAnsi="Times New Roman"/>
          <w:sz w:val="19"/>
          <w:szCs w:val="19"/>
          <w:color w:val="1D1D1D"/>
        </w:rPr>
        <w:t xml:space="preserve"> under the </w:t>
      </w:r>
      <w:r>
        <w:rPr>
          <w:rFonts w:ascii="Times New Roman" w:cs="Times New Roman" w:eastAsia="Times New Roman" w:hAnsi="Times New Roman"/>
          <w:sz w:val="19"/>
          <w:szCs w:val="19"/>
          <w:color w:val="2D2D2D"/>
        </w:rPr>
        <w:t>Lease as</w:t>
      </w:r>
      <w:r>
        <w:rPr>
          <w:rFonts w:ascii="Times New Roman" w:cs="Times New Roman" w:eastAsia="Times New Roman" w:hAnsi="Times New Roman"/>
          <w:sz w:val="19"/>
          <w:szCs w:val="19"/>
          <w:color w:val="1D1D1D"/>
        </w:rPr>
        <w:t xml:space="preserve"> of </w:t>
      </w:r>
      <w:r>
        <w:rPr>
          <w:rFonts w:ascii="Times New Roman" w:cs="Times New Roman" w:eastAsia="Times New Roman" w:hAnsi="Times New Roman"/>
          <w:sz w:val="19"/>
          <w:szCs w:val="19"/>
          <w:color w:val="2D2D2D"/>
        </w:rPr>
        <w:t xml:space="preserve">the </w:t>
      </w:r>
      <w:r>
        <w:rPr>
          <w:rFonts w:ascii="Times New Roman" w:cs="Times New Roman" w:eastAsia="Times New Roman" w:hAnsi="Times New Roman"/>
          <w:sz w:val="19"/>
          <w:szCs w:val="19"/>
          <w:color w:val="1D1D1D"/>
        </w:rPr>
        <w:t>date hereof.</w:t>
      </w:r>
    </w:p>
    <w:p>
      <w:pPr>
        <w:spacing w:after="0" w:line="192" w:lineRule="exact"/>
        <w:rPr>
          <w:sz w:val="20"/>
          <w:szCs w:val="20"/>
          <w:color w:val="auto"/>
        </w:rPr>
      </w:pPr>
    </w:p>
    <w:p>
      <w:pPr>
        <w:jc w:val="both"/>
        <w:ind w:right="20" w:firstLine="731"/>
        <w:spacing w:after="0" w:line="253" w:lineRule="auto"/>
        <w:rPr>
          <w:sz w:val="20"/>
          <w:szCs w:val="20"/>
          <w:color w:val="auto"/>
        </w:rPr>
      </w:pPr>
      <w:r>
        <w:rPr>
          <w:rFonts w:ascii="Times New Roman" w:cs="Times New Roman" w:eastAsia="Times New Roman" w:hAnsi="Times New Roman"/>
          <w:sz w:val="19"/>
          <w:szCs w:val="19"/>
          <w:color w:val="2D2D2D"/>
        </w:rPr>
        <w:t xml:space="preserve">Except as expressly set forth herein, </w:t>
      </w:r>
      <w:r>
        <w:rPr>
          <w:rFonts w:ascii="Times New Roman" w:cs="Times New Roman" w:eastAsia="Times New Roman" w:hAnsi="Times New Roman"/>
          <w:sz w:val="19"/>
          <w:szCs w:val="19"/>
          <w:color w:val="1D1D1D"/>
        </w:rPr>
        <w:t>the Lease</w:t>
      </w:r>
      <w:r>
        <w:rPr>
          <w:rFonts w:ascii="Times New Roman" w:cs="Times New Roman" w:eastAsia="Times New Roman" w:hAnsi="Times New Roman"/>
          <w:sz w:val="19"/>
          <w:szCs w:val="19"/>
          <w:color w:val="2D2D2D"/>
        </w:rPr>
        <w:t xml:space="preserve"> shall remain </w:t>
      </w:r>
      <w:r>
        <w:rPr>
          <w:rFonts w:ascii="Times New Roman" w:cs="Times New Roman" w:eastAsia="Times New Roman" w:hAnsi="Times New Roman"/>
          <w:sz w:val="19"/>
          <w:szCs w:val="19"/>
          <w:color w:val="1D1D1D"/>
        </w:rPr>
        <w:t>unmodified</w:t>
      </w:r>
      <w:r>
        <w:rPr>
          <w:rFonts w:ascii="Times New Roman" w:cs="Times New Roman" w:eastAsia="Times New Roman" w:hAnsi="Times New Roman"/>
          <w:sz w:val="19"/>
          <w:szCs w:val="19"/>
          <w:color w:val="2D2D2D"/>
        </w:rPr>
        <w:t xml:space="preserve"> and </w:t>
      </w:r>
      <w:r>
        <w:rPr>
          <w:rFonts w:ascii="Times New Roman" w:cs="Times New Roman" w:eastAsia="Times New Roman" w:hAnsi="Times New Roman"/>
          <w:sz w:val="19"/>
          <w:szCs w:val="19"/>
          <w:color w:val="1D1D1D"/>
        </w:rPr>
        <w:t>in full</w:t>
      </w:r>
      <w:r>
        <w:rPr>
          <w:rFonts w:ascii="Times New Roman" w:cs="Times New Roman" w:eastAsia="Times New Roman" w:hAnsi="Times New Roman"/>
          <w:sz w:val="19"/>
          <w:szCs w:val="19"/>
          <w:color w:val="2D2D2D"/>
        </w:rPr>
        <w:t xml:space="preserve"> force and effect in accordance with and subject to </w:t>
      </w:r>
      <w:r>
        <w:rPr>
          <w:rFonts w:ascii="Times New Roman" w:cs="Times New Roman" w:eastAsia="Times New Roman" w:hAnsi="Times New Roman"/>
          <w:sz w:val="19"/>
          <w:szCs w:val="19"/>
          <w:color w:val="1D1D1D"/>
        </w:rPr>
        <w:t xml:space="preserve">the </w:t>
      </w:r>
      <w:r>
        <w:rPr>
          <w:rFonts w:ascii="Times New Roman" w:cs="Times New Roman" w:eastAsia="Times New Roman" w:hAnsi="Times New Roman"/>
          <w:sz w:val="19"/>
          <w:szCs w:val="19"/>
          <w:color w:val="2D2D2D"/>
        </w:rPr>
        <w:t>terms and conditions thereof.</w:t>
      </w:r>
      <w:r>
        <w:rPr>
          <w:rFonts w:ascii="Times New Roman" w:cs="Times New Roman" w:eastAsia="Times New Roman" w:hAnsi="Times New Roman"/>
          <w:sz w:val="19"/>
          <w:szCs w:val="19"/>
          <w:color w:val="1D1D1D"/>
        </w:rPr>
        <w:t xml:space="preserve"> This </w:t>
      </w:r>
      <w:r>
        <w:rPr>
          <w:rFonts w:ascii="Times New Roman" w:cs="Times New Roman" w:eastAsia="Times New Roman" w:hAnsi="Times New Roman"/>
          <w:sz w:val="19"/>
          <w:szCs w:val="19"/>
          <w:color w:val="2D2D2D"/>
        </w:rPr>
        <w:t>letter agreement</w:t>
      </w:r>
      <w:r>
        <w:rPr>
          <w:rFonts w:ascii="Times New Roman" w:cs="Times New Roman" w:eastAsia="Times New Roman" w:hAnsi="Times New Roman"/>
          <w:sz w:val="19"/>
          <w:szCs w:val="19"/>
          <w:color w:val="1D1D1D"/>
        </w:rPr>
        <w:t xml:space="preserve"> is intended by </w:t>
      </w:r>
      <w:r>
        <w:rPr>
          <w:rFonts w:ascii="Times New Roman" w:cs="Times New Roman" w:eastAsia="Times New Roman" w:hAnsi="Times New Roman"/>
          <w:sz w:val="19"/>
          <w:szCs w:val="19"/>
          <w:color w:val="2D2D2D"/>
        </w:rPr>
        <w:t>the parties to conclusively settle and resolve all</w:t>
      </w:r>
      <w:r>
        <w:rPr>
          <w:rFonts w:ascii="Times New Roman" w:cs="Times New Roman" w:eastAsia="Times New Roman" w:hAnsi="Times New Roman"/>
          <w:sz w:val="19"/>
          <w:szCs w:val="19"/>
          <w:color w:val="1D1D1D"/>
        </w:rPr>
        <w:t xml:space="preserve"> obligations, </w:t>
      </w:r>
      <w:r>
        <w:rPr>
          <w:rFonts w:ascii="Times New Roman" w:cs="Times New Roman" w:eastAsia="Times New Roman" w:hAnsi="Times New Roman"/>
          <w:sz w:val="19"/>
          <w:szCs w:val="19"/>
          <w:color w:val="2D2D2D"/>
        </w:rPr>
        <w:t>claims and</w:t>
      </w:r>
      <w:r>
        <w:rPr>
          <w:rFonts w:ascii="Times New Roman" w:cs="Times New Roman" w:eastAsia="Times New Roman" w:hAnsi="Times New Roman"/>
          <w:sz w:val="19"/>
          <w:szCs w:val="19"/>
          <w:color w:val="1D1D1D"/>
        </w:rPr>
        <w:t xml:space="preserve"> </w:t>
      </w:r>
      <w:r>
        <w:rPr>
          <w:rFonts w:ascii="Times New Roman" w:cs="Times New Roman" w:eastAsia="Times New Roman" w:hAnsi="Times New Roman"/>
          <w:sz w:val="19"/>
          <w:szCs w:val="19"/>
          <w:color w:val="2D2D2D"/>
        </w:rPr>
        <w:t xml:space="preserve">disputes referenced in Tenant’s </w:t>
      </w:r>
      <w:r>
        <w:rPr>
          <w:rFonts w:ascii="Times New Roman" w:cs="Times New Roman" w:eastAsia="Times New Roman" w:hAnsi="Times New Roman"/>
          <w:sz w:val="19"/>
          <w:szCs w:val="19"/>
          <w:color w:val="464646"/>
        </w:rPr>
        <w:t>letter</w:t>
      </w:r>
      <w:r>
        <w:rPr>
          <w:rFonts w:ascii="Times New Roman" w:cs="Times New Roman" w:eastAsia="Times New Roman" w:hAnsi="Times New Roman"/>
          <w:sz w:val="19"/>
          <w:szCs w:val="19"/>
          <w:color w:val="2D2D2D"/>
        </w:rPr>
        <w:t xml:space="preserve"> to Landlord dated January 19, 2024, Landlord’s response </w:t>
      </w:r>
      <w:r>
        <w:rPr>
          <w:rFonts w:ascii="Times New Roman" w:cs="Times New Roman" w:eastAsia="Times New Roman" w:hAnsi="Times New Roman"/>
          <w:sz w:val="19"/>
          <w:szCs w:val="19"/>
          <w:color w:val="1D1D1D"/>
        </w:rPr>
        <w:t>letter</w:t>
      </w:r>
      <w:r>
        <w:rPr>
          <w:rFonts w:ascii="Times New Roman" w:cs="Times New Roman" w:eastAsia="Times New Roman" w:hAnsi="Times New Roman"/>
          <w:sz w:val="19"/>
          <w:szCs w:val="19"/>
          <w:color w:val="2D2D2D"/>
        </w:rPr>
        <w:t xml:space="preserve"> to Tenant dated </w:t>
      </w:r>
      <w:r>
        <w:rPr>
          <w:rFonts w:ascii="Times New Roman" w:cs="Times New Roman" w:eastAsia="Times New Roman" w:hAnsi="Times New Roman"/>
          <w:sz w:val="19"/>
          <w:szCs w:val="19"/>
          <w:color w:val="1D1D1D"/>
        </w:rPr>
        <w:t>January</w:t>
      </w:r>
      <w:r>
        <w:rPr>
          <w:rFonts w:ascii="Times New Roman" w:cs="Times New Roman" w:eastAsia="Times New Roman" w:hAnsi="Times New Roman"/>
          <w:sz w:val="19"/>
          <w:szCs w:val="19"/>
          <w:color w:val="2D2D2D"/>
        </w:rPr>
        <w:t xml:space="preserve"> 26, 2024 and Tenant’s response letter to Landlord dated February 6, 2024.</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2D2D2D"/>
        </w:rPr>
        <w:t xml:space="preserve">Please confirm your agreement with and acknowledgment of the terms of this </w:t>
      </w:r>
      <w:r>
        <w:rPr>
          <w:rFonts w:ascii="Times New Roman" w:cs="Times New Roman" w:eastAsia="Times New Roman" w:hAnsi="Times New Roman"/>
          <w:sz w:val="19"/>
          <w:szCs w:val="19"/>
          <w:color w:val="1D1D1D"/>
        </w:rPr>
        <w:t>letter</w:t>
      </w:r>
      <w:r>
        <w:rPr>
          <w:rFonts w:ascii="Times New Roman" w:cs="Times New Roman" w:eastAsia="Times New Roman" w:hAnsi="Times New Roman"/>
          <w:sz w:val="19"/>
          <w:szCs w:val="19"/>
          <w:color w:val="2D2D2D"/>
        </w:rPr>
        <w:t xml:space="preserve"> agreement where </w:t>
      </w:r>
      <w:r>
        <w:rPr>
          <w:rFonts w:ascii="Times New Roman" w:cs="Times New Roman" w:eastAsia="Times New Roman" w:hAnsi="Times New Roman"/>
          <w:sz w:val="19"/>
          <w:szCs w:val="19"/>
          <w:color w:val="1D1D1D"/>
        </w:rPr>
        <w:t>indicated</w:t>
      </w:r>
      <w:r>
        <w:rPr>
          <w:rFonts w:ascii="Times New Roman" w:cs="Times New Roman" w:eastAsia="Times New Roman" w:hAnsi="Times New Roman"/>
          <w:sz w:val="19"/>
          <w:szCs w:val="19"/>
          <w:color w:val="2D2D2D"/>
        </w:rPr>
        <w:t xml:space="preserve"> below.</w:t>
      </w:r>
    </w:p>
    <w:p>
      <w:pPr>
        <w:spacing w:after="0" w:line="200" w:lineRule="exact"/>
        <w:rPr>
          <w:sz w:val="20"/>
          <w:szCs w:val="20"/>
          <w:color w:val="auto"/>
        </w:rPr>
      </w:pPr>
    </w:p>
    <w:p>
      <w:pPr>
        <w:spacing w:after="0" w:line="20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color w:val="2D2D2D"/>
        </w:rPr>
        <w:t>Very truly yours,</w:t>
      </w:r>
    </w:p>
    <w:p>
      <w:pPr>
        <w:spacing w:after="0" w:line="2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9"/>
          <w:szCs w:val="19"/>
          <w:b w:val="1"/>
          <w:bCs w:val="1"/>
          <w:color w:val="2D2D2D"/>
        </w:rPr>
        <w:t>P-12 PROPERTY LLC,</w:t>
      </w:r>
    </w:p>
    <w:p>
      <w:pPr>
        <w:spacing w:after="0" w:line="2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9"/>
          <w:szCs w:val="19"/>
          <w:b w:val="1"/>
          <w:bCs w:val="1"/>
          <w:color w:val="2D2D2D"/>
        </w:rPr>
        <w:t>a Delaware limited liability company</w:t>
      </w:r>
    </w:p>
    <w:p>
      <w:pPr>
        <w:spacing w:after="0" w:line="190" w:lineRule="exact"/>
        <w:rPr>
          <w:sz w:val="20"/>
          <w:szCs w:val="20"/>
          <w:color w:val="auto"/>
        </w:rPr>
      </w:pPr>
    </w:p>
    <w:p>
      <w:pPr>
        <w:ind w:left="5760"/>
        <w:spacing w:after="0"/>
        <w:tabs>
          <w:tab w:leader="none" w:pos="6220" w:val="left"/>
        </w:tabs>
        <w:rPr>
          <w:sz w:val="20"/>
          <w:szCs w:val="20"/>
          <w:color w:val="auto"/>
        </w:rPr>
      </w:pPr>
      <w:r>
        <w:rPr>
          <w:rFonts w:ascii="Times New Roman" w:cs="Times New Roman" w:eastAsia="Times New Roman" w:hAnsi="Times New Roman"/>
          <w:sz w:val="19"/>
          <w:szCs w:val="19"/>
          <w:b w:val="1"/>
          <w:bCs w:val="1"/>
          <w:color w:val="2D2D2D"/>
        </w:rPr>
        <w:t>By:</w:t>
      </w:r>
      <w:r>
        <w:rPr>
          <w:sz w:val="20"/>
          <w:szCs w:val="20"/>
          <w:color w:val="auto"/>
        </w:rPr>
        <w:tab/>
      </w:r>
      <w:r>
        <w:rPr>
          <w:rFonts w:ascii="Times New Roman" w:cs="Times New Roman" w:eastAsia="Times New Roman" w:hAnsi="Times New Roman"/>
          <w:sz w:val="18"/>
          <w:szCs w:val="18"/>
          <w:color w:val="2D2D2D"/>
        </w:rPr>
        <w:t>/s/ Peter Sougarides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-7620</wp:posOffset>
            </wp:positionV>
            <wp:extent cx="125984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19"/>
          <w:szCs w:val="19"/>
          <w:b w:val="1"/>
          <w:bCs w:val="1"/>
          <w:color w:val="2D2D2D"/>
        </w:rPr>
        <w:t xml:space="preserve">Name: </w:t>
      </w:r>
      <w:r>
        <w:rPr>
          <w:rFonts w:ascii="Times New Roman" w:cs="Times New Roman" w:eastAsia="Times New Roman" w:hAnsi="Times New Roman"/>
          <w:sz w:val="19"/>
          <w:szCs w:val="19"/>
          <w:color w:val="2D2D2D"/>
        </w:rPr>
        <w:t>Peter Sougarides</w:t>
      </w:r>
    </w:p>
    <w:p>
      <w:pPr>
        <w:ind w:left="5720"/>
        <w:spacing w:after="0"/>
        <w:rPr>
          <w:sz w:val="20"/>
          <w:szCs w:val="20"/>
          <w:color w:val="auto"/>
        </w:rPr>
      </w:pPr>
      <w:r>
        <w:rPr>
          <w:rFonts w:ascii="Times New Roman" w:cs="Times New Roman" w:eastAsia="Times New Roman" w:hAnsi="Times New Roman"/>
          <w:sz w:val="19"/>
          <w:szCs w:val="19"/>
          <w:b w:val="1"/>
          <w:bCs w:val="1"/>
          <w:color w:val="2D2D2D"/>
        </w:rPr>
        <w:t xml:space="preserve">Title: </w:t>
      </w:r>
      <w:r>
        <w:rPr>
          <w:rFonts w:ascii="Times New Roman" w:cs="Times New Roman" w:eastAsia="Times New Roman" w:hAnsi="Times New Roman"/>
          <w:sz w:val="19"/>
          <w:szCs w:val="19"/>
          <w:color w:val="2D2D2D"/>
        </w:rPr>
        <w:t>Authorized Signatory</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D2D2D"/>
        </w:rPr>
        <w:t xml:space="preserve">ACKNOWLEDGED AND AGREED as of </w:t>
      </w:r>
      <w:r>
        <w:rPr>
          <w:rFonts w:ascii="Times New Roman" w:cs="Times New Roman" w:eastAsia="Times New Roman" w:hAnsi="Times New Roman"/>
          <w:sz w:val="19"/>
          <w:szCs w:val="19"/>
          <w:color w:val="1D1D1D"/>
        </w:rPr>
        <w:t>the</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1D1D1D"/>
        </w:rPr>
        <w:t xml:space="preserve">date </w:t>
      </w:r>
      <w:r>
        <w:rPr>
          <w:rFonts w:ascii="Times New Roman" w:cs="Times New Roman" w:eastAsia="Times New Roman" w:hAnsi="Times New Roman"/>
          <w:sz w:val="19"/>
          <w:szCs w:val="19"/>
          <w:color w:val="2D2D2D"/>
        </w:rPr>
        <w:t>first set</w:t>
      </w:r>
      <w:r>
        <w:rPr>
          <w:rFonts w:ascii="Times New Roman" w:cs="Times New Roman" w:eastAsia="Times New Roman" w:hAnsi="Times New Roman"/>
          <w:sz w:val="19"/>
          <w:szCs w:val="19"/>
          <w:color w:val="1D1D1D"/>
        </w:rPr>
        <w:t xml:space="preserve"> forth </w:t>
      </w:r>
      <w:r>
        <w:rPr>
          <w:rFonts w:ascii="Times New Roman" w:cs="Times New Roman" w:eastAsia="Times New Roman" w:hAnsi="Times New Roman"/>
          <w:sz w:val="19"/>
          <w:szCs w:val="19"/>
          <w:color w:val="2D2D2D"/>
        </w:rPr>
        <w:t>above:</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2D2D2D"/>
        </w:rPr>
        <w:t>CARGURUS, INC.,</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2D2D2D"/>
        </w:rPr>
        <w:t xml:space="preserve">a </w:t>
      </w:r>
      <w:r>
        <w:rPr>
          <w:rFonts w:ascii="Times New Roman" w:cs="Times New Roman" w:eastAsia="Times New Roman" w:hAnsi="Times New Roman"/>
          <w:sz w:val="19"/>
          <w:szCs w:val="19"/>
          <w:color w:val="1D1D1D"/>
        </w:rPr>
        <w:t>Delaware</w:t>
      </w:r>
      <w:r>
        <w:rPr>
          <w:rFonts w:ascii="Times New Roman" w:cs="Times New Roman" w:eastAsia="Times New Roman" w:hAnsi="Times New Roman"/>
          <w:sz w:val="19"/>
          <w:szCs w:val="19"/>
          <w:color w:val="2D2D2D"/>
        </w:rPr>
        <w:t xml:space="preserve"> corporation</w:t>
      </w:r>
    </w:p>
    <w:p>
      <w:pPr>
        <w:spacing w:after="0" w:line="199" w:lineRule="exact"/>
        <w:rPr>
          <w:sz w:val="20"/>
          <w:szCs w:val="20"/>
          <w:color w:val="auto"/>
        </w:rPr>
      </w:pPr>
    </w:p>
    <w:p>
      <w:pPr>
        <w:ind w:left="40"/>
        <w:spacing w:after="0"/>
        <w:tabs>
          <w:tab w:leader="none" w:pos="520" w:val="left"/>
        </w:tabs>
        <w:rPr>
          <w:sz w:val="20"/>
          <w:szCs w:val="20"/>
          <w:color w:val="auto"/>
        </w:rPr>
      </w:pPr>
      <w:r>
        <w:rPr>
          <w:rFonts w:ascii="Times New Roman" w:cs="Times New Roman" w:eastAsia="Times New Roman" w:hAnsi="Times New Roman"/>
          <w:sz w:val="19"/>
          <w:szCs w:val="19"/>
          <w:color w:val="2D2D2D"/>
        </w:rPr>
        <w:t>By:</w:t>
        <w:tab/>
        <w:t>/s/ Andrea Eldridge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-10160</wp:posOffset>
            </wp:positionV>
            <wp:extent cx="12668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9"/>
          <w:szCs w:val="19"/>
          <w:color w:val="2D2D2D"/>
        </w:rPr>
        <w:t>Name: Andrea Eldridge</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2D2D2D"/>
        </w:rPr>
        <w:t>Title: CPO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610235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60" w:top="1436" w:right="459" w:bottom="1440" w:gutter="0" w:footer="0" w:header="0"/>
        </w:sectPr>
      </w:pPr>
    </w:p>
    <w:bookmarkStart w:id="66" w:name="page67"/>
    <w:bookmarkEnd w:id="66"/>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RULES 13a-14(a) AND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Jason Trevisan, certfy that:</w:t>
      </w:r>
    </w:p>
    <w:p>
      <w:pPr>
        <w:spacing w:after="0" w:line="226"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reviewed this Quarterly Report on Form 10-Q of CarGurus, Inc.;</w:t>
      </w:r>
    </w:p>
    <w:p>
      <w:pPr>
        <w:spacing w:after="0" w:line="230" w:lineRule="exact"/>
        <w:rPr>
          <w:rFonts w:ascii="Times New Roman" w:cs="Times New Roman" w:eastAsia="Times New Roman" w:hAnsi="Times New Roman"/>
          <w:sz w:val="18"/>
          <w:szCs w:val="18"/>
          <w:color w:val="auto"/>
        </w:rPr>
      </w:pPr>
    </w:p>
    <w:p>
      <w:pPr>
        <w:jc w:val="both"/>
        <w:ind w:left="520" w:right="260" w:hanging="512"/>
        <w:spacing w:after="0" w:line="235" w:lineRule="auto"/>
        <w:tabs>
          <w:tab w:leader="none" w:pos="52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2" w:lineRule="exact"/>
        <w:rPr>
          <w:rFonts w:ascii="Times New Roman" w:cs="Times New Roman" w:eastAsia="Times New Roman" w:hAnsi="Times New Roman"/>
          <w:sz w:val="18"/>
          <w:szCs w:val="18"/>
          <w:color w:val="auto"/>
        </w:rPr>
      </w:pPr>
    </w:p>
    <w:p>
      <w:pPr>
        <w:ind w:left="520" w:right="340" w:hanging="512"/>
        <w:spacing w:after="0" w:line="235" w:lineRule="auto"/>
        <w:tabs>
          <w:tab w:leader="none" w:pos="52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31" w:lineRule="exact"/>
        <w:rPr>
          <w:rFonts w:ascii="Times New Roman" w:cs="Times New Roman" w:eastAsia="Times New Roman" w:hAnsi="Times New Roman"/>
          <w:sz w:val="18"/>
          <w:szCs w:val="18"/>
          <w:color w:val="auto"/>
        </w:rPr>
      </w:pPr>
    </w:p>
    <w:p>
      <w:pPr>
        <w:ind w:left="520" w:right="220" w:hanging="512"/>
        <w:spacing w:after="0" w:line="235" w:lineRule="auto"/>
        <w:tabs>
          <w:tab w:leader="none" w:pos="52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8" w:lineRule="exact"/>
        <w:rPr>
          <w:rFonts w:ascii="Times New Roman" w:cs="Times New Roman" w:eastAsia="Times New Roman" w:hAnsi="Times New Roman"/>
          <w:sz w:val="18"/>
          <w:szCs w:val="18"/>
          <w:color w:val="auto"/>
        </w:rPr>
      </w:pPr>
    </w:p>
    <w:p>
      <w:pPr>
        <w:ind w:left="1020" w:right="80" w:hanging="503"/>
        <w:spacing w:after="0" w:line="235" w:lineRule="auto"/>
        <w:tabs>
          <w:tab w:leader="none" w:pos="1020" w:val="left"/>
        </w:tabs>
        <w:numPr>
          <w:ilvl w:val="1"/>
          <w:numId w:val="38"/>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Calibri" w:cs="Calibri" w:eastAsia="Calibri" w:hAnsi="Calibri"/>
          <w:sz w:val="18"/>
          <w:szCs w:val="18"/>
          <w:color w:val="auto"/>
        </w:rPr>
      </w:pPr>
    </w:p>
    <w:p>
      <w:pPr>
        <w:ind w:left="1020" w:right="420" w:hanging="503"/>
        <w:spacing w:after="0" w:line="235" w:lineRule="auto"/>
        <w:tabs>
          <w:tab w:leader="none" w:pos="1020" w:val="left"/>
        </w:tabs>
        <w:numPr>
          <w:ilvl w:val="1"/>
          <w:numId w:val="38"/>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18" w:lineRule="exact"/>
        <w:rPr>
          <w:rFonts w:ascii="Calibri" w:cs="Calibri" w:eastAsia="Calibri" w:hAnsi="Calibri"/>
          <w:sz w:val="18"/>
          <w:szCs w:val="18"/>
          <w:color w:val="auto"/>
        </w:rPr>
      </w:pPr>
    </w:p>
    <w:p>
      <w:pPr>
        <w:jc w:val="both"/>
        <w:ind w:left="1020" w:right="520" w:hanging="503"/>
        <w:spacing w:after="0" w:line="258" w:lineRule="auto"/>
        <w:tabs>
          <w:tab w:leader="none" w:pos="1020" w:val="left"/>
        </w:tabs>
        <w:numPr>
          <w:ilvl w:val="1"/>
          <w:numId w:val="38"/>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01" w:lineRule="exact"/>
        <w:rPr>
          <w:rFonts w:ascii="Calibri" w:cs="Calibri" w:eastAsia="Calibri" w:hAnsi="Calibri"/>
          <w:sz w:val="17"/>
          <w:szCs w:val="17"/>
          <w:color w:val="auto"/>
        </w:rPr>
      </w:pPr>
    </w:p>
    <w:p>
      <w:pPr>
        <w:ind w:left="1020" w:right="100" w:hanging="503"/>
        <w:spacing w:after="0" w:line="235" w:lineRule="auto"/>
        <w:tabs>
          <w:tab w:leader="none" w:pos="1020" w:val="left"/>
        </w:tabs>
        <w:numPr>
          <w:ilvl w:val="1"/>
          <w:numId w:val="38"/>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32" w:lineRule="exact"/>
        <w:rPr>
          <w:rFonts w:ascii="Calibri" w:cs="Calibri" w:eastAsia="Calibri" w:hAnsi="Calibri"/>
          <w:sz w:val="18"/>
          <w:szCs w:val="18"/>
          <w:color w:val="auto"/>
        </w:rPr>
      </w:pPr>
    </w:p>
    <w:p>
      <w:pPr>
        <w:ind w:left="520" w:right="100" w:hanging="512"/>
        <w:spacing w:after="0" w:line="235" w:lineRule="auto"/>
        <w:tabs>
          <w:tab w:leader="none" w:pos="52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Times New Roman" w:cs="Times New Roman" w:eastAsia="Times New Roman" w:hAnsi="Times New Roman"/>
          <w:sz w:val="18"/>
          <w:szCs w:val="18"/>
          <w:color w:val="auto"/>
        </w:rPr>
      </w:pPr>
    </w:p>
    <w:p>
      <w:pPr>
        <w:ind w:left="1020" w:right="100" w:hanging="503"/>
        <w:spacing w:after="0" w:line="235" w:lineRule="auto"/>
        <w:tabs>
          <w:tab w:leader="none" w:pos="1020" w:val="left"/>
        </w:tabs>
        <w:numPr>
          <w:ilvl w:val="1"/>
          <w:numId w:val="38"/>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7" w:lineRule="exact"/>
        <w:rPr>
          <w:rFonts w:ascii="Calibri" w:cs="Calibri" w:eastAsia="Calibri" w:hAnsi="Calibri"/>
          <w:sz w:val="18"/>
          <w:szCs w:val="18"/>
          <w:color w:val="auto"/>
        </w:rPr>
      </w:pPr>
    </w:p>
    <w:p>
      <w:pPr>
        <w:ind w:left="1020" w:right="500" w:hanging="503"/>
        <w:spacing w:after="0" w:line="235" w:lineRule="auto"/>
        <w:tabs>
          <w:tab w:leader="none" w:pos="1020" w:val="left"/>
        </w:tabs>
        <w:numPr>
          <w:ilvl w:val="1"/>
          <w:numId w:val="38"/>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20" w:type="dxa"/>
            <w:vAlign w:val="bottom"/>
          </w:tcPr>
          <w:p>
            <w:pPr>
              <w:ind w:left="20"/>
              <w:spacing w:after="0"/>
              <w:rPr>
                <w:sz w:val="20"/>
                <w:szCs w:val="20"/>
                <w:color w:val="auto"/>
              </w:rPr>
            </w:pPr>
            <w:r>
              <w:rPr>
                <w:rFonts w:ascii="Calibri" w:cs="Calibri" w:eastAsia="Calibri" w:hAnsi="Calibri"/>
                <w:sz w:val="18"/>
                <w:szCs w:val="18"/>
                <w:color w:val="auto"/>
              </w:rPr>
              <w:t>Date: May 9, 2024</w:t>
            </w:r>
          </w:p>
        </w:tc>
        <w:tc>
          <w:tcPr>
            <w:tcW w:w="7720" w:type="dxa"/>
            <w:vAlign w:val="bottom"/>
            <w:gridSpan w:val="2"/>
          </w:tcPr>
          <w:p>
            <w:pPr>
              <w:ind w:left="2180"/>
              <w:spacing w:after="0"/>
              <w:rPr>
                <w:sz w:val="20"/>
                <w:szCs w:val="20"/>
                <w:color w:val="auto"/>
              </w:rPr>
            </w:pPr>
            <w:r>
              <w:rPr>
                <w:rFonts w:ascii="Calibri" w:cs="Calibri" w:eastAsia="Calibri" w:hAnsi="Calibri"/>
                <w:sz w:val="18"/>
                <w:szCs w:val="18"/>
                <w:color w:val="auto"/>
              </w:rPr>
              <w:t>By:  /s/ Jason Trevisan</w:t>
            </w:r>
          </w:p>
        </w:tc>
      </w:tr>
      <w:tr>
        <w:trPr>
          <w:trHeight w:val="23"/>
        </w:trPr>
        <w:tc>
          <w:tcPr>
            <w:tcW w:w="35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01"/>
        </w:trPr>
        <w:tc>
          <w:tcPr>
            <w:tcW w:w="3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20" w:type="dxa"/>
            <w:vAlign w:val="bottom"/>
          </w:tcPr>
          <w:p>
            <w:pPr>
              <w:ind w:left="20"/>
              <w:spacing w:after="0" w:line="201" w:lineRule="exact"/>
              <w:rPr>
                <w:sz w:val="20"/>
                <w:szCs w:val="20"/>
                <w:color w:val="auto"/>
              </w:rPr>
            </w:pPr>
            <w:r>
              <w:rPr>
                <w:rFonts w:ascii="Calibri" w:cs="Calibri" w:eastAsia="Calibri" w:hAnsi="Calibri"/>
                <w:sz w:val="18"/>
                <w:szCs w:val="18"/>
                <w:color w:val="auto"/>
              </w:rPr>
              <w:t>Jason Trevisan</w:t>
            </w:r>
          </w:p>
        </w:tc>
      </w:tr>
      <w:tr>
        <w:trPr>
          <w:trHeight w:val="215"/>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ind w:left="20"/>
              <w:spacing w:after="0" w:line="215" w:lineRule="exact"/>
              <w:rPr>
                <w:sz w:val="20"/>
                <w:szCs w:val="20"/>
                <w:color w:val="auto"/>
              </w:rPr>
            </w:pPr>
            <w:r>
              <w:rPr>
                <w:rFonts w:ascii="Calibri" w:cs="Calibri" w:eastAsia="Calibri" w:hAnsi="Calibri"/>
                <w:sz w:val="18"/>
                <w:szCs w:val="18"/>
                <w:color w:val="auto"/>
              </w:rPr>
              <w:t>Chief Executve Ofcer</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ind w:left="20"/>
              <w:spacing w:after="0" w:line="216" w:lineRule="exact"/>
              <w:rPr>
                <w:sz w:val="20"/>
                <w:szCs w:val="20"/>
                <w:color w:val="auto"/>
              </w:rPr>
            </w:pPr>
            <w:r>
              <w:rPr>
                <w:rFonts w:ascii="Calibri" w:cs="Calibri" w:eastAsia="Calibri" w:hAnsi="Calibri"/>
                <w:sz w:val="18"/>
                <w:szCs w:val="18"/>
                <w:color w:val="auto"/>
              </w:rPr>
              <w:t>(Principal Executve Ofcer)</w:t>
            </w:r>
          </w:p>
        </w:tc>
      </w:tr>
      <w:tr>
        <w:trPr>
          <w:trHeight w:val="1448"/>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7" w:name="page68"/>
    <w:bookmarkEnd w:id="67"/>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RULES 13a-14(a) AND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Elisa Palazzo, certfy that:</w:t>
      </w:r>
    </w:p>
    <w:p>
      <w:pPr>
        <w:spacing w:after="0" w:line="212" w:lineRule="exact"/>
        <w:rPr>
          <w:sz w:val="20"/>
          <w:szCs w:val="20"/>
          <w:color w:val="auto"/>
        </w:rPr>
      </w:pPr>
    </w:p>
    <w:p>
      <w:pPr>
        <w:ind w:left="520" w:hanging="512"/>
        <w:spacing w:after="0"/>
        <w:tabs>
          <w:tab w:leader="none" w:pos="52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CarGurus, Inc.;</w:t>
      </w:r>
    </w:p>
    <w:p>
      <w:pPr>
        <w:spacing w:after="0" w:line="217" w:lineRule="exact"/>
        <w:rPr>
          <w:rFonts w:ascii="Calibri" w:cs="Calibri" w:eastAsia="Calibri" w:hAnsi="Calibri"/>
          <w:sz w:val="18"/>
          <w:szCs w:val="18"/>
          <w:color w:val="auto"/>
        </w:rPr>
      </w:pPr>
    </w:p>
    <w:p>
      <w:pPr>
        <w:jc w:val="both"/>
        <w:ind w:left="520" w:right="260" w:hanging="512"/>
        <w:spacing w:after="0" w:line="235" w:lineRule="auto"/>
        <w:tabs>
          <w:tab w:leader="none" w:pos="52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Calibri" w:cs="Calibri" w:eastAsia="Calibri" w:hAnsi="Calibri"/>
          <w:sz w:val="18"/>
          <w:szCs w:val="18"/>
          <w:color w:val="auto"/>
        </w:rPr>
      </w:pPr>
    </w:p>
    <w:p>
      <w:pPr>
        <w:ind w:left="520" w:right="340" w:hanging="512"/>
        <w:spacing w:after="0" w:line="235" w:lineRule="auto"/>
        <w:tabs>
          <w:tab w:leader="none" w:pos="52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7" w:lineRule="exact"/>
        <w:rPr>
          <w:rFonts w:ascii="Calibri" w:cs="Calibri" w:eastAsia="Calibri" w:hAnsi="Calibri"/>
          <w:sz w:val="18"/>
          <w:szCs w:val="18"/>
          <w:color w:val="auto"/>
        </w:rPr>
      </w:pPr>
    </w:p>
    <w:p>
      <w:pPr>
        <w:ind w:left="520" w:right="220" w:hanging="512"/>
        <w:spacing w:after="0" w:line="235" w:lineRule="auto"/>
        <w:tabs>
          <w:tab w:leader="none" w:pos="52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8" w:lineRule="exact"/>
        <w:rPr>
          <w:rFonts w:ascii="Calibri" w:cs="Calibri" w:eastAsia="Calibri" w:hAnsi="Calibri"/>
          <w:sz w:val="18"/>
          <w:szCs w:val="18"/>
          <w:color w:val="auto"/>
        </w:rPr>
      </w:pPr>
    </w:p>
    <w:p>
      <w:pPr>
        <w:ind w:left="1020" w:right="80" w:hanging="503"/>
        <w:spacing w:after="0" w:line="235" w:lineRule="auto"/>
        <w:tabs>
          <w:tab w:leader="none" w:pos="1020" w:val="left"/>
        </w:tabs>
        <w:numPr>
          <w:ilvl w:val="1"/>
          <w:numId w:val="39"/>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Calibri" w:cs="Calibri" w:eastAsia="Calibri" w:hAnsi="Calibri"/>
          <w:sz w:val="18"/>
          <w:szCs w:val="18"/>
          <w:color w:val="auto"/>
        </w:rPr>
      </w:pPr>
    </w:p>
    <w:p>
      <w:pPr>
        <w:ind w:left="1020" w:right="420" w:hanging="503"/>
        <w:spacing w:after="0" w:line="235" w:lineRule="auto"/>
        <w:tabs>
          <w:tab w:leader="none" w:pos="1020" w:val="left"/>
        </w:tabs>
        <w:numPr>
          <w:ilvl w:val="1"/>
          <w:numId w:val="39"/>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18" w:lineRule="exact"/>
        <w:rPr>
          <w:rFonts w:ascii="Calibri" w:cs="Calibri" w:eastAsia="Calibri" w:hAnsi="Calibri"/>
          <w:sz w:val="18"/>
          <w:szCs w:val="18"/>
          <w:color w:val="auto"/>
        </w:rPr>
      </w:pPr>
    </w:p>
    <w:p>
      <w:pPr>
        <w:jc w:val="both"/>
        <w:ind w:left="1020" w:right="520" w:hanging="503"/>
        <w:spacing w:after="0" w:line="258" w:lineRule="auto"/>
        <w:tabs>
          <w:tab w:leader="none" w:pos="1020" w:val="left"/>
        </w:tabs>
        <w:numPr>
          <w:ilvl w:val="1"/>
          <w:numId w:val="39"/>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01" w:lineRule="exact"/>
        <w:rPr>
          <w:rFonts w:ascii="Calibri" w:cs="Calibri" w:eastAsia="Calibri" w:hAnsi="Calibri"/>
          <w:sz w:val="17"/>
          <w:szCs w:val="17"/>
          <w:color w:val="auto"/>
        </w:rPr>
      </w:pPr>
    </w:p>
    <w:p>
      <w:pPr>
        <w:ind w:left="1020" w:right="100" w:hanging="503"/>
        <w:spacing w:after="0" w:line="235" w:lineRule="auto"/>
        <w:tabs>
          <w:tab w:leader="none" w:pos="1020" w:val="left"/>
        </w:tabs>
        <w:numPr>
          <w:ilvl w:val="1"/>
          <w:numId w:val="39"/>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Calibri" w:cs="Calibri" w:eastAsia="Calibri" w:hAnsi="Calibri"/>
          <w:sz w:val="18"/>
          <w:szCs w:val="18"/>
          <w:color w:val="auto"/>
        </w:rPr>
      </w:pPr>
    </w:p>
    <w:p>
      <w:pPr>
        <w:ind w:left="520" w:right="100" w:hanging="512"/>
        <w:spacing w:after="0" w:line="235" w:lineRule="auto"/>
        <w:tabs>
          <w:tab w:leader="none" w:pos="52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Calibri" w:cs="Calibri" w:eastAsia="Calibri" w:hAnsi="Calibri"/>
          <w:sz w:val="18"/>
          <w:szCs w:val="18"/>
          <w:color w:val="auto"/>
        </w:rPr>
      </w:pPr>
    </w:p>
    <w:p>
      <w:pPr>
        <w:ind w:left="1020" w:right="100" w:hanging="503"/>
        <w:spacing w:after="0" w:line="235" w:lineRule="auto"/>
        <w:tabs>
          <w:tab w:leader="none" w:pos="1020" w:val="left"/>
        </w:tabs>
        <w:numPr>
          <w:ilvl w:val="1"/>
          <w:numId w:val="39"/>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right="500" w:hanging="503"/>
        <w:spacing w:after="0" w:line="235" w:lineRule="auto"/>
        <w:tabs>
          <w:tab w:leader="none" w:pos="1020" w:val="left"/>
        </w:tabs>
        <w:numPr>
          <w:ilvl w:val="1"/>
          <w:numId w:val="39"/>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20" w:type="dxa"/>
            <w:vAlign w:val="bottom"/>
          </w:tcPr>
          <w:p>
            <w:pPr>
              <w:ind w:left="20"/>
              <w:spacing w:after="0"/>
              <w:rPr>
                <w:sz w:val="20"/>
                <w:szCs w:val="20"/>
                <w:color w:val="auto"/>
              </w:rPr>
            </w:pPr>
            <w:r>
              <w:rPr>
                <w:rFonts w:ascii="Calibri" w:cs="Calibri" w:eastAsia="Calibri" w:hAnsi="Calibri"/>
                <w:sz w:val="18"/>
                <w:szCs w:val="18"/>
                <w:color w:val="auto"/>
              </w:rPr>
              <w:t>Date: May 9, 2024</w:t>
            </w:r>
          </w:p>
        </w:tc>
        <w:tc>
          <w:tcPr>
            <w:tcW w:w="7720" w:type="dxa"/>
            <w:vAlign w:val="bottom"/>
            <w:gridSpan w:val="2"/>
          </w:tcPr>
          <w:p>
            <w:pPr>
              <w:ind w:left="2180"/>
              <w:spacing w:after="0"/>
              <w:rPr>
                <w:sz w:val="20"/>
                <w:szCs w:val="20"/>
                <w:color w:val="auto"/>
              </w:rPr>
            </w:pPr>
            <w:r>
              <w:rPr>
                <w:rFonts w:ascii="Calibri" w:cs="Calibri" w:eastAsia="Calibri" w:hAnsi="Calibri"/>
                <w:sz w:val="18"/>
                <w:szCs w:val="18"/>
                <w:color w:val="auto"/>
              </w:rPr>
              <w:t>By:  /s/ Elisa Palazzo</w:t>
            </w:r>
          </w:p>
        </w:tc>
      </w:tr>
      <w:tr>
        <w:trPr>
          <w:trHeight w:val="23"/>
        </w:trPr>
        <w:tc>
          <w:tcPr>
            <w:tcW w:w="35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01"/>
        </w:trPr>
        <w:tc>
          <w:tcPr>
            <w:tcW w:w="3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20" w:type="dxa"/>
            <w:vAlign w:val="bottom"/>
          </w:tcPr>
          <w:p>
            <w:pPr>
              <w:ind w:left="20"/>
              <w:spacing w:after="0" w:line="201" w:lineRule="exact"/>
              <w:rPr>
                <w:sz w:val="20"/>
                <w:szCs w:val="20"/>
                <w:color w:val="auto"/>
              </w:rPr>
            </w:pPr>
            <w:r>
              <w:rPr>
                <w:rFonts w:ascii="Calibri" w:cs="Calibri" w:eastAsia="Calibri" w:hAnsi="Calibri"/>
                <w:sz w:val="18"/>
                <w:szCs w:val="18"/>
                <w:color w:val="auto"/>
              </w:rPr>
              <w:t>Elisa Palazzo</w:t>
            </w:r>
          </w:p>
        </w:tc>
      </w:tr>
      <w:tr>
        <w:trPr>
          <w:trHeight w:val="215"/>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ind w:left="20"/>
              <w:spacing w:after="0" w:line="215" w:lineRule="exact"/>
              <w:rPr>
                <w:sz w:val="20"/>
                <w:szCs w:val="20"/>
                <w:color w:val="auto"/>
              </w:rPr>
            </w:pPr>
            <w:r>
              <w:rPr>
                <w:rFonts w:ascii="Calibri" w:cs="Calibri" w:eastAsia="Calibri" w:hAnsi="Calibri"/>
                <w:sz w:val="18"/>
                <w:szCs w:val="18"/>
                <w:color w:val="auto"/>
              </w:rPr>
              <w:t>Chief Financial Ofcer</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ind w:left="20"/>
              <w:spacing w:after="0" w:line="216" w:lineRule="exact"/>
              <w:rPr>
                <w:sz w:val="20"/>
                <w:szCs w:val="20"/>
                <w:color w:val="auto"/>
              </w:rPr>
            </w:pPr>
            <w:r>
              <w:rPr>
                <w:rFonts w:ascii="Calibri" w:cs="Calibri" w:eastAsia="Calibri" w:hAnsi="Calibri"/>
                <w:sz w:val="18"/>
                <w:szCs w:val="18"/>
                <w:color w:val="auto"/>
              </w:rPr>
              <w:t>(Principal Financial Ofcer and Principal Accountng Ofcer)</w:t>
            </w:r>
          </w:p>
        </w:tc>
      </w:tr>
      <w:tr>
        <w:trPr>
          <w:trHeight w:val="1016"/>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8" w:name="page69"/>
    <w:bookmarkEnd w:id="68"/>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20"/>
        <w:spacing w:after="0" w:line="235"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40"/>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18"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In connecton with the Quarterly Report on Form 10-Q of CarGurus, Inc. (the “Company”) for the period ending March 31, 2024 as fled with the U.S.</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Securites and Exchange Commission on the date hereof (the “Report”), I, Jason Trevisan, Chief Executve Ofcer of the Company, certfy, pursuant to 18 U.S.C.</w:t>
      </w:r>
    </w:p>
    <w:p>
      <w:pPr>
        <w:spacing w:after="0" w:line="4" w:lineRule="exact"/>
        <w:rPr>
          <w:sz w:val="20"/>
          <w:szCs w:val="20"/>
          <w:color w:val="auto"/>
        </w:rPr>
      </w:pPr>
    </w:p>
    <w:p>
      <w:pPr>
        <w:ind w:left="140" w:hanging="132"/>
        <w:spacing w:after="0"/>
        <w:tabs>
          <w:tab w:leader="none" w:pos="1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1350, as adopted pursuant to § 906 of the Sarbanes-Oxley Act of 2002, that, based on my knowledge:</w:t>
      </w:r>
    </w:p>
    <w:p>
      <w:pPr>
        <w:spacing w:after="0" w:line="212" w:lineRule="exact"/>
        <w:rPr>
          <w:rFonts w:ascii="Calibri" w:cs="Calibri" w:eastAsia="Calibri" w:hAnsi="Calibri"/>
          <w:sz w:val="18"/>
          <w:szCs w:val="18"/>
          <w:color w:val="auto"/>
        </w:rPr>
      </w:pPr>
    </w:p>
    <w:p>
      <w:pPr>
        <w:ind w:left="1020" w:hanging="503"/>
        <w:spacing w:after="0"/>
        <w:tabs>
          <w:tab w:leader="none" w:pos="1020" w:val="left"/>
        </w:tabs>
        <w:numPr>
          <w:ilvl w:val="1"/>
          <w:numId w:val="40"/>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17" w:lineRule="exact"/>
        <w:rPr>
          <w:rFonts w:ascii="Calibri" w:cs="Calibri" w:eastAsia="Calibri" w:hAnsi="Calibri"/>
          <w:sz w:val="18"/>
          <w:szCs w:val="18"/>
          <w:color w:val="auto"/>
        </w:rPr>
      </w:pPr>
    </w:p>
    <w:p>
      <w:pPr>
        <w:ind w:left="1020" w:right="660" w:hanging="503"/>
        <w:spacing w:after="0" w:line="235" w:lineRule="auto"/>
        <w:tabs>
          <w:tab w:leader="none" w:pos="1020" w:val="left"/>
        </w:tabs>
        <w:numPr>
          <w:ilvl w:val="1"/>
          <w:numId w:val="40"/>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20" w:type="dxa"/>
            <w:vAlign w:val="bottom"/>
          </w:tcPr>
          <w:p>
            <w:pPr>
              <w:ind w:left="20"/>
              <w:spacing w:after="0"/>
              <w:rPr>
                <w:sz w:val="20"/>
                <w:szCs w:val="20"/>
                <w:color w:val="auto"/>
              </w:rPr>
            </w:pPr>
            <w:r>
              <w:rPr>
                <w:rFonts w:ascii="Calibri" w:cs="Calibri" w:eastAsia="Calibri" w:hAnsi="Calibri"/>
                <w:sz w:val="18"/>
                <w:szCs w:val="18"/>
                <w:color w:val="auto"/>
              </w:rPr>
              <w:t>Date: May 9, 2024</w:t>
            </w:r>
          </w:p>
        </w:tc>
        <w:tc>
          <w:tcPr>
            <w:tcW w:w="7720" w:type="dxa"/>
            <w:vAlign w:val="bottom"/>
            <w:gridSpan w:val="2"/>
          </w:tcPr>
          <w:p>
            <w:pPr>
              <w:ind w:left="2180"/>
              <w:spacing w:after="0"/>
              <w:rPr>
                <w:sz w:val="20"/>
                <w:szCs w:val="20"/>
                <w:color w:val="auto"/>
              </w:rPr>
            </w:pPr>
            <w:r>
              <w:rPr>
                <w:rFonts w:ascii="Calibri" w:cs="Calibri" w:eastAsia="Calibri" w:hAnsi="Calibri"/>
                <w:sz w:val="18"/>
                <w:szCs w:val="18"/>
                <w:color w:val="auto"/>
              </w:rPr>
              <w:t>By:  /s/ Jason Trevisan</w:t>
            </w:r>
          </w:p>
        </w:tc>
      </w:tr>
      <w:tr>
        <w:trPr>
          <w:trHeight w:val="23"/>
        </w:trPr>
        <w:tc>
          <w:tcPr>
            <w:tcW w:w="35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01"/>
        </w:trPr>
        <w:tc>
          <w:tcPr>
            <w:tcW w:w="3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20" w:type="dxa"/>
            <w:vAlign w:val="bottom"/>
          </w:tcPr>
          <w:p>
            <w:pPr>
              <w:ind w:left="20"/>
              <w:spacing w:after="0" w:line="201" w:lineRule="exact"/>
              <w:rPr>
                <w:sz w:val="20"/>
                <w:szCs w:val="20"/>
                <w:color w:val="auto"/>
              </w:rPr>
            </w:pPr>
            <w:r>
              <w:rPr>
                <w:rFonts w:ascii="Calibri" w:cs="Calibri" w:eastAsia="Calibri" w:hAnsi="Calibri"/>
                <w:sz w:val="18"/>
                <w:szCs w:val="18"/>
                <w:color w:val="auto"/>
              </w:rPr>
              <w:t>Jason Trevisan</w:t>
            </w:r>
          </w:p>
        </w:tc>
      </w:tr>
      <w:tr>
        <w:trPr>
          <w:trHeight w:val="215"/>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ind w:left="20"/>
              <w:spacing w:after="0" w:line="215" w:lineRule="exact"/>
              <w:rPr>
                <w:sz w:val="20"/>
                <w:szCs w:val="20"/>
                <w:color w:val="auto"/>
              </w:rPr>
            </w:pPr>
            <w:r>
              <w:rPr>
                <w:rFonts w:ascii="Calibri" w:cs="Calibri" w:eastAsia="Calibri" w:hAnsi="Calibri"/>
                <w:sz w:val="18"/>
                <w:szCs w:val="18"/>
                <w:color w:val="auto"/>
              </w:rPr>
              <w:t>Chief Executve Ofcer</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ind w:left="20"/>
              <w:spacing w:after="0" w:line="216" w:lineRule="exact"/>
              <w:rPr>
                <w:sz w:val="20"/>
                <w:szCs w:val="20"/>
                <w:color w:val="auto"/>
              </w:rPr>
            </w:pPr>
            <w:r>
              <w:rPr>
                <w:rFonts w:ascii="Calibri" w:cs="Calibri" w:eastAsia="Calibri" w:hAnsi="Calibri"/>
                <w:sz w:val="18"/>
                <w:szCs w:val="18"/>
                <w:color w:val="auto"/>
              </w:rPr>
              <w:t>(Principal Executve Ofcer)</w:t>
            </w:r>
          </w:p>
        </w:tc>
      </w:tr>
      <w:tr>
        <w:trPr>
          <w:trHeight w:val="1232"/>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9" w:name="page70"/>
    <w:bookmarkEnd w:id="69"/>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20"/>
        <w:spacing w:after="0" w:line="235"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40"/>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18"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In connecton with the Quarterly Report on Form 10-Q of CarGurus, Inc. (the “Company”) for the period ending March 31, 2024, as fled with the U.S. Securites and Exchange Commission on the date hereof (the “Report”), I, Elisa Palazzo, Chief Financial Ofcer of the Company, certfy, pursuant to 18 U.S.C. § 1350, as adopted pursuant to § 906 of the Sarbanes-Oxley Act of 2002, that, based on my knowledge:</w:t>
      </w:r>
    </w:p>
    <w:p>
      <w:pPr>
        <w:spacing w:after="0" w:line="214" w:lineRule="exact"/>
        <w:rPr>
          <w:sz w:val="20"/>
          <w:szCs w:val="20"/>
          <w:color w:val="auto"/>
        </w:rPr>
      </w:pPr>
    </w:p>
    <w:p>
      <w:pPr>
        <w:ind w:left="1020" w:hanging="503"/>
        <w:spacing w:after="0"/>
        <w:tabs>
          <w:tab w:leader="none" w:pos="102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17" w:lineRule="exact"/>
        <w:rPr>
          <w:rFonts w:ascii="Calibri" w:cs="Calibri" w:eastAsia="Calibri" w:hAnsi="Calibri"/>
          <w:sz w:val="18"/>
          <w:szCs w:val="18"/>
          <w:color w:val="auto"/>
        </w:rPr>
      </w:pPr>
    </w:p>
    <w:p>
      <w:pPr>
        <w:ind w:left="1020" w:right="660" w:hanging="503"/>
        <w:spacing w:after="0" w:line="235" w:lineRule="auto"/>
        <w:tabs>
          <w:tab w:leader="none" w:pos="102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20" w:type="dxa"/>
            <w:vAlign w:val="bottom"/>
          </w:tcPr>
          <w:p>
            <w:pPr>
              <w:ind w:left="20"/>
              <w:spacing w:after="0"/>
              <w:rPr>
                <w:sz w:val="20"/>
                <w:szCs w:val="20"/>
                <w:color w:val="auto"/>
              </w:rPr>
            </w:pPr>
            <w:r>
              <w:rPr>
                <w:rFonts w:ascii="Calibri" w:cs="Calibri" w:eastAsia="Calibri" w:hAnsi="Calibri"/>
                <w:sz w:val="18"/>
                <w:szCs w:val="18"/>
                <w:color w:val="auto"/>
              </w:rPr>
              <w:t>Date: May 9, 2024</w:t>
            </w:r>
          </w:p>
        </w:tc>
        <w:tc>
          <w:tcPr>
            <w:tcW w:w="7720" w:type="dxa"/>
            <w:vAlign w:val="bottom"/>
            <w:gridSpan w:val="2"/>
          </w:tcPr>
          <w:p>
            <w:pPr>
              <w:ind w:left="2180"/>
              <w:spacing w:after="0"/>
              <w:rPr>
                <w:sz w:val="20"/>
                <w:szCs w:val="20"/>
                <w:color w:val="auto"/>
              </w:rPr>
            </w:pPr>
            <w:r>
              <w:rPr>
                <w:rFonts w:ascii="Calibri" w:cs="Calibri" w:eastAsia="Calibri" w:hAnsi="Calibri"/>
                <w:sz w:val="18"/>
                <w:szCs w:val="18"/>
                <w:color w:val="auto"/>
              </w:rPr>
              <w:t>By:  /s/ Elisa Palazzo</w:t>
            </w:r>
          </w:p>
        </w:tc>
      </w:tr>
      <w:tr>
        <w:trPr>
          <w:trHeight w:val="23"/>
        </w:trPr>
        <w:tc>
          <w:tcPr>
            <w:tcW w:w="35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01"/>
        </w:trPr>
        <w:tc>
          <w:tcPr>
            <w:tcW w:w="3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20" w:type="dxa"/>
            <w:vAlign w:val="bottom"/>
          </w:tcPr>
          <w:p>
            <w:pPr>
              <w:ind w:left="20"/>
              <w:spacing w:after="0" w:line="201" w:lineRule="exact"/>
              <w:rPr>
                <w:sz w:val="20"/>
                <w:szCs w:val="20"/>
                <w:color w:val="auto"/>
              </w:rPr>
            </w:pPr>
            <w:r>
              <w:rPr>
                <w:rFonts w:ascii="Calibri" w:cs="Calibri" w:eastAsia="Calibri" w:hAnsi="Calibri"/>
                <w:sz w:val="18"/>
                <w:szCs w:val="18"/>
                <w:color w:val="auto"/>
              </w:rPr>
              <w:t>Elisa Palazzo</w:t>
            </w:r>
          </w:p>
        </w:tc>
      </w:tr>
      <w:tr>
        <w:trPr>
          <w:trHeight w:val="215"/>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ind w:left="20"/>
              <w:spacing w:after="0" w:line="215" w:lineRule="exact"/>
              <w:rPr>
                <w:sz w:val="20"/>
                <w:szCs w:val="20"/>
                <w:color w:val="auto"/>
              </w:rPr>
            </w:pPr>
            <w:r>
              <w:rPr>
                <w:rFonts w:ascii="Calibri" w:cs="Calibri" w:eastAsia="Calibri" w:hAnsi="Calibri"/>
                <w:sz w:val="18"/>
                <w:szCs w:val="18"/>
                <w:color w:val="auto"/>
              </w:rPr>
              <w:t>Chief Financial Ofcer</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ind w:left="20"/>
              <w:spacing w:after="0" w:line="216" w:lineRule="exact"/>
              <w:rPr>
                <w:sz w:val="20"/>
                <w:szCs w:val="20"/>
                <w:color w:val="auto"/>
              </w:rPr>
            </w:pPr>
            <w:r>
              <w:rPr>
                <w:rFonts w:ascii="Calibri" w:cs="Calibri" w:eastAsia="Calibri" w:hAnsi="Calibri"/>
                <w:sz w:val="18"/>
                <w:szCs w:val="18"/>
                <w:color w:val="auto"/>
              </w:rPr>
              <w:t>(Principal Financial Ofcer and Principal Accountng Ofcer)</w:t>
            </w:r>
          </w:p>
        </w:tc>
      </w:tr>
      <w:tr>
        <w:trPr>
          <w:trHeight w:val="1016"/>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lvl w:ilvl="1">
      <w:lvlJc w:val="left"/>
      <w:lvlText w:val="%2."/>
      <w:numFmt w:val="decimal"/>
      <w:start w:val="1"/>
    </w:lvl>
  </w:abstractNum>
  <w:abstractNum w:abstractNumId="10">
    <w:nsid w:val="B03E0C6"/>
    <w:multiLevelType w:val="hybridMultilevel"/>
    <w:lvl w:ilvl="0">
      <w:lvlJc w:val="left"/>
      <w:lvlText w:val="%1."/>
      <w:numFmt w:val="decimal"/>
      <w:start w:val="3"/>
    </w:lvl>
    <w:lvl w:ilvl="1">
      <w:lvlJc w:val="left"/>
      <w:lvlText w:val="(%2)"/>
      <w:numFmt w:val="lowerRoman"/>
      <w:start w:val="1"/>
    </w:lvl>
  </w:abstractNum>
  <w:abstractNum w:abstractNumId="11">
    <w:nsid w:val="189A769B"/>
    <w:multiLevelType w:val="hybridMultilevel"/>
    <w:lvl w:ilvl="0">
      <w:lvlJc w:val="left"/>
      <w:lvlText w:val="%1"/>
      <w:numFmt w:val="decimal"/>
      <w:start w:val="1"/>
    </w:lvl>
    <w:lvl w:ilvl="1">
      <w:lvlJc w:val="left"/>
      <w:lvlText w:val="(%2)"/>
      <w:numFmt w:val="lowerRoman"/>
      <w:start w:val="5"/>
    </w:lvl>
  </w:abstractNum>
  <w:abstractNum w:abstractNumId="12">
    <w:nsid w:val="54E49EB4"/>
    <w:multiLevelType w:val="hybridMultilevel"/>
    <w:lvl w:ilvl="0">
      <w:lvlJc w:val="left"/>
      <w:lvlText w:val="%1."/>
      <w:numFmt w:val="decimal"/>
      <w:start w:val="5"/>
    </w:lvl>
    <w:lvl w:ilvl="1">
      <w:lvlJc w:val="left"/>
      <w:lvlText w:val="(%2)"/>
      <w:numFmt w:val="lowerRoman"/>
      <w:start w:val="1"/>
    </w:lvl>
  </w:abstractNum>
  <w:abstractNum w:abstractNumId="13">
    <w:nsid w:val="71F32454"/>
    <w:multiLevelType w:val="hybridMultilevel"/>
    <w:lvl w:ilvl="0">
      <w:lvlJc w:val="left"/>
      <w:lvlText w:val="%1"/>
      <w:numFmt w:val="decimal"/>
      <w:start w:val="1"/>
    </w:lvl>
    <w:lvl w:ilvl="1">
      <w:lvlJc w:val="left"/>
      <w:lvlText w:val="(%2)"/>
      <w:numFmt w:val="lowerRoman"/>
      <w:start w:val="2"/>
    </w:lvl>
  </w:abstractNum>
  <w:abstractNum w:abstractNumId="14">
    <w:nsid w:val="2CA88611"/>
    <w:multiLevelType w:val="hybridMultilevel"/>
    <w:lvl w:ilvl="0">
      <w:lvlJc w:val="left"/>
      <w:lvlText w:val="%1."/>
      <w:numFmt w:val="decimal"/>
      <w:start w:val="8"/>
    </w:lvl>
    <w:lvl w:ilvl="1">
      <w:lvlJc w:val="left"/>
      <w:lvlText w:val="%2"/>
      <w:numFmt w:val="lowerRoman"/>
      <w:start w:val="1"/>
    </w:lvl>
  </w:abstractNum>
  <w:abstractNum w:abstractNumId="15">
    <w:nsid w:val="836C40E"/>
    <w:multiLevelType w:val="hybridMultilevel"/>
    <w:lvl w:ilvl="0">
      <w:lvlJc w:val="left"/>
      <w:lvlText w:val="%1."/>
      <w:numFmt w:val="decimal"/>
      <w:start w:val="9"/>
    </w:lvl>
  </w:abstractNum>
  <w:abstractNum w:abstractNumId="16">
    <w:nsid w:val="2901D82"/>
    <w:multiLevelType w:val="hybridMultilevel"/>
    <w:lvl w:ilvl="0">
      <w:lvlJc w:val="left"/>
      <w:lvlText w:val="(%1)"/>
      <w:numFmt w:val="lowerRoman"/>
      <w:start w:val="1"/>
    </w:lvl>
  </w:abstractNum>
  <w:abstractNum w:abstractNumId="17">
    <w:nsid w:val="3A95F874"/>
    <w:multiLevelType w:val="hybridMultilevel"/>
    <w:lvl w:ilvl="0">
      <w:lvlJc w:val="left"/>
      <w:lvlText w:val="§"/>
      <w:numFmt w:val="bullet"/>
      <w:start w:val="1"/>
    </w:lvl>
    <w:lvl w:ilvl="1">
      <w:lvlJc w:val="left"/>
      <w:lvlText w:val="(%2)"/>
      <w:numFmt w:val="lowerRoman"/>
      <w:start w:val="2"/>
    </w:lvl>
  </w:abstractNum>
  <w:abstractNum w:abstractNumId="18">
    <w:nsid w:val="8138641"/>
    <w:multiLevelType w:val="hybridMultilevel"/>
    <w:lvl w:ilvl="0">
      <w:lvlJc w:val="left"/>
      <w:lvlText w:val="§"/>
      <w:numFmt w:val="bullet"/>
      <w:start w:val="1"/>
    </w:lvl>
    <w:lvl w:ilvl="1">
      <w:lvlJc w:val="left"/>
      <w:lvlText w:val="(%2)"/>
      <w:numFmt w:val="lowerRoman"/>
      <w:start w:val="3"/>
    </w:lvl>
  </w:abstractNum>
  <w:abstractNum w:abstractNumId="19">
    <w:nsid w:val="1E7FF521"/>
    <w:multiLevelType w:val="hybridMultilevel"/>
    <w:lvl w:ilvl="0">
      <w:lvlJc w:val="left"/>
      <w:lvlText w:val="(%1)"/>
      <w:numFmt w:val="lowerRoman"/>
      <w:start w:val="5"/>
    </w:lvl>
  </w:abstractNum>
  <w:abstractNum w:abstractNumId="20">
    <w:nsid w:val="7C3DBD3D"/>
    <w:multiLevelType w:val="hybridMultilevel"/>
    <w:lvl w:ilvl="0">
      <w:lvlJc w:val="left"/>
      <w:lvlText w:val="(%1)"/>
      <w:numFmt w:val="lowerRoman"/>
      <w:start w:val="1"/>
    </w:lvl>
  </w:abstractNum>
  <w:abstractNum w:abstractNumId="21">
    <w:nsid w:val="737B8DDC"/>
    <w:multiLevelType w:val="hybridMultilevel"/>
    <w:lvl w:ilvl="0">
      <w:lvlJc w:val="left"/>
      <w:lvlText w:val="(%1)"/>
      <w:numFmt w:val="lowerRoman"/>
      <w:start w:val="2"/>
    </w:lvl>
  </w:abstractNum>
  <w:abstractNum w:abstractNumId="22">
    <w:nsid w:val="6CEAF087"/>
    <w:multiLevelType w:val="hybridMultilevel"/>
    <w:lvl w:ilvl="0">
      <w:lvlJc w:val="left"/>
      <w:lvlText w:val="(%1)"/>
      <w:numFmt w:val="lowerRoman"/>
      <w:start w:val="1"/>
    </w:lvl>
  </w:abstractNum>
  <w:abstractNum w:abstractNumId="23">
    <w:nsid w:val="22221A70"/>
    <w:multiLevelType w:val="hybridMultilevel"/>
    <w:lvl w:ilvl="0">
      <w:lvlJc w:val="left"/>
      <w:lvlText w:val="§"/>
      <w:numFmt w:val="bullet"/>
      <w:start w:val="1"/>
    </w:lvl>
    <w:lvl w:ilvl="1">
      <w:lvlJc w:val="left"/>
      <w:lvlText w:val="(%2)"/>
      <w:numFmt w:val="lowerRoman"/>
      <w:start w:val="2"/>
    </w:lvl>
  </w:abstractNum>
  <w:abstractNum w:abstractNumId="24">
    <w:nsid w:val="4516DDE9"/>
    <w:multiLevelType w:val="hybridMultilevel"/>
    <w:lvl w:ilvl="0">
      <w:lvlJc w:val="left"/>
      <w:lvlText w:val="§"/>
      <w:numFmt w:val="bullet"/>
      <w:start w:val="1"/>
    </w:lvl>
    <w:lvl w:ilvl="1">
      <w:lvlJc w:val="left"/>
      <w:lvlText w:val="(%2)"/>
      <w:numFmt w:val="lowerRoman"/>
      <w:start w:val="3"/>
    </w:lvl>
  </w:abstractNum>
  <w:abstractNum w:abstractNumId="25">
    <w:nsid w:val="3006C83E"/>
    <w:multiLevelType w:val="hybridMultilevel"/>
    <w:lvl w:ilvl="0">
      <w:lvlJc w:val="left"/>
      <w:lvlText w:val="(%1)"/>
      <w:numFmt w:val="lowerRoman"/>
      <w:start w:val="5"/>
    </w:lvl>
  </w:abstractNum>
  <w:abstractNum w:abstractNumId="26">
    <w:nsid w:val="614FD4A1"/>
    <w:multiLevelType w:val="hybridMultilevel"/>
    <w:lvl w:ilvl="0">
      <w:lvlJc w:val="left"/>
      <w:lvlText w:val="(%1)"/>
      <w:numFmt w:val="lowerRoman"/>
      <w:start w:val="5"/>
    </w:lvl>
  </w:abstractNum>
  <w:abstractNum w:abstractNumId="27">
    <w:nsid w:val="419AC241"/>
    <w:multiLevelType w:val="hybridMultilevel"/>
    <w:lvl w:ilvl="0">
      <w:lvlJc w:val="left"/>
      <w:lvlText w:val="(%1)"/>
      <w:numFmt w:val="decimal"/>
      <w:start w:val="7"/>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upperLetter"/>
      <w:start w:val="1"/>
    </w:lvl>
    <w:lvl w:ilvl="1">
      <w:lvlJc w:val="left"/>
      <w:lvlText w:val="(%2)"/>
      <w:numFmt w:val="lowerRoman"/>
      <w:start w:val="1"/>
    </w:lvl>
  </w:abstractNum>
  <w:abstractNum w:abstractNumId="30">
    <w:nsid w:val="5072367"/>
    <w:multiLevelType w:val="hybridMultilevel"/>
    <w:lvl w:ilvl="0">
      <w:lvlJc w:val="left"/>
      <w:lvlText w:val="(%1)"/>
      <w:numFmt w:val="upperLetter"/>
      <w:start w:val="2"/>
    </w:lvl>
    <w:lvl w:ilvl="1">
      <w:lvlJc w:val="left"/>
      <w:lvlText w:val="%2"/>
      <w:numFmt w:val="lowerRoman"/>
      <w:start w:val="1"/>
    </w:lvl>
  </w:abstractNum>
  <w:abstractNum w:abstractNumId="31">
    <w:nsid w:val="3804823E"/>
    <w:multiLevelType w:val="hybridMultilevel"/>
    <w:lvl w:ilvl="0">
      <w:lvlJc w:val="left"/>
      <w:lvlText w:val="(%1)"/>
      <w:numFmt w:val="decimal"/>
      <w:start w:val="2"/>
    </w:lvl>
    <w:lvl w:ilvl="1">
      <w:lvlJc w:val="left"/>
      <w:lvlText w:val="(%2)"/>
      <w:numFmt w:val="upperLetter"/>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5"/>
    </w:lvl>
  </w:abstractNum>
  <w:abstractNum w:abstractNumId="34">
    <w:nsid w:val="5C482A97"/>
    <w:multiLevelType w:val="hybridMultilevel"/>
    <w:lvl w:ilvl="0">
      <w:lvlJc w:val="left"/>
      <w:lvlText w:val="%1"/>
      <w:numFmt w:val="decimal"/>
      <w:start w:val="1"/>
    </w:lvl>
    <w:lvl w:ilvl="1">
      <w:lvlJc w:val="left"/>
      <w:lvlText w:val="%2"/>
      <w:numFmt w:val="decimal"/>
      <w:start w:val="1"/>
    </w:lvl>
    <w:lvl w:ilvl="2">
      <w:lvlJc w:val="left"/>
      <w:lvlText w:val="%3."/>
      <w:numFmt w:val="decimal"/>
      <w:start w:val="6"/>
    </w:lvl>
    <w:lvl w:ilvl="3">
      <w:lvlJc w:val="left"/>
      <w:lvlText w:val="%4"/>
      <w:numFmt w:val="decimal"/>
      <w:start w:val="1"/>
    </w:lvl>
  </w:abstractNum>
  <w:abstractNum w:abstractNumId="35">
    <w:nsid w:val="2463B9EA"/>
    <w:multiLevelType w:val="hybridMultilevel"/>
    <w:lvl w:ilvl="0">
      <w:lvlJc w:val="left"/>
      <w:lvlText w:val="%1"/>
      <w:numFmt w:val="decimal"/>
      <w:start w:val="1"/>
    </w:lvl>
    <w:lvl w:ilvl="1">
      <w:lvlJc w:val="left"/>
      <w:lvlText w:val="%2."/>
      <w:numFmt w:val="decimal"/>
      <w:start w:val="7"/>
    </w:lvl>
    <w:lvl w:ilvl="2">
      <w:lvlJc w:val="left"/>
      <w:lvlText w:val="%3"/>
      <w:numFmt w:val="decimal"/>
      <w:start w:val="1"/>
    </w:lvl>
    <w:lvl w:ilvl="3">
      <w:lvlJc w:val="left"/>
      <w:lvlText w:val="%4"/>
      <w:numFmt w:val="decimal"/>
      <w:start w:val="1"/>
    </w:lvl>
  </w:abstractNum>
  <w:abstractNum w:abstractNumId="36">
    <w:nsid w:val="5E884ADC"/>
    <w:multiLevelType w:val="hybridMultilevel"/>
    <w:lvl w:ilvl="0">
      <w:lvlJc w:val="left"/>
      <w:lvlText w:val="%1."/>
      <w:numFmt w:val="decimal"/>
      <w:start w:val="8"/>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
      <w:numFmt w:val="bullet"/>
      <w:start w:val="1"/>
    </w:lvl>
    <w:lvl w:ilvl="1">
      <w:lvlJc w:val="left"/>
      <w:lvlText w:val="(%2)"/>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2024-05-09T15:36:23Z</dcterms:created>
  <dcterms:modified xsi:type="dcterms:W3CDTF">2024-05-09T15:36:23Z</dcterms:modified>
</cp:coreProperties>
</file>