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8" w:lineRule="exact"/>
        <w:rPr>
          <w:rFonts w:ascii="MS PGothic" w:cs="MS PGothic" w:eastAsia="MS PGothic" w:hAnsi="MS PGothic"/>
          <w:sz w:val="16"/>
          <w:szCs w:val="16"/>
          <w:color w:val="auto"/>
        </w:rPr>
      </w:pPr>
    </w:p>
    <w:p>
      <w:pPr>
        <w:ind w:left="41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fiscal year ended December 31, 2022</w:t>
      </w:r>
    </w:p>
    <w:p>
      <w:pPr>
        <w:spacing w:after="0" w:line="45" w:lineRule="exact"/>
        <w:rPr>
          <w:rFonts w:ascii="MS PGothic" w:cs="MS PGothic" w:eastAsia="MS PGothic" w:hAnsi="MS PGothic"/>
          <w:sz w:val="16"/>
          <w:szCs w:val="16"/>
          <w:color w:val="auto"/>
        </w:rPr>
      </w:pPr>
    </w:p>
    <w:p>
      <w:pPr>
        <w:ind w:left="54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5140" w:type="dxa"/>
            <w:vAlign w:val="bottom"/>
            <w:gridSpan w:val="2"/>
          </w:tcPr>
          <w:p>
            <w:pPr>
              <w:ind w:left="15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2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12"/>
        </w:trPr>
        <w:tc>
          <w:tcPr>
            <w:tcW w:w="5140" w:type="dxa"/>
            <w:vAlign w:val="bottom"/>
            <w:gridSpan w:val="2"/>
          </w:tcPr>
          <w:p>
            <w:pPr>
              <w:jc w:val="center"/>
              <w:ind w:left="2787"/>
              <w:spacing w:after="0"/>
              <w:rPr>
                <w:sz w:val="20"/>
                <w:szCs w:val="20"/>
                <w:color w:val="auto"/>
              </w:rPr>
            </w:pPr>
            <w:r>
              <w:rPr>
                <w:rFonts w:ascii="Times New Roman" w:cs="Times New Roman" w:eastAsia="Times New Roman" w:hAnsi="Times New Roman"/>
                <w:sz w:val="14"/>
                <w:szCs w:val="14"/>
                <w:b w:val="1"/>
                <w:bCs w:val="1"/>
                <w:color w:val="auto"/>
              </w:rPr>
              <w:t>Commission File Number 001-38233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9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rPr>
              <w:t>CarGurus, Inc.</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420" w:type="dxa"/>
            <w:vAlign w:val="bottom"/>
            <w:gridSpan w:val="3"/>
          </w:tcPr>
          <w:p>
            <w:pPr>
              <w:jc w:val="center"/>
              <w:ind w:left="527"/>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51"/>
        </w:trPr>
        <w:tc>
          <w:tcPr>
            <w:tcW w:w="29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8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04-3843478</w:t>
            </w:r>
          </w:p>
        </w:tc>
        <w:tc>
          <w:tcPr>
            <w:tcW w:w="0" w:type="dxa"/>
            <w:vAlign w:val="bottom"/>
          </w:tcPr>
          <w:p>
            <w:pPr>
              <w:spacing w:after="0"/>
              <w:rPr>
                <w:sz w:val="1"/>
                <w:szCs w:val="1"/>
                <w:color w:val="auto"/>
              </w:rPr>
            </w:pPr>
          </w:p>
        </w:tc>
      </w:tr>
      <w:tr>
        <w:trPr>
          <w:trHeight w:val="171"/>
        </w:trPr>
        <w:tc>
          <w:tcPr>
            <w:tcW w:w="5140" w:type="dxa"/>
            <w:vAlign w:val="bottom"/>
            <w:gridSpan w:val="2"/>
          </w:tcPr>
          <w:p>
            <w:pPr>
              <w:jc w:val="center"/>
              <w:ind w:right="263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gridSpan w:val="2"/>
          </w:tcPr>
          <w:p>
            <w:pPr>
              <w:jc w:val="center"/>
              <w:ind w:right="263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80" w:type="dxa"/>
            <w:vAlign w:val="bottom"/>
          </w:tcPr>
          <w:p>
            <w:pPr>
              <w:jc w:val="center"/>
              <w:ind w:left="108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140" w:type="dxa"/>
            <w:vAlign w:val="bottom"/>
            <w:gridSpan w:val="2"/>
          </w:tcPr>
          <w:p>
            <w:pPr>
              <w:jc w:val="center"/>
              <w:ind w:right="263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80" w:type="dxa"/>
            <w:vAlign w:val="bottom"/>
          </w:tcPr>
          <w:p>
            <w:pPr>
              <w:jc w:val="center"/>
              <w:ind w:left="108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1"/>
        </w:trPr>
        <w:tc>
          <w:tcPr>
            <w:tcW w:w="5140" w:type="dxa"/>
            <w:vAlign w:val="bottom"/>
            <w:gridSpan w:val="2"/>
          </w:tcPr>
          <w:p>
            <w:pPr>
              <w:jc w:val="center"/>
              <w:ind w:right="2634"/>
              <w:spacing w:after="0"/>
              <w:rPr>
                <w:sz w:val="20"/>
                <w:szCs w:val="20"/>
                <w:color w:val="auto"/>
              </w:rPr>
            </w:pPr>
            <w:r>
              <w:rPr>
                <w:rFonts w:ascii="Times New Roman" w:cs="Times New Roman" w:eastAsia="Times New Roman" w:hAnsi="Times New Roman"/>
                <w:sz w:val="14"/>
                <w:szCs w:val="14"/>
                <w:b w:val="1"/>
                <w:bCs w:val="1"/>
                <w:color w:val="auto"/>
              </w:rPr>
              <w:t>2 Canal Park, 4th Floor</w:t>
            </w:r>
          </w:p>
        </w:tc>
        <w:tc>
          <w:tcPr>
            <w:tcW w:w="2280" w:type="dxa"/>
            <w:vAlign w:val="bottom"/>
            <w:vMerge w:val="restart"/>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02141</w:t>
            </w:r>
          </w:p>
        </w:tc>
        <w:tc>
          <w:tcPr>
            <w:tcW w:w="0" w:type="dxa"/>
            <w:vAlign w:val="bottom"/>
          </w:tcPr>
          <w:p>
            <w:pPr>
              <w:spacing w:after="0"/>
              <w:rPr>
                <w:sz w:val="1"/>
                <w:szCs w:val="1"/>
                <w:color w:val="auto"/>
              </w:rPr>
            </w:pPr>
          </w:p>
        </w:tc>
      </w:tr>
      <w:tr>
        <w:trPr>
          <w:trHeight w:val="176"/>
        </w:trPr>
        <w:tc>
          <w:tcPr>
            <w:tcW w:w="5140" w:type="dxa"/>
            <w:vAlign w:val="bottom"/>
            <w:gridSpan w:val="2"/>
          </w:tcPr>
          <w:p>
            <w:pPr>
              <w:jc w:val="center"/>
              <w:ind w:right="2634"/>
              <w:spacing w:after="0"/>
              <w:rPr>
                <w:sz w:val="20"/>
                <w:szCs w:val="20"/>
                <w:color w:val="auto"/>
              </w:rPr>
            </w:pPr>
            <w:r>
              <w:rPr>
                <w:rFonts w:ascii="Times New Roman" w:cs="Times New Roman" w:eastAsia="Times New Roman" w:hAnsi="Times New Roman"/>
                <w:sz w:val="14"/>
                <w:szCs w:val="14"/>
                <w:b w:val="1"/>
                <w:bCs w:val="1"/>
                <w:color w:val="auto"/>
              </w:rPr>
              <w:t>Cambridge, Massachusetts</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40" w:type="dxa"/>
            <w:vAlign w:val="bottom"/>
            <w:gridSpan w:val="2"/>
          </w:tcPr>
          <w:p>
            <w:pPr>
              <w:jc w:val="center"/>
              <w:ind w:right="263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jc w:val="center"/>
              <w:ind w:left="110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354-0068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0" w:type="dxa"/>
            <w:vAlign w:val="bottom"/>
          </w:tcPr>
          <w:p>
            <w:pPr>
              <w:spacing w:after="0"/>
              <w:rPr>
                <w:sz w:val="16"/>
                <w:szCs w:val="16"/>
                <w:color w:val="auto"/>
              </w:rPr>
            </w:pPr>
          </w:p>
        </w:tc>
        <w:tc>
          <w:tcPr>
            <w:tcW w:w="880" w:type="dxa"/>
            <w:vAlign w:val="bottom"/>
            <w:tcBorders>
              <w:bottom w:val="single" w:sz="8" w:color="auto"/>
            </w:tcBorders>
            <w:gridSpan w:val="2"/>
          </w:tcPr>
          <w:p>
            <w:pPr>
              <w:spacing w:after="0"/>
              <w:rPr>
                <w:sz w:val="16"/>
                <w:szCs w:val="16"/>
                <w:color w:val="auto"/>
              </w:rPr>
            </w:pPr>
          </w:p>
        </w:tc>
        <w:tc>
          <w:tcPr>
            <w:tcW w:w="3660" w:type="dxa"/>
            <w:vAlign w:val="bottom"/>
            <w:tcBorders>
              <w:bottom w:val="single" w:sz="8" w:color="auto"/>
            </w:tcBorders>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98"/>
        </w:trPr>
        <w:tc>
          <w:tcPr>
            <w:tcW w:w="4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80" w:type="dxa"/>
            <w:vAlign w:val="bottom"/>
          </w:tcPr>
          <w:p>
            <w:pPr>
              <w:spacing w:after="0"/>
              <w:rPr>
                <w:sz w:val="17"/>
                <w:szCs w:val="17"/>
                <w:color w:val="auto"/>
              </w:rPr>
            </w:pPr>
          </w:p>
        </w:tc>
        <w:tc>
          <w:tcPr>
            <w:tcW w:w="2840" w:type="dxa"/>
            <w:vAlign w:val="bottom"/>
            <w:gridSpan w:val="4"/>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CARG</w:t>
            </w:r>
          </w:p>
        </w:tc>
        <w:tc>
          <w:tcPr>
            <w:tcW w:w="366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90"/>
        </w:trPr>
        <w:tc>
          <w:tcPr>
            <w:tcW w:w="4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par value $0.001 per share</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6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203"/>
        </w:trPr>
        <w:tc>
          <w:tcPr>
            <w:tcW w:w="45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4500" w:type="dxa"/>
            <w:vAlign w:val="bottom"/>
          </w:tcPr>
          <w:p>
            <w:pPr>
              <w:spacing w:after="0"/>
              <w:rPr>
                <w:sz w:val="4"/>
                <w:szCs w:val="4"/>
                <w:color w:val="auto"/>
              </w:rPr>
            </w:pPr>
          </w:p>
        </w:tc>
        <w:tc>
          <w:tcPr>
            <w:tcW w:w="2240" w:type="dxa"/>
            <w:vAlign w:val="bottom"/>
            <w:tcBorders>
              <w:bottom w:val="single" w:sz="8" w:color="auto"/>
            </w:tcBorders>
            <w:gridSpan w:val="5"/>
          </w:tcPr>
          <w:p>
            <w:pPr>
              <w:spacing w:after="0"/>
              <w:rPr>
                <w:sz w:val="4"/>
                <w:szCs w:val="4"/>
                <w:color w:val="auto"/>
              </w:rPr>
            </w:pPr>
          </w:p>
        </w:tc>
        <w:tc>
          <w:tcPr>
            <w:tcW w:w="840" w:type="dxa"/>
            <w:vAlign w:val="bottom"/>
          </w:tcPr>
          <w:p>
            <w:pPr>
              <w:spacing w:after="0"/>
              <w:rPr>
                <w:sz w:val="4"/>
                <w:szCs w:val="4"/>
                <w:color w:val="auto"/>
              </w:rPr>
            </w:pPr>
          </w:p>
        </w:tc>
        <w:tc>
          <w:tcPr>
            <w:tcW w:w="3660" w:type="dxa"/>
            <w:vAlign w:val="bottom"/>
            <w:vMerge w:val="restart"/>
          </w:tcPr>
          <w:p>
            <w:pPr>
              <w:ind w:left="6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04"/>
        </w:trPr>
        <w:tc>
          <w:tcPr>
            <w:tcW w:w="758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3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580" w:type="dxa"/>
            <w:vAlign w:val="bottom"/>
            <w:gridSpan w:val="7"/>
          </w:tcPr>
          <w:p>
            <w:pPr>
              <w:ind w:left="5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p>
        </w:tc>
        <w:tc>
          <w:tcPr>
            <w:tcW w:w="366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jc w:val="both"/>
        <w:ind w:right="2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ind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bl>
      <w:tblPr>
        <w:tblLayout w:type="fixed"/>
        <w:tblInd w:w="0" w:type="dxa"/>
        <w:tblCellMar>
          <w:top w:w="0" w:type="dxa"/>
          <w:left w:w="0" w:type="dxa"/>
          <w:bottom w:w="0" w:type="dxa"/>
          <w:right w:w="0" w:type="dxa"/>
        </w:tblCellMar>
      </w:tblPr>
      <w:tr>
        <w:trPr>
          <w:trHeight w:val="132"/>
        </w:trPr>
        <w:tc>
          <w:tcPr>
            <w:tcW w:w="10620" w:type="dxa"/>
            <w:vAlign w:val="bottom"/>
            <w:gridSpan w:val="3"/>
          </w:tcPr>
          <w:p>
            <w:pPr>
              <w:spacing w:after="0" w:line="132" w:lineRule="exact"/>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540" w:type="dxa"/>
            <w:vAlign w:val="bottom"/>
            <w:vMerge w:val="restart"/>
          </w:tcPr>
          <w:p>
            <w:pPr>
              <w:ind w:left="4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26"/>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 reporting company</w:t>
            </w:r>
          </w:p>
        </w:tc>
        <w:tc>
          <w:tcPr>
            <w:tcW w:w="540" w:type="dxa"/>
            <w:vAlign w:val="bottom"/>
          </w:tcPr>
          <w:p>
            <w:pPr>
              <w:ind w:left="4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jc w:val="both"/>
        <w:ind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ind w:right="2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360" w:firstLine="509"/>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left="520"/>
        <w:spacing w:after="0" w:line="188" w:lineRule="exact"/>
        <w:tabs>
          <w:tab w:leader="none" w:pos="76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jc w:val="both"/>
        <w:ind w:firstLine="509"/>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registrant’s Class A common stock, par value $0.001 per share, held by non-affiliates of the registrant based on the closing price of the registrant’s common stock as reported on the Nasdaq Global Market on June 30, 2022 was $2,177,687,560. Shares of voting and non-voting stock held by executive officers, directors and holders of more than 10% of the outstanding stock as of such date have been excluded from this calculation because such persons or institutions may be deemed affiliates. This determination of affiliate status is not a conclusive determination for other purposes.</w:t>
      </w:r>
    </w:p>
    <w:p>
      <w:pPr>
        <w:spacing w:after="0" w:line="1" w:lineRule="exact"/>
        <w:rPr>
          <w:sz w:val="24"/>
          <w:szCs w:val="24"/>
          <w:color w:val="auto"/>
        </w:rPr>
      </w:pPr>
    </w:p>
    <w:p>
      <w:pPr>
        <w:jc w:val="center"/>
        <w:ind w:left="440" w:right="400"/>
        <w:spacing w:after="0" w:line="271" w:lineRule="auto"/>
        <w:rPr>
          <w:sz w:val="20"/>
          <w:szCs w:val="20"/>
          <w:color w:val="auto"/>
        </w:rPr>
      </w:pPr>
      <w:r>
        <w:rPr>
          <w:rFonts w:ascii="Times New Roman" w:cs="Times New Roman" w:eastAsia="Times New Roman" w:hAnsi="Times New Roman"/>
          <w:sz w:val="14"/>
          <w:szCs w:val="14"/>
          <w:color w:val="auto"/>
        </w:rPr>
        <w:t xml:space="preserve">As of February 21, 2023, the registrant had 98,869,235 shares of Class A common stock, and 15,999,173 shares of Class B common stock, par value $0.001 per share, outstanding. </w:t>
      </w:r>
      <w:r>
        <w:rPr>
          <w:rFonts w:ascii="Times New Roman" w:cs="Times New Roman" w:eastAsia="Times New Roman" w:hAnsi="Times New Roman"/>
          <w:sz w:val="14"/>
          <w:szCs w:val="14"/>
          <w:b w:val="1"/>
          <w:bCs w:val="1"/>
          <w:color w:val="auto"/>
        </w:rPr>
        <w:t>DOCUMENTS INCORPORATED BY REFERENCE</w:t>
      </w:r>
    </w:p>
    <w:p>
      <w:pPr>
        <w:spacing w:after="0" w:line="1" w:lineRule="exact"/>
        <w:rPr>
          <w:sz w:val="24"/>
          <w:szCs w:val="24"/>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2023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vMerge w:val="restart"/>
          </w:tcPr>
          <w:p>
            <w:pPr>
              <w:spacing w:after="0"/>
              <w:rPr>
                <w:sz w:val="24"/>
                <w:szCs w:val="24"/>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3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5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400" w:type="dxa"/>
            <w:vAlign w:val="bottom"/>
            <w:tcBorders>
              <w:top w:val="single" w:sz="8" w:color="0000EE"/>
            </w:tcBorders>
            <w:gridSpan w:val="18"/>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EE"/>
            </w:tcBorders>
            <w:gridSpan w:val="2"/>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EE"/>
            </w:tcBorders>
            <w:gridSpan w:val="11"/>
          </w:tcPr>
          <w:p>
            <w:pPr>
              <w:spacing w:after="0"/>
              <w:rPr>
                <w:sz w:val="18"/>
                <w:szCs w:val="18"/>
                <w:color w:val="auto"/>
              </w:rPr>
            </w:pPr>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EE"/>
            </w:tcBorders>
            <w:gridSpan w:val="5"/>
          </w:tcPr>
          <w:p>
            <w:pPr>
              <w:spacing w:after="0"/>
              <w:rPr>
                <w:sz w:val="18"/>
                <w:szCs w:val="18"/>
                <w:color w:val="auto"/>
              </w:rPr>
            </w:pP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40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36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92" w:lineRule="exact"/>
        <w:rPr>
          <w:sz w:val="20"/>
          <w:szCs w:val="20"/>
          <w:color w:val="auto"/>
        </w:rPr>
      </w:pPr>
    </w:p>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This Annual Report on Form 10-K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federal securities laws, which statements involve substantial risks and uncertainties.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generally relate to future events or our future financial or operating performance. In some cases, you can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because they contain words such as “anticipates,” “believes,” “could,” “estimates,” “expects,” “intends,” “likely,” “may,” “might,” “plans,” “potential,” “predicts,” “projects,” “seeks,” “should,” “target,” "goal," “will,” “would,” or similar expressions and the negatives of those terms. Forward-looking statements contained in this report include, but are not limited to, statements about:</w:t>
      </w:r>
    </w:p>
    <w:p>
      <w:pPr>
        <w:spacing w:after="0" w:line="91"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and our ability to effectively manage any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proposition of our product offerings for dealers and consumers;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combined suite of offerings to increase a dealer’s return on investment, add scale to our marketplace network, drive powerful network effects, create powerful synergies for dealers, transform the end-to-end car shopping journey for both consumers and dealers and become the marketplace for all steps of the vehicle acquisition and sale process;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evolution to becoming a transaction-enabled platform where consumers can shop, finance, buy, and sell and dealers can source, market, and sell vehicles;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certain of our strengths, including our trusted marketplace for consumers, our strong value proposition for dealers and our data-driven approach, among other things, will lead to an advantage over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proposition of the CarOffer online wholesale platform, including our belief that as dealer enrollments increase, dealers will see a corresponding increase in inventory on the platform, further enabling liquidity, selection, choice and business efficiencies;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share issuances and the exercise of put and call rights in connection with potentially acquiring additional equity interests in CarOffer, LLC, or CarOffer, as well as the associated valuation of redeemable noncontrolling interests;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quality leads at a high volume for our dealer customers and to provide the highest return on a dealer’s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acquire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build our brand;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continue to enhance our diversity, equity, inclusion and belonging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benefits from our acquisitions and successfully implement the integration strategies in connection therewith;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CarGurus Instant Max Cash Offer, as well as our digital retail offerings and continued investments;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partnerships with automotive lending companies provide more transparency to car shoppers and deliver highly qualified car shopper leads to participating dealers;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Area Boost offering promotes participating dealers’ delivery capabilities and increases non-local VDP views;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accounting pronouncements;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necessary qualified employees to expand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domestic economic conditions affecting us or our customers;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overcome challenges facing the automotive industry ecosystem, including inventory supply problems, global supply chain challenges, changes to trade policies and other macroeconomic issues;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 necessary to accurately report our financial results and prevent fraud;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cash generation and the sufficiency of our cash to fund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realize the benefits of deferred tax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returns on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expense reduction efforts during the second quarter of 2020;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our Restricted Listings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fee reductions for customers;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impacts of the COVID-19 pandemic.</w:t>
      </w:r>
    </w:p>
    <w:p>
      <w:pPr>
        <w:spacing w:after="0" w:line="88" w:lineRule="exact"/>
        <w:rPr>
          <w:sz w:val="20"/>
          <w:szCs w:val="20"/>
          <w:color w:val="auto"/>
        </w:rPr>
      </w:pPr>
    </w:p>
    <w:p>
      <w:pPr>
        <w:jc w:val="both"/>
        <w:ind w:firstLine="509"/>
        <w:spacing w:after="0" w:line="224"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have based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report. Further,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and actual results, events, or circumstances could differ materially from those described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42" w:lineRule="exact"/>
        <w:rPr>
          <w:sz w:val="20"/>
          <w:szCs w:val="20"/>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CarGurus, Inc. is a multinational, online automotive platform for buying and selling vehicles that is building upon its industry-leading listings marketplace with both digital retail solutions and the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We use proprietary technology, search algorithms and data analytics to bring trust, transparency and competitive pricing to the automotive shopping experience. In addition to the United States, we operate online marketplaces under the CarGurus brand in Canada and the United Kingdom. In the United States and United Kingdom, we also operate the Autolist and PistonHeads online marketplaces, respectively, as independent brands.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2006, Langley Steinert founded CarGurus on the premise of bringing trust and transparency to the automotive marketplace. Our online marketplace platform provides ease of access to prices of vehicles and dealer ratings both of which are imperative to a consumer’s vehicle purchase. By providing car-shoppers with the tools and insights necessary for their automotive journey, CarGurus has garnered a large and engaged user base with whom our dealers can transact. Our ready-to-shop audience of 29.1 million average monthly visitors in the U.S. has attracted 24,567 paying dealers to list inventory on our U.S. online marketplace as of December 31, 2022. Over time, we have seen an evolution of dealer and consumer wants and needs as we enter a more digitally-enabled world. To best meet our customers’ needs, we evolved our Listings business to a transaction-enabled platform by introducing products that allow consumers to not only embark on a convenient self-selective purchasing journey with a seamless online to in-store transition but also to efficiently sell their car online from the comfort of their home. Dealers now have the ability to reach customers outside of their immediate geographic footprint and source inventory nationwide from both consumers and other dealers. This expanded suite of offerings can help increase our dealers’ return on investment, or ROI, adding even more scale to our marketplace network. While, we have evolved to an end-to-end transaction-enabled platform where consumers can shop, finance, buy, and sell, and dealers can source, market, and sell vehicles, our ultimate goal remains the same: to empower our customers by giving them all the tools and information they need to buy or sell any car, anywhere, at the right price and in the right way for them. At CarGurus, </w:t>
      </w:r>
      <w:r>
        <w:rPr>
          <w:rFonts w:ascii="Times New Roman" w:cs="Times New Roman" w:eastAsia="Times New Roman" w:hAnsi="Times New Roman"/>
          <w:sz w:val="18"/>
          <w:szCs w:val="18"/>
          <w:i w:val="1"/>
          <w:iCs w:val="1"/>
          <w:color w:val="auto"/>
        </w:rPr>
        <w:t>we give people the power to reach their destination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Prior to the first quarter of 2022, we had two reportable segments – United States and International. Effective as of the first quarter of 2022, we revised our segment reporting from two reportable segments to one reportable segment. Effective as of the fourth quarter of 2022, we revised our segment reporting from one reportable segment to two reportable segments – U.S. Marketplace and Digital Wholesale. The U.S. Marketplace segment derives revenues from marketplace services for customers within the United States. The Digital Wholesale segment derives revenues from our Dealer-to-Dealer and Instant Max Cash Offer, or IMCO, services and products sold on our CarOffer platform. See Note 13 to our consolidated financial statements appearing elsewhere in this Annual Report on Form 10-K for further segment reporting and geographical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Consumers' CarGurus Journey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Shop</w:t>
      </w:r>
      <w:r>
        <w:rPr>
          <w:rFonts w:ascii="Times New Roman" w:cs="Times New Roman" w:eastAsia="Times New Roman" w:hAnsi="Times New Roman"/>
          <w:sz w:val="18"/>
          <w:szCs w:val="18"/>
          <w:color w:val="auto"/>
        </w:rPr>
        <w:t>: A car purchase is a milestone in a consumer’s life – whether it is the first set of keys or parting from a memory-filled vehicle.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shopping for a vehicle can be frustrating instead of empowering. Enter CarGurus, where we provide trust and transparency to the process for consumers. As the consumer moves to purchase a vehicle, we aggregate vehicle inventory from dealers and apply our proprietary analysis to generate a Deal Rating as one of: Great Deal, Good Deal, Fair Deal, High Priced, or Overpriced. Deal Rating illustrates how competitive a listing is compared to similar cars recently sold in the same region. We determine Deal Rating principally on the basis of both our proprietary Instant Market Value, or IMV, algorithm, which determines the market value of a used vehicle in a local market, and Dealer Rating, a measure of a dealer’s reputation as determined by reviews of that dealer from our user community. As the only major U.S. online automotive marketplace that defaults to sorting organic search results based on a used car’s Deal Rating, we enable consumers to find the most appropriate car for their needs. For new cars, we help our users understand deal quality by providing price analysis and our Dealer Rating. We also provide our users with information that historically has not been widely available, such as Price History, Time on Site, and Vehicle History.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Finance &amp; Buy</w:t>
      </w:r>
      <w:r>
        <w:rPr>
          <w:rFonts w:ascii="Times New Roman" w:cs="Times New Roman" w:eastAsia="Times New Roman" w:hAnsi="Times New Roman"/>
          <w:sz w:val="18"/>
          <w:szCs w:val="18"/>
          <w:color w:val="auto"/>
        </w:rPr>
        <w:t>: Once a consumer has found a listing they intend to pursue, we provide an omni-channel approach to the purchase of a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partially or principally online. Our digital retail products such as Digital Deal provide the consumer with a self-selected car-buying journey to tailor their experience to their specific needs. Consumers can build a near penny-perfect deal with either dealer or vehicle specific finance and insurance products, and then place a deposit on their vehicle of choice, and/or take delivery of the vehicle all while experiencing a seamless online to in-store experience. We believe this approach throughout the end-to-end consumer experience brings greater trust, transparency, and efficiency to a consumer’s entire car shopping experience, leading to highly-engaged, more confident and satisfied shoppers.</w:t>
      </w:r>
    </w:p>
    <w:p>
      <w:pPr>
        <w:spacing w:after="0" w:line="1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Sell: </w:t>
      </w:r>
      <w:r>
        <w:rPr>
          <w:rFonts w:ascii="Times New Roman" w:cs="Times New Roman" w:eastAsia="Times New Roman" w:hAnsi="Times New Roman"/>
          <w:sz w:val="18"/>
          <w:szCs w:val="18"/>
          <w:color w:val="auto"/>
        </w:rPr>
        <w:t>According to recent consumer research, almost 70% of car-buying shoppers will trade in or sell a vehicle during their car-shopping journey.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acquisition of 51% interest in CarOffer, LLC, or CarOffer, in January 2021, with the ability to buy the remaining equity interest in the company in the second half of 2024, enabled the launch of CarGurus Instant Max Cash Offer, or IMCO. IMCO provides the consumer with the ability to complete this part of the process entirely online through a trusted and transparent experience. Consumers who are trading-in or selling vehicles receive the most competitive offer sourced from our in-network dealers. Consumers benefit from the volume of participating dealerships in the CarGurus/CarOffer network, as well as the 24/7 automated matching provided by CarOffer's proprietary matrix technology, or the Buying Matrix, which enables a hands-off approach to find the consumer the best deal at any time. Once the customer has accepted their offer, they can further customize their intake experience by arranging a pick-up either at their home or a drop-off location of their choice within participating states. With an expansive dealer network, consumers can have the confidence that they are truly finding the best deal for their vehicle instantly.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 CarGurus Journey</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Source: </w:t>
      </w:r>
      <w:r>
        <w:rPr>
          <w:rFonts w:ascii="Times New Roman" w:cs="Times New Roman" w:eastAsia="Times New Roman" w:hAnsi="Times New Roman"/>
          <w:sz w:val="18"/>
          <w:szCs w:val="18"/>
          <w:color w:val="auto"/>
        </w:rPr>
        <w:t>Made possible by the acquisition of CarOffer, we entered the digital wholesale space enabling dealers to acquire inventory in a convenient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efficient manner. CarOffer is an automated instant wholesale vehicle trade platform that is disrupting the traditional wholesale auction model. CarOffer's technology enables dealers to bid, transact, inspect and transport vehicles seamlessly and efficiently without geographic limitations. Any dealer, including those who are customers of the CarGurus website, can enroll on the CarOffer platform at no additional cost. The Buying Matrix allows dealers on the platform to buy and sell vehicles using limit orders, saving dealers the time and expense of going to an auction to acquire vehicles via the traditional in-person physical auction model. Through inspections on sales, dealers can be confident their purchase meets their expectations while they reap the benefits of focusing their resources and attention on other elements of their businesses. As CarOffer continues to activate more dealers, we expect dealers will see a corresponding increase of inventory on the platform, further enabling liquidity, selection, and business efficiencies. Additionally, the CarOffer platform enabled us to launch IMCO nationwide, which we expect over time will provide dealers with access to a fresh source of consumer trade-in inventory and will provide even further liquidity on the CarOffer platform. Similar to a dealer-to-dealer purchase, CarOffer handles inspections, transportation, titles, and payments in one bill of sale from the consumer. CarOffer’s platform provides a solution for a dealer looking to minimize reliance on in-person or online auctions to source their vehicle inventory while assuring they are paying a fair price, which has led to rapid growth and adoption within the dealer community.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Market: </w:t>
      </w:r>
      <w:r>
        <w:rPr>
          <w:rFonts w:ascii="Times New Roman" w:cs="Times New Roman" w:eastAsia="Times New Roman" w:hAnsi="Times New Roman"/>
          <w:sz w:val="18"/>
          <w:szCs w:val="18"/>
          <w:color w:val="auto"/>
        </w:rPr>
        <w:t>Dealers can list their inventory on CarGurus’ marketplace for free or with a subscription to one of our paid Listings packages. Non-paying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dealers receive a limited number of anonymized email connections and access to a subset of tools on our Dealer Dashboard at no cost. A dealer with a paid subscription receives connections with consumers that are not anonymous and are made through a wider variety of methods, including phone calls, email, managed text and chat, links to the dealer’s website, and map directions to its dealerships. The primary objective of our traffic acquisition and site improvement efforts is to generate quality high-intent consumer leads to dealers. Leads are a subcategory of connections that we define as user inquiries via our marketplace to dealers by phone calls, email, or managed text and chat interactions. We define connections as interactions between consumers and dealers via our marketplace through phone calls, email, managed text and chat, and clicks to access the dealer’s website and map directions to the dealership. Dealers with our paid Listings packages are able to display their dealer name, address, and dealership information on their listings on our websites to gain brand recognition, which promotes walk-in traffic to the dealership. Paying dealers also have access to tools on the Dealer Dashboard as well as other digital retail add-on product offerings which enable dealers to expand their geographic footprint to reach a larger consumer audience while gaining efficiencies by streamlining the car sales process. Through our ready-to-purchase consumer audience, our paying dealers ultimately have a consistent and compelling ROI through our variety of product offerings.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Sell: </w:t>
      </w:r>
      <w:r>
        <w:rPr>
          <w:rFonts w:ascii="Times New Roman" w:cs="Times New Roman" w:eastAsia="Times New Roman" w:hAnsi="Times New Roman"/>
          <w:sz w:val="18"/>
          <w:szCs w:val="18"/>
          <w:color w:val="auto"/>
        </w:rPr>
        <w:t>By presenting consumers with data such as our Deal Ratings, Price History, Time on Site, Vehicle History and financing options we believe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audience is comprised of more informed, ready-to-purchase shoppers. By connecting dealers with such consumers, we believe we provide dealers with access to an efficient customer acquisition channel with the highest-intent shoppers generating the highest ROI. Further, as consumer needs evolve to customizing aspects of their vehicle purchase, we provide dealers, through a variety of digital offerings, the means to cater to consumers on a personalized level. Consumers can choose to complete their self-selected car-shopping journey with Digital Deal and other digital offerings that we provide through our partnership with dealers, enabling an individualized shopping experience from financing options to placing a deposit. We also provide paying dealers with full access to our Dealer Dashboard, including inventory pricing tools informed by real time market conditions, which helps them more effectively price, merchandise, and sell their cars. With CarOffer, we have also integrated insights regarding wholesale pricing among the dealer community. The ability to compare wholesale pricing with retail pricing ultimately allows dealers to price a car with more accuracy, winning loyal consumers with trust and transparency. These combined offerings allow dealers to efficiently drive their business to success from all aspects of sourcing, marketing, and selling. Our success in our partnership with dealers is evidenced by the number of paying dealers – 24,567 paying dealers as of December 31, 2022 – in our marketplace in the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CarGurus Value Proposition</w:t>
      </w:r>
    </w:p>
    <w:p>
      <w:pPr>
        <w:spacing w:after="0" w:line="22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With the majority of dealers in the United States listing inventory on our platform and our consumer-friendly deal ratings, we have built the most visited online automotive marketplace in the United States (Source: SimilarWeb, Traffic Report, Q4 2022, USA) and we believe that our scale creates powerful network effects that reinforce the competitive strength of our business model. This powerful network has only strengthened since our acquisition of CarOffer. The combination of Digital Retail, Digital Wholesale and Listings creates powerful synergies for our dealer customers. Dealers can leverage this one-stop shop to acquire inventory from both consumers and dealers, list the vehicle on our marketplace and sell it utilizing our digital retail capabilities. CarGurus’ industry-leading inventory selection from our U.S. dealers attracts a large and engaged consumer audience – 29.1 million average monthly U.S. unique users in 2022. The robust connections from our high-intent consumer audience drive greater value and a higher return on investment for our paying dealer. Driven by these network effects, we continue to amass data points, which we use to further strengthen our traffic acquisition efforts and marketplace search algorithms, the quality of our user experience, the quality of our partnership with dealers to provide innovative digital offerings and much more. As we continue to innovate and progress our offerings to meet both consumer and dealer needs, we strive to uphold and improve the quality of the connections between consumers and dealers and become the preferred platform for all steps of the vehicle acquisition and sale process, ultimately giving dealers and consumers the power to reach their destination.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Consumers' Challenges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consumers complete the end-to-end car shopping journey, the key questions they ask are:</w:t>
      </w:r>
    </w:p>
    <w:p>
      <w:pPr>
        <w:spacing w:after="0" w:line="225"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 I getting a fair price for my trade-in?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I purchase a vehicle with my trade-in?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type of vehicle should I buy?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can I buy a car like this?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a fair price for this particular type of vehicle?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others had a good experience buying from this dealer?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much of the purchase process can I transact online?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I obtain financing for this car, and at what cost?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if this dealer is not local to my area?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answering these questions, consumers historically had limited access to transparent information on specific vehicles, car pricing, and dealer reputation. Further, consumers who wanted to trade in their vehicle or wanted to complete select elements of their car shopping journey online typically had very limited options. Every car-shopping journey is a unique experience, and so for consumers embarking on this journey, there is a difficulty in the absence of consistent information on pricing for both selling and purchasing vehicles. Selling a vehicle was time-consuming and exhausting for consumers as they traveled dealer to dealer to ensure they were receiving a fair and accurate price for their vehicle. Selecting the right dealer was also challenging for consumers as dealer reputations were historically based primarily on word-of-mouth. The lack of clear, transparent information made it difficult for consumers to effectively compare vehicles, find the vehicles that best suited their needs and transact with well-regarded dealers. In addition, following the height of the COVID-19 pandemic, consumers are also increasingly interested in understanding which aspects of their buying journey they can complete online and are looking for ways to customize their journey to incorporate both online and in-person components.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 Challenges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Dealers have had to face a new set of challenges over the past few years as a result of the COVID-19 pandemic and the subsequent semiconductor chip shortage impacting auto manufacturers' production levels. The shortage of both used and new car inventory and rapidly evolving wholesale prices caused dealers to invest in additional methods to source wholesale vehicles all while dealers have been adapting to the shift from physical to digital marketplaces as consumer needs and wants continue to evolve and competition from online-retailers increases. Dealers need to remain competitive in their offers for consumer trade-ins, as consumers have increasing means to source multiple offers in this highly competitive and digitally-enabled market. The economics of dealerships depend largely on vehicle acquisition costs, sales volume, and customer acquisition efficiency. To achieve a high return on their marketing investments, dealers must find in-market consumers. Dealers additionally need to be strategic about selling vehicles before they are “aged inventory.” Traditional marketing channels that dealers utilize, including television, radio, and newspaper, can target locally but are inefficient in targeting the narrow percentage of high-intent consumers who are ready to purchase and potentially trade-in a vehicle both locally and outside a dealership's immediate geographic footprint. In addition, with used car pricing being fluid due to rapidly shifting supply and demand dynamics, dealers need to find ways to manage constantly changing inventory and adjust pricing and purchasing strategies to adapt to frequently changing market conditions as evidenced by the past few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competitive advantages are based on the following key strengths:</w:t>
      </w:r>
    </w:p>
    <w:p>
      <w:pPr>
        <w:spacing w:after="0" w:line="2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Trusted Marketplace for Consumers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 consumers with transparent information, intuitive search results, and other tools that aid them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car-shopping journey. Furthermore, consumers can have confidence in finding a fair value in the vehicles they search for in our marketplaces since less than one-third of eligible vehicle listings on CarGurus.com earn a Great Deal or Good Deal rating. We also enable bids on vehicle trade-ins and sales from the thousands of dealers in the CarGurus/CarOffer network, assuring consumers that they are receiving the best offer on their vehicle. We offer the largest online selection of new and used car listings of any major U.S. online automotive marketplace. We aggregate and analyze these listings using proprietary technology and data along with innovative data analytics to create a differentiated automotive search experience for consumers to bring them great deals from top-rated dealers. In 2022, we experienced over 77.7 million average monthly sessions in the United States. We believe this user traffic, an indicator of consumer satisfaction and engagement, is critical to our marketplace success and will continue to strengthen our market position. We attract our audience from a diverse range of acquisition channels including, but not limited to, direct navigation, mobile applications, email, organic search, paid search advertising, social media advertising, on-site advertising, audience targeting, and brand advertising campaigns. In addition, we focus our efforts on attracting users that we believe are near a car purchasing decision, resulting in a higher quality audience to which our dealers can market.</w:t>
      </w:r>
    </w:p>
    <w:p>
      <w:pPr>
        <w:spacing w:after="0" w:line="1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Proprietary Search Algorithms and Data-Driven Approach. </w:t>
      </w:r>
      <w:r>
        <w:rPr>
          <w:rFonts w:ascii="Times New Roman" w:cs="Times New Roman" w:eastAsia="Times New Roman" w:hAnsi="Times New Roman"/>
          <w:sz w:val="18"/>
          <w:szCs w:val="18"/>
          <w:color w:val="auto"/>
        </w:rPr>
        <w:t>We have built an extensive repository of data on cars, prices, dealers,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interactions between consumers and dealers that is the result of many years of data aggregation and regression modeling. The primary product of this analysis is our determination of a used car’s IMV, which, together with Dealer Rating, drives our Deal Rating. We calculate IMV by applying more than 20 ranking signals and more than 100 normalization rules to tens of millions of data points, including the make, model, trim, year, features, condition, history, geographic location, and mileage of the car. With our acquisition of CarOffer in 2021, we have extended our proprietary search algorithms and data analytics to include the Buying Matrix, providing unique insights to dealers regarding their purchases in the wholesale space as well as up-to-date pricing information for the consumers they are servicing. We apply the knowledge gained from analyzing the substantial volume of connections between consumers and dealers on our platform to build new features for our consumers, IMV technology features on the Dealer Dashboard and new products for our dealers. These enhancements enable more informed consumers and dealers from the start of their car journey to the end.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Strong Value Proposition to Dealers. </w:t>
      </w:r>
      <w:r>
        <w:rPr>
          <w:rFonts w:ascii="Times New Roman" w:cs="Times New Roman" w:eastAsia="Times New Roman" w:hAnsi="Times New Roman"/>
          <w:sz w:val="18"/>
          <w:szCs w:val="18"/>
          <w:color w:val="auto"/>
        </w:rPr>
        <w:t>We believe that our marketplace offers an efficient customer acquisition channel for dealers, helping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attractive returns on their marketing spend with us. With the acquisition of CarOffer, we increased efficiencies for dealers to source vehicles from both consumers and dealers with the 24/7 online Buying Matrix. We provide our dealer base with connections to prospective car buyers; most of these connections have historically been for used cars, and to prospective car sellers. The primary objective of our traffic acquisition and site improvements is to generate high quality consumer leads to our dealers. These leads include phone calls, email, and managed text and chat interactions for dealers, which we believe yield the highest value engagement for dealers. Dealers are able to leverage our large consumer audience, our digital retail offerings and consumer trade-in services to provide more quality leads to their dealership, providing the highest return on their investment. We provide all dealers with tools that are informed by real-time market conditions that help them acquire inventory, merchandise, and sell their cars, and our paying dealers get access to additional valuable information from our Pricing and Market Analysis tools. Additionally, with digital retail offerings we help level the online offering playing field for our dealer partners who are unable to provide these solutions to consumers on their own and/or wish to utilize our largest consumer audience to sell additional inventory with CarGurus' digital retail offerings. Our strong value proposition to the dealer community is evidenced by our 4% growth in quarterly average revenue per subscribing dealer, or QARSD, in the United States in the fourth quarter of 2022 compared to the fourth quarter of 2021.</w:t>
      </w:r>
    </w:p>
    <w:p>
      <w:pPr>
        <w:spacing w:after="0" w:line="187" w:lineRule="exact"/>
        <w:rPr>
          <w:sz w:val="20"/>
          <w:szCs w:val="20"/>
          <w:color w:val="auto"/>
        </w:rPr>
      </w:pPr>
    </w:p>
    <w:p>
      <w:pPr>
        <w:jc w:val="both"/>
        <w:ind w:firstLine="58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Attractive Financial Model. </w:t>
      </w:r>
      <w:r>
        <w:rPr>
          <w:rFonts w:ascii="Times New Roman" w:cs="Times New Roman" w:eastAsia="Times New Roman" w:hAnsi="Times New Roman"/>
          <w:sz w:val="18"/>
          <w:szCs w:val="18"/>
          <w:color w:val="auto"/>
        </w:rPr>
        <w:t>We have a strong track record of revenue growth, profitability, and capital efficiency. We generated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$1,655.0 million in 2022 compared to $951.4 million in 2021, representing a year-over-year increase of 74%. 37% of our revenue generated in 2022 was attributable to the U.S. Marketplace segment compared to 62% in 2021. 60% of our revenue generated in 2022 was attributable to the Digital Wholesale segment compared to 33% in 2021. A significant portion of our revenue is recurring due to the subscription nature of our products, including from our Listings packages, our Real-time Performance Marketing, or RPM, and our digital advertising suite. At the same time, our revenue is highly diversified due to the subscription nature of our listings business, transactional nature of our digital wholesale business and our diverse dealer base. We also have been able to grow and invest in our future growth as a result of our highly profitable foundational Listings business. The profitability of the Listings business and the liquidity of our balance sheet, helps drive growth and innovation as we build out our vision of creating an end-to-end transaction-enabled automotive platform. We ended 2022 with $469.5 million of cash on hand up from $231.9 million in 2021.</w:t>
      </w:r>
    </w:p>
    <w:p>
      <w:pPr>
        <w:spacing w:after="0" w:line="18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with Culture of Innovation. </w:t>
      </w:r>
      <w:r>
        <w:rPr>
          <w:rFonts w:ascii="Times New Roman" w:cs="Times New Roman" w:eastAsia="Times New Roman" w:hAnsi="Times New Roman"/>
          <w:sz w:val="18"/>
          <w:szCs w:val="18"/>
          <w:color w:val="auto"/>
        </w:rPr>
        <w:t>Our founder, Executive Chairman and Chairman of our Board of Directors, Langley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Steinert, co-founded and was previously chairman of TripAdvisor, an online marketplace for travel-related content based on the mission of using technology and a data-driven approach to provide transparency for consumers’ travel planning. Led by Mr. Steinert and a management team with extensive experience guiding technology companies in evolving industries – including Jason Trevisan, our Chief Executive Officer and Sam Zales, our President and Chief Operating Officer – we bring the same commitment to fostering a culture of innovation and delivering data-driven transparency to the automotive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Marketplace and Other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offerings described below are available for the U.S. CarGurus marketplace; their availability on our other marketplaces varies. We also offer paid listings subscriptions for dealers and dealer advertising products for the PistonHeads website, as well as paid listings subscriptions for dealers for the Autolist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Consumer Experience</w:t>
      </w:r>
    </w:p>
    <w:p>
      <w:pPr>
        <w:spacing w:after="0" w:line="225" w:lineRule="exact"/>
        <w:rPr>
          <w:sz w:val="20"/>
          <w:szCs w:val="20"/>
          <w:color w:val="auto"/>
        </w:rPr>
      </w:pPr>
    </w:p>
    <w:p>
      <w:pPr>
        <w:jc w:val="both"/>
        <w:ind w:firstLine="509"/>
        <w:spacing w:after="0" w:line="229" w:lineRule="exact"/>
        <w:rPr>
          <w:sz w:val="20"/>
          <w:szCs w:val="20"/>
          <w:color w:val="auto"/>
        </w:rPr>
      </w:pPr>
      <w:r>
        <w:rPr>
          <w:rFonts w:ascii="Times New Roman" w:cs="Times New Roman" w:eastAsia="Times New Roman" w:hAnsi="Times New Roman"/>
          <w:sz w:val="18"/>
          <w:szCs w:val="18"/>
          <w:color w:val="auto"/>
        </w:rPr>
        <w:t>We provide consumers with an online automotive marketplace where they can search for new and used car listings from our dealers and sell their cars to dealers and other consumers. A user accesses our marketplace through our websites or by using our mobile applications. Most users specify whether they are searching for a used, certified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or new car and then provide their desired vehicle make and model and their postal code.</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Used and Certified Pre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Owned Cars</w:t>
      </w:r>
    </w:p>
    <w:p>
      <w:pPr>
        <w:spacing w:after="0" w:line="2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Using our proprietary search algorithms, we immediately display the results of the consumer’s search, ranked by Deal Rating, on a search results page, or SRP. Eligible used car listings in our marketplace are assigned one of five Deal Ratings: Great Deal, Good Deal, Fair Deal, High Priced, or Overpriced. A Deal Rating illustrates how competitive a listing is compared to similar cars sold in the same region in recent history. A listing’s Deal Rating is based primarily upon the IMV of the vehicle and the Dealer Rating of the dealer.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Instant Market Value. </w:t>
      </w:r>
      <w:r>
        <w:rPr>
          <w:rFonts w:ascii="Times New Roman" w:cs="Times New Roman" w:eastAsia="Times New Roman" w:hAnsi="Times New Roman"/>
          <w:sz w:val="18"/>
          <w:szCs w:val="18"/>
          <w:color w:val="auto"/>
        </w:rPr>
        <w:t>IMV is a proprietary algorithm that assesses the market value of a used vehicle in a local market and is a key input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a vehicle’s Deal Rating. The IMV algorithm is the product of many years of regression modeling utilizing tens of millions of used car data points. IMV takes into account a number of factors, including comparable currently listed and previously sold used cars in the local market and vehicle details including make, model, trim, year, features, condition, history, and mileage. The IMV algorithm uses more than 20 ranking signals and more than 100 normalization rules that distill unstructured data from hundreds of sources across thousands of dealers.</w:t>
      </w:r>
    </w:p>
    <w:p>
      <w:pPr>
        <w:spacing w:after="0" w:line="157" w:lineRule="exact"/>
        <w:rPr>
          <w:sz w:val="20"/>
          <w:szCs w:val="20"/>
          <w:color w:val="auto"/>
        </w:rPr>
      </w:pPr>
    </w:p>
    <w:p>
      <w:pPr>
        <w:jc w:val="both"/>
        <w:ind w:firstLine="509"/>
        <w:spacing w:after="0" w:line="228" w:lineRule="exact"/>
        <w:rPr>
          <w:sz w:val="20"/>
          <w:szCs w:val="20"/>
          <w:color w:val="auto"/>
        </w:rPr>
      </w:pPr>
      <w:r>
        <w:rPr>
          <w:rFonts w:ascii="Times New Roman" w:cs="Times New Roman" w:eastAsia="Times New Roman" w:hAnsi="Times New Roman"/>
          <w:sz w:val="18"/>
          <w:szCs w:val="18"/>
          <w:i w:val="1"/>
          <w:iCs w:val="1"/>
          <w:color w:val="auto"/>
        </w:rPr>
        <w:t xml:space="preserve">Dealer Ratings. </w:t>
      </w:r>
      <w:r>
        <w:rPr>
          <w:rFonts w:ascii="Times New Roman" w:cs="Times New Roman" w:eastAsia="Times New Roman" w:hAnsi="Times New Roman"/>
          <w:sz w:val="18"/>
          <w:szCs w:val="18"/>
          <w:color w:val="auto"/>
        </w:rPr>
        <w:t>Dealer Ratings are derived from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generated content from our users’ experiences with dealers with which they have connected.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promote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reviews, we require that a user has interacted with the dealer via our marketplace to submit a review. We believe this requirement, together with additional qualification standards, results in a more valuable Dealer Rating. Dealer Rating is an important component of a listing’s Deal Rating and, as a result, can impact the organic search position of a listing.</w:t>
      </w:r>
    </w:p>
    <w:p>
      <w:pPr>
        <w:spacing w:after="0" w:line="196"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i w:val="1"/>
          <w:iCs w:val="1"/>
          <w:color w:val="auto"/>
        </w:rPr>
        <w:t>Search Results Page</w:t>
      </w:r>
      <w:r>
        <w:rPr>
          <w:rFonts w:ascii="Times New Roman" w:cs="Times New Roman" w:eastAsia="Times New Roman" w:hAnsi="Times New Roman"/>
          <w:sz w:val="18"/>
          <w:szCs w:val="18"/>
          <w:color w:val="auto"/>
        </w:rPr>
        <w:t>. In addition to each car’s Deal Rating, our SRP provides users with other useful information, including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listing price and the IMV that we have determined for the car, mileage, Dealer Rating, and dealer location for paying dealers. We provide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search filters, including price, year, mileage, trim, color, options, condition, body style, miles per gallon, seating capacity, vehicle ownership history, usage history, seller type, and days on market, among others, which we believe deliver the most comprehensive search capability among major U.S. online automotive marketplaces. We also provide our users with additional features to aid their search, including similar vehicle recommendations, 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vehicle comparisons, expert reviews, and user rankings. Our platform also gives users the ability to save searches and receive alerts that keep them informed of relevant developments in the market, including newly available inventory and price changes to cars they are monitoring.</w:t>
      </w:r>
    </w:p>
    <w:p>
      <w:pPr>
        <w:spacing w:after="0" w:line="20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Vehicle Detail Page</w:t>
      </w:r>
      <w:r>
        <w:rPr>
          <w:rFonts w:ascii="Times New Roman" w:cs="Times New Roman" w:eastAsia="Times New Roman" w:hAnsi="Times New Roman"/>
          <w:sz w:val="18"/>
          <w:szCs w:val="18"/>
          <w:color w:val="auto"/>
        </w:rPr>
        <w:t>. If a user clicks on one of the listings on the SRP, the user is taken to that listing’s vehicle detail page, or VDP. VDPs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numerous photos and a comprehensive description of the vehicle, dealer name, address, and dealership information for paying dealers, detailed dealer reviews, methods to contact the dealer, payment calculators, and helpful information about the vehicle, including:</w:t>
      </w:r>
    </w:p>
    <w:p>
      <w:pPr>
        <w:spacing w:after="0" w:line="173" w:lineRule="exact"/>
        <w:rPr>
          <w:sz w:val="20"/>
          <w:szCs w:val="20"/>
          <w:color w:val="auto"/>
        </w:rPr>
      </w:pPr>
    </w:p>
    <w:p>
      <w:pPr>
        <w:ind w:left="102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History. </w:t>
      </w:r>
      <w:r>
        <w:rPr>
          <w:rFonts w:ascii="Times New Roman" w:cs="Times New Roman" w:eastAsia="Times New Roman" w:hAnsi="Times New Roman"/>
          <w:sz w:val="18"/>
          <w:szCs w:val="18"/>
          <w:color w:val="auto"/>
        </w:rPr>
        <w:t>Changes to a vehicle’s price on our platform. We also offer price change alerts to consumers on searches they have saved,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allow them to respond quickly to changes in the market.</w:t>
      </w:r>
    </w:p>
    <w:p>
      <w:pPr>
        <w:spacing w:after="0" w:line="158"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on Site. </w:t>
      </w:r>
      <w:r>
        <w:rPr>
          <w:rFonts w:ascii="Times New Roman" w:cs="Times New Roman" w:eastAsia="Times New Roman" w:hAnsi="Times New Roman"/>
          <w:sz w:val="18"/>
          <w:szCs w:val="18"/>
          <w:color w:val="auto"/>
        </w:rPr>
        <w:t>Length of time a vehicle has been on our platform and how many users have saved the vehicle to their list of favorite listings,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indicators of the likely demand for the vehicle.</w:t>
      </w:r>
    </w:p>
    <w:p>
      <w:pPr>
        <w:spacing w:after="0" w:line="158"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Vehicle History. </w:t>
      </w:r>
      <w:r>
        <w:rPr>
          <w:rFonts w:ascii="Times New Roman" w:cs="Times New Roman" w:eastAsia="Times New Roman" w:hAnsi="Times New Roman"/>
          <w:sz w:val="18"/>
          <w:szCs w:val="18"/>
          <w:color w:val="auto"/>
        </w:rPr>
        <w:t>Title check, accident check, number of owners, and fleet status of the vehicle, giving consumers data that helps them better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 the vehicle’s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Cars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Search results for new car listings are sorted by price of inventory matching the user’s search, with the lowest priced listings sorted first. Our new car VDPs include our Dealer Rating and many of the other features of our used car listings, such as Price History and Time on Site. Deal Rating is not applicable to new car listings because it utilizes data not relevant to new cars. Instead, we analyze data on manufacturers’ suggested retail prices, or MSRPs, and recent sales of similar new vehicles, accounting for trade-ins, incentives, and other factors that can affect the price of a new car, to provide users with comparative price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 My Car</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allow our consumers to list their cars in both our peer-to-peer and consumer-to-dealer marketplaces in the United States. Our peer-to-peer offering, Sell My Car, enables individual car owners to easily merchandise their vehicles, determine an appropriate selling price with our proprietary price guidance, and manage their listings and communications with prospective buyers from our audience. We collect a fee when a consumer lists a vehicle on the peer-to-peer marketplace. See “— Digital Wholesale” below for a description of our consumer-to-dealer offering, IMCO.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Autolist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Autolist provides consumers an online automotive marketplace through mobile applications on iOS and Android phones, as well as a website. The platform includes inventory from top automotive dealers across the U.S. and gives consumers quick access to manage their search on the go with real-time alerts of newly available inventory and changes that occur on vehicles and saved searches they have configured. An independent editorial staff produces content to keep consumers informed on the latest vehicles and trends in the automotive market.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PistonHeads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PistonHeads is a U.K. automotive marketplace, forum, and editorial site geared towards automotive enthusiasts. The platform allows consumers to search across a broad range of dealer and private seller listings, engage with other automotive enthusiasts through forums, and stay informed about automotive news through editorial articles and expert reviews. Paying U.K. dealers who list on the CarGurus platform automatically have their inventory added to the PistonHeads site for greater consumer reach.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Dealer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marketplace connects dealers to a large audience of informed and engaged consumers. We offer multiple types of marketplace Listings subscriptions to dealers for the CarGurus marketplace in the U.S. (availability varies on our other marketplaces): Restricted Listings, which is free, and various levels of Listings packages, each of which requires a paid subscription.</w:t>
      </w:r>
    </w:p>
    <w:p>
      <w:pPr>
        <w:spacing w:after="0" w:line="147" w:lineRule="exact"/>
        <w:rPr>
          <w:sz w:val="20"/>
          <w:szCs w:val="20"/>
          <w:color w:val="auto"/>
        </w:rPr>
      </w:pPr>
    </w:p>
    <w:p>
      <w:pPr>
        <w:jc w:val="both"/>
        <w:ind w:left="1020" w:hanging="503"/>
        <w:spacing w:after="0" w:line="226" w:lineRule="exact"/>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Listings. </w:t>
      </w:r>
      <w:r>
        <w:rPr>
          <w:rFonts w:ascii="Times New Roman" w:cs="Times New Roman" w:eastAsia="Times New Roman" w:hAnsi="Times New Roman"/>
          <w:sz w:val="18"/>
          <w:szCs w:val="18"/>
          <w:color w:val="auto"/>
        </w:rPr>
        <w:t>We allow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to list their inventory in our marketplace as Restricted Listings. Restricted Listings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 the name, address, website URL, or phone number of the relevant dealer and are subject to other limitations. Consumers can contact these dealers only through an anonymous, CarGurus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branded email address so the dealer does not receive any of the consumer’s personal contact information from our platform. Dealers in our Restricted Listings tier are limited in the number of consumer connections they can receive in a month, with caps on lead volume based on the dealers’ inventory size.</w:t>
      </w:r>
    </w:p>
    <w:p>
      <w:pPr>
        <w:spacing w:after="0" w:line="197" w:lineRule="exact"/>
        <w:rPr>
          <w:rFonts w:ascii="Times New Roman" w:cs="Times New Roman" w:eastAsia="Times New Roman" w:hAnsi="Times New Roman"/>
          <w:sz w:val="18"/>
          <w:szCs w:val="18"/>
          <w:color w:val="auto"/>
        </w:rPr>
      </w:pPr>
    </w:p>
    <w:p>
      <w:pPr>
        <w:jc w:val="both"/>
        <w:ind w:left="1020" w:hanging="503"/>
        <w:spacing w:after="0" w:line="218" w:lineRule="exact"/>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Paid Listings Subscriptions. </w:t>
      </w:r>
      <w:r>
        <w:rPr>
          <w:rFonts w:ascii="Times New Roman" w:cs="Times New Roman" w:eastAsia="Times New Roman" w:hAnsi="Times New Roman"/>
          <w:sz w:val="18"/>
          <w:szCs w:val="18"/>
          <w:color w:val="auto"/>
        </w:rPr>
        <w:t>Paying dealers are able to subscribe to one of four Listings package levels: Standard, Enhanced, Featured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Featured Priority. These paid Listings packages are designed to provide dealers with a higher volume and quality of connections and leads from consumers than our Restricted Listings option. Dealers that subscribe to a paid Listings package gain the opportunity to connect with consumers directly through email, phone, and – excluding Standard Listings subscriptions – managed text and chat, an offering by which consumers communicate via real-time chat or text message with our agents who act on behalf of dealers. Listings for all paying dealers on our websites include a link to their website, dealership branding and information such as name, address, and hours of operation, and map directions to their dealership, helping consumers easily contact or visit the dealer, which we believe results in increased local brand awareness and walk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traffic. A dealer that subscribes to our Featured or Featured Priority Listings package receives the same benefits of the Standard and Enhanced Listings packages, as well as opportunities for promotion of their Great Deal, Good Deal, and Fair Deal used inventory as well as their new inventory in a clearly labeled section at the top of the SRP as well as on the VDP of dealers in the Restricted Listings package. Featured Priority listings are specifically promoted in the first position of the SRP. This premium placement for Featured and Featured Priority listings generates increased connection volume relative to Standard or Enhanced Listings packages. Dealers in the Featured and Featured Priority package also receive premium branding in the ad slots on their own VDPs.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Dealer Dashboard and Merchandising Tools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dealers with inventory on CarGurus may access the following Dealer Dashboard features and merchandising tools:</w:t>
      </w:r>
    </w:p>
    <w:p>
      <w:pPr>
        <w:spacing w:after="0" w:line="196" w:lineRule="exact"/>
        <w:rPr>
          <w:sz w:val="20"/>
          <w:szCs w:val="20"/>
          <w:color w:val="auto"/>
        </w:rPr>
      </w:pPr>
    </w:p>
    <w:p>
      <w:pPr>
        <w:jc w:val="both"/>
        <w:ind w:left="1020" w:hanging="503"/>
        <w:spacing w:after="0" w:line="232" w:lineRule="exact"/>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Summary. </w:t>
      </w:r>
      <w:r>
        <w:rPr>
          <w:rFonts w:ascii="Times New Roman" w:cs="Times New Roman" w:eastAsia="Times New Roman" w:hAnsi="Times New Roman"/>
          <w:sz w:val="18"/>
          <w:szCs w:val="18"/>
          <w:color w:val="auto"/>
        </w:rPr>
        <w:t>Provides dealers with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and historical data concerning the connections and consumer exposure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in our marketplace and through our digital marketing products. This enables dealers to analyze connections and SRP and VDP views at a granular level to inform the dealer’s sales and merchandising efforts.</w:t>
      </w:r>
    </w:p>
    <w:p>
      <w:pPr>
        <w:spacing w:after="0" w:line="197"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Dealer Insights. </w:t>
      </w:r>
      <w:r>
        <w:rPr>
          <w:rFonts w:ascii="Times New Roman" w:cs="Times New Roman" w:eastAsia="Times New Roman" w:hAnsi="Times New Roman"/>
          <w:sz w:val="18"/>
          <w:szCs w:val="18"/>
          <w:color w:val="auto"/>
        </w:rPr>
        <w:t>Provides pricing analysis of the dealer’s inventory, as well as a summary of a vehicle’s missing information such as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photos, or trim. This information helps dealers better merchandise their vehicles.</w:t>
      </w:r>
    </w:p>
    <w:p>
      <w:pPr>
        <w:spacing w:after="0" w:line="158"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User Review Management. </w:t>
      </w:r>
      <w:r>
        <w:rPr>
          <w:rFonts w:ascii="Times New Roman" w:cs="Times New Roman" w:eastAsia="Times New Roman" w:hAnsi="Times New Roman"/>
          <w:sz w:val="18"/>
          <w:szCs w:val="18"/>
          <w:color w:val="auto"/>
        </w:rPr>
        <w:t>Allows dealers to track and manage – but not edit or manipulate – their dealer reviews from our users. Dealers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respond to users, report potentially fraudulent reviews, and publish positive reviews to social media platforms for broader exposure.</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Dealer Mobile App. </w:t>
      </w:r>
      <w:r>
        <w:rPr>
          <w:rFonts w:ascii="Times New Roman" w:cs="Times New Roman" w:eastAsia="Times New Roman" w:hAnsi="Times New Roman"/>
          <w:sz w:val="18"/>
          <w:szCs w:val="18"/>
          <w:color w:val="auto"/>
        </w:rPr>
        <w:t>Allows dealers to access core Dealer Dashboard functionality via an iOS and Android mobile app. Includes reporting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leads, access to several tools, and mobile app notifications that can be customized by the dealer.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Dealers subscribing to a paid Listings package also have access to the following additional features and tools:</w:t>
      </w:r>
    </w:p>
    <w:p>
      <w:pPr>
        <w:spacing w:after="0" w:line="223" w:lineRule="exact"/>
        <w:rPr>
          <w:sz w:val="20"/>
          <w:szCs w:val="20"/>
          <w:color w:val="auto"/>
        </w:rPr>
      </w:pPr>
    </w:p>
    <w:p>
      <w:pPr>
        <w:ind w:left="102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Pricing Tool. </w:t>
      </w:r>
      <w:r>
        <w:rPr>
          <w:rFonts w:ascii="Times New Roman" w:cs="Times New Roman" w:eastAsia="Times New Roman" w:hAnsi="Times New Roman"/>
          <w:sz w:val="18"/>
          <w:szCs w:val="18"/>
          <w:color w:val="auto"/>
        </w:rPr>
        <w:t>Helps dealers evaluate the impact of pricing changes for each used vehicle in their inventory and the resulting impact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car’s Deal Rating, empowering dealers to make informed pricing decisions based on market data in their local area.</w:t>
      </w:r>
    </w:p>
    <w:p>
      <w:pPr>
        <w:spacing w:after="0" w:line="158"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Analysis. </w:t>
      </w:r>
      <w:r>
        <w:rPr>
          <w:rFonts w:ascii="Times New Roman" w:cs="Times New Roman" w:eastAsia="Times New Roman" w:hAnsi="Times New Roman"/>
          <w:sz w:val="18"/>
          <w:szCs w:val="18"/>
          <w:color w:val="auto"/>
        </w:rPr>
        <w:t>Informs dealers of local market trends in used cars, such as the most searched makes and models in their local market.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helps dealers align with local consumer preferences and inform strategies for increasing inventory turnover and efficient vehicle acquisition.</w:t>
      </w:r>
    </w:p>
    <w:p>
      <w:pPr>
        <w:spacing w:after="0" w:line="173"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IMV Scan</w:t>
      </w:r>
      <w:r>
        <w:rPr>
          <w:rFonts w:ascii="Times New Roman" w:cs="Times New Roman" w:eastAsia="Times New Roman" w:hAnsi="Times New Roman"/>
          <w:sz w:val="18"/>
          <w:szCs w:val="18"/>
          <w:color w:val="auto"/>
        </w:rPr>
        <w:t>. Allows dealers to scan a vehicle identification number, or VIN, using their smartphone, and receive information on the IMV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in order to support dealers in deciding what to pay for a vehicle at a wholesale auto auction. IMV Scan is built into the CarGurus mobile app and is currently available to U.S. dealers that pay for our Enhanced, Featured or Featured Priority Listings packages.</w:t>
      </w:r>
    </w:p>
    <w:p>
      <w:pPr>
        <w:spacing w:after="0" w:line="173"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LeadAI. </w:t>
      </w:r>
      <w:r>
        <w:rPr>
          <w:rFonts w:ascii="Times New Roman" w:cs="Times New Roman" w:eastAsia="Times New Roman" w:hAnsi="Times New Roman"/>
          <w:sz w:val="18"/>
          <w:szCs w:val="18"/>
          <w:color w:val="auto"/>
        </w:rPr>
        <w:t>Helps dealers to identify the highest intent users who have submitted leads on their inventory. LeadAI evaluates onsite user behavior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identify, score, and label "Hot" and "Warm" leads within the Dealer Dashboard Leads Report. This feature is available to all dealers subscribing to Enhanced, Featured, and Featured Priority packages.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Marketing Products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offer dealers subscribing to one of our Enhanced, Featured or Featured Priority Listings packages access to additional advertising products marketed primarily under our RPM digital advertising suite. With RPM, dealers can reach our large and engaged automotive shopping audience, on other sites on the internet and/or on high-converting social media platforms. RPM helps dealers build brand awareness and acquire customers to their website and dealership. Advertisements can be targeted by the user’s geography, search history, CarGurus website activity and a number of other targeting factors. This product suite allows dealers to increase their visibility with in-market consumers and drive qualified traffic to their websites.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Packaging</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offer our Listings product suite through a tiered set of packages. Listings are priced on a monthly, quarterly, semiannual, or annual subscription basis based on the dealer’s inventory size, region, and our assessment of the ROI we expect to deliver. For improved performance, dealers can purchase higher Listings suite levels and add-ons available at an existing Listings suite level. Dealers may be renewed at higher rates commensurate with growth and updated performance expectations. RPM is sold as a subscription, and priced as a percentage of Listings while accounting for factors such as dealership characteristics and performance expectations.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Digital Retail</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recent years, both consumer demand and dealer receptiveness to digital retail has increased, as consumers have become more comfortable transacting some or all of their car buying processes online. We are focused on addressing the needs of both consumers and dealers in this growing segment of automotive digital retail.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in Advance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our partnerships with automotive lending companies, we allow eligible consumers on our U.S. marketplace to pre-qualify for financing on cars from dealerships that offer financing from these partners. We primarily generate revenue from these partnerships based on the number of funded loans from consumers who pre-qualify with our lending partners through our site. We believe this program both provides more transparency to car shoppers about actual payments to be offered at the dealership specific to participating lenders, as well as delivers highly qualified car shopper leads to participating dealers.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Deal</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continue to offer consumers the ability to transact additional elements of their car buying experience through our websites as they seek to complete more of this process online. For example, our shoppers can ‘start purchase’ from a VDP on eligible listings and utilize purchase options, including but not limited to estimating a car’s trade-in value, deciding payment options, selecting finance and insurance products, and placing a reservation deposit. Digital Deal generates revenue by charging fees to dealerships to enroll in the program and from partnerships based on the number of funded loans from consumers.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Area Boost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offer the ability for dealerships to expand their VDP geographic footprint to non-local customers via dealer home delivery services. Revenue is generated through fees charged to the dealership to enable listings beyond the default geographical radius. We believe this program provides additional vehicle options to car shoppers open to home delivery services while promoting participating dealers’ delivery capabilities and increasing non-local VDP views. As a prerequisite to enrolling in Area Boost, new dealerships are required to sign up for Digital Deal.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Auto Manufacturer and Other Advertiser Products</w:t>
      </w:r>
    </w:p>
    <w:p>
      <w:pPr>
        <w:spacing w:after="0" w:line="196" w:lineRule="exact"/>
        <w:rPr>
          <w:sz w:val="20"/>
          <w:szCs w:val="20"/>
          <w:color w:val="auto"/>
        </w:rPr>
      </w:pPr>
    </w:p>
    <w:p>
      <w:pPr>
        <w:jc w:val="both"/>
        <w:ind w:right="20" w:firstLine="509"/>
        <w:spacing w:after="0" w:line="239" w:lineRule="exact"/>
        <w:rPr>
          <w:sz w:val="20"/>
          <w:szCs w:val="20"/>
          <w:color w:val="auto"/>
        </w:rPr>
      </w:pPr>
      <w:r>
        <w:rPr>
          <w:rFonts w:ascii="Times New Roman" w:cs="Times New Roman" w:eastAsia="Times New Roman" w:hAnsi="Times New Roman"/>
          <w:sz w:val="18"/>
          <w:szCs w:val="18"/>
          <w:color w:val="auto"/>
        </w:rPr>
        <w:t>Our platform offers auto manufacturers and others the ability to purchase advertising on both our sites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websites, including social media platforms, to execute targeted marketing strategies:</w:t>
      </w:r>
    </w:p>
    <w:p>
      <w:pPr>
        <w:spacing w:after="0" w:line="170" w:lineRule="exact"/>
        <w:rPr>
          <w:sz w:val="20"/>
          <w:szCs w:val="20"/>
          <w:color w:val="auto"/>
        </w:rPr>
      </w:pPr>
    </w:p>
    <w:p>
      <w:pPr>
        <w:jc w:val="both"/>
        <w:ind w:left="1020" w:hanging="503"/>
        <w:spacing w:after="0" w:line="232" w:lineRule="exact"/>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Brand Reinforcement. </w:t>
      </w:r>
      <w:r>
        <w:rPr>
          <w:rFonts w:ascii="Times New Roman" w:cs="Times New Roman" w:eastAsia="Times New Roman" w:hAnsi="Times New Roman"/>
          <w:sz w:val="18"/>
          <w:szCs w:val="18"/>
          <w:color w:val="auto"/>
        </w:rPr>
        <w:t>We allow auto manufacturers to buy advertising on both our sites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websites, including social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to target consumers based on the make, model, and location of the cars that a specific consumer is searching for, in order to increase exposure to interested consumers.</w:t>
      </w:r>
    </w:p>
    <w:p>
      <w:pPr>
        <w:spacing w:after="0" w:line="19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Sponsorship. </w:t>
      </w:r>
      <w:r>
        <w:rPr>
          <w:rFonts w:ascii="Times New Roman" w:cs="Times New Roman" w:eastAsia="Times New Roman" w:hAnsi="Times New Roman"/>
          <w:sz w:val="18"/>
          <w:szCs w:val="18"/>
          <w:color w:val="auto"/>
        </w:rPr>
        <w:t>To address evolving priorities influenced by industry dynamics, seasonality, and other factors, we offer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exclusively prominent high traffic pages on our sites, such as the New Car front page, Used Car front page, and Research Center.</w:t>
      </w:r>
    </w:p>
    <w:p>
      <w:pPr>
        <w:spacing w:after="0" w:line="158"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Automobile Segment Exclusivity. </w:t>
      </w:r>
      <w:r>
        <w:rPr>
          <w:rFonts w:ascii="Times New Roman" w:cs="Times New Roman" w:eastAsia="Times New Roman" w:hAnsi="Times New Roman"/>
          <w:sz w:val="18"/>
          <w:szCs w:val="18"/>
          <w:color w:val="auto"/>
        </w:rPr>
        <w:t>To support the introduction of new models or the success of existing models, we allow manufacturers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 specific automobile segments, such as SUV, sedan, hybrid, luxury, truck, and minivan.</w:t>
      </w:r>
    </w:p>
    <w:p>
      <w:pPr>
        <w:spacing w:after="0" w:line="131" w:lineRule="exact"/>
        <w:rPr>
          <w:rFonts w:ascii="Times New Roman" w:cs="Times New Roman" w:eastAsia="Times New Roman" w:hAnsi="Times New Roman"/>
          <w:sz w:val="18"/>
          <w:szCs w:val="18"/>
          <w:color w:val="auto"/>
        </w:rPr>
      </w:pPr>
    </w:p>
    <w:p>
      <w:pPr>
        <w:jc w:val="both"/>
        <w:ind w:left="1020" w:hanging="503"/>
        <w:spacing w:after="0" w:line="232" w:lineRule="exact"/>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Consumer Segment Exposure. </w:t>
      </w:r>
      <w:r>
        <w:rPr>
          <w:rFonts w:ascii="Times New Roman" w:cs="Times New Roman" w:eastAsia="Times New Roman" w:hAnsi="Times New Roman"/>
          <w:sz w:val="18"/>
          <w:szCs w:val="18"/>
          <w:color w:val="auto"/>
        </w:rPr>
        <w:t>Auto manufacturers can target consumers both on CarGurus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websites, including social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based on various parameters, including estimated household income and vehicle specifications, such as make or model, and postal codes.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facilitate high-intent consumers to engage with automotive dealers in both Canada and the U.K. Like our U.S. offerings, CarGurus provides consumers in Canada and the U.K. with a transparent shopping experience, using our proprietary algorithms to determine market specific valuations for vehicles, and ordinating our organic search results based on Deal Ratings.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Canada, CarGurus is a leading automotive marketplace that provides consumers a transparent shopping experience whether they are looking for a new or used car. In the U.K., CarGurus is a leading marketplace for dealers’ listings of used vehicles, providing consumers with one of the broadest selections of inventory in the U.K. We also provide automotive shoppers rich expert review content, an active forum for automotive discussion, and offer privately owned inventory through the PistonHeads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Wholesale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Dealer-to-Dealer</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the automotive industry continues to move further online, it has become even more important for dealers not only to sell their vehicles effectively at retail, but also to acquire the right inventory in the first place via wholesale transactions. In recent years, wholesale vehicle sales have begun shifting online and those trends have accelerated as a result of the COVID-19 pandemic. The industry continues to see an increase in online transactions that are easier, faster, and reduce the effect of geographic constraints.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January 2021, we completed our acquisition of a 51% ownership interest in CarOffer, a modern-day automotive inventory transaction platform that allows dealers and dealer groups to buy, sell, and trade online with automation and ease. The acquisition added wholesale vehicle acquisition and selling capabilities to our portfolio of dealer offerings, creating a powerful digital solution for dealers to sell and acquire vehicles at both retail and wholesale. Unlike traditional vehicle auctions which require manual bidding and vehicle evaluation, the Buying Matrix enables buying dealers to create standing buy orders and provides instant offers to selling dealers.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IMCO</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2021, we launched a new consumer offering, IMCO, which allows consumers to sell their vehicles to dealers entirely online. This offering, which is now available to approximately 93% of the U.S. population, provides dealers with access to a fresh source of trade-in inventory and helps ensure liquidity amongst CarOffer’s platform. Through IMCO, consumers who are trading-in or selling vehicles enter easy-to-answer questions regarding their vehicle and are instantly presented with the most competitive offer sourced from in-network dealers. Once the customer has saved their offer, they can further customize their experience by arranging a location of their choice to have the vehicle picked-up and transported. In this model, CarOffer processes the transaction directly and collects transaction and other fees from the dealer.</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2022 we continued to optimize and evolve our consumer-to-dealer offering to improve the consumer experience and performance. We launched online pickup scheduling, which allows consumers to schedule their vehicle pickup through our simple online tool. We ran a pilot of drop-off locations where consumers could opt to drop their vehicle off rather than have it picked up at their home. We optimized the consumer experience with more data and information to help consumers make confident decisions, and integrated a virtual inspection process to allow consumers to pre-inspect their vehicle in order to streamline the pickup process. We ended 2022 with a consumer NPS of 88 for sellers who completed a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Brand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Marketing</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CarGurus continues to be the most visited online automotive marketplace in the United States, with more than 77.7 million and 29.1 million average monthly sessions and unique users, respectively in 2022. We have built our engaged audience on the strength of our user experience, leveraging the power of technology and data to bring trust and transparency to the automotive platform. Our intuitive search experience, combined with the largest inventory of any major U.S. online automotive marketplace and relevant content, updates, and transaction-enabled tools, provide unparalleled transparency and decision-support to consumers during their car search to help them shop, buy, finance and sell with confidence and ease. The strength of our consumer experience is one of our most powerful marketing tools, with 95% of sellers stating they would recommend CarGurus to a friend and 90% of sellers stating they would recommend starting their purchase online with CarGurus. CarGurus also attracts free website traffic from high-intent car shoppers through search engines.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key pillar of our consumer marketing efforts is what we call algorithmic traffic acquisition. We employ a team of strategists, engineers and data scientists that optimizes our user acquisition through search engine performance marketing, social media, and other digital marketing channels and has tested over one billion keywords on various search engines as well as sophisticated, personalized re-marketing, to nurture high-intent consumers interested in auto-shopping. We continuously integrate new efficient channels and advance the sophistication of our data-driven algorithmic traffic acquisition, with an ongoing focus on increasingly value-driven campaigns that produce high return on advertising spend. We believe our expertise in this area constitutes a competitive advantage over less sophisticated competitors and those who outsource these capabilities.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parallel with our sophisticated paid and organic traffic acquisition efforts, we invest significant resources in optimizing our site experience and retention marketing efforts; this includes email and app notifications, to help consumers find the right car for them, connect with a dealer to make a purchase or sell their car online. Rigorous conversion rate optimization efforts help increase the ROI on our advertising spend. Our increasing focus on merchandising that drives more shoppers to connect with dealers with high subscription expansion opportunity is intended to create a virtuous cycle of improved monetization that allows for reinvestment in further improvements to our consumer experience.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augment our performance marketing, conversion rate optimization and retention marketing efforts with brand building efforts. Our brand marketing efforts are primarily comprised of (i) investments in media, including television, online video and digital social, (ii) expressing our unique brand value proposition throughout our core site experience, app and organic social channels, and (iii) an always on public relations program that allows us to gain significant, high credibility earned media coverage. Despite a shorter tenure, lower investment in brand marketing than our primary competitors, and a hyper competitive industry, we have grown and maintained our brand awareness since launching brand marketing in 2017. We believe that we are well positioned to continue to strengthen our brand by continuing to invest in brand-building efforts and refining the articulation of our unique value proposition. As we continue to drive brand awareness and consideration, we see significant opportunity to drive reach with new consumers leveraging new channels and tactics, and a deeper understanding of and preference for our brand, further accelerating the strong consumer engagement and word of mouth benefits we already enjoy.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Dealer Marketing</w:t>
      </w:r>
    </w:p>
    <w:p>
      <w:pPr>
        <w:spacing w:after="0" w:line="200" w:lineRule="exact"/>
        <w:rPr>
          <w:sz w:val="20"/>
          <w:szCs w:val="20"/>
          <w:color w:val="auto"/>
        </w:rPr>
      </w:pPr>
    </w:p>
    <w:p>
      <w:pPr>
        <w:ind w:right="20" w:firstLine="509"/>
        <w:spacing w:after="0" w:line="239" w:lineRule="exact"/>
        <w:rPr>
          <w:sz w:val="20"/>
          <w:szCs w:val="20"/>
          <w:color w:val="auto"/>
        </w:rPr>
      </w:pPr>
      <w:r>
        <w:rPr>
          <w:rFonts w:ascii="Times New Roman" w:cs="Times New Roman" w:eastAsia="Times New Roman" w:hAnsi="Times New Roman"/>
          <w:sz w:val="18"/>
          <w:szCs w:val="18"/>
          <w:color w:val="auto"/>
        </w:rPr>
        <w:t>The primary goals of our dealer marketing initiatives are to acquire dealers not yet in our marketplace, convert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paying dealers into paying dealers, retain our existing paying dealers, and increase product adoption and usage from our paying dealers. Our dealer marketing efforts aim to:</w:t>
      </w:r>
    </w:p>
    <w:p>
      <w:pPr>
        <w:spacing w:after="0" w:line="197" w:lineRule="exact"/>
        <w:rPr>
          <w:sz w:val="20"/>
          <w:szCs w:val="20"/>
          <w:color w:val="auto"/>
        </w:rPr>
      </w:pPr>
    </w:p>
    <w:p>
      <w:pPr>
        <w:jc w:val="both"/>
        <w:ind w:left="1020" w:hanging="503"/>
        <w:spacing w:after="0" w:line="220" w:lineRule="exact"/>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Educate Dealers on the End-to-End Inventory Solutions We Offer, the Quality of Our Audience and Products, and Attractive ROI. </w:t>
      </w:r>
      <w:r>
        <w:rPr>
          <w:rFonts w:ascii="Times New Roman" w:cs="Times New Roman" w:eastAsia="Times New Roman" w:hAnsi="Times New Roman"/>
          <w:sz w:val="17"/>
          <w:szCs w:val="17"/>
          <w:color w:val="auto"/>
        </w:rPr>
        <w:t>We educate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dealers on the increased breadth of solutions we offer, including wholesale buying and selling of inventory, marketing via our core Listings products and other tools, and our growing suite of retailing solutions. We promote the quality of our audience by touting our industry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leading audience, our strong user engagement, and the large number of connections that we facilitate through our marketplace. We also highlight to dealers how unique features of our platform, such as our consumer financing features and proprietary IMV analytics, yield consumers that we believe are more informed and better prepared to purchase at the dealership, which can lead to a higher ROI for the dealers’ marketing spend.</w:t>
      </w:r>
    </w:p>
    <w:p>
      <w:pPr>
        <w:spacing w:after="0" w:line="197" w:lineRule="exact"/>
        <w:rPr>
          <w:rFonts w:ascii="Times New Roman" w:cs="Times New Roman" w:eastAsia="Times New Roman" w:hAnsi="Times New Roman"/>
          <w:sz w:val="17"/>
          <w:szCs w:val="17"/>
          <w:color w:val="auto"/>
        </w:rPr>
      </w:pPr>
    </w:p>
    <w:p>
      <w:pPr>
        <w:jc w:val="both"/>
        <w:ind w:left="102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Thought Leadership that Educates Dealers on Industry Trends. </w:t>
      </w:r>
      <w:r>
        <w:rPr>
          <w:rFonts w:ascii="Times New Roman" w:cs="Times New Roman" w:eastAsia="Times New Roman" w:hAnsi="Times New Roman"/>
          <w:sz w:val="18"/>
          <w:szCs w:val="18"/>
          <w:color w:val="auto"/>
        </w:rPr>
        <w:t>We generate content on market trends and best practices in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that is shared through webinars, dealer forums, dealer advisory councils, our websites, and our participation in industry conferences and events. From time to time, we also host thought leadership events in local markets to continue to share our insights and help build our brand among dealerships. Since the height of the COVID-19 pandemic, we have also helped address their ever changing challenges by sharing the latest research and data-driven insights on how shopper behavior continues to evolve.</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Best Practices to Assist Dealers in Becoming More Successful. </w:t>
      </w:r>
      <w:r>
        <w:rPr>
          <w:rFonts w:ascii="Times New Roman" w:cs="Times New Roman" w:eastAsia="Times New Roman" w:hAnsi="Times New Roman"/>
          <w:sz w:val="18"/>
          <w:szCs w:val="18"/>
          <w:color w:val="auto"/>
        </w:rPr>
        <w:t>We provide ongoing communications through email, webinars, white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papers, testimonials, and videos, which show dealers how to use our products to position their inventory for success on our platform and beyond, as well as broader guidance on marketing, sales, operations, and other aspects of running a more profitable dealership. We maintain consistent communication with dealers via email, events and our Dealer Dashboard to ensure awareness of account performance and recent product updates, and we empower our sales and account management teams with resources to directly provide education and assistance to our dealer partners.</w:t>
      </w:r>
    </w:p>
    <w:p>
      <w:pPr>
        <w:spacing w:after="0" w:line="182"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Product Engagement. </w:t>
      </w:r>
      <w:r>
        <w:rPr>
          <w:rFonts w:ascii="Times New Roman" w:cs="Times New Roman" w:eastAsia="Times New Roman" w:hAnsi="Times New Roman"/>
          <w:sz w:val="18"/>
          <w:szCs w:val="18"/>
          <w:color w:val="auto"/>
        </w:rPr>
        <w:t>We use our email marketing capabilities and other marketing channels to drive dealer engagement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platforms. This can include automated, personalized marketing about how dealers can improve vehicle pricing and merchandising by using the tools in our dashboard, performance insights around the leads and connections they are receiving, and prompts to respond to reviews and manage their reputation. We also monitor dealer feedback on our products through surveys and product engagement to assess areas for further development or dealer education.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face competition to attract consumers and paying dealers to our marketplaces and services and to attract advertisers to purchase our advertising products and services. Our competitors offer various marketplaces, products, and services that compete with us. Some of these competitors include:</w:t>
      </w:r>
    </w:p>
    <w:p>
      <w:pPr>
        <w:spacing w:after="0" w:line="16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U.S. online automotive marketplaces: AutoTrader.com, Cars.com and TrueCar.com;</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U.S. automotive websites, such as Edmunds.com, KBB.com and Carfax.com;</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automotive marketplaces and websites in our international markets;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dealerships, such as Carvana.com and Vroom.com;</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operated by individual automobile dealers;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search engines;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marketplaces;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peer-to-peer marketplaces, such as Craigslist.com;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auction companies, including digital wholesale platforms: ACVauctions.com, Karglobal.com and E.inc.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Consumers and Dealers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compete for consumer visits with other online automotive marketplaces, free listing services, general search engines, online dealerships and dealers’ websites. We compete for consumers primarily on the basis of the quality of the consumer experience and the breadth of offerings that we are able to provide. We believe we compete favorably on user experience due to the number of our vehicle listings, the transparency of the information we provide on cars, prices, and dealers, the intuitive nature of our user interface, and our mobile user experience, among other factors.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compete for dealers’ marketing spend with offline customer acquisition channels, other online automotive marketplaces, dealers’ own customer acquisition efforts on search engines and social media marketplaces, and other internet sites, online dealerships and vehicle auction companies that attract consumers and dealers searching for vehicles, as applicable. We compete primarily on the basis of the ROI that our marketplace offers and the synergies provided by the combination of our foundational listings business with digital wholesale and digital retail offerings. We believe we compete favorably due to our large user audience, high user engagement, and the volume and quality of connections we provide to well-informed consumers, which results in an attractive ROI for dealers.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Advertisers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compete for a share of advertisers’ total marketing budgets against media sites, websites dedicated to helping consumers shop for cars, major internet portals, search engines, and social media sites, among others. We also compete for a share of advertisers’ overall marketing budgets with traditional media, such as television, radio, magazines, newspapers, automotive publications, billboards, and other offline advertising channels. We compete for advertising spend based on the marketing ROI that our marketplace provides. We believe we compete favorably due to our large user audience size, high user engagement, and the effectiveness and relevance of our advertising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Across the retail automotive industry, consumer purchases are typically greatest in the first three quarters of each year, due in part to the introduction of new vehicle models from manufacturers and the seasonal nature of consumer spending. Additionally, the volume of wholesale vehicle sales can fluctuate from quarter to quarter caused by several factors, including the timing of used vehicles available for sale from selling customers, the seasonality of the retail market for used vehicles and/or inventory challenges in the automotive industry, which affect the demand side of the wholesale industry. Macroeconomic conditions, such as slower growth or recession, higher interest rates, high unemployment, consumer confidence in the economy, consumer debt levels, the ongoing military conflict between Russia and Ukraine, foreign currency exchange rate fluctuations and other matters that influence consumer spending and preferences, can also impact the volume of wholesale vehicle sales, as was evidenced by the global semiconductor chip shortage. The Digital Wholesale segment operating results have reflected the general seasonality of the wholesale vehicle sales market and macroeconomic conditions of the automotive industry.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once our business and markets mature.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sales team is responsible for bringing dealers onto our marketplace, converting non-paying dealers to paid subscriptions and increasing dealer participation in new products that CarGurus is bringing to market. We have built an efficient sales and service team of approximately 320 employees worldwide who sell our marketplace products to franchise and independent dealers. We have built a field sales team that works with strategic franchise and national dealership groups in large metropolitan areas in the U.S., Canada, and the U.K. In addition, we have advertising sales employees based in the U.S. and Canada.</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 comprehensive dealer account management process to assist dealers in becoming successful in our marketplace. We assign an Account Manager to paying Listings dealers to develop strong relationships and customer satisfaction. The designated Account Manager spends time educating dealers at every stage of their lifecycle as a paying customer. They advise dealers on a range of topics, including how to effectively use their CarGurus products and merchandise their inventory, track sales, measure ROI for their marketing spend and identify ways to grow their profits. We believe our active communication with our dealers fosters customer satisfaction and increases customer retention.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CarOffer also has a team of approximately 149 sales and service employees based in Texas, which is dedicated to driving transactions for the business as well as enrolling new dealers on the CarOffer platform.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People and Talent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investment in our greatest asset – our people – is integral to our core values, evidenced by our inclusion of employee engagement and cultural efforts as components of our 2022 strategic and organizational initiatives. Our Board of Directors oversees our people and talent efforts and views building our culture – from employee development and retention to diversity, equity, inclusion and belonging initiatives – as key to driving long-term value for our business and helping mitigate risks.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we had 1,403 full-time employees, 87 of whom were based outside the United States and 348 of whom were employed through CarOffer. None of our employees are represented by a labor union or covered by a collective bargaining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Values and Standards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company culture has developed out of our data-driven and innovative approach to the automotive market. We leverage data to drive innovation across all facets of our business and continuously optimize our products and processes to serve our consumers, dealers, advertisers, and partners. Our approach emphasizes original thought, impact, and collaboration across our organization, and we recognize and award employees who drive positive results across these constituencies. We invest in creating a work environment that facilitates partnership among our employees and promotes diversity, equity, inclusion and belonging. In that spirit, we have identified our core values as follows:</w:t>
      </w:r>
    </w:p>
    <w:p>
      <w:pPr>
        <w:spacing w:after="0" w:line="179" w:lineRule="exact"/>
        <w:rPr>
          <w:sz w:val="20"/>
          <w:szCs w:val="20"/>
          <w:color w:val="auto"/>
        </w:rPr>
      </w:pPr>
    </w:p>
    <w:p>
      <w:pPr>
        <w:ind w:left="1020" w:right="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pioneering. </w:t>
      </w:r>
      <w:r>
        <w:rPr>
          <w:rFonts w:ascii="Times New Roman" w:cs="Times New Roman" w:eastAsia="Times New Roman" w:hAnsi="Times New Roman"/>
          <w:sz w:val="18"/>
          <w:szCs w:val="18"/>
          <w:color w:val="auto"/>
        </w:rPr>
        <w:t>From the beginning, we set out to radically change how people buy and sell cars. We tackle difficult problems head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curious. We are risk takers. We embrace change even if it’s uncomfortable.</w:t>
      </w:r>
    </w:p>
    <w:p>
      <w:pPr>
        <w:spacing w:after="0" w:line="154"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transparent. </w:t>
      </w:r>
      <w:r>
        <w:rPr>
          <w:rFonts w:ascii="Times New Roman" w:cs="Times New Roman" w:eastAsia="Times New Roman" w:hAnsi="Times New Roman"/>
          <w:sz w:val="18"/>
          <w:szCs w:val="18"/>
          <w:color w:val="auto"/>
        </w:rPr>
        <w:t>We believe transparency is the foundation of trust and enables better decision making. We communicate clearly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honestly. We deliver unbiased guidance. Our products, services and company culture are built on these principles.</w:t>
      </w:r>
    </w:p>
    <w:p>
      <w:pPr>
        <w:spacing w:after="0" w:line="154"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data-driven. </w:t>
      </w:r>
      <w:r>
        <w:rPr>
          <w:rFonts w:ascii="Times New Roman" w:cs="Times New Roman" w:eastAsia="Times New Roman" w:hAnsi="Times New Roman"/>
          <w:sz w:val="18"/>
          <w:szCs w:val="18"/>
          <w:color w:val="auto"/>
        </w:rPr>
        <w:t>We rely on data, not hunches, to make decisions. We listen to our instincts but we validate through rapid 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learning and optimizing. We translate complex data into actionable insights for our users, our customers and our people.</w:t>
      </w:r>
    </w:p>
    <w:p>
      <w:pPr>
        <w:spacing w:after="0" w:line="154"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collaborative. </w:t>
      </w:r>
      <w:r>
        <w:rPr>
          <w:rFonts w:ascii="Times New Roman" w:cs="Times New Roman" w:eastAsia="Times New Roman" w:hAnsi="Times New Roman"/>
          <w:sz w:val="18"/>
          <w:szCs w:val="18"/>
          <w:color w:val="auto"/>
        </w:rPr>
        <w:t>We celebrate our individual strengths and perspectives but know that our success requires teamwork. We partner,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listen and we leverage feedback from each other, our users and our customers.</w:t>
      </w:r>
    </w:p>
    <w:p>
      <w:pPr>
        <w:spacing w:after="0" w:line="154"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move quickly. </w:t>
      </w:r>
      <w:r>
        <w:rPr>
          <w:rFonts w:ascii="Times New Roman" w:cs="Times New Roman" w:eastAsia="Times New Roman" w:hAnsi="Times New Roman"/>
          <w:sz w:val="18"/>
          <w:szCs w:val="18"/>
          <w:color w:val="auto"/>
        </w:rPr>
        <w:t>We believe there’s power in speed. We iterate quickly and often, continuously improving as we go. We are not afraid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 things. If we fail, we do it fast, learn from it and move on.</w:t>
      </w:r>
    </w:p>
    <w:p>
      <w:pPr>
        <w:spacing w:after="0" w:line="154"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have integrity. </w:t>
      </w:r>
      <w:r>
        <w:rPr>
          <w:rFonts w:ascii="Times New Roman" w:cs="Times New Roman" w:eastAsia="Times New Roman" w:hAnsi="Times New Roman"/>
          <w:sz w:val="18"/>
          <w:szCs w:val="18"/>
          <w:color w:val="auto"/>
        </w:rPr>
        <w:t>We act responsibly and consider the impact of our actions on each other, our partners and the world around us.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empathy, respect and fairness are essential. We set high ethical standards and expect principled leadership from our people.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Inclusion and Belonging and Equal Employment Policy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equal opportunity employer and strive to build and nurture a culture where inclusiveness is a reflex, not an initiative. With support from our Diversity, Equity, Inclusion and Belonging Advisory Team, we seek to foster diversity, equity, inclusion and belonging, and to build a workplace where everyone can thrive. Our commitment to these efforts helps us attract and retain the best talent, enables employees to realize their full potential and drives high performance through innovation and collaboration. In 2022, based on data from U.S. CarGurus employees who chose to self-identify (87.3%), we increased representation among women and non-binary employees (35.1% to 37.4%) and traditionally marginalized racial/ethnic groups (30.1% to 34.4%) within our U.S. workforce. We also saw year-over-year increases in the U.S. among women and non-binary employees in technical (25.9% to 26.2%) and among traditionally marginalized racial/ethnic groups in technical roles (45.7% to 49.4%) and management-level roles (19.4% to 21.6%).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people. Accordingly, we provide our eligible employees with competitive wages and access to flexible and convenient medical programs intended to meet their needs and the needs of their families. In addition to standard medical coverage, we offer the following benefits to our U.S. employees (availability internationally varies): dental and vision coverage, health savings and flexible spending accounts, paid time off, flexible hybrid work schedules or remote work on a case-by-case basis, employee assistance programs, short term and long-term disability insurance and term life insurance, as well as company paid access to certain wellness and family care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year, we conduct an employee engagement survey to help our management team gain insight into and gauge employees’ feelings, attitudes, and behaviors around working at CarGurus. Our latest survey, completed in September 2022, had a participation rate of approximately 90% of our eligible employees worldwide. The survey results indicated that we excelled in areas like manager empathy and support, as well as key indicators of belonging – including fairly considering each other's ideas and feeling respected as a member of our community. Based on employee feedback, we also identified several company-wide opportunity areas to improve engagement and drive long-term success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Our culture and commitment to building a workplace where we can all thrive has been recognized externally with the following awards: </w:t>
      </w:r>
      <w:r>
        <w:rPr>
          <w:rFonts w:ascii="Times New Roman" w:cs="Times New Roman" w:eastAsia="Times New Roman" w:hAnsi="Times New Roman"/>
          <w:sz w:val="18"/>
          <w:szCs w:val="18"/>
          <w:i w:val="1"/>
          <w:iCs w:val="1"/>
          <w:color w:val="auto"/>
        </w:rPr>
        <w:t>Built In Boston’s</w:t>
      </w:r>
      <w:r>
        <w:rPr>
          <w:rFonts w:ascii="Times New Roman" w:cs="Times New Roman" w:eastAsia="Times New Roman" w:hAnsi="Times New Roman"/>
          <w:sz w:val="18"/>
          <w:szCs w:val="18"/>
          <w:color w:val="auto"/>
        </w:rPr>
        <w:t xml:space="preserve"> “Best Places to Work” in 2019, 2020, 2021, 2022 and 2023; </w:t>
      </w:r>
      <w:r>
        <w:rPr>
          <w:rFonts w:ascii="Times New Roman" w:cs="Times New Roman" w:eastAsia="Times New Roman" w:hAnsi="Times New Roman"/>
          <w:sz w:val="18"/>
          <w:szCs w:val="18"/>
          <w:i w:val="1"/>
          <w:iCs w:val="1"/>
          <w:color w:val="auto"/>
        </w:rPr>
        <w:t>Boston Business Journal</w:t>
      </w:r>
      <w:r>
        <w:rPr>
          <w:rFonts w:ascii="Times New Roman" w:cs="Times New Roman" w:eastAsia="Times New Roman" w:hAnsi="Times New Roman"/>
          <w:sz w:val="18"/>
          <w:szCs w:val="18"/>
          <w:color w:val="auto"/>
        </w:rPr>
        <w:t>’s “Best Places to Work” in 2015, 2016, 2017, 2018, 2019, 2021, and 2022;</w:t>
      </w:r>
      <w:r>
        <w:rPr>
          <w:rFonts w:ascii="Times New Roman" w:cs="Times New Roman" w:eastAsia="Times New Roman" w:hAnsi="Times New Roman"/>
          <w:sz w:val="18"/>
          <w:szCs w:val="18"/>
          <w:i w:val="1"/>
          <w:iCs w:val="1"/>
          <w:color w:val="auto"/>
        </w:rPr>
        <w:t xml:space="preserve"> Boston Globe</w:t>
      </w:r>
      <w:r>
        <w:rPr>
          <w:rFonts w:ascii="Times New Roman" w:cs="Times New Roman" w:eastAsia="Times New Roman" w:hAnsi="Times New Roman"/>
          <w:sz w:val="18"/>
          <w:szCs w:val="18"/>
          <w:color w:val="auto"/>
        </w:rPr>
        <w:t>’s “Top Place to Work” in 2014,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2016, 2018, and 2022; and multiple awards from </w:t>
      </w:r>
      <w:r>
        <w:rPr>
          <w:rFonts w:ascii="Times New Roman" w:cs="Times New Roman" w:eastAsia="Times New Roman" w:hAnsi="Times New Roman"/>
          <w:sz w:val="18"/>
          <w:szCs w:val="18"/>
          <w:i w:val="1"/>
          <w:iCs w:val="1"/>
          <w:color w:val="auto"/>
        </w:rPr>
        <w:t>Comparably including</w:t>
      </w:r>
      <w:r>
        <w:rPr>
          <w:rFonts w:ascii="Times New Roman" w:cs="Times New Roman" w:eastAsia="Times New Roman" w:hAnsi="Times New Roman"/>
          <w:sz w:val="18"/>
          <w:szCs w:val="18"/>
          <w:color w:val="auto"/>
        </w:rPr>
        <w:t xml:space="preserve"> “Best Perks &amp; Benefits” in 2021 and 2022, “Best Work-Life Balance” in 2021 and 2022, and "Best Company Culture” in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people and talent strategy is essential for our ability to continue to develop and market innovative products and customer solutions. We continually invest in our employees’ career growth and provide our team with a wide range of development opportunities, including mandatory quarterly compliance training courses as well as one-on-one, virtual, social and self-directed learning, mentoring, coaching, and external development. In 2022, nearly 100% of our employees participated in learning and development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Product Development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 company focused on innovative, actionable data analysis. We design our mobile and web products to create a transparent experience for both consumers and dealers. We believe in rapid development, release frequent updates and have internal tools and automation that allow us to efficiently evolve our products. Our software is built using a combination of internally developed software, third-party software and services, and open source software.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Search Technology</w:t>
      </w:r>
    </w:p>
    <w:p>
      <w:pPr>
        <w:spacing w:after="0" w:line="200" w:lineRule="exact"/>
        <w:rPr>
          <w:sz w:val="20"/>
          <w:szCs w:val="20"/>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Our search and ranking technology is served by a proprietary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memory search index solution that is scalable, fast, and extensible. We have highly flexible interfaces that allow dealers to automatically add their inventory to our index, enabling us to quickly integrate hundreds of inventory sources with minimal effort and easily support inventory growth.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Mobile Technology</w:t>
      </w:r>
    </w:p>
    <w:p>
      <w:pPr>
        <w:spacing w:after="0" w:line="200" w:lineRule="exact"/>
        <w:rPr>
          <w:sz w:val="20"/>
          <w:szCs w:val="20"/>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We have designed our marketplace to appeal to mobile users by developing our products with a mobile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mindset. All of our search results pages use a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page application type approach to eliminate page reloads and improve responsiveness. We also use techniques to load content onto a user’s mobile device more efficiently.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Integrations</w:t>
      </w:r>
    </w:p>
    <w:p>
      <w:pPr>
        <w:spacing w:after="0" w:line="229" w:lineRule="exact"/>
        <w:rPr>
          <w:sz w:val="20"/>
          <w:szCs w:val="20"/>
          <w:color w:val="auto"/>
        </w:rPr>
      </w:pPr>
    </w:p>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We make available several application program interfaces and web widgets that integrate with customer relationship management and inventory management solutions, among other platforms. These integrations allow dealers to incorporate designated data and tools into the fabric of their marketing and customer engagement strategies. For example, our Deal Rating Badges are used on dealer websites, which show our Deal Rating for cars that have been rated as a Great Deal, Good Deal, or Fair Deal. Our Deal Rating serves as trusted,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validation on dealer websites.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development servers and U.S. and Canadian websites are hosted at a third-party data centers in the U.S. near Dallas, Texas, as well as through third-party cloud services in the U.S. Our European websites are hosted on third-party cloud computing services near each of London, England and Dublin, Ireland. We use third-party content distribution networks to cache and serve many portions of our sites at locations across the globe. We monitor and test at the application, host, network, and full site levels to maintain availability and promote performance. We use third-party cloud computing services for many data processing jobs and backup/recovery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patents, copyrights, trademarks, service marks, domain names, trade secret protections, confidentiality procedures, and contractual restrictions.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one issued U.S. patent with an expiration date of May 2034, one pending U.S. patent application, and two pending international patent applications. These applications cover proprietary technology that relates to various functionalities on our platform, generally in connection with pricing, ranking and detecting fraud in online listings. We intend to pursue additional patent protection to the extent we believe it would be beneficial to our competitive position.</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 number of registered and unregistered trademarks, including “CarGurus,” the CarGurus logo, the CG logo, and related marks, which we have registered as trademarks in the U.S. and certain other jurisdictions. We pursue additional trademark registrations to the extent we believe doing so would be beneficial to our competitive position. Additionally, CarOffer has a number of registered and unregistered trademarks, including “CarOffer” and the CarOffer logo, and related marks, which CarOffer has registered as trademarks in the U.S. CarOffer pursues additional trademark registrations to the extent it believes doing so would be beneficial to its competitive position. Our and CarOffer’s registered trademarks remain enforceable in the countries in which they are registered for as long as we and CarOffer, as applicable, continue to use the marks, and pay the fees to maintain the registrations, in those countries.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the registered holder of several domestic and international domain names that include “CarGurus” and variations of our trade names.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protection provided by our intellectual property rights, we enter into confidentiality and proprietary rights agreements with our employees and relevant consultants, contractors, and business partners. We control the use of our proprietary technology and intellectual property through provisions in contracts with our customers and partners and our general and product-specific terms of use on our websites.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Various aspects of our business are, may become, or may be viewed by regulators from time to time as subject, directly or indirectly, to U.S. federal, state, local and foreign laws and regulations. In particular, the advertising and sale of new or used motor vehicles is highly regulated by the states and jurisdictions in which we do business. Although we do not sell motor vehicles and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which often originated decades before the emergence of the internet, are frequently subject to multiple interpretations, are not uniform across jurisdictions, sometimes impose inconsistent requirements with respect to new or used motor vehicles, and the manner in which they should be applied to our business model is not always clear. Regulators or other third parties could take, and on some occasions have taken, the position that our marketplace or related products violate applicable brokering, birddog, consumer protection, or advertising laws or regulations.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wholesale operations through CarOffer are regulated by the states in which we operate and by the U.S. federal government. These activities may also be subject to state and local licensing requirements. Additionally, we may be subject to regulation by individual state dealer licensing authorities and state consumer protection agencies.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operate in this regulated environment, we develop our products and services with a view toward appropriately managing the risk that our regulatory compliance, or the regulatory compliance of the dealers whose inventory is listed on our websites, could be challenged.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consider applicable advertising and consumer protection laws and regulations in designing our products and services. With respect to paid advertising, other than Featured Listings, Featured Priority Listings and products marketed under our RPM digital advertising suite, we believe that most of the content displayed on the websites we operate does not constitute paid advertising for the sale of motor vehicles. Nevertheless, we endeavor to design our website content in a manner that would comply with relevant advertising regulations and consumer protection laws if, and to the extent that, the content is considered to be vehicle sales advertising.</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websites and mobile applications enable us, dealers, and users to send and receive text messages and other mobile phone communications, which requires us to comply with the Telephone Consumer Protection Act, or TCPA, in the U.S.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subject to numerous federal, national, state, and local laws and regulations in the United States and around the world regarding privacy and the collection, processing, storage, sharing, disclosure, use, cross-border transfer, and protection of personal information and other data. While the scope of these laws and regulations is changing and remains subject to differing interpretations, we seek to comply with industry standards and all applicable laws, policies, legal obligations, and industry codes of conduct relating to privacy and data protection. We are also subject to the terms of our privacy policies and privacy-related obligations to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were originally organized on November 10, 2005 as a Massachusetts limited liability company under the name “Nimalex LLC.” Effective July 15, 2006, we changed our name to “CarGurus LLC.” On June 26, 2015, we converted from a Delaware limited liability company into a Delaware corporation and changed our name to “CarGurus, Inc.”</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 Canal Park, 4th Floor, Cambridge, Massachusetts 02141, and our telephone number is (617) 354-0068. Our U.S. website is www.cargurus.com.</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CarGurus, the CarGurus logo, and other trademarks or service marks of CarGurus appearing in this Annual Report on Form 10-K are the property of CarGurus, Inc. Trade names, trademarks, and service marks of other companies appearing in this Annual Report on Form 10-K are the property of their respective holders. We have omitted the ® and ™ designations, as applicable, for the trademarks used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filings are available on our investor relations website after we file them with the Securities and Exchange Commission, or the SEC: Annual Reports on Form 10-K, Quarterly Reports on Form 10-Q, Current Reports on Form 8-K, Proxy Statements for our annual meetings of stockholders and any amendments to those reports or statements. These filings are also available for download free of charge on our investor relations website. Our investor relations website is located at http://investors.cargurus.com.</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webcast our earnings calls and certain events that we participate in or host with members of the investment community on our investor relations website. Additionally, we provide news and announcements regarding our financial performance, including SEC filings, investor events, press and earnings releases, on our investor relations website. Corporate governance information, including our policies concerning business conduct and ethics, is also available on our investor relations website under the heading “Governance.” No content from any of our websites is intended to be incorporated by reference into this Annual Report on Form 10-K or in any other report or document we file with the SEC, and any reference to our websites is intended to be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together with all of the other information contained in this Annual Report on Form 10-K, including “Management’s Discussion and Analysis of Financial Condition and Results of Operations” and our audited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our relationships with dealers. If a significant number of dealers terminate their subscription agreements with us, and/or dealer closures or consolidations occur that reduce demand for our products, our business and financial results would be materially and adversely affected.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significant source of our revenue consists of subscription fees paid to us by dealers for access to enhanced features on our automotive marketplaces. Our subscription agreements with dealers generally may be terminated by us with 30 days’ notice and by dealers with 30 days’ notice prior to the commencement of the applicable renewal term. The majority of our contracts with dealers currently provide for one-month committed terms and do not contain contractual obligations requiring a dealer to maintain its relationship with us beyond the committed term. A dealer may be influenced by several factors to cancel its subscription with us,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dealers could share this belief and we may lose a number of our paying dealers. If a significant number of our paying dealers terminate their subscriptions with us, our business and financial results would be materially and adversely affected.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in the past, the number of United States dealers has declined due to dealership closures and consolidations as a result of industry dynamics and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and financial results could be materially and adversely affected.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many paying dealers canceled their subscriptions with us (including, in some cases, with our permission prior to the end of the applicable contract term and notice period), and it is possible that such dealers will not re-subscribe and that additional dealers will cancel their subscriptions in the future for a variety of reasons, including as a result of the continuing effects of the COVID-19 pandemic and other macroeconomic issues, such as increased interest rates and other matters that influence consumer spending.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expand our base of paying dealers or fail to maintain or increase the level of fees that we receive from them, our business and financial results would be materially and adversely affected.</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allow dealers to list their inventory in CarGurus' marketplaces for free; however, we impose certain limitations on such free listings.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expand our base of paying dealers. If dealers do not subscribe to our paid offerings at the rates we expect, our business and financial results would be materially and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ongoing effects of the COVID-19 pandemic, the cost of energy and gasoline; the availability and cost of credit; increased interest rates; reductions in business and consumer confidence; stock market volatility; and increased unemployment.</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our business has been and may continue to be negatively affected by challenges to the larger automotive industry ecosystem, including global supply chain challenges, the effects of the global semiconductor chip shortage, changes to trade policies, including tariff rates and customs duties, trade relations between the United States and China and other macroeconomic issues, including the ongoing effects of the COVID-19 pandemic and increased interest rates. Increasing global inflation rates have spurred a cycle of monetary policy tightening, including through central bank increases to key short-term lending rates. Both the availability and cost of credit are factors affecting consumer confidence, which is a critical driver of vehicle sales for our consumers and dealers. Additionally, vehicle affordability for our consumers is becoming more challenging due to a combination of factors, including elevated vehicle pricing resulting from inflationary cost increases and vehicle production constraints, and increasing vehicle finance costs due to increased interest rates. These factors could have a material adverse effect on our business, revenue,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CarOffer business and/or our combined offerings do not continue to grow, our revenue and business would be significantly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significant amount of our revenue is now derived from the wholesale sale of automobiles and IMCO. Continued achievement of our transaction synergies and our ability to continue to grow the CarOffer business and the revenue associated with it depends on a number of factors, including, but not limited to, our ability to continue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Additionally, our ability to continue to grow IMCO and the revenue associated with it also depends on a number of factors, including, but not limited to, our ability to continue to: effectively scale and market IMCO; attract prospective consumers to sell their vehicles online through IMCO; and successfully compete with competitors, including online dealerships. If our anticipated transaction synergies do not fully materialize, or the CarOffer business and/or IMCO fail to continue to grow at the rate we expect, our revenue and business would be significantly harmed.</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Industry conditions such as a significant change in retail vehicle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which could adversely impact the volume of vehicles offered for sale on the CarOffer platform. We also face inventory risk in connection with vehicles acquired by CarOffer via arbitration, including the risk of inventory obsolescence, a decline in values, and significant inventory write-downs or write-offs. Such inventory risk would be higher if arbitrations increase, which is more likely to occur in connection with declining wholesale market conditions.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activity on the CarOffer platform has in the past fluctuated, and may again in the future fluctuate, from period to period based on macroeconomic conditions and changing demand requirements, which could adversely impact our revenue, results of operations, and financial condition for such period(s). Macroeconomic issues, including increased interest rates and lower consumer confidence, could also adversely impact dealer demand for sourcing inventory and therefore lead to a reduction in the number of vehicle wholesale sales on the CarOffer platform and/or transacted via IMCO, which would adversely impact CarOffer’s business and financial results. Additionally, inventory challenges in the automotive industry, including for reasons attributable to the COVID-19 pandemic, have contributed and could continue to contribute to a decrease in the supply of vehicles coming to the wholesale market and reduce the number of vehicles sold on the CarOffer platform and/or transacted via IMCO. An inability by CarOffer to retain customers and/or increase or find alternative sources of vehicle supply would adversely impact our revenue and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dealers or other advertisers reduce their spending with us, our advertising revenue and business would be harmed.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portion of our revenue is derived from advertising revenues generated primarily through short-term advertising sales, including on-site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effects of the COVID-19 pandemic, some advertisers canceled or reduced their advertising with us and it is possible that advertising customers will cancel or reduce their advertising with us in the future for a variety of reasons, including the effects of the COVID-19 pandemic and other macroeconomic issues, such as increased interest rates and other matters that influence consumer spending. In addition, the year-over-year decline in the number of consumer visits to our sites as a result of the COVID-19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pandemic or otherwise resulted in the delivery of fewer impressions for our advertising customers than anticipated year-over-year for the year ended December 31, 2022, which has caused, and may continue to cause, an adverse impact on our advertising revenues.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provide a compelling experience to consumers on our platform, connections between consumers and dealers using our marketplaces may decline and our business and financial results would be materially and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on our continued innovation to provide products that make our marketplaces, websites, and mobile applications useful for consumers and dealers or that otherwise provide value to consumers and dealers. For example, during 2022 we scaled IMCO in furtherance of our evolution to a transaction-enabled platform. We also continue to develop digital retail offerings, including those that expand a dealer’s geographic footprint and others that bring additional elements of the car buying experience online through our websites. A failure by us to capture the benefits that we expect from our rollout of IMCO and these digital retail investments could have an adverse effect on our business and financial results.</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also anticipate that over time our investments in our current products may become less productive and the growth of our revenue will require more focus on developing new products. These new products must be widely adopted by consumers and dealers in order for us to continue to attract consumers to our marketplaces and dealers to our products and services. Accordingly, we must continually invest resources in product, technology, and development to improve the attractiveness of our marketplaces. Our ability to engage in these activities may decline as a result of macroeconomic effects and any cost-savings initiatives on our business. These product, technology, and development expenses may include costs of hiring additional personnel and retaining our current employees, engaging third-party service providers and conducting other research and development activities. There can be no assurance that innovations to our products like IMCO, or the development of future products, will increase consumer or dealer engagement, achieve market acceptance, create additional revenue or become profitable.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and/or introduce competing products in a way that would adversely affect our search result rankings. If internet search engines modify their methodologies in ways that are detrimental to us, as they have done from time to time, or if our efforts to improve our search engine optimization are unsuccessful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less successful than our competitors’ efforts, our ability to attract a large consumer audience could diminish, traffic to our marketplaces could decline and the number of leads that we send to our dealers could be adversely impacted. Additionally, competing products from internet search engine providers, such as those that provide dealer and vehicle pricing and other information directly in search results, could also adversely impact traffic to our websites and the number of leads that we are able to send to our dealers. Our business would also be adversely affected if internet search engine providers choose to align with our competitors.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reduced our brand spend in comparison to our pre-COVID-19 pandemic levels, and it is possible that we may in the future decide to further suppress such spend depending on macroeconomic conditions.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third party content and conduct on our websites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is not indicative of our future growth, and our revenue growth rate in the future is uncertain, including due to potential macroeconomic effects.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revenue increased to $1,655.0 million for the year ended December 31, 2022 from $951.4 million for the year ended December 31, 2021, representing a 74% increase between such periods. Our revenue in the future may not grow at such a rate and could potentially be impacted by macroeconomic issues, such as declining wholesale vehicle prices, the war in Ukraine and Russian sanctions, increased interest rates, lower consumer confidence, consumer debt levels and other matters that influence consumer spending and preferences. In addition, we will not be able to grow as expected, or at all, if we fail to: increase the number of consumers using our marketplaces; attract new consumers to sell their vehicles online through IMCO; maintain and expand the number of dealers that subscribe to our marketplaces and maintain and increase the fees that they are paying; expand the number of dealers engaging on the CarOffer platform and increase the share of wholesale transactions which they complete on such platform;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generate sufficient cash flows, we would require additional capital to pursue our business objectives and respond to business opportunities, challenges, or unforeseen circumstances, including the continuing effects of the COVID-19 pandemic and other macroeconomic issues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in addition to our revolving credit facility associated with the Credit Agreement (as defined below) (the "2022 Revolver"). However, additional funds may not be available when we need them on terms that are acceptable to us or at all. Volatility in the equity and credit markets may also have an adverse effect on our ability to obtain equity or debt financing. An inability to obtain adequate financing or financing on terms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risks that may differ from, or are in addition to, our domestic operational risks.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United States, we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United Kingdom and Canada and may incur losses there again in the future. We also face various other challenges in those jurisdictions. For example, our competitors may be more established or otherwise better positioned than we are to succeed in the United Kingdom and Canada. Our competitors may offer services to dealers that make dealers dependent on them, such as hosting dealers’ websites and providing inventory feeds for dealers, which would make it difficult to attract dealers to our marketplaces. Any of these barriers could impede our operations in our international markets, which could affect our business and potential growth.</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adapting our websites and mobile applications to conform to local consumer behavior; increased competition from local providers and potential preferences by local populations for local providers; compliance with applicable foreign laws and regulations, including different privacy, censorship, and liability standards and regulations, and different intellectual property laws; the enforceability of our intellectual property rights; credit risk and higher levels of payment fraud; compliance with anti-bribery laws, including compliance with currency exchange rate fluctuations; adverse changes in trade relationships among foreign countries and/or between the United States and such countries; double taxation of our international earnings and potentially adverse tax consequences arising from the tax laws of the United States or the foreign jurisdictions in which we operate; and higher costs of doing business internationally.</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our continuing ability to attract, develop, motivate, and retain highly qualified and skilled employees. Since the onset of the COVID-19 pandemic, we have encountered increased rates of turnover of our employee base and encountered intense competition for retaining and attracting qualified and skilled employees. Accordingly, we have incurred, and we may continue to incur, significant costs to attract new employees and retain existing ones, and we may in the future become less competitive in attracting and retaining employees as a result of any expense reduction efforts that we may initiate.</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any unplanned turnover, reduced involvement,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For example, effective on October 3, 2022 and December 2, 2022, respectively, Scot Fredo, our former Chief Financial Officer, and Yann Gellot, our former Senior Vice President, Finance and Principal Accounting Officer, resigned. If we do not succeed in attracting well-qualified employees or retaining and motivating existing employees, our business could be materially and adversely affected. Additionally, we may face risks related to the transitions that recently occurred in our senior management team, such as the departures of Messrs. Fredo and Gellot, and other future transitions in our leadership, including the disruption of our operations and the depletion of our institutional knowledge base.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provide consumers using our CarGurus platform and dealers using our CarOffer platform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sites declines significantly, or if the number of automotive sales declines significantly or used car sales prices become volatile, whether as a result of macroeconomic effects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confidence in, or use of, our marketplaces and could result in legal disputes.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Local Motor Vehicle Sales, Advertising and Brokering, and Consumer Protection Laws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advertising and sale of new and used motor vehicles is highly regulated by the jurisdictions in which we do business. Regulatory authorities or third parties could take the position that some of the laws or regulations applicable to dealers or to the manner in which motor vehicles are advertised and sold generally are directly applicable to our business.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regulators or other third parties take the position that our marketplaces or related products violate applicable dealer licensing,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Laws and Regulations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platforms enable us, dealers, and users to send and receive text messages and other mobile phone communications. The Telephone Consumer Protection Act, or the TCPA, as interpreted and implemented by the United States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Antitrust and Other Laws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Antitrust and competition laws prohibit, among other things, any joint conduct among competitors that would lessen competition in the marketplace. A governmental or private civil action alleging unlawful or anticompetitive activity could be costly to defend and could harm our business, results of operations, financial condition, and cash flows.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success depends upon our relationships with third parties, including, among others: our payment processor; our data center hosts; our information technology providers; our data providers for inventory and vehicle information; and our partners for vehicle transportation, inspection and other logistics associated with our CarOffer business and IMCO.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macroeconomic conditions or otherwise, we could suffer increased costs and we may be unable to provide similar services until an equivalent provider could be found or we could develop replacement technology or operations. For example, primarily in connection with our Dealer-to-Dealer transactions, we utilize a third-party payment processor that collects customer payments on our behalf and remits them to us, as well as provides payments in advance for certain selling dealers. If our relationship with this third-party payment processor were to deteriorate or terminate, we would have to identify a succeeding payment processor or assume in-house facilitation of these services, which could disrupt our business and adversely affect our revenue, results of operations, and financial condition. Furthermore,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could affect the security or availability of our marketplaces, and prevent or inhibit the ability of dealers and consumers to access our marketplaces. For example, past disruptions have impacted our ability to 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Substantially all of the communications, network, and computer hardware used to operate our platforms is located in the Eastern region of the United States, and internationally near each of London, England, Dublin, Ireland and Frankfurt, Germany. These facilities include hosting through Amazon Web Services, a provider of cloud infrastructure services. Although we can host our U.S. CarGurus’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marketplace from two alternative locations and we believe our systems are redundant, there may be exceptions for certain hardware or software. In addition, we do not own or control the operation of these facilities. Any disruptions or other operational performance problems with these facilities or problems faced by their operators, including our cloud infrastructure service provider, could result in material interruptions in our services, adversely affect our reputation and results of operations, and subject us to liability. We also use third-party hosting services to back up some 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breaches, cyber-attacks, phishing attempts, errors by employees,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errors, defects, disruptions, or other performance or reliability problems with our network operations could cause interruptions in access to our marketplaces as well as delays and additional expense in arranging new facilities and services and fixing or replacing any affected systems or hardware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collect, process, store, transfer, share, disclose, and use consumer information and other data, and our actual or perceived failure, or the actual or perceived failure of our third-party service provides, to protect such information and data or respect users’ privacy could expose us to liability and adversely affect our reputation and brands and business and operating results.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Some functions of our marketplaces involve the storage and transmission of consumers’ information, such as IP addresses, contact information of users who connect with dealers, credit applications and other financial data, and profile information of users who create accounts on our marketplaces, as well as dealers’ information. We also process and store personal and confidential information of our vendors, partners, and employees, and we employ third-party service providers, such as payment processing providers, who also regularly have access to customer and consumer data. Some of this information may be private, and security breaches against us or our third-party service providers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and we also rely on our third-party service providers to use sufficient security measures to protect such information. Despite all of our efforts to protect this information and data, none of our security measures or those of our third-party service providers provide absolute security, and they may not be effective in preventing a future failure of our systems. Like all information systems and technology, our websites, mobile applications, and information systems, and those of our third-party service providers, are subject to computer viruses, break-ins, phishing attacks, attempts to overload the systems with denial-of-service or other attacks, ransomware, and similar incidents or disruptions from unauthorized use of our or our third-party service providers’ computer systems, any of which could lead to interruptions, delays, or website shutdowns, and could cause loss of critical data and the unauthorized disclosure, access, acquisition, alteration, and use of personal or other confidential information. If we or our third-party service providers experience compromises to data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disaster recovery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 Although we carry privacy, data breach and network security liability insurance, we cannot be certain that our coverage will be adequate for liabilities actually incurred or sufficient to compensate us for the potentially significant losses, or that insurance will continue to be available to us on economically reasonable terms or at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 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which we refer to collectively as the Privacy Regulations. The Privacy Regulations include, but are not limited to, the EU's General Data Protection Regulation and the California Consumer Privacy Act. Certain of the Privacy Regulations have already required, and certain others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Schrems II decision of the Court of Justice of the EU, which effectively invalided the EU-U.S. Privacy Shield Framework,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Privacy Regulations and other statutory requirements.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data,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 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again be, subject to intellectual property disputes, which are costly to defend and could harm our business and operating results.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been, and expect in the future to be, subject to claims and litigation alleging that we or content on our websites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commercially acceptable terms, or at all. Alternatively, we may be required to modify our marketplaces and features, which could require significant effort and expense and may ultimately not be successful.</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use open source software in our platform and will use open source software in the future. From time to time, we may face claims regarding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could harm our business and operating results.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third-party trademarks that incorporate variations of our trademarks. We have registered the CARGURUS and CG logos, as well as the word-mark CARGURUS, in the U.S., Canada, and the United Kingdom. Additionally, CarOffer has a number of registered and unregistered trademarks, including “CarOffer” and the CarOffer logo, and related marks, which CarOffer has registered as trademarks in the U.S.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halt the operations of websites that aggregate or misappropriate our data.</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We may be unable to detect and remedy all such activities in a timely and adequate manner.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and other factors may cause fluctuations in our operating results and our marketing spend.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any reduction of our marketing spend in response to COVID-19 or other macroeconomic-related expense management or otherwise,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fluctuates from quarter to quarter as a result of macroeconomic issues, which may have a corresponding impact on our results of operations. This variability is caused by several factors including the timing of used vehicles available for sale from selling customers, the seasonality of the retail market for used vehicles and/or inventory challenges in the automotive industry, which affect the demand side of the wholesale industry. This variability has affected our Digital Wholesale segment in the past, and may continue to in the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deal effectively with fraud or other illegal activity could harm our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for all types of fraudulent or other illegal activity now or in the future. Failure to limit the impact of fraudulent and illegal activity on our websites could lead to potential legal liability, harm our business, cause us to lose paying dealer customers and adversely affect our reputation, financial performance and growth prospects.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common stock.</w:t>
      </w:r>
    </w:p>
    <w:p>
      <w:pPr>
        <w:spacing w:after="0" w:line="6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have identified deficiencies in controls at our CarOffer subsidiary. These deficiencies include controls over (i) certain IT general controls for systems that are relevant to the preparation of our financial statements and (ii) our financial statement close process, which in the aggregate constitute a material weakness. While this material weakness did not result in a material misstatement of our financial statements, it could impact the effectiveness of our segregation of duties controls, as well as the effectiveness of IT-dependent controls, which could result in misstatement(s) impacting financial statement accounts and disclosures, resulting in a material misstatement of our annual or interim financial statements that we would have failed to prevent or detect. As a result of this material weakness, our management concluded that our disclosure controls and procedures were not effective as of December 31, 2022.</w:t>
      </w:r>
    </w:p>
    <w:p>
      <w:pPr>
        <w:spacing w:after="0" w:line="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in the process of implementing a remediation plan designed to improve our internal control over financial reporting to remediate this material weakness. This remediation plan includes implementation of additional controls and procedures, including timely performance of user access and change management reviews, as well as an effective review of journal entries and accounts reconciliations. We cannot assure you that the measures we have taken to date, and actions we may take in the future, will be sufficient to remediate the control deficiencies that led to the material weakness in our internal control over financial reporting or that they will prevent or avoid potential future material weaknesses. If we are unable to successfully remediate the material weakness in our internal control over financial reporting, the accuracy and timing of our financial reporting may be adversely affected, investors could lose confidence in the accuracy and completeness of our financial reports, the market price of our Class A common stock could decline, we could be subject to sanctions or investigations by Nasdaq, the SEC or other regulatory authorities, and our ability to access the capital markets could be limited.</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2022 Revolver contains certain covenants and other restrictions on our actions that may limit our operational flexibility or otherwise adversely affect our results of operations.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terms of our 2022 Revolver include a number of covenants that limit our ability to, among other things, grant or incur liens, incur additional indebtedness, make certain restricted investments or payments, enter into certain mergers and acquisitions or engage in certain asset sales, subject in each case to certain exceptions. In addition, our 2022 Revolver also subjects us to financial covenants in respect of minimum liquidity and requires that we maintain a net leverage ratio. The terms of our 2022 Revolver may restrict our current and future operations and could adversely affect our ability to finance our future operations or capital needs. Complying with these covenants may make it more difficult for us to successfully execute our business strategy and compete against companies which are not subject to such restrictions. Further, interest rate fluctuations may materially adversely affect our results of operations and financial conditions due to the variable interest rate on our 2022 Revolver, in the event that we draw down funds thereunder.</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failure by us to comply with the covenants or payment requirements specified in our 2022 Revolver could result in an event of default, which would give the lenders the right to terminate their commitments to provide loans under our 2022 Revolver and to declare any borrowings outstanding, together with any accrued and unpaid interest and fees, to be immediately due and payable. If any debt under our 2022 Revolver were to be accelerated, we may not have sufficient cash or be able to borrow sufficient funds to refinance the debt or sell sufficient assets to repay the debt, which could immediately adversely affect our business, cash flows, results of operations, and financial condition. Even if we were able to obtain new financing, it may not be on commercially reasonable terms or on terms that are acceptable to us. As of December 31, 2022, there were no amounts outstanding under our 2022 Revolver.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attached to this Annual Report on Form 10-K as Exhibit 3.1),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 Additionally, 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covering securities analysts;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regulations applicable to our business; changes in accounting standards, policies, or guidelines; any significant change in our management; changes in the automobile industry; the COVID-19 pandemic; and general economic conditions.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implemented or that it will enhance stockholder value, and share repurchases could affect the price of our Class A common stock.</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2022, our board of directors authorized a share repurchase program (the "Share Repurchase Program") pursuant to which we may, from time to time, purchase shares of our Class A common stock for an aggregate purchase price not to exceed $250 million, with an expiration date of December 31, 2023. Repurchases under the program may be made through a variety of methods, including but not limited to open market purchases, privately negotiated transactions and transactions that may be effected pursuant to one or more plans under Rule 10b5-1 and/or Rule 10b-18 of the Exchange Act, and are subject to market and business conditions, levels of available liquidity, cash requirements for other purposes, regulatory, and other relevant factors. The timing, pricing, and size of share repurchases will depend on a number of factors, including, but not limited to, price, corporate and regulatory requirements, and general market and economic conditions. The repurchase program does not obligate us to repurchase any dollar amount or number of shares, and the program may be suspended or discontinued at any time, which may result in a decrease in the price of our Class A common stock.</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unable to predict the extent to which the ongoing global COVID-19 pandemic may adversely impact our business operations, financial performance and results of operations.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past three years the COVID-19 pandemic and efforts to control its spread have resulted in, and may continue to or at a later time result in, significant disruptions to the global economy as well as businesses and capital markets around the world. Our operations have been and may continue to be materially adversely affected by a range of factors related to the COVID-19 pandemic that are not within our control, including the various restrictions imposed by cities, counties, states and countries on our employees, customers, partners and suppliers designed to limit the spread of COVID-19. The ultimate extent of the impact of the pandemic will depend on future developments that remain highly uncertain and cannot currently be predicted, including outbreaks of new variants and the availability and effectiveness of vaccines.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have been and may continue to be materially adversely affected by a range of factors related to the COVID-19 pandemic, including periodic changes in restrictions that vary from region to region in which we operate and may require rapid response to new or reinstated orders. Many of these orders resulted in, and, to the extent reinstated, may in the future result in changes to our on-site work policies and staffing and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effects from the COVID-19 pandemic on our revenue caused us to implement certain cost-savings measures across our business, which previously disrupted our business and operations. Any future cost-savings measures implemented by us due to macroeconomic issues, may affect our future business and operations and yield unintended consequences, such as loss of key employees, increased costs in hiring new employees, undesired attrition, and the risk that we may not achieve anticipated cost savings at the levels we expect, any of which may have a material adverse effect on our results of operations and/or financial condition.</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continue to monitor and assess the ongoing effects of the COVID-19 pandemic on our commercial operations, including the impact on our revenue. We cannot at this time accurately predict what effects these conditions will ultimately have on our operations or on the global economies and financial markets in which we operate, which may have a significant negative impact on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market, and pressure from existing and new companies may adversely affect our business and operating results.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 Furthermore, 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such as those described above. 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the material weakness described above and/or any future material weaknesses that may be identified,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 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 Failure to remedy the material weakness described above and/or any future material weaknesses that may be identified, or to implement or maintain other effective control systems required of public companies, could also restrict our future access to the capital markets.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results of operations to fluctuate on a quarterly and annual basis.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revenue and results of operations could vary significantly from period to period and may fail to match expectations as a result of a variety of factors, some of which are outside of our control, including the continued effects of the COVID-19 pandemic and other macroeconomic issues, such as increased interest rates. Our results may vary as a result of fluctuations in the number of dealers subscribing to our marketplaces, the size and seasonal variability of our advertisers’ marketing budgets, and the impact of vehicle arbitrations in a given period in connection with our IMCO product and the wholesale sale of automobiles.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covering analysts, which may adversely affect the trading price of our Class A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adverse changes in tax laws, regulations and interpretations, plus challenges to our tax positions.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recent U.S. Supreme Court and Massachusetts Supreme Court decisions, which could precipitate reactions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Russian invasion of Ukraine and the retaliatory measures imposed by the U.S., U.K., European Union and other countries and the responses of Russia to such measures have caused significant disruptions to domestic and foreign economies.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Russia and Ukraine conflict had an immediate impact on the global economy resulting in higher prices for oil and other commodities, including vehicle components. Economic sanctions and bans, together with Russia's own retaliatory measures have disrupted supply chains and economic markets. The global impact of these measures is continually evolving and the future impact cannot be predicted with certainty. In particular, the Russia and Ukraine conflict has further impacted the ability of certain manufacturers to produce new vehicles and new vehicle parts, which may result in continued disruptions to the supply of new and used vehicles. Further, there is no assurance that when the Russia and Ukraine conflict ends, countries will not continue to impose sanctions and bans.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While these events have not materially interrupted our operations, these or future developments resulting from the Russia and Ukraine conflict, such as a cyberattack on the U.S. or our suppliers, could disrupt our operations, our customers' operations, or the activity of consumers on our websites.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own any real property. Our principal executive offices are located in Cambridge, Massachusetts where we lease a total of approximately 185,064 square feet of space in various parcels in three buildings with lease terms through 2033. We also lease office space in Addison, Texas, Dublin, Ireland, and San Francisco, California for our CarOffer, European and Autolist operations, respectively. We sublease two of our leased office spaces for part of the remaining terms of the leases. Our U.S. Marketplace segment utilizes the offices in Cambridge Massachusetts and San Francisco, California. Our Digital Wholesale segment utilizes the office in Addison, Texas. The Other category of segment reporting utilizes the office in Dublin, Ireland. We believe that our current facilities are suitable and adequate to meet our current needs. We believe that suitable additional space or substitute space will be available in the future to accommodate our operations as needed. In 2019, we entered into a lease for office space at 1001 Boylston Street in Boston, Massachusetts, which we expect to occupy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Stock</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“CARG” since October 12, 2017. Prior to that date, there was no public trading market for our Class A common stock. Our initial public offering, or IPO, was priced at $16.00 per share on October 11, 2017.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28, 2023, the last reported sale price of our Class A common stock on the Nasdaq Global Select Market was $17.05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21, 2023, we had six record holders of our Class A common stock. The actual number of stockholders is greater than this number of record holders, and includes stockholders who are beneficial owners but whose shares are held in street name by brokers and other nominees. The number of record holders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to fund development and growth of our business, and we do not anticipate paying cash dividends in the foreseeable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and Exchange Commission for purposes of Section 18 of the Securities Exchange Act of 1934, as amended, or the Exchange Act, or otherwise be subject to the liabilities under that section, and shall not be deemed to be incorporated by reference into any filing of CarGurus, Inc. under the Exchange Act or the Securities Act of 1933, as amended.</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2017 through December 31, 2022 of the cumulative total return for our Class A common stock, the Nasdaq Composite Index and the S&amp;P 500 Index. On December 31, 2017, the last reported sale price of our Class A common stock on the Nasdaq Global Select Market was $29.98 per share. All values assume a $100 initial cash investment and data for the Nasdaq Composite Index and the S&amp;P 500 Index assume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125730</wp:posOffset>
            </wp:positionV>
            <wp:extent cx="5572125" cy="2477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212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CARG</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purchases of our equity securities for each of the months during the year ended December 31, 2022:</w:t>
      </w:r>
    </w:p>
    <w:p>
      <w:pPr>
        <w:spacing w:after="0" w:line="3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2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4"/>
              <w:spacing w:after="0" w:line="146"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22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7"/>
              <w:spacing w:after="0" w:line="146"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4"/>
              <w:spacing w:after="0" w:line="189" w:lineRule="exact"/>
              <w:rPr>
                <w:sz w:val="20"/>
                <w:szCs w:val="20"/>
                <w:color w:val="auto"/>
              </w:rPr>
            </w:pPr>
            <w:r>
              <w:rPr>
                <w:rFonts w:ascii="Times New Roman" w:cs="Times New Roman" w:eastAsia="Times New Roman" w:hAnsi="Times New Roman"/>
                <w:sz w:val="14"/>
                <w:szCs w:val="14"/>
                <w:b w:val="1"/>
                <w:bCs w:val="1"/>
                <w:color w:val="auto"/>
                <w:w w:val="95"/>
              </w:rPr>
              <w:t>Stock</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4"/>
              </w:rPr>
              <w:t>Programs</w:t>
            </w:r>
            <w:r>
              <w:rPr>
                <w:rFonts w:ascii="Times New Roman" w:cs="Times New Roman" w:eastAsia="Times New Roman" w:hAnsi="Times New Roman"/>
                <w:sz w:val="19"/>
                <w:szCs w:val="19"/>
                <w:b w:val="1"/>
                <w:bCs w:val="1"/>
                <w:color w:val="auto"/>
                <w:w w:val="94"/>
                <w:vertAlign w:val="superscript"/>
              </w:rPr>
              <w:t>(2)(3)</w:t>
            </w:r>
          </w:p>
        </w:tc>
        <w:tc>
          <w:tcPr>
            <w:tcW w:w="22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7"/>
              </w:rPr>
              <w:t>(in thousands)</w:t>
            </w:r>
            <w:r>
              <w:rPr>
                <w:rFonts w:ascii="Times New Roman" w:cs="Times New Roman" w:eastAsia="Times New Roman" w:hAnsi="Times New Roman"/>
                <w:sz w:val="19"/>
                <w:szCs w:val="19"/>
                <w:b w:val="1"/>
                <w:bCs w:val="1"/>
                <w:color w:val="auto"/>
                <w:w w:val="97"/>
                <w:vertAlign w:val="superscript"/>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December 1, 2022 through December 31, 2022</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1,350,473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1,350,473</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1,350,473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1,350,473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-179070</wp:posOffset>
            </wp:positionV>
            <wp:extent cx="685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-179070</wp:posOffset>
            </wp:positionV>
            <wp:extent cx="6032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5969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ind w:left="1020" w:hanging="499"/>
        <w:spacing w:after="0" w:line="187" w:lineRule="auto"/>
        <w:tabs>
          <w:tab w:leader="none" w:pos="1020" w:val="left"/>
        </w:tabs>
        <w:numPr>
          <w:ilvl w:val="0"/>
          <w:numId w:val="15"/>
        </w:numPr>
        <w:rPr>
          <w:rFonts w:ascii="Times New Roman" w:cs="Times New Roman" w:eastAsia="Times New Roman" w:hAnsi="Times New Roman"/>
          <w:sz w:val="16"/>
          <w:szCs w:val="16"/>
          <w:color w:val="auto"/>
          <w:vertAlign w:val="subscript"/>
        </w:rPr>
      </w:pPr>
      <w:r>
        <w:rPr>
          <w:rFonts w:ascii="Times New Roman" w:cs="Times New Roman" w:eastAsia="Times New Roman" w:hAnsi="Times New Roman"/>
          <w:sz w:val="9"/>
          <w:szCs w:val="9"/>
          <w:color w:val="auto"/>
        </w:rPr>
        <w:t>The weighted average price paid per share of common stock does not include cost of commissions.</w:t>
      </w:r>
    </w:p>
    <w:p>
      <w:pPr>
        <w:spacing w:after="0" w:line="88" w:lineRule="exact"/>
        <w:rPr>
          <w:rFonts w:ascii="Times New Roman" w:cs="Times New Roman" w:eastAsia="Times New Roman" w:hAnsi="Times New Roman"/>
          <w:sz w:val="16"/>
          <w:szCs w:val="16"/>
          <w:color w:val="auto"/>
          <w:vertAlign w:val="subscript"/>
        </w:rPr>
      </w:pPr>
    </w:p>
    <w:p>
      <w:pPr>
        <w:ind w:left="1020" w:hanging="499"/>
        <w:spacing w:after="0" w:line="264" w:lineRule="auto"/>
        <w:tabs>
          <w:tab w:leader="none" w:pos="1020" w:val="left"/>
        </w:tabs>
        <w:numPr>
          <w:ilvl w:val="0"/>
          <w:numId w:val="1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On December 8, 2022, we announced that our Board of Directors authorized the Share Repurchase Program, pursuant to which we may, from time to time, purchase shares of our Class A common stock for an aggregate purchase price not to exceed $250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Exchange Act. The Share Repurchase Program does not obligate us to repurchase any minimum dollar amount or number of shares. The Share Repurchase Program has an expiration date of December 31, 2023, and prior to its expiration may be modified, suspended, or discontinued by our Board of Directors at any time without prior notice. All repurchased shares will be retired. We expect to fund share repurchases through cash on hand and cash generated from operations.</w:t>
      </w:r>
    </w:p>
    <w:p>
      <w:pPr>
        <w:ind w:left="1020" w:hanging="499"/>
        <w:spacing w:after="0" w:line="187" w:lineRule="auto"/>
        <w:tabs>
          <w:tab w:leader="none" w:pos="1020" w:val="left"/>
        </w:tabs>
        <w:numPr>
          <w:ilvl w:val="0"/>
          <w:numId w:val="15"/>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The total number of shares of common stock purchased as part of our Share Repurchase Program was inclusive of shares purchased but not settled as of December 31,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report. Some of the information contained in this discussion and analysis or elsewhere in this Annual Report on Form 10-K, including information with respect to our plans and strategy for our business and our performance and future success, includes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and uncertainties. See “Special Note Regarding Forward-Looking Statements.” You should review the “Risk Factors” section of this Annual Report on Form 10-K for a discussion of important factors that could cause actual results to differ materially from the results described in or implied by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contained in the following discussion and analysis.</w:t>
      </w:r>
    </w:p>
    <w:p>
      <w:pPr>
        <w:spacing w:after="0" w:line="174" w:lineRule="exact"/>
        <w:rPr>
          <w:sz w:val="20"/>
          <w:szCs w:val="20"/>
          <w:color w:val="auto"/>
        </w:rPr>
      </w:pPr>
    </w:p>
    <w:p>
      <w:pPr>
        <w:jc w:val="both"/>
        <w:ind w:firstLine="509"/>
        <w:spacing w:after="0" w:line="228" w:lineRule="exact"/>
        <w:rPr>
          <w:sz w:val="20"/>
          <w:szCs w:val="20"/>
          <w:color w:val="auto"/>
        </w:rPr>
      </w:pPr>
      <w:r>
        <w:rPr>
          <w:rFonts w:ascii="Times New Roman" w:cs="Times New Roman" w:eastAsia="Times New Roman" w:hAnsi="Times New Roman"/>
          <w:sz w:val="18"/>
          <w:szCs w:val="18"/>
          <w:i w:val="1"/>
          <w:iCs w:val="1"/>
          <w:color w:val="auto"/>
        </w:rPr>
        <w:t>In this discussion, we use financial measures that are considered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GAAP financial measures under Securities and Exchange Commission rules. These rules regarding non-GAAP financial measures require supplemental explanation and reconciliation, which are included elsewhere in this Annual Report on Form 10-K. Investors should not consider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GAAP financial measures in isolation from or in substitution for, financial information presented in compliance with United States generally accepted accounting principles, or GAAP.</w:t>
      </w:r>
    </w:p>
    <w:p>
      <w:pPr>
        <w:spacing w:after="0" w:line="196"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i w:val="1"/>
          <w:iCs w:val="1"/>
          <w:color w:val="auto"/>
        </w:rPr>
        <w:t>This section of this Annual Report on Form 10-K discusses 2022 and 2021 items and year-to-year comparisons between 2022 and 2021. This section of this Annual Report on Form 10-K also discusses 2021 and 2020 segment revenue and segment operating income (loss) from operations and year-to-year comparisons between 2021 and 2020 segment revenue and segment operating income (loss) from operations. Discussions of all other 2020 items and year-to-year comparisons between 2021 and 2020 can be found in “Management’s Discussion and Analysis of Financial Condition and Results of Operations” in Part II, Item 7 of our Annual Report on Form 10-K for the fiscal year ended December 31, 2021. The period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period comparison of financial results is not necessarily indicative of future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CarGurus, Inc. is a multinational, online automotive platform for buying and selling vehicles that is building upon its industry-leading listings marketplace with both digital retail solutions and the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We use proprietary technology, search algorithms and data analytics to bring trust, transparency and competitive pricing to the automotive shopping experience.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Cambridge, Massachusetts and were incorporated in the State of Delaware on June 26, 2015.</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operate principally in the United States. In the United States, we also operate as independent brands the Autolist online marketplace, which we wholly own, and CarOffer digital wholesale marketplace, in which we hold a 51% equity interest. In addition to the United States, we operate online marketplaces under the CarGurus brand in Canada and the United Kingdom. In the United Kingdom, we also operate as an independent brand the PistonHeads online marketplace, which we wholly own.</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subsidiaries in the United States, Canada, Ireland, and the United Kingdom and, prior to the first quarter of 2022, we had two reportable segments – United States and International. Effective as of the first quarter of 2022, we revised our segment reporting from two reportable segments to one reportable segment. Effective as of the fourth quarter of 2022, we revised our segment reporting from one reportable segment to two reportable segments – U.S. Marketplace and Digital Wholesale. See Note 13 of the consolidated financial statements included elsewhere in this Annual Report on Form 10-K for further segment reporting and geographical information.</w:t>
      </w:r>
    </w:p>
    <w:p>
      <w:pPr>
        <w:spacing w:after="0" w:line="183" w:lineRule="exact"/>
        <w:rPr>
          <w:sz w:val="20"/>
          <w:szCs w:val="20"/>
          <w:color w:val="auto"/>
        </w:rPr>
      </w:pPr>
    </w:p>
    <w:p>
      <w:pPr>
        <w:jc w:val="both"/>
        <w:ind w:firstLine="509"/>
        <w:spacing w:after="0" w:line="218" w:lineRule="exact"/>
        <w:rPr>
          <w:sz w:val="20"/>
          <w:szCs w:val="20"/>
          <w:color w:val="auto"/>
        </w:rPr>
      </w:pPr>
      <w:r>
        <w:rPr>
          <w:rFonts w:ascii="Times New Roman" w:cs="Times New Roman" w:eastAsia="Times New Roman" w:hAnsi="Times New Roman"/>
          <w:sz w:val="18"/>
          <w:szCs w:val="18"/>
          <w:color w:val="auto"/>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Real-time Performance Marketing, or RPM, digital advertising suite, and Digital Retail, (ii)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and (iii) revenue from partnerships with financing services companies. We generate wholesale revenue primarily from (i) transaction fees earned from facilitating the purchase and sale of vehicles between dealers, or Dealer-to-Dealer transactions, (ii) transaction fees earned from sale of vehicles to dealers that we acquire at other marketplaces, and (iii) transaction fees earned from performing inspection and transportation services, inclusive of Dealer-to-Dealer transactions, other marketplace to dealer transactions, and IMCO transactions (as defined below). We generate product revenue primarily from (i) aggregate proceeds received from the sale of vehicles to dealers that were acquired directly from customers, or CarGurus Instant Max Cash Offer, or IMCO transactions, and (ii) proceeds received from the sale of vehicles that were acquired through arbitration.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we generated revenue of $1,655.0 million, a 74% increase from $951.4 million of revenue for the year ended December 31, 2021.</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generated consolidated net income of $79.0 million and Consolidated Adjusted EBITDA of $187.7 million, compared to consolidated net income of $110.4 million and Consolidated Adjusted EBITDA of $270.3 million for the year ended December 31, 2021.</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See “Consolidated Adjusted EBITDA, Adjusted EBITDA, and Adjusted EBITDA attributable to redeemable noncontrolling interest” below for more information regarding our use of Adjusted EBITDA, a non-GAAP financial measure, and a reconciliation of Adjusted EBITDA to our consolidated net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past three years, the COVID-19 pandemic and efforts to control its spread have resulted in significant disruptions to the global economy as well as businesses and capital markets around the world. The ultimate extent of the impact of the pandemic will depend on future developments that remain highly uncertain and cannot currently be predicted, including outbreaks of new variants and the availability and effectiveness of vaccines.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have been affected by a range of factors related to the COVID-19 pandemic, including periodic changes in restrictions that vary from region to region in which we operate and may require rapid response to new or reinstated orders. Many of these orders resulted in changes to our on-site work policies and staffing and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the market for automobile purchases. These effects from the COVID-19 pandemic on our revenue caused us to implement certain cost-savings measures across our business, which previously disrupted our business and operations.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continue to monitor and assess the ongoing effects of the COVID-19 pandemic on our commercial operations, including the impact on our revenue. See the “Risk Factors” section of this Annual Report on Form 10-K for further discussion of the impacts of the COVID-19 pandemic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geographic regions. The International region derives revenues from marketplace revenue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of our websites (excluding the CarOffer website),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Monthly Unique Users</w:t>
            </w:r>
          </w:p>
        </w:tc>
        <w:tc>
          <w:tcPr>
            <w:tcW w:w="120" w:type="dxa"/>
            <w:vAlign w:val="bottom"/>
            <w:vMerge w:val="restart"/>
          </w:tcPr>
          <w:p>
            <w:pPr>
              <w:spacing w:after="0"/>
              <w:rPr>
                <w:sz w:val="16"/>
                <w:szCs w:val="16"/>
                <w:color w:val="auto"/>
              </w:rPr>
            </w:pPr>
          </w:p>
        </w:tc>
        <w:tc>
          <w:tcPr>
            <w:tcW w:w="310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29,083</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35,728</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Sessions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define monthly sessions as the number of distinct visits to our websites (excluding the CarOffer website)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and (iii) Greenwich Mean Time for our U.K.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Monthly Sessions</w:t>
            </w:r>
          </w:p>
        </w:tc>
        <w:tc>
          <w:tcPr>
            <w:tcW w:w="140" w:type="dxa"/>
            <w:vAlign w:val="bottom"/>
            <w:vMerge w:val="restart"/>
          </w:tcPr>
          <w:p>
            <w:pPr>
              <w:spacing w:after="0"/>
              <w:rPr>
                <w:sz w:val="16"/>
                <w:szCs w:val="16"/>
                <w:color w:val="auto"/>
              </w:rPr>
            </w:pPr>
          </w:p>
        </w:tc>
        <w:tc>
          <w:tcPr>
            <w:tcW w:w="310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77,724</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15,219</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92,943</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Paying Dealers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Paying Dealers</w:t>
            </w: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300" w:type="dxa"/>
            <w:vAlign w:val="bottom"/>
            <w:tcBorders>
              <w:bottom w:val="single" w:sz="8" w:color="auto"/>
            </w:tcBorders>
            <w:vMerge w:val="continue"/>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gridSpan w:val="2"/>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31,307</w:t>
            </w:r>
          </w:p>
        </w:tc>
        <w:tc>
          <w:tcPr>
            <w:tcW w:w="26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define Transactions within the Digital Wholesale segment as the number of vehicles processed from car dealers, consumers, and other marketplaces through the CarOffer website within the applicable period. Transactions consists of each unique vehicle (based on vehicle identification number) that reaches "sold and invoiced" status on the CarOffer website within the applicable period, including vehicles sold to car dealers, vehicles sold at third-party auctions, vehicles ultimately sold to a different buyer, and vehicles that are returned to their owners without completion of a sale transaction. We exclude vehicles processed within CarOffer's intra-group trading solution (Group Trade) from the definition of Transactions, and we only count any unique vehicle once even if it reaches sold status multiple times. Digital Wholesale includes Dealer-to-Dealer Transactions and IMCO Transactions. We view Transactions as a key business metric, and we believe it provides useful information to investors, because it provides insight into growth and revenue for the Digital Wholesale segment. Transactions drive a significant portion of Digital Wholesale segment revenue. We believe growth in Transactions demonstrates consumer and dealer utilization and our market share penetration in the Digital Wholesale segment.</w:t>
      </w:r>
    </w:p>
    <w:p>
      <w:pPr>
        <w:spacing w:after="0" w:line="200" w:lineRule="exact"/>
        <w:rPr>
          <w:sz w:val="20"/>
          <w:szCs w:val="20"/>
          <w:color w:val="auto"/>
        </w:rPr>
      </w:pP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30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40" w:type="dxa"/>
            <w:vAlign w:val="bottom"/>
            <w:gridSpan w:val="2"/>
            <w:vMerge w:val="continue"/>
          </w:tcPr>
          <w:p>
            <w:pPr>
              <w:spacing w:after="0"/>
              <w:rPr>
                <w:sz w:val="14"/>
                <w:szCs w:val="14"/>
                <w:color w:val="auto"/>
              </w:rPr>
            </w:pPr>
          </w:p>
        </w:tc>
        <w:tc>
          <w:tcPr>
            <w:tcW w:w="14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12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190,594</w:t>
            </w:r>
          </w:p>
        </w:tc>
        <w:tc>
          <w:tcPr>
            <w:tcW w:w="22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Average Revenue per Subscribing Dealer (QARSD)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define QARSD, which is measured at the end of a fiscal quarter, as the marketplace revenue primarily from subscriptions to our Listings packages and RPM digital advertising suite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Quarterly Average Revenue per Subscribing Dealer (QARSD)</w:t>
            </w: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6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7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7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 Adjusted EBITDA, and Adjusted EBITDA attributable to redeemable noncontrolling interest</w:t>
      </w:r>
    </w:p>
    <w:p>
      <w:pPr>
        <w:spacing w:after="0" w:line="229"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presented within this Annual Report, Consolidated Adjusted EBITDA, Adjusted EBITDA, and Adjusted EBITDA attributable to redeemable noncontrolling interest, each of which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are not based on any standardized methodology prescribed by United States generally accepted accounting principles, or GAAP, and are not necessarily comparable to any similarly titled measures presented by other companies.</w:t>
      </w:r>
    </w:p>
    <w:p>
      <w:pPr>
        <w:spacing w:after="0" w:line="200" w:lineRule="exact"/>
        <w:rPr>
          <w:sz w:val="20"/>
          <w:szCs w:val="20"/>
          <w:color w:val="auto"/>
        </w:rPr>
      </w:pPr>
    </w:p>
    <w:p>
      <w:pPr>
        <w:jc w:val="both"/>
        <w:ind w:right="20" w:firstLine="509"/>
        <w:spacing w:after="0" w:line="235" w:lineRule="exact"/>
        <w:rPr>
          <w:sz w:val="20"/>
          <w:szCs w:val="20"/>
          <w:color w:val="auto"/>
        </w:rPr>
      </w:pPr>
      <w:r>
        <w:rPr>
          <w:rFonts w:ascii="Times New Roman" w:cs="Times New Roman" w:eastAsia="Times New Roman" w:hAnsi="Times New Roman"/>
          <w:sz w:val="18"/>
          <w:szCs w:val="18"/>
          <w:color w:val="auto"/>
        </w:rPr>
        <w:t>We define Consolidated Adjusted EBITDA as consolidated net income, adjusted to exclude: depreciation and amortization, impairment of long-lived assets,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acquisition-related expenses, other income, net, and provision for income taxes.</w:t>
      </w:r>
    </w:p>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define Adjusted EBITDA as Consolidated Adjusted EBITDA adjusted to exclude Adjusted EBITDA attributable to redeemable noncontrolling interest.</w:t>
      </w:r>
    </w:p>
    <w:p>
      <w:pPr>
        <w:spacing w:after="0" w:line="162"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We define Adjusted EBITDA attributable to redeemable noncontrolling interest as net (loss) income attributable to redeemable noncontrolling interest, adjusted to exclude: depreciation and amortization, impairment of long-lived assets,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other expense (income), net, and provision for income taxes. These exclusions are adjusted for redeemable noncontrolling interest of 38% by taking the noncontrolling interest's full financial results and multiplying each line item in the reconciliation by 38%. We note that we use 38%, versus 49%, to allocate the share of income (loss) because it represents the portion attributable to the redeemable noncontrolling interest. The 38% is exclusive of CO Incentive Units, Subject Units, and 2021 Incentive Units (as each term is defined in Note 2 to our consolidated financial statements appearing elsewhere in this Annual Report on Form 10-K) liability classified awards which do not participate in the share of income/(loss).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We have presented Consolidated Adjusted EBITDA and Adjusted EBITDA within this Annual Report,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Consolidated Adjusted EBITDA and Adjusted EBITDA can produce a useful measure for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our business. We have presented Adjusted EBITDA attributable to redeemable noncontrolling interest because it is used by our management to reconcile Consolidated Adjusted EBITDA to Adjusted EBITDA. It represents the portion of Consolidated Adjusted EBITDA that is attributable to our noncontrolling interest. Adjusted EBITDA attributable to redeemable noncontrolling interest is not intended to be reviewed on its own.</w:t>
      </w:r>
    </w:p>
    <w:p>
      <w:pPr>
        <w:spacing w:after="0" w:line="201"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We use Consolidated Adjusted EBITDA and Adjusted EBITDA to evaluate our operating performance and trends and make planning decisions. We believe Consolidated Adjusted EBITDA and Adjusted EBITDA help identify underlying trends in our business that could otherwise be masked by the effect of the expenses that we exclude. Accordingly, we believe that Consolidated Adjusted EBITDA and Adjusted EBITDA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We use Adjusted EBITDA attributable to redeemable noncontrolling interest to reconcile Consolidated Adjusted EBITDA to Adjusted EBITDA. It enables an investor to gain a clearer understanding of the portion of Consolidated Adjusted EBITDA that is attributable to our noncontrolling interest.</w:t>
      </w:r>
    </w:p>
    <w:p>
      <w:pPr>
        <w:spacing w:after="0" w:line="19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Consolidated Adjusted EBITDA, Adjusted EBITDA, and Adjusted EBITDA attributable to redeemable noncontrolling interest, are not prepared in accordance with GAAP, and should not be considered in isolation of, or as an alternative to, measures prepared in accordance with GAAP. There are a number of limitations related to the use of Consolidated Adjusted EBITDA, Adjusted EBITDA, and Adjusted EBITDA attributable to redeemable noncontrolling interest rather than consolidated net income and net (loss) income attributable to redeemable noncontrolling interest, respectively, which are the most directly comparable GAAP equivalents. Some of these limitations are:</w:t>
      </w:r>
    </w:p>
    <w:p>
      <w:pPr>
        <w:spacing w:after="0" w:line="183" w:lineRule="exact"/>
        <w:rPr>
          <w:sz w:val="20"/>
          <w:szCs w:val="20"/>
          <w:color w:val="auto"/>
        </w:rPr>
      </w:pPr>
    </w:p>
    <w:p>
      <w:pPr>
        <w:jc w:val="both"/>
        <w:ind w:left="900" w:hanging="383"/>
        <w:spacing w:after="0" w:line="222" w:lineRule="exact"/>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Adjusted EBITDA, and Adjusted EBITDA attributable to redeemable noncontrolling interest, exclude depreciation and amortization expense and, although these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expenses, the assets being depreciated may have to be replaced in the future;</w:t>
      </w:r>
    </w:p>
    <w:p>
      <w:pPr>
        <w:spacing w:after="0" w:line="199"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Adjusted EBITDA, and Adjusted EBITDA attributable to redeemable noncontrolling interest exclude impairment of long-lived assets and, although these are non-cash adjustments, the assets being impaired may have to be replaced in the future;</w:t>
      </w:r>
    </w:p>
    <w:p>
      <w:pPr>
        <w:spacing w:after="0" w:line="161" w:lineRule="exact"/>
        <w:rPr>
          <w:rFonts w:ascii="Times New Roman" w:cs="Times New Roman" w:eastAsia="Times New Roman" w:hAnsi="Times New Roman"/>
          <w:sz w:val="18"/>
          <w:szCs w:val="18"/>
          <w:color w:val="auto"/>
        </w:rPr>
      </w:pPr>
    </w:p>
    <w:p>
      <w:pPr>
        <w:jc w:val="both"/>
        <w:ind w:left="900" w:hanging="383"/>
        <w:spacing w:after="0" w:line="222" w:lineRule="exact"/>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Adjusted EBITDA, and Adjusted EBITDA attributable to redeemable noncontrolling interest, exclude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which will be, for the foreseeable future, a significant recurring expense for our business and an important part of our compensation strategy;</w:t>
      </w:r>
    </w:p>
    <w:p>
      <w:pPr>
        <w:spacing w:after="0" w:line="199"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and Adjusted EBITDA exclude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175"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Adjusted EBITDA, and Adjusted EBITDA attributable to redeemable noncontrolling interest exclude other (income) expense, net which consists primarily of interest income earned on our cash, cash equivalents and investments, foreign exchange gains and losses and interest expense;</w:t>
      </w:r>
    </w:p>
    <w:p>
      <w:pPr>
        <w:spacing w:after="0" w:line="175"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Adjusted EBITDA, and Adjusted EBITDA attributable to redeemable noncontrolling interest, exclude the provision for income taxes;</w:t>
      </w:r>
    </w:p>
    <w:p>
      <w:pPr>
        <w:spacing w:after="0" w:line="161"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Adjusted EBITDA attributable to redeemable noncontrolling interest, which is calculated as the net (loss) income attributable to redeemable noncontrolling interest, adjusted for all exclusions used to calculate Consolidated Adjusted EBITDA as described above; and</w:t>
      </w:r>
    </w:p>
    <w:p>
      <w:pPr>
        <w:spacing w:after="0" w:line="175"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Consolidated Adjusted EBITDA, Adjusted EBITDA, and Adjusted EBITDA attributable to redeemable noncontrolling interest differently, which reduces their usefulness as a comparative measure.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left="90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these limitations, we consider, and you should consider, Consolidated Adjusted EBITDA, Adjusted EBITDA, and Adjusted EBITDA attributable to redeemable noncontrolling interest together with other operating and financial performance measures presented in accordance with GAAP.</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following table presents a reconciliation of Consolidated Adjusted EBITDA and Adjusted EBITDA to consolidated net income, the most directly comparable measure calculated in accordance with GAAP for each of the periods presented.</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1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Consolidated Adjusted EBITDA and Adjusted EBITDA:</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78,954</w:t>
            </w:r>
          </w:p>
        </w:tc>
        <w:tc>
          <w:tcPr>
            <w:tcW w:w="2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110,373</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45,334</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40,476</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77,710</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00" w:type="dxa"/>
            <w:vAlign w:val="bottom"/>
          </w:tcPr>
          <w:p>
            <w:pPr>
              <w:spacing w:after="0"/>
              <w:rPr>
                <w:sz w:val="20"/>
                <w:szCs w:val="20"/>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(2,884 )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(1,092 )</w:t>
            </w:r>
          </w:p>
        </w:tc>
      </w:tr>
      <w:tr>
        <w:trPr>
          <w:trHeight w:val="23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187,659</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270,291</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attributable to redeemable noncontrolling interest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100" w:type="dxa"/>
            <w:vAlign w:val="bottom"/>
          </w:tcPr>
          <w:p>
            <w:pPr>
              <w:spacing w:after="0"/>
              <w:rPr>
                <w:sz w:val="20"/>
                <w:szCs w:val="20"/>
                <w:color w:val="auto"/>
              </w:rPr>
            </w:pPr>
          </w:p>
        </w:tc>
      </w:tr>
      <w:tr>
        <w:trPr>
          <w:trHeight w:val="281"/>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186,653</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the following table presents a reconciliation of Adjusted EBITDA attributable to redeemable noncontrolling interest to net (loss) income attributable to redeemable noncontrolling interest, the most directly comparable measure calculated in accordance with GAAP, for each of the periods presented.</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attributable to redeemable noncontrolling interest:</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attributable to redeemable noncontrolling interest</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94"/>
              </w:rPr>
              <w:t>(5,433 )</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7180" w:type="dxa"/>
            <w:vAlign w:val="bottom"/>
            <w:gridSpan w:val="2"/>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11,702</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8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Impairment of long-lived assets </w:t>
            </w:r>
            <w:r>
              <w:rPr>
                <w:rFonts w:ascii="Times New Roman" w:cs="Times New Roman" w:eastAsia="Times New Roman" w:hAnsi="Times New Roman"/>
                <w:sz w:val="24"/>
                <w:szCs w:val="24"/>
                <w:color w:val="auto"/>
                <w:vertAlign w:val="superscript"/>
              </w:rPr>
              <w:t>(1)</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8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w w:val="94"/>
              </w:rPr>
              <w:t>(7,312 )</w:t>
            </w: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8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4"/>
                <w:szCs w:val="24"/>
                <w:color w:val="auto"/>
                <w:vertAlign w:val="superscript"/>
              </w:rPr>
              <w:t>(1)</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18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(Benefit from) provision for income taxes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(21 )</w:t>
            </w: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1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 attributable to redeemable noncontrolling interest</w:t>
            </w: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2"/>
                <w:szCs w:val="12"/>
                <w:color w:val="auto"/>
                <w:w w:val="85"/>
              </w:rPr>
              <w:t>(1)</w:t>
            </w:r>
          </w:p>
        </w:tc>
        <w:tc>
          <w:tcPr>
            <w:tcW w:w="69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auto"/>
              </w:rPr>
              <w:t>These exclusions are adjusted to reflect the noncontrolling interest of 38%.</w:t>
            </w: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gridSpan w:val="2"/>
            <w:vMerge w:val="continue"/>
          </w:tcPr>
          <w:p>
            <w:pPr>
              <w:spacing w:after="0"/>
              <w:rPr>
                <w:sz w:val="13"/>
                <w:szCs w:val="13"/>
                <w:color w:val="auto"/>
              </w:rPr>
            </w:pPr>
          </w:p>
        </w:tc>
        <w:tc>
          <w:tcPr>
            <w:tcW w:w="69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-297180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-297180</wp:posOffset>
            </wp:positionV>
            <wp:extent cx="6032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Consolidated Income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RPM, digital advertising suite, and Digital Retail, (ii)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and (iii) revenue from partnerships with financing services companies. We generate wholesale revenue primarily from (i) transaction fees earned from Dealer-to-Dealer transactions, (ii) transaction fees earned from sale of vehicles to dealers that we acquire at other marketplaces, and (iii) transaction fees earned from performing inspection and transportation services, inclusive of Dealer-to-Dealer transactions, other marketplace to dealer transactions, and IMCO transactions. We generate product revenue primarily from</w:t>
      </w:r>
    </w:p>
    <w:p>
      <w:pPr>
        <w:spacing w:after="0" w:line="3" w:lineRule="exact"/>
        <w:rPr>
          <w:sz w:val="20"/>
          <w:szCs w:val="20"/>
          <w:color w:val="auto"/>
        </w:rPr>
      </w:pPr>
    </w:p>
    <w:p>
      <w:pPr>
        <w:ind w:firstLine="8"/>
        <w:spacing w:after="0" w:line="260"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proceeds received from the sale of vehicles that were acquired through IMCO transactions, and (ii) proceeds received from the sale of vehicles that were acquired through arbitration.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Marketplace Revenue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return on investment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IMV Scan tool.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offer paid Listings packages for the Autolist and PistonHeads websites.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offer dealer advertising products for the PistonHeads website.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Area Boost/Geo Expansion, which expands the visibility of a dealer’s inventory in the search results beyond its local market, and (iii) Hard Pull Financing, which provides loan information.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Marketplace revenue also consists of non-dealer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or CPC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offer non-dealer advertising products for the Autolist and PistonHeads websites.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Revenue</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Buying Matrix on the CarOffer platform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Wholesale revenue also includes fees earned from performing inspection and transportation services, where we collect fees from the buying dealer. Inspection and transportation service revenue is inclusive of Dealer-to-Dealer transactions, other marketplace to dealer transactions, and IMCO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6" w:name="page47"/>
    <w:bookmarkEnd w:id="46"/>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Wholesale revenue also includes arbitration in which the vehicle is rematched to a new buyer and not acquired by us. Arbitration is the process by which we investigate and resolve claims from buying dealers.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Wholesale revenue also includes fees earned from certain guarantees offered to dealers (which include 45-Day Guarantee and OfferGuard products), where we collect fees from the buying dealer or selling dealer,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Buying Matrix on the CarOffer platform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and transaction fees collected from buying dealers. Arbitration is the process by which we investigate and resolve claims from buying dealers. We control the vehicle in these transactions and therefore act as the principal.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Cost of Revenue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center and networking expenses; amortization of developed technology; amortization of capitalized website development; amortization of hosting arrangements;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Cost of Revenue</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Wholesale cost of revenue includes expenses related to supporting and hosting wholesale service offerings, including Dealer-to-Dealer transactions and vehicles sold to dealers acquired at other marketplaces, on the Buying Matrix on the CarOffer platform.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Cost of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cost of revenue includes expenses related to vehicles sold to dealers through IMCO transactions and vehicles sold to dealers acquired through arbitration. These costs include the cost of the vehicle and transportation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as we respond to changes in the macroeconomic and competitive landscapes affecting our existing dealers, consumer audience and brand awareness, which will impact our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Product, Technology, and Development</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Product, technology, and development expenses, consist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expenses to increase as we invest in additional engineering resourcing to develop new solutions and make improvements to our existing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expenses are expensed as incurred. We expect general and administrative expenses to increase as we continue to scale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depreciation on property and equipment and amortization of intangible assets and internal-use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earned on our cash, cash equivalents and investments, foreign exchange gains and losses and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For the years ended December 31, 2022 and 2021, a provision for income taxes was recognized as a result of the consolidated taxable income position.</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recognize deferred tax assets and liabilities based on temporary differences between the financial reporting and income tax bases of assets and liabilities using enacted tax rates in effect for the year in which the temporary differences are expected to be recovered or settled.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regularly assess the need to recognize a valuation allowance against net deferred tax assets if, based upon the available evidence, it is more likely than not that some or all of the deferred tax assets will not be realized. As of December 31, 2022 and 2021, valuation allowances were immaterial.</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assess our income tax positions and recognize an income tax benefit or expense based upon our evaluation of the facts, circumstances, and information available at the reporting date. For the year ended December 31, 2022, income tax expense and liability related to uncertain tax positions, exclusive of immaterial interest or penalties related to uncertain tax provisions, was $0.6 million, which would favorably affect our effective tax rate, if recognized. For the year ended December 31, 2021, no income tax expense and liability related to uncertain tax positions was recognized.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2022 and 2021, our consolidated income statements are as follows: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Marketplace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658,771</w:t>
            </w:r>
          </w:p>
        </w:tc>
        <w:tc>
          <w:tcPr>
            <w:tcW w:w="26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636,942</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237,635</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195,127</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758,629</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119,304</w:t>
            </w:r>
          </w:p>
        </w:tc>
        <w:tc>
          <w:tcPr>
            <w:tcW w:w="100" w:type="dxa"/>
            <w:vAlign w:val="bottom"/>
          </w:tcPr>
          <w:p>
            <w:pPr>
              <w:spacing w:after="0"/>
              <w:rPr>
                <w:sz w:val="20"/>
                <w:szCs w:val="20"/>
                <w:color w:val="auto"/>
              </w:rPr>
            </w:pPr>
          </w:p>
        </w:tc>
      </w:tr>
      <w:tr>
        <w:trPr>
          <w:trHeight w:val="241"/>
        </w:trPr>
        <w:tc>
          <w:tcPr>
            <w:tcW w:w="6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1,655,035</w:t>
            </w: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Marketplace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56,040</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47,689</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176,446</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127,679</w:t>
            </w:r>
          </w:p>
        </w:tc>
        <w:tc>
          <w:tcPr>
            <w:tcW w:w="100" w:type="dxa"/>
            <w:vAlign w:val="bottom"/>
          </w:tcPr>
          <w:p>
            <w:pPr>
              <w:spacing w:after="0"/>
              <w:rPr>
                <w:sz w:val="20"/>
                <w:szCs w:val="20"/>
                <w:color w:val="auto"/>
              </w:rPr>
            </w:pPr>
          </w:p>
        </w:tc>
      </w:tr>
      <w:tr>
        <w:trPr>
          <w:trHeight w:val="243"/>
        </w:trPr>
        <w:tc>
          <w:tcPr>
            <w:tcW w:w="6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764,996</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997,482</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294,015</w:t>
            </w:r>
          </w:p>
        </w:tc>
        <w:tc>
          <w:tcPr>
            <w:tcW w:w="100" w:type="dxa"/>
            <w:vAlign w:val="bottom"/>
          </w:tcPr>
          <w:p>
            <w:pPr>
              <w:spacing w:after="0"/>
              <w:rPr>
                <w:sz w:val="20"/>
                <w:szCs w:val="20"/>
                <w:color w:val="auto"/>
              </w:rPr>
            </w:pPr>
          </w:p>
        </w:tc>
      </w:tr>
      <w:tr>
        <w:trPr>
          <w:trHeight w:val="24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657,553</w:t>
            </w: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657,358</w:t>
            </w: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336,708</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290,574</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106,423</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73,117</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97,678</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100" w:type="dxa"/>
            <w:vAlign w:val="bottom"/>
          </w:tcPr>
          <w:p>
            <w:pPr>
              <w:spacing w:after="0"/>
              <w:rPr>
                <w:sz w:val="20"/>
                <w:szCs w:val="20"/>
                <w:color w:val="auto"/>
              </w:rPr>
            </w:pPr>
          </w:p>
        </w:tc>
      </w:tr>
      <w:tr>
        <w:trPr>
          <w:trHeight w:val="237"/>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549,075</w:t>
            </w: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148,268</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r>
      <w:tr>
        <w:trPr>
          <w:trHeight w:val="243"/>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(961 )</w:t>
            </w: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FF0FC"/>
          </w:tcPr>
          <w:p>
            <w:pPr>
              <w:spacing w:after="0"/>
              <w:rPr>
                <w:sz w:val="21"/>
                <w:szCs w:val="21"/>
                <w:color w:val="auto"/>
              </w:rPr>
            </w:pPr>
          </w:p>
        </w:tc>
      </w:tr>
      <w:tr>
        <w:trPr>
          <w:trHeight w:val="237"/>
        </w:trPr>
        <w:tc>
          <w:tcPr>
            <w:tcW w:w="688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6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top w:val="single" w:sz="8" w:color="CFF0FC"/>
            </w:tcBorders>
          </w:tcPr>
          <w:p>
            <w:pPr>
              <w:spacing w:after="0"/>
              <w:rPr>
                <w:sz w:val="20"/>
                <w:szCs w:val="20"/>
                <w:color w:val="auto"/>
              </w:rPr>
            </w:pPr>
          </w:p>
        </w:tc>
      </w:tr>
      <w:tr>
        <w:trPr>
          <w:trHeight w:val="24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111,362</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149,360</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100" w:type="dxa"/>
            <w:vAlign w:val="bottom"/>
          </w:tcPr>
          <w:p>
            <w:pPr>
              <w:spacing w:after="0"/>
              <w:rPr>
                <w:sz w:val="20"/>
                <w:szCs w:val="20"/>
                <w:color w:val="auto"/>
              </w:rPr>
            </w:pPr>
          </w:p>
        </w:tc>
      </w:tr>
      <w:tr>
        <w:trPr>
          <w:trHeight w:val="24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78,954</w:t>
            </w: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110,373</w:t>
            </w: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redeemable noncontrolling interest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(5,433 )</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0"/>
                <w:szCs w:val="20"/>
                <w:color w:val="auto"/>
              </w:rPr>
            </w:pPr>
          </w:p>
        </w:tc>
      </w:tr>
      <w:tr>
        <w:trPr>
          <w:trHeight w:val="27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CarGurus, Inc.</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84,387</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-2862580</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-2862580</wp:posOffset>
            </wp:positionV>
            <wp:extent cx="6032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-1602740</wp:posOffset>
            </wp:positionV>
            <wp:extent cx="685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-1602740</wp:posOffset>
            </wp:positionV>
            <wp:extent cx="6032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-976630</wp:posOffset>
            </wp:positionV>
            <wp:extent cx="6858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2022 and 2021, our segment revenue and our segment income (loss) from operations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2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3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614,136</w:t>
            </w:r>
          </w:p>
        </w:tc>
        <w:tc>
          <w:tcPr>
            <w:tcW w:w="26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996,264</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314,431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4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1,655,035</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 (loss) from Operations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32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125,796</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(9,174 )</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(8,144 )</w:t>
            </w:r>
          </w:p>
        </w:tc>
        <w:tc>
          <w:tcPr>
            <w:tcW w:w="5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(10,264 )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26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148,268</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8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-1327785</wp:posOffset>
            </wp:positionV>
            <wp:extent cx="113157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31570" cy="1797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-685165</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our consolidated income statements as a percentage of total revenue are as follows (amounts in the table may not sum due to rounding):</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27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8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Marketplace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40 %</w:t>
            </w:r>
          </w:p>
        </w:tc>
        <w:tc>
          <w:tcPr>
            <w:tcW w:w="10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47"/>
        </w:trPr>
        <w:tc>
          <w:tcPr>
            <w:tcW w:w="7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Marketplace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0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68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attributable to redeemable noncontrolling interest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CarGurus, Inc.</w:t>
            </w:r>
          </w:p>
        </w:tc>
        <w:tc>
          <w:tcPr>
            <w:tcW w:w="104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5641340</wp:posOffset>
            </wp:positionH>
            <wp:positionV relativeFrom="paragraph">
              <wp:posOffset>-4409440</wp:posOffset>
            </wp:positionV>
            <wp:extent cx="114871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48715"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-2870835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-2870835</wp:posOffset>
            </wp:positionV>
            <wp:extent cx="6032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-1610995</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-1610995</wp:posOffset>
            </wp:positionV>
            <wp:extent cx="6032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-984885</wp:posOffset>
            </wp:positionV>
            <wp:extent cx="6858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-350520</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our segment revenue as a percentage of total revenue and our segment income (loss) from operations as a percentage of segment revenue are as follows (amounts in the table may not sum due to rounding):</w:t>
      </w:r>
    </w:p>
    <w:p>
      <w:pPr>
        <w:spacing w:after="0" w:line="16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10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Income (loss) from Operations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color w:val="auto"/>
                <w:highlight w:val="white"/>
              </w:rPr>
              <w:t>%</w:t>
            </w:r>
          </w:p>
        </w:tc>
        <w:tc>
          <w:tcPr>
            <w:tcW w:w="2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4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-1482090</wp:posOffset>
            </wp:positionV>
            <wp:extent cx="6412230" cy="488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4889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Source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Marketplace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658,771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636,942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237,635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195,127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42,508</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758,629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639,325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1,655,035</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703,662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Marketplace</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color w:val="auto"/>
                <w:highlight w:val="white"/>
              </w:rPr>
              <w:t>%</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-985520</wp:posOffset>
            </wp:positionV>
            <wp:extent cx="6412230" cy="3346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33464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Overall revenue increased $703.7 million, or 74%, in the year ended December 31, 2022 compared to the year ended December 31, 2021.</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Marketplace revenue increased $21.8 million, or 3%, in the year ended December 31, 2022 compared to the year ended December 31, 2021 and represented 40% of total revenue for the year ended December 31, 2022 and 67% of total revenue for the year ended December 31, 2021. The increase was due primarily to a $30.9 million increase in Listings revenue, as a result of a 4% growth in our QARSD for paying dealers to $4,921 for the three months ended December 31, 2022 from $4,731 for the three months ended December 31, 2021. The increase in QARSD was due primarily to signing on new dealers with higher average monthly recurring revenue and revenue expansion through product upgrades for existing dealers. The increase in marketplace revenue was offset in part by a $9.3 million decrease in advertising revenue as a result of economic conditions and lower spend by our advertisers.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Wholesale revenue increased $42.5 million, or 22%, in the year ended December 31, 2022 compared to the year ended December 31, 2021 and represented 14% of total revenue for the year ended December 31, 2022 and 21% of total revenue for the year ended December 31, 2021. The increase was due primarily to a 21% increase in Transactions to 190,594 for the year ended December 31, 2022 from 157,062 for the year ended December 31, 2021 The increase in Transactions resulted in an increase in transaction fee revenue as well as an increase in transportation revenue, inspection revenue, and guarantee revenue. Fee increases also contributed to the increase in transportation revenue.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Product revenue increased $639.3 million, or 536%, in the year ended December 31, 2022 compared to the year ended December 31, 2021 and represented 46% of the total revenue for the year ended December 31, 2022 and 13% of total revenue for the year ended December 31, 2021. The increase was due primarily to a $546.4 million increase in proceeds received from the sale of vehicles through IMCO transactions, including vehicle sale price and transaction fees, as a result of the IMCO offering becoming available to approximately 93% of the U.S. population. The increase in product revenue was also due in part to a $92.9 million increase in proceeds received from the sale of vehicles acquired through arbitration, including vehicle sale price and transaction fees, as a result of increased arbitration claims due primarily to increased volume.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Segment Revenue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614,136</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594,602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996,264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314,431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681,833</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1,655,035</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703,662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-985520</wp:posOffset>
            </wp:positionV>
            <wp:extent cx="6412230" cy="3340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2230" cy="33401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U.S. Marketplace segment revenue increased $19.5 million, or 3%, in the year ended December 31, 2022 compared to the year ended December 31, 2021 and represented 37% of total revenue for the year ended December 31, 2022 and 62% of total revenue for the year ended December 31, 2021. This increase was due primarily to a $28.6 million increase in Listings revenue, as a result of a 4% growth in our U.S. QARSD for paying dealers to $5,842 at December 31, 2022 from $5,633 at December 31, 2021. The increase in U.S. QARSD was due primarily to signing on new dealers with higher average monthly recurring revenue and revenue expansion through product upgrades for existing dealers. The increase in U.S. Marketplace segment revenue was offset in part by a $9.7 million decrease in advertising revenue as a result of economic conditions and lower spend by our advertisers.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Digital Wholesale segment revenue, which is comprised of wholesale revenue and product revenue, increased $681.8 million, or 217%, in the year ended December 31, 2022 compared to the year ended December 31, 2021 and represented 60% of total revenue for the year ended December 31, 2022 and 33% of total revenue for the year ended December 31, 2021. Wholesale revenue increased $42.5 million in the year ended December 31, 2022, compared to the year ended December 31, 2021. The increase in wholesale revenue was due primarily to a 21% increase in Transactions to 190,594 for the year ended December 31, 2022 from 157,062 for the year ended December 31, 2021. The increase in Transactions resulted in an increase in transaction fee revenue as well as an increase in transportation revenue, inspection revenue, and guarantee revenue. Fee increases also contributed to the increase in transportation revenue. Product revenue increased $639.3 million in the year ended December 31, 2022 compared to the year ended December 31, 2021. The increase in product revenue was due primarily to a $546.4 million increase in proceeds received from the sale of vehicles through IMCO transactions, including vehicle sale price and transaction fees, as a result of the IMCO offering becoming available to approximately 93% of the U.S. population. The increase in product revenue was also due in part to a $92.9 million increase in proceeds received from the sale of vehicles acquired through arbitration, including vehicle sale price and transaction fees, as a result of increased arbitration claims due primarily to increased volume.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0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Marketplace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56,040</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47,689</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176,446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48,767</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764,996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646,349</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997,482</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294,015</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703,467</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Marketplace</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60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-985520</wp:posOffset>
            </wp:positionV>
            <wp:extent cx="6412230" cy="3346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2230" cy="334645"/>
                    </a:xfrm>
                    <a:prstGeom prst="rect">
                      <a:avLst/>
                    </a:prstGeom>
                    <a:noFill/>
                  </pic:spPr>
                </pic:pic>
              </a:graphicData>
            </a:graphic>
          </wp:anchor>
        </w:drawing>
      </w:r>
    </w:p>
    <w:p>
      <w:pPr>
        <w:spacing w:after="0" w:line="1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Overall cost of revenue increased $703.5 million, or 239%, in the year ended December 31, 2022 compared to the year ended December 31,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2" w:name="page53"/>
    <w:bookmarkEnd w:id="52"/>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Marketplace cost of revenue increased $8.4 million, or 18%, in the year ended December 31, 2022 compared to the year ended December 31, 2021 and represented 3% of total revenue for the year ended December 31, 2022 and 5% of total revenue for the year ended December 31, 2021. The increase was due primarily to a $4.6 million increase in fees related to provisioning advertising campaigns on our websites from changing to more effective but slightly higher cost service providers and a $3.4 million increase in data and hosting costs.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Wholesale cost of revenue increased $48.8 million, or 38%, in the year ended December 31, 2022 compared to the year ended December 31, 2021 and represented 11% of total revenue for the year ended December 31, 2022 and 13% of total revenue for the year ended December 31, 2021. The increase was due primarily to an increase in Dealer-to-Dealer transactions which resulted an increase in transportation expenses, inspection expenses, third-party service provider expenses, and guarantee expenses. Cost increases also contributed to the increase in transportation expenses. The increase in wholesale cost of revenue was also driven by an increase in amortization of capitalized website development.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Product cost of revenue increased $646.3 million, or 545%, in the year ended December 31, 2022 compared to the year ended December 31, 2021 and represented 46% of the total revenue for the year ended December 31, 2022 and 12% of total revenue for the year ended December 31, 2021. The increase was due primarily to a $535.5 million increase in expenses related to vehicles sold to dealers through IMCO transactions as a result of an increase in IMCO transactions. The increase in IMCO transactions was due primarily to the offering becoming available to approximately 93% of the U.S. population. The increase in product cost of revenue was also due in part to a $110.8 million increase in expenses related to vehicles sold to dealers acquired through arbitration as a result of increased arbitration claims due primarily to increased volume.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20" w:type="dxa"/>
            <w:vAlign w:val="bottom"/>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336,708</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290,574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260" w:type="dxa"/>
            <w:vAlign w:val="bottom"/>
          </w:tcPr>
          <w:p>
            <w:pPr>
              <w:spacing w:after="0"/>
              <w:rPr>
                <w:sz w:val="20"/>
                <w:szCs w:val="20"/>
                <w:color w:val="auto"/>
              </w:rPr>
            </w:pP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Sales and marketing expenses increased $46.1 million, or 16%, in the year ended December 31, 2022 compared to the year ended December 31, 2021. The increase was due primarily to a $38.8 million increase in marketing expenses, primarily related to the marketing of IMCO in the first three quarters of 2022, search engine performance marketing as part of our efforts to increase site traffic due to a result of increased dealer inventory compared to the year ended December 31, 2021, and creative expenses for future marketing campaigns. The increase was also due in part to a $19.8 million increase in salaries and employee-related expense, exclusive of stock-based compensation expense and commissions expenses, which decreased $5.1 million and $2.1 million, respectively. The increase in salaries and employee-related expense was due primarily to a 21% increase in headcount. The decrease in stock-based compensation was due primarily to the revaluation of liability-based stock awards. The decrease in commissions expense was due primarily to higher capitalization on commissions as a result of compensation plan changes, net of sales growth. The increase in sales and marketing expenses was also due in part to a $1.7 million increase in software subscription expenses, inclusive of amortization of hosting arrangements, a $1.2 million increase in allocated insurance and legal expenses, a $1.1 million increase in travel expenses, and a $0.8 million increase in employee expenses associated with the return to office. The increase in sales and marketing expense was offset in part by a $10.8 million decrease in brand awareness advertising costs due to decreased spend as a result of a change in advertising strategy toward the end of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Technology, and Development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69"/>
        </w:trPr>
        <w:tc>
          <w:tcPr>
            <w:tcW w:w="4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4"/>
                <w:szCs w:val="14"/>
                <w:color w:val="auto"/>
              </w:rPr>
            </w:pPr>
          </w:p>
        </w:tc>
      </w:tr>
      <w:tr>
        <w:trPr>
          <w:trHeight w:val="169"/>
        </w:trPr>
        <w:tc>
          <w:tcPr>
            <w:tcW w:w="4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20" w:type="dxa"/>
            <w:vAlign w:val="bottom"/>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4"/>
        </w:trPr>
        <w:tc>
          <w:tcPr>
            <w:tcW w:w="4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123,768</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4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662"/>
        </w:trPr>
        <w:tc>
          <w:tcPr>
            <w:tcW w:w="444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Product, technology, and development expenses increased $17.3 million, or 16%, in the year ended December 31, 2022 compared to the year ended December 31, 2021. The increase was due primarily to a $20.4 million increase in salaries and employee-related expenses, exclusive of stock-based compensation, which decreased $2.7 million. The increase in salaries and employee-related expenses was due primarily to a 16% increase in headcount. The decrease in stock-based compensation was due primarily to the revaluation of liability-based stock awards. The increase in product, technology, and development expenses was also due in part to a $3.7 million increase in consulting expenses, a $1.6 million increase in software subscription expenses, a $0.6 million increase in employee expenses associated with the return to office and a $0.5 million increase in travel expenses. The increase in product, technology, and development expenses was offset in part by a $7.9 million decrease resulting from increased capitalized projects and a prior year impairment of website development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3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73,117</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97,678</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(24,561 )</w:t>
            </w:r>
          </w:p>
        </w:tc>
        <w:tc>
          <w:tcPr>
            <w:tcW w:w="3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decreased $24.6 million, or 25%, in the year ended December 31, 2022 compared to the year ended December 31, 2021. The decrease was due primarily to a $37.0 million decrease in stock-based compensation. The decrease in stock-based compensation was due to the revaluation of liability-based stock awards. The decrease in general and administrative expenses was offset in part by a $6.0 million increase in salaries and employee-related expenses, exclusive of stock-based compensation. The increase in salaries and employee-related expenses was due primarily to a 23% increase in headcount. The decrease was also offset in part by a $2.2 million increase in audit, tax, legal and consulting expenses, a $1.1 million increase in software subscription expenses, a $0.8 million increase in indirect tax expenses, a $0.6 million increase in bad debt expense, and a $0.5 million increase in payment processing and billing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20" w:type="dxa"/>
            <w:vAlign w:val="bottom"/>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$1.1 million, or 7%, in the year ended December 31, 2022 compared to the year ended December 31, 2021. The increase was due primarily to internal-use software projects that went into service during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20" w:type="dxa"/>
            <w:vAlign w:val="bottom"/>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3104 %</w:t>
            </w: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(961 )</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(1,933 )</w:t>
            </w:r>
          </w:p>
        </w:tc>
        <w:tc>
          <w:tcPr>
            <w:tcW w:w="3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(199 )</w:t>
            </w:r>
          </w:p>
        </w:tc>
        <w:tc>
          <w:tcPr>
            <w:tcW w:w="60" w:type="dxa"/>
            <w:vAlign w:val="bottom"/>
          </w:tcPr>
          <w:p>
            <w:pPr>
              <w:spacing w:after="0"/>
              <w:rPr>
                <w:sz w:val="21"/>
                <w:szCs w:val="2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color w:val="auto"/>
                <w:highlight w:val="white"/>
              </w:rPr>
              <w:t>%</w:t>
            </w: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8"/>
                <w:szCs w:val="18"/>
                <w:color w:val="auto"/>
                <w:highlight w:val="white"/>
              </w:rPr>
              <w:t>%</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-839470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-839470</wp:posOffset>
            </wp:positionV>
            <wp:extent cx="6032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-839470</wp:posOffset>
            </wp:positionV>
            <wp:extent cx="603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increased $1.8 million, or 164%, in the year ended December 31, 2022 compared to the year ended December 31, 2021. The $3.7 million increase in interest income was due primarily to the investment in new money market accounts as a result of interest rate increases during the year ended December 31, 2022. The $1.9 million decrease in other (expense) income was due primarily to $1.5 million increase in realized and unrealized loss associated with the strengthening of the dollar against certain foreign currencies.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3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(6,579 )</w:t>
            </w:r>
          </w:p>
        </w:tc>
        <w:tc>
          <w:tcPr>
            <w:tcW w:w="3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Provision for income taxes decreased $6.6 million, or 17% in year ended December 31, 2022 compared to the year ended December 31, 2021. The decrease in provision for income taxes recognized during the year ended December 31, 2021 was due primarily to decreased profitability. This was offset by a $1.5 million tax expense related to excess stock-based compensation deductions recognized during 2022, compared to $0.4 million tax expense recognized during 2021. Furthermore, a $3.9 million tax expense was recognized during 2022 in connection with the Section 162(m) excess officer compensation limitation, compared to $2.0 million tax expense recognized during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 (loss) from Operations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3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0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 (loss) from Operations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125,796</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151,343</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(25,547 )</w:t>
            </w:r>
          </w:p>
        </w:tc>
        <w:tc>
          <w:tcPr>
            <w:tcW w:w="3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(9,174 )</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(16,363 )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(8,144 )</w:t>
            </w:r>
          </w:p>
        </w:tc>
        <w:tc>
          <w:tcPr>
            <w:tcW w:w="260" w:type="dxa"/>
            <w:vAlign w:val="bottom"/>
          </w:tcPr>
          <w:p>
            <w:pPr>
              <w:spacing w:after="0"/>
              <w:rPr>
                <w:sz w:val="20"/>
                <w:szCs w:val="20"/>
                <w:color w:val="auto"/>
              </w:rPr>
            </w:pP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(10,264 )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148,268</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segment revenue:</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color w:val="auto"/>
                <w:highlight w:val="white"/>
              </w:rPr>
              <w:t>%</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-984885</wp:posOffset>
            </wp:positionV>
            <wp:extent cx="6412230" cy="3346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12230" cy="33464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U.S. Marketplace segment income from operations decreased $25.5 million, or 17%, in the year ended December 31, 2022 compared to the year ended December 31, 2021 and represented 20% of U.S. Marketplace segment revenue for the year ended December 31, 2022 and 25% of U.S. Marketplace segment revenue for the year ended December 31, 2021. The decrease was due to increases in revenue of $19.5 million, offset by increases in cost of revenue of $10.1 million and increases in operating expenses of $34.9 million.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Digital Wholesale segment income from operations decreased $16.4 million, or 228%, in the year ended December 31, 2022 compared to the year ended December 31, 2021 and represented 1% of Digital Wholesale segment revenue for the year ended December 31, 2022 and 2% of Digital Wholesale segment revenue for the year ended December 31, 2021. The decrease was due to increases in revenue of $681.8 million, offset by increases in cost of revenue of $692.5 million and increases in operating expenses of $5.7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Year Ended December 31,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Revenue</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594,602</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519,835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0"/>
              </w:rPr>
              <w:t>14 %</w:t>
            </w: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314,431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314,431</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ind w:left="300"/>
              <w:spacing w:after="0" w:line="252"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399,922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73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segment revenue: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5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62 %</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94 %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88"/>
              <w:spacing w:after="0" w:line="243" w:lineRule="exact"/>
              <w:rPr>
                <w:sz w:val="20"/>
                <w:szCs w:val="20"/>
                <w:color w:val="auto"/>
              </w:rPr>
            </w:pPr>
            <w:r>
              <w:rPr>
                <w:rFonts w:ascii="Times New Roman" w:cs="Times New Roman" w:eastAsia="Times New Roman" w:hAnsi="Times New Roman"/>
                <w:sz w:val="28"/>
                <w:szCs w:val="28"/>
                <w:color w:val="auto"/>
                <w:vertAlign w:val="subscript"/>
              </w:rPr>
              <w:t>NM</w:t>
            </w:r>
            <w:r>
              <w:rPr>
                <w:rFonts w:ascii="Times New Roman" w:cs="Times New Roman" w:eastAsia="Times New Roman" w:hAnsi="Times New Roman"/>
                <w:sz w:val="11"/>
                <w:szCs w:val="11"/>
                <w:color w:val="auto"/>
              </w:rPr>
              <w:t>(1)</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5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color w:val="auto"/>
                <w:highlight w:val="white"/>
              </w:rPr>
              <w:t>%</w:t>
            </w:r>
          </w:p>
        </w:tc>
        <w:tc>
          <w:tcPr>
            <w:tcW w:w="240" w:type="dxa"/>
            <w:vAlign w:val="bottom"/>
          </w:tcPr>
          <w:p>
            <w:pPr>
              <w:spacing w:after="0"/>
              <w:rPr>
                <w:sz w:val="20"/>
                <w:szCs w:val="20"/>
                <w:color w:val="auto"/>
              </w:rPr>
            </w:pP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xml:space="preserve">100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49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auto"/>
              </w:rPr>
              <w:t>NM - Not meaningful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0" w:type="dxa"/>
            <w:vAlign w:val="bottom"/>
            <w:gridSpan w:val="2"/>
            <w:vMerge w:val="continue"/>
          </w:tcPr>
          <w:p>
            <w:pPr>
              <w:spacing w:after="0"/>
              <w:rPr>
                <w:sz w:val="13"/>
                <w:szCs w:val="13"/>
                <w:color w:val="auto"/>
              </w:rPr>
            </w:pPr>
          </w:p>
        </w:tc>
        <w:tc>
          <w:tcPr>
            <w:tcW w:w="4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-1094105</wp:posOffset>
            </wp:positionV>
            <wp:extent cx="6412230" cy="3340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12230" cy="334010"/>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U.S. Marketplace segment revenue increased $74.8 million, or 14%, in the year ended December 31, 2021 compared to the year ended December 31, 2020 and represented 62% of segment revenue for the year ended December 31, 2021 and 94% of total revenue for the year ended December 31, 2020. The increase was due to approximately $44 million in revenue reductions during the second quarter of 2020 as a result of the impact of fee reductions that we provided to our United States paying dealers during such quarter in response to the COVID-19 pandemic. The increase was also due in part to product upgrades for existing dealers and signing on new dealers with higher average monthly recurring revenue.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Digital Wholesale segment revenue increased $314.4 million in the year ended December 31, 2021 compared to the year ended December 31, 2020 and represented 33% of segment revenue for the year ended December 31, 2021. The increase was primarily due to our acquisition of a 51% interest in CarOffer and launch of our IMCO offering in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 (loss) from Operations</w:t>
      </w:r>
    </w:p>
    <w:p>
      <w:pPr>
        <w:spacing w:after="0" w:line="236"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 (loss) from Operations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151,343</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120,836</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0"/>
              </w:rPr>
              <w:t>25 %</w:t>
            </w: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ind w:left="300"/>
              <w:spacing w:after="0" w:line="252"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(10,264 )</w:t>
            </w:r>
          </w:p>
        </w:tc>
        <w:tc>
          <w:tcPr>
            <w:tcW w:w="240" w:type="dxa"/>
            <w:vAlign w:val="bottom"/>
          </w:tcPr>
          <w:p>
            <w:pPr>
              <w:spacing w:after="0"/>
              <w:rPr>
                <w:sz w:val="20"/>
                <w:szCs w:val="20"/>
                <w:color w:val="auto"/>
              </w:rPr>
            </w:pP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(23,080 )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148,268</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50,512</w:t>
            </w: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segment revenue: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5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Marketplace</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Wholesale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88"/>
              <w:spacing w:after="0" w:line="243" w:lineRule="exact"/>
              <w:rPr>
                <w:sz w:val="20"/>
                <w:szCs w:val="20"/>
                <w:color w:val="auto"/>
              </w:rPr>
            </w:pPr>
            <w:r>
              <w:rPr>
                <w:rFonts w:ascii="Times New Roman" w:cs="Times New Roman" w:eastAsia="Times New Roman" w:hAnsi="Times New Roman"/>
                <w:sz w:val="28"/>
                <w:szCs w:val="28"/>
                <w:color w:val="auto"/>
                <w:vertAlign w:val="subscript"/>
              </w:rPr>
              <w:t>NM</w:t>
            </w:r>
            <w:r>
              <w:rPr>
                <w:rFonts w:ascii="Times New Roman" w:cs="Times New Roman" w:eastAsia="Times New Roman" w:hAnsi="Times New Roman"/>
                <w:sz w:val="11"/>
                <w:szCs w:val="11"/>
                <w:color w:val="auto"/>
              </w:rPr>
              <w:t>(1)</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9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color w:val="auto"/>
                <w:highlight w:val="white"/>
              </w:rPr>
              <w:t>%</w:t>
            </w:r>
          </w:p>
        </w:tc>
        <w:tc>
          <w:tcPr>
            <w:tcW w:w="240" w:type="dxa"/>
            <w:vAlign w:val="bottom"/>
          </w:tcPr>
          <w:p>
            <w:pPr>
              <w:spacing w:after="0"/>
              <w:rPr>
                <w:sz w:val="20"/>
                <w:szCs w:val="20"/>
                <w:color w:val="auto"/>
              </w:rPr>
            </w:pP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494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auto"/>
              </w:rPr>
              <w:t>NM - Not meaningful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0" w:type="dxa"/>
            <w:vAlign w:val="bottom"/>
            <w:gridSpan w:val="2"/>
            <w:vMerge w:val="continue"/>
          </w:tcPr>
          <w:p>
            <w:pPr>
              <w:spacing w:after="0"/>
              <w:rPr>
                <w:sz w:val="13"/>
                <w:szCs w:val="13"/>
                <w:color w:val="auto"/>
              </w:rPr>
            </w:pPr>
          </w:p>
        </w:tc>
        <w:tc>
          <w:tcPr>
            <w:tcW w:w="4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-1094105</wp:posOffset>
            </wp:positionV>
            <wp:extent cx="6412230" cy="3346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12230" cy="33464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U.S. Marketplace segment income from operations increased $30.5 million, or 25%, in the year ended December 31, 2021 compared to the year ended December 31, 2020 and represented 25% of U.S. Marketplace segment revenue for the year ended December 31, 2021 and 23% of U.S. Marketplace segment revenue for the year ended December 31, 2020. The increase was due to increases in revenue of $74.8 million, offset by increases in cost of revenue of $7.4 million and increases in operating expenses of $36.9 million.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Digital Wholesale segment income from operations increased $7.2 million in the year ended December 31, 2021 compared to the year ended December 31, 2020 and represented 2% of Digital Wholesale segment revenue for the year ended December 31, 2021. The increase was primarily due to our acquisition of a 51% interest in CarOffer and launch of our IMCO offering in 2021.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our principal sources of liquidity were cash and cash equivalents of $469.5 million. As of December 31, 2021, our principal sources of liquidity were cash and cash equivalents of $231.9 million and investments in certificates of deposit with terms of greater than 90 days but less than one year of $90.0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our cash flows from operating, investing, and financing activities, as reflected in the consolidated statements of cash flows, are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8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256,106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98,292</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(68,149 )</w:t>
            </w:r>
          </w:p>
        </w:tc>
      </w:tr>
      <w:tr>
        <w:trPr>
          <w:trHeight w:val="24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(92,620 )</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on cash</w:t>
            </w:r>
          </w:p>
        </w:tc>
        <w:tc>
          <w:tcPr>
            <w:tcW w:w="340" w:type="dxa"/>
            <w:vAlign w:val="bottom"/>
          </w:tcPr>
          <w:p>
            <w:pPr>
              <w:spacing w:after="0"/>
              <w:rPr>
                <w:sz w:val="20"/>
                <w:szCs w:val="20"/>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(364 )</w:t>
            </w:r>
          </w:p>
        </w:tc>
        <w:tc>
          <w:tcPr>
            <w:tcW w:w="4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(597 )</w:t>
            </w:r>
          </w:p>
        </w:tc>
      </w:tr>
      <w:tr>
        <w:trPr>
          <w:trHeight w:val="27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235,852</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operations have been financed primarily from operating activities. During the years ended December 31, 2022 and 2021, we generated cash from operating activities of $256.1 million and $98.3 million, respectively.</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existing sources of liquidity, including access to our 2022 Revolver, will be sufficient to fund our operations for at least the next 12 months from the date of the filing of this Annual Report on Form 10-K. Our future capital requirements will depend on many factors, including, but not limited to: the further impact of the COVID-19 pandemic; our revenue; expenses associated with our sales and marketing activities and the support of our product, technology, and development efforts; expenses associated with our facilities build-out under our 1001 Boylston Street lease that do not qualify for landlord reimbursement; payments received in advance from a third-party payment processor; activity under our Share Repurchase Program; and our investments in international markets. Our long-term future capital requirements will depend on many factors, including the future cash requirements described above, as well as the potential exercise of a call right to acquire all, and not less than all, of the remaining equity interests in CarOffer and the representative of the holders of the remaining equity will have a put right to sell to us, all, and not less than all, of the remaining equity interests of CarOffer. Details of this acquisition are more fully described in Note 2 to these consolidated financial statements. Cash from operations could also be affected by various risks and uncertainties, including, but not limited to, macroeconomic effects and other risks detailed in the “Risk Factors” section of this Annual Report on Form 10-K.</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The borrowing capacity under the Credit Agreement may be increased in accordance with the terms and subject to the adjustments as set forth in the Credit Agreement. For example,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December 31, 2022, there were no borrowings and no letters of credit outstanding under the 2022 Revolver.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December 8, 2022, we announced that our Board of Directors authorized the Share Repurchase Program, pursuant to which we may, from time to time, purchase shares of our Class A common stock for an aggregate purchase price not to exceed $250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Exchange Act. The Share Repurchase Program does not obligate us to repurchase any minimum dollar amount or number of shares. The Share Repurchase Program has an expiration date of December 31, 2023, and prior to its expiration may be modified, suspended, or discontinued by our Board of Directors at any time without prior notice. All repurchased shares under the Share Repurchase Program will be retired. We expect to fund share repurchases through cash on hand and cash generated from operations. During the year ended December 31, 2022, we repurchased and retired 1,350,473 shares for $18,691, at an average cost of $13.84 per share under this authorization. As of December 31, 2022, we had remaining authorization to purchase up to $231,309 of our common stock under the Share Repurchase Program.</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existing cash, cash equivalents, and our borrowing capacity under the 2022 Revolver are insufficient to fund our future activities, we may need to raise additional funds through a public or private equity or debt financing. Additional funds may not be available on terms favorable to us, or at all. See “</w:t>
      </w:r>
      <w:r>
        <w:rPr>
          <w:rFonts w:ascii="Times New Roman" w:cs="Times New Roman" w:eastAsia="Times New Roman" w:hAnsi="Times New Roman"/>
          <w:sz w:val="18"/>
          <w:szCs w:val="18"/>
          <w:i w:val="1"/>
          <w:iCs w:val="1"/>
          <w:color w:val="auto"/>
        </w:rPr>
        <w:t>Risk Factors—Risks Related to Our Business and Industry— We may require additional capital to pursue our business objectives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respond to business opportunities, challenges, or unforeseen circumstances. If we are unable to generate sufficient cash flows or if capital is not available to us, our business, operating results, financial condition, and prospects could be adversely affected</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of $256.1 million during the year ended December 31, 2022 was due primarily to consolidated net income of $79.0 million, adjusted for $54.8 million of stock-based compensation expense, $45.3 million of depreciation and amortization, $11.1 million of amortization of deferred contract costs, and $1.8 million of provision for doubtful accounts, offset in part by $22.1 million of deferred taxes. Cash provided by operating activities was also attributable to a $153.0 million decrease in accounts receivable and a $14.4 million decrease in inventory. The increases in cash flow from operations were partially offset by a $35.4 million decrease in accounts payable, a $25.1 million decrease in accrued expenses, accrued income taxes, and other liabilities, a $13.7 million increase in deferred contract costs, a $6.6 million increase in prepaid expenses, prepaid income taxes, and other assets, a $0.5 million decrease in lease obligations, and a $0.5 million decrease in deferred revenue.</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of $98.3 million during the year ended December 31, 2021 was due primarily to consolidated net income of $110.4 million, adjusted for $53.5 million of stock-based compensation expense, $40.5 million of depreciation and amortization, $12.7 million of amortization of deferred contract costs, $6.2 million of deferred taxes, $3.1 million of impairment of long-lived assets, and $1.0 million of provision for doubtful accounts. Cash provided by operating activities was also attributable to a $35.8 million increase in accrued expenses, accrued income taxes, and other liabilities, a $35.4 million increase in accounts payable, a $3.7 million increase in deferred revenue, and a $1.0 million increase in lease obligations. The increases in cash flow from operations were partially offset by a $174.8 million increase in accounts receivable due primarily to the acquisition of a 51% interest in CarOffer, a $17.3 million increase in inventory, a $7.7 million increase in gross deferred contract costs, and a $5.1 million increase in prepaid expenses, prepaid income taxes, and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Cash provided by investing activities of $72.7 million during the year ended December 31, 2022 </w:t>
      </w:r>
      <w:r>
        <w:rPr>
          <w:rFonts w:ascii="Times New Roman" w:cs="Times New Roman" w:eastAsia="Times New Roman" w:hAnsi="Times New Roman"/>
          <w:sz w:val="18"/>
          <w:szCs w:val="18"/>
          <w:color w:val="212529"/>
        </w:rPr>
        <w:t>was due to $90 million of maturities in certificates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deposit, offset in part by $11.3 million of capitalization of website development costs and $5.9 million of purchases of property and equipment.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Cash used in investing activities of $68.1 million during the year ended December 31, 2021 was </w:t>
      </w:r>
      <w:r>
        <w:rPr>
          <w:rFonts w:ascii="Times New Roman" w:cs="Times New Roman" w:eastAsia="Times New Roman" w:hAnsi="Times New Roman"/>
          <w:sz w:val="18"/>
          <w:szCs w:val="18"/>
          <w:color w:val="212529"/>
        </w:rPr>
        <w:t>due to $64.3 million of acquisition cash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net of cash acquired, $7.7 million of purchases of property and equipment, and $6.2 million related to the capitalization of website development costs, offset in part by $130.0 million of maturities in certificates of deposit, net of investments in certificates of deposit of $120.0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Cash used in financing activities of $92.6 million during the year ended December 31, 2022 </w:t>
      </w:r>
      <w:r>
        <w:rPr>
          <w:rFonts w:ascii="Times New Roman" w:cs="Times New Roman" w:eastAsia="Times New Roman" w:hAnsi="Times New Roman"/>
          <w:sz w:val="18"/>
          <w:szCs w:val="18"/>
          <w:color w:val="212529"/>
        </w:rPr>
        <w:t>was due primarily to a $40.3 million decrease in gross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advance payments received from third-party payment processor, </w:t>
      </w:r>
      <w:r>
        <w:rPr>
          <w:rFonts w:ascii="Times New Roman" w:cs="Times New Roman" w:eastAsia="Times New Roman" w:hAnsi="Times New Roman"/>
          <w:sz w:val="18"/>
          <w:szCs w:val="18"/>
          <w:color w:val="000000"/>
        </w:rPr>
        <w:t>$19.9 million of payment of tax distributions to redeemable noncontrolling interest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holders, $16.0 million of </w:t>
      </w:r>
      <w:r>
        <w:rPr>
          <w:rFonts w:ascii="Times New Roman" w:cs="Times New Roman" w:eastAsia="Times New Roman" w:hAnsi="Times New Roman"/>
          <w:sz w:val="18"/>
          <w:szCs w:val="18"/>
          <w:color w:val="212529"/>
        </w:rPr>
        <w:t>payment of withholding taxes on net share settlements of restricted stock units, $14.4 million of payment for the repurchase of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Class A common stock under the Share Repurchase Program, and </w:t>
      </w:r>
      <w:r>
        <w:rPr>
          <w:rFonts w:ascii="Times New Roman" w:cs="Times New Roman" w:eastAsia="Times New Roman" w:hAnsi="Times New Roman"/>
          <w:sz w:val="18"/>
          <w:szCs w:val="18"/>
          <w:color w:val="000000"/>
        </w:rPr>
        <w:t>$2.6 million of payment of deferred financing costs,</w:t>
      </w:r>
      <w:r>
        <w:rPr>
          <w:rFonts w:ascii="Times New Roman" w:cs="Times New Roman" w:eastAsia="Times New Roman" w:hAnsi="Times New Roman"/>
          <w:sz w:val="18"/>
          <w:szCs w:val="18"/>
          <w:color w:val="212529"/>
        </w:rPr>
        <w:t xml:space="preserve"> partially offset by $0.7 million of proceeds from the issuance of common stock upon exercise of stock options.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Cash provided by financing activities of $17.8 million during the year ended December 31, 2021 was </w:t>
      </w:r>
      <w:r>
        <w:rPr>
          <w:rFonts w:ascii="Times New Roman" w:cs="Times New Roman" w:eastAsia="Times New Roman" w:hAnsi="Times New Roman"/>
          <w:sz w:val="18"/>
          <w:szCs w:val="18"/>
          <w:color w:val="212529"/>
        </w:rPr>
        <w:t>due primarily to $46.8 million increase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gross advance payments received from third-party payment processor and $0.7 million related to the proceeds from the issuance of common stock upon exercise of stock options, partially offset by payment of withholding taxes on net share settlements of restricted stock units, of $15.4 million and CarOffer's repayment of a line of credit of $14.3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Known Future Cash Requirements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Refer to Note 9 of our consolidated financial statements appearing elsewhere in this Annual Report on Form 10-K for our contractual obligations and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Across the retail automotive industry, consumer purchases are typically greatest in the first three quarters of each year, due in part to the introduction of new vehicle models from manufacturers and the seasonal nature of consumer spending. Additionally, the volume of wholesale vehicle sales can fluctuate from quarter to quarter caused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spacing w:after="0" w:line="16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Macroeconomic conditions, such as slower growth or recession, higher interest rates, high unemployment, consumer confidence in the economy, consumer debt levels, the ongoing military conflict between Russia and Ukraine, foreign currency exchange rate fluctuations and other matters that influence consumer spending and preferences, can also impact the volume of wholesale vehicle sales, as was evidenced by the global semiconductor chip shortage.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Digital Wholesale segment operating results have reflected the general seasonality of the wholesale vehicle sales market and macroeconomic conditions of the automotive industry.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once our business and markets mature.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revenue and cost of revenue related to volume will fluctuate accordingly on a quarterly basis. Typical seasonality trends may not be observed in periods where other external factors more significantly impact the wholesale industry.</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2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we did not have any off-balance sheet arrangements, other than leases signed but not commenced, or material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Critical estimates relied upon in preparing the consolidated financial statements include the determination of sales allowance and variable consideration in our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our net deferred tax assets and related valuation allowance, the valuation of inventory, and the valuation of equity and liability-classified compensation awards. Accordingly, we consider these to be our critical accounting estimates, and believe that of our significant accounting policies, these involve the greatest degree of judgment and complexity.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Sales Allowance and Variable Consideration</w:t>
      </w:r>
    </w:p>
    <w:p>
      <w:pPr>
        <w:spacing w:after="0" w:line="229" w:lineRule="exact"/>
        <w:rPr>
          <w:sz w:val="20"/>
          <w:szCs w:val="20"/>
          <w:color w:val="auto"/>
        </w:rPr>
      </w:pPr>
    </w:p>
    <w:p>
      <w:pPr>
        <w:jc w:val="both"/>
        <w:ind w:firstLine="509"/>
        <w:spacing w:after="0" w:line="218" w:lineRule="exact"/>
        <w:rPr>
          <w:sz w:val="20"/>
          <w:szCs w:val="20"/>
          <w:color w:val="auto"/>
        </w:rPr>
      </w:pPr>
      <w:r>
        <w:rPr>
          <w:rFonts w:ascii="Times New Roman" w:cs="Times New Roman" w:eastAsia="Times New Roman" w:hAnsi="Times New Roman"/>
          <w:sz w:val="18"/>
          <w:szCs w:val="18"/>
          <w:color w:val="auto"/>
        </w:rPr>
        <w:t>Our accounting policy relating to revenue recognition reflects the impact of the adoption of Accounting Standards Codification 606, Revenue from Contracts with Customers, or ASC 606, which is discussed further in the Notes to the Consolidated Financial Statements. As prescribed by ASC 606, we recognize revenue based on a five-step approach. 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RPM, digital advertising suite, and Digital Retail, (ii)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and (iii) revenue from partnerships with financing services companies. We generate wholesale revenue primarily from (i) transaction fees earned from Dealer-to-Dealer transactions, (ii) transaction fees earned from sale of vehicles to dealers that we acquire at other marketplaces, and (iii) transaction fees earned from performing inspection and transportation services, inclusive of Dealer-to-Dealer transactions, other marketplace to dealer transactions, and IMCO transactions. We generate product revenue primarily from (i) aggregate proceeds received from the sale of vehicles that were acquired through IMCO transactions, and (ii) proceeds received from the sale of vehicles that were acquired through arbitration. Critical accounting estimates associated with each of the three revenue sources are outlined below.</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Total consideration for marketplace revenue is stated within the contracts. There are no contractual cash refund rights, but credits may be issued to a customer at our sole discretion. Dealer customers do not have the right to take possession of our software. At the portfolio level, there is also variable consideration that needs to be included in the transaction price. Variable consideration consists of sales allowances, usage fees, and concessions that change the transaction price of the unsatisfied or partially unsatisfied performance obligation. We recognize that there are times when there is a customer satisfaction issue or other circumstances that will lead to a credit. Due to the known possibility of future credits, a monthly sales allowance review is performed to defer revenue at a portfolio level for such future adjustments in the period of incurrence.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Estimated sales adjustments, credits and losses may vary from actual results which could lead to material adjustments to the financial statements.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Advertising contracts state the transaction price within the agreement with payment generally being based on the number of clicks or impressions delivered on our websites. Total consideration is based on output and deemed variable consideration constrained by an agreed upon delivery schedule and is allocated to the period in which the service was rendered. Additionally, there are generally no contractual cash refund rights. Certain contracts do contain the right for credits in situations in which impressions are not displayed in compliance with contractual specifications. At an individual contract level, we may give a credit for a customer satisfaction issue or other circumstance. Due to the known possibility of future credits, a monthly review is performed to defer revenue at an individual contract level for such future adjustments in the period of incurrence. Although these credits have not been material and have not changed significantly over the historical period, estimated sales adjustments credits and losses may vary from actual results which could lead to material adjustments to the financial statements.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marketplace revenue includes revenue from contracts for which the performance obligation is a series of distinct services with the same level of effort daily. For these contracts, primarily related to our partnerships with financing services companies, we estimate the value of the variable consideration in determining the transaction price and allocate it to the performance obligation. Revenue is estimated and recognized on a ratable basis over the contractual term. We reassess the estimate of variable consideration at each reporting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Within wholesale transactions, there are typically no contractual cash refund rights, but credits may be issued to a customer at our sole discretion and refunds may be required by law in the case of a vehicle defect. At the portfolio level, there is also variable consideration that needs to be included in the transaction price. Variable consideration consists of sales allowances and concessions that change the transaction price of the unsatisfied or partially unsatisfied performance obligation. We recognize that there are times when there is a customer satisfaction issue or other circumstance that will lead to a credit or arbitration.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Upon recognizing a sales transaction, we estimate the amount of transaction price that will be reversed in a subsequent period and record a reserve for returns and cancellations in other current liabilities in the consolidated income statements. Estimated sales adjustments, credits and losses may vary from actual results which could lead to material adjustments to the financial statements.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Within product transactions, there are typically no contractual cash refund rights, but credits may be issued to a customer at our sole discretion. At the portfolio level, there is also variable consideration that needs to be included in the transaction price. Variable consideration consists of sales allowances and concessions that change the transaction price of the unsatisfied or partially unsatisfied performance obligation. We recognize that there are times when there is a customer satisfaction issue or other circumstance that will lead to a credit or arbitration.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Upon recognizing a sales transaction, we estimate the amount of transaction price that will be reversed in a subsequent period and record a reserve for returns and cancellations in other current liabilities in the consolidated income statements. Estimated sales adjustments, credits and losses may vary from actual results which could lead to material adjustments to the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 Allowance for Doubtful Accounts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allowance for doubtful accounts is our best estimate of the amount of probable credit losses in our existing accounts receivable and is based upon historical loss trends, the number of days that billings are past due, an evaluation of the potential risk of loss associated with specific accounts, current economic trends and conditions, and reasonable and supportable forecasts of economic conditions. If circumstances relating to specific customers change, or unanticipated changes occur in the general business environment, particularly as it affects auto dealers, our estimates of the recoverability of receivables could be further adjusted.</w:t>
      </w:r>
    </w:p>
    <w:p>
      <w:pPr>
        <w:spacing w:after="0" w:line="15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Lived Assets </w:t>
      </w:r>
      <w:r>
        <w:rPr>
          <w:rFonts w:ascii="Calibri" w:cs="Calibri" w:eastAsia="Calibri" w:hAnsi="Calibri"/>
          <w:sz w:val="19"/>
          <w:szCs w:val="1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-67310</wp:posOffset>
            </wp:positionV>
            <wp:extent cx="6413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36"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We evaluate the recoverability of long-lived assets, such as property and equipment and intangible assets, for impairment at least annually and whenever events or changes in circumstances indicate that the carrying value of an asset may not be recoverable. During this review, we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 the significant assumptions used in determining the original cost and estimated lives of long-lived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based primarily upon whether expected future undiscounted cash flows are sufficient to support the assets’ recovery.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Website Development and Internal-Use Software Costs </w:t>
      </w:r>
      <w:r>
        <w:rPr>
          <w:rFonts w:ascii="Calibri" w:cs="Calibri" w:eastAsia="Calibri" w:hAnsi="Calibri"/>
          <w:sz w:val="19"/>
          <w:szCs w:val="1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Capitalization</w:t>
      </w:r>
    </w:p>
    <w:p>
      <w:pPr>
        <w:spacing w:after="0" w:line="204" w:lineRule="exact"/>
        <w:rPr>
          <w:sz w:val="20"/>
          <w:szCs w:val="20"/>
          <w:color w:val="auto"/>
        </w:rPr>
      </w:pPr>
    </w:p>
    <w:p>
      <w:pPr>
        <w:jc w:val="both"/>
        <w:ind w:firstLine="509"/>
        <w:spacing w:after="0" w:line="239" w:lineRule="exact"/>
        <w:rPr>
          <w:sz w:val="20"/>
          <w:szCs w:val="20"/>
          <w:color w:val="auto"/>
        </w:rPr>
      </w:pPr>
      <w:r>
        <w:rPr>
          <w:rFonts w:ascii="Times New Roman" w:cs="Times New Roman" w:eastAsia="Times New Roman" w:hAnsi="Times New Roman"/>
          <w:sz w:val="18"/>
          <w:szCs w:val="18"/>
          <w:color w:val="auto"/>
        </w:rPr>
        <w:t>Capitalized website development and capitalized internal-use software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life of three years beginning with the time when the product is ready for intended use.</w:t>
      </w:r>
    </w:p>
    <w:p>
      <w:pPr>
        <w:spacing w:after="0" w:line="1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evaluate the useful lives of these assets when each asset is ready for its intended use, and at least annually thereafter to ensure three years remains appropriate. We also test for impairment at least annually and whenever events or changes in circumstances occur that could impact the recoverability of these assets. Impairment is evaluated as discussed in the “Long-Lived Assets - Impairment” section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Hosting Arrangements </w:t>
      </w:r>
      <w:r>
        <w:rPr>
          <w:rFonts w:ascii="Calibri" w:cs="Calibri" w:eastAsia="Calibri" w:hAnsi="Calibri"/>
          <w:sz w:val="19"/>
          <w:szCs w:val="1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Capitalization</w:t>
      </w:r>
    </w:p>
    <w:p>
      <w:pPr>
        <w:spacing w:after="0" w:line="204" w:lineRule="exact"/>
        <w:rPr>
          <w:sz w:val="20"/>
          <w:szCs w:val="20"/>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Capitalized implementation costs for hosting arrangements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an estimated useful life of the term of the hosting arrangement, taking into consideration several other factors such as, but not limited to, options to extend the hosting arrangement or options to terminate the hosting arrangement, beginning with the time when the software is ready for intended use.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evaluate the useful lives of these assets when each asset is ready for its intended use, and at least annually thereafter to ensure the selected useful life remains appropriate. We also test for impairment at least annually and whenever events or changes in circumstances occur that could impact the recoverability of these assets. Impairment is evaluated as discussed in the “Long-Lived Assets - Impairment” section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Assets and Liabilities – Valuation</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measure all consideration transferred in a business combination at its acquisition-date fair value. Consideration transferred is determined by the acquisition-date fair value of assets transferred, liabilities assumed, including contingent consideration obligations, as applicable. We measure goodwill as the excess of the consideration transferred over the net of the acquisition-date amounts of assets acquired less liabilities assumed.</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make significant assumptions and estimates in determining the fair value of the acquired assets and liabilities as of the acquisition date, especially the valuation of intangible assets and certain tax positions.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 Valuation and Recoverability</w:t>
      </w:r>
    </w:p>
    <w:p>
      <w:pPr>
        <w:spacing w:after="0" w:line="2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are recognized at their estimated fair value at the date of acquisition. Fair value is determined based on inputs and assumptions such as discount rates, rates of return on assets, and long-term sales growth rates.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amortize intangible assets over their estimated useful lives on a straight-line basis. Useful lives are established based on analysis of all pertinent factors such as: the expected use of the asset, expected useful lives of related assets, provisions that may limit the useful life, historical experience with similar arrangements, effects of economic factors, demand, competition, obsolescence, and maintenance required to maintain the future cash flows.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evaluate the useful lives of these assets as of the acquisition date and at least annually thereafter to ensure the selected useful life remains appropriate.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monitor our long-lived assets for impairment indicators on an ongoing basis in accordance with GAAP, and test for impairment at least annually and whenever events or changes in circumstances occur that could impact the recoverability of these assets. Impairment is evaluated as discussed in the “Long-Lived Assets - Impairment” section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 Valuation and Recoverability</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Goodwill is recognized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our stock price for a sustained period or a reduction of our market capitalization relative to net book value.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evaluate impairment annually on October 1 by comparing the estimated fair value of each reporting unit to its carrying value. For the first three quarters of fiscal year 2022, we determined that we had two reporting units: Marketplace and CarOffer. We elected to bypass the optional qualitative test for impairment and proceed to Step 1, which is a quantitative impairment test. We estimate fair value using a market approach, based on market multiples derived from public companies that we identify as peers. As of October 1, 2022, we estimated forecasted revenue and gross margin for fiscal year 2022, and estimated revenue and gross margin market multiples using publicly available information for each of our reporting units. Developing these assumptions required the use of judgment and estimates. Actual results may differ from these forecasts.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Subsequent to our evaluation of impairment on October 1, 2022, we revised our reporting units from two reporting units, Marketplace and CarOffer, to four reporting units, U.S. Marketplace, Digital Wholesale, United Kingdom Marketplace, and Canada Marketplace. Because of the change in reporting units, we performed an additional goodwill impairment evaluation as of December 31. A consistent methodology was utilized, calculating the fair value of our reporting units using the market approach described previously. Revenue and gross margin actuals were utilized for the year ended December 31, 2022, and estimated revenue and gross margin market multiples were utilized based upon publicly available information for each of the reporting units. Developing these assumptions required the use of judgment and estimates. Actual results may differ from these forecasts.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 – Valuation</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a 51% interest in CarOffer on January 14, 2021, redeemable noncontrolling interest was recognized at fair value computed using the Least Square Monte Carlo Simulation approach. Significant inputs to the model included market price of risk, volatility, correlation and risk-free rate.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Subsequent to our acquisition of the 51% interest on January 14, 2021, the redeemable noncontrolling interest is measured at the greater of the amount that would be paid if settlement occurred as of the balance sheet date based on the contractually defined redemption value and its carrying amount adjusted for net income (loss) attributable to the noncontrolling interest and tax distributions to redeemable noncontrolling interest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 Recoverability of Deferred Tax Assets and Related Valuation Allowance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Judgment is required in determining our worldwide income tax provision. In the ordinary course of a global business, there are many transactions and calculations where the ultimate outcome is uncertain. Although we believe our estimates are reasonable, there is no assurance that the final outcome of these matters will not be different from that which is reflected in our historical income tax provisions and accruals. Such differences could have a material impact on our income tax provision and net income in the period in which such determination is made.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Significant judgment is also involved regarding the application of income tax laws and regulations to estimate the effective income tax rates. As a result, our actual annual effective income tax rates and related income tax liabilities may differ materially from our interim estimated effective tax rates and related income tax liabilities. Any resulting differences are recognized in the period they become known.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account for income taxes in accordance with the asset and liability method. Under this method, deferred tax assets and liabilities are recognized based on temporary differences between the financial reporting and income tax bases of assets and liabilities using enacted tax rates in effect for the year in which the temporary differences are expected to be recovered or settled.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method requires a valuation allowance against net deferred tax assets if, based upon the available evidence, it is more likely than not that some or all of the deferred tax assets will not be realized. In performing this analysis, we consider future taxable income and ongoing prudent and feasible tax planning strategies to assess realizability. Actual results may differ from these forecasts. Valuation allowances are reassessed periodically to determine whether it is more likely than not that the tax benefits will be realized in the future and if any existing valuation allowance should be released.</w:t>
      </w:r>
    </w:p>
    <w:p>
      <w:pPr>
        <w:spacing w:after="0" w:line="151" w:lineRule="exact"/>
        <w:rPr>
          <w:sz w:val="20"/>
          <w:szCs w:val="20"/>
          <w:color w:val="auto"/>
        </w:rPr>
      </w:pPr>
    </w:p>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We account for uncertain tax positions by prescribing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for financial statement recognition and measurement of a tax position taken or expected to be taken in a tax return. We assess our income tax positions based upon management’s evaluation of the facts, circumstances, and information available at the reporting date. The tax position is measured as the largest amount of benefit or expense that is greater than 50% likely of being realized upon ultimate settlement with the taxing authority during examination. The ultimate resolution of these tax positions may be greater or less than the liabilities recognized.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 Valuation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cost or net realizable value. Cost is determined based on specific identification. In recording inventory at the lower of cost or net realizable value, we estimate potential future losses on inventory on hand based on historical losses and market trends. Estimated potential future losses on inventory may vary from actual results which could lead to material adjustments to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 Valuation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RSUs granted subject to market-based vesting conditions, the fair value is determined on the date of grant using the Monte Carlo simulation lattice model. The determination of the fair value using this model is affected by our stock price performance relative to the companies listed on the S&amp;P 500, and a number of assumptions including volatility, correlation coefficient, risk-free interest rate and expected dividends. RSUs previously granted subject to market-based vesting conditions vest upon achievement of specified levels of market conditions. During the year ended December 31, 2022, we modified our market-based performance awards to contain only service-based vesting conditions in line with our other restricted stock unit awards. As a result, there are no market-based RSUs outstanding as of December 31,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3" w:name="page64"/>
    <w:bookmarkEnd w:id="63"/>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For stock options granted, the fair value is determined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The determination of the fair value is affected by our stock price and a number of assumptions including expected dividend yield, expected volatility, risk-free interest rate and expected term. For expected volatility, we use a blended volatility to combine the historical volatility of trading with the volatility for a peer group of companies as we do not have historical stock prices for a period that is at least equal to the expected term. Stock options granted generally have a term of ten years from the date of grant and generally vest over a four-year requisite service period.</w:t>
      </w:r>
    </w:p>
    <w:p>
      <w:pPr>
        <w:spacing w:after="0" w:line="1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liability-classified awards, the fair value was determined on the date of issuance using a Least Square Monte Carlo simulation model. Liability-classified awards are remeasured to fair value each period until settlement. Until March 31, 2022, the Least Square Monte Carlo simulation model was used for remeasurement. During the three months ended June 30, 2022, we refined our model for determining the fair value of liability-classified awards as a result of obtaining gross profit actuals through the trailing twelve-months ended June 30, 2022 measurement period for the first call option. Since March 31, 2022, the fair value has typically been determined using a Monte Carlo simulation model. During the year ended December 31, 2022, we determined not to exercise our call right to acquire up to an additional 25% of the fully diluted capitalization of CarOffer. The valuation of these liability awards is now derived from our 2024 call right and CarOffer’s 2024 put right. The determination of the fair value is affected by CarOffer’s equity value, EBITDA, and Excess Parent Capital (as defined in the CarOffer Operating Agreement, included as Exhibit 10.27 to the Annual Report on Form 10-K as of December 31, 2021 filed on February 25, 2022) that drive the exercise price of future call/put rights, as well as a number of assumptions including market price of risk, volatility, correlation, and risk-free interest rate. As a result of the EBITDA and Excess Parent Capital projections for CarOffer as of December 31, 2022, a Monte Carlo simulation model was not required as of December 31, 2022. We will continue to assess our valuation approach quarterly.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concerning recently issued accounting pronouncements may be found in Note 2 to our consolidated financial statements appearing elsewhere in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affect our financial position due to adverse changes in financial market prices and rates. We are exposed to market risks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our exposure to market risk associated with changes in interest rates relates primarily to our 2022 Revolver, which allows us to borrow up to $400.0 million. The applicable interest rate is, at our option, based on a number of different benchmark rates and applicable spreads, as determined by the Consolidated Secured Net Leverage Ratio. A fluctuation in interest rates does not have an impact on interest expense unless the 2022 Revolver is drawn upon. Such impact would also be dependent on the amount of the draw. As of December 31, 2022, there were no borrowings and no letters of credit outstanding under the 2022 Revolver.</w:t>
      </w:r>
    </w:p>
    <w:p>
      <w:pPr>
        <w:spacing w:after="0" w:line="155"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As of December 31, 2021, we did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w:t>
      </w:r>
    </w:p>
    <w:p>
      <w:pPr>
        <w:spacing w:after="0" w:line="2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we had cash and cash equivalents $469.5 million, which consisted of bank deposits and money market funds. As of December 31, 2021, we had cash, cash equivalents, and investments of $321.9 million, which consisted of bank deposits, money market funds and certificates of deposit with maturity dates ranging from six to nine months.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Such interest-earning instruments carry a degree of interest rate risk. Given recent changes in the interest rate environment and in an effort to ensure liquidity, we expect variable returns from our cash equivalents for the foreseeable future. To date, fluctuations resulting from changes in the interest rate environment in interest income have not been material to the operations of the business.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Historically, because our operations and sales have been primarily in the United States, we have not faced any significant foreign currency risk. As of December 31, 2022 and 2021, we had foreign currency exposures in the British pound, the Euro and the Canadian dollar, although such exposure was immaterial.</w:t>
      </w:r>
    </w:p>
    <w:p>
      <w:pPr>
        <w:spacing w:after="0" w:line="176"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Our foreign subsidiaries have intercompany transactions that are eliminated upon consolidation, and these transactions expose us to foreign currency exchange rate fluctuations. Exchange rate fluctuations on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intercompany transactions are recognized within other (expense) income, net in the consolidated income statements. Exchange rate fluctuations on long-term intercompany transactions are recognized within accumulated other comprehensive (loss) income in the consolidated balance sheets.</w:t>
      </w:r>
    </w:p>
    <w:p>
      <w:pPr>
        <w:spacing w:after="0" w:line="20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16510</wp:posOffset>
            </wp:positionV>
            <wp:extent cx="4203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34874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87420" cy="8255"/>
                    </a:xfrm>
                    <a:prstGeom prst="rect">
                      <a:avLst/>
                    </a:prstGeom>
                    <a:noFill/>
                  </pic:spPr>
                </pic:pic>
              </a:graphicData>
            </a:graphic>
          </wp:anchor>
        </w:drawing>
      </w:r>
    </w:p>
    <w:p>
      <w:pPr>
        <w:spacing w:after="0" w:line="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8"/>
          <w:szCs w:val="18"/>
          <w:color w:val="auto"/>
        </w:rPr>
        <w:t>65</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950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8"/>
          <w:szCs w:val="18"/>
          <w:color w:val="auto"/>
        </w:rPr>
        <w:t>67</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Consolidated Income Statements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4129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29405" cy="8890"/>
                    </a:xfrm>
                    <a:prstGeom prst="rect">
                      <a:avLst/>
                    </a:prstGeom>
                    <a:noFill/>
                  </pic:spPr>
                </pic:pic>
              </a:graphicData>
            </a:graphic>
          </wp:anchor>
        </w:drawing>
      </w:r>
    </w:p>
    <w:p>
      <w:pPr>
        <w:spacing w:after="0" w:line="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8"/>
          <w:szCs w:val="18"/>
          <w:color w:val="auto"/>
        </w:rPr>
        <w:t>68</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49987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98720" cy="8255"/>
                    </a:xfrm>
                    <a:prstGeom prst="rect">
                      <a:avLst/>
                    </a:prstGeom>
                    <a:noFill/>
                  </pic:spPr>
                </pic:pic>
              </a:graphicData>
            </a:graphic>
          </wp:anchor>
        </w:drawing>
      </w:r>
    </w:p>
    <w:p>
      <w:pPr>
        <w:spacing w:after="0" w:line="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8"/>
          <w:szCs w:val="18"/>
          <w:color w:val="auto"/>
        </w:rPr>
        <w:t>69</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Consolidated Statements of Redeemable Noncontrolling Interest and Stockholders’ Equity for the Years Ended December 31, 2022, 2021,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65341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34150" cy="8255"/>
                    </a:xfrm>
                    <a:prstGeom prst="rect">
                      <a:avLst/>
                    </a:prstGeom>
                    <a:noFill/>
                  </pic:spPr>
                </pic:pic>
              </a:graphicData>
            </a:graphic>
          </wp:anchor>
        </w:drawing>
      </w:r>
    </w:p>
    <w:p>
      <w:pPr>
        <w:spacing w:after="0" w:line="7" w:lineRule="exact"/>
        <w:rPr>
          <w:sz w:val="20"/>
          <w:szCs w:val="20"/>
          <w:color w:val="auto"/>
        </w:rPr>
      </w:pPr>
    </w:p>
    <w:p>
      <w:pPr>
        <w:ind w:left="20" w:right="180"/>
        <w:spacing w:after="0" w:line="266" w:lineRule="auto"/>
        <w:rPr>
          <w:sz w:val="20"/>
          <w:szCs w:val="20"/>
          <w:color w:val="auto"/>
        </w:rPr>
      </w:pPr>
      <w:r>
        <w:rPr>
          <w:rFonts w:ascii="Times New Roman" w:cs="Times New Roman" w:eastAsia="Times New Roman" w:hAnsi="Times New Roman"/>
          <w:sz w:val="18"/>
          <w:szCs w:val="18"/>
          <w:color w:val="0000FF"/>
        </w:rPr>
        <w:t xml:space="preserve">2020 </w:t>
      </w:r>
      <w:r>
        <w:rPr>
          <w:rFonts w:ascii="Times New Roman" w:cs="Times New Roman" w:eastAsia="Times New Roman" w:hAnsi="Times New Roman"/>
          <w:sz w:val="18"/>
          <w:szCs w:val="18"/>
          <w:color w:val="000000"/>
        </w:rPr>
        <w:t>70</w:t>
      </w:r>
      <w:r>
        <w:rPr>
          <w:rFonts w:ascii="Times New Roman" w:cs="Times New Roman" w:eastAsia="Times New Roman" w:hAnsi="Times New Roman"/>
          <w:sz w:val="18"/>
          <w:szCs w:val="18"/>
          <w:color w:val="0000FF"/>
        </w:rPr>
        <w:t xml:space="preserve"> Consolidated Statements of Cash Flows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2286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120015</wp:posOffset>
            </wp:positionV>
            <wp:extent cx="44469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446905" cy="8255"/>
                    </a:xfrm>
                    <a:prstGeom prst="rect">
                      <a:avLst/>
                    </a:prstGeom>
                    <a:noFill/>
                  </pic:spPr>
                </pic:pic>
              </a:graphicData>
            </a:graphic>
          </wp:anchor>
        </w:drawing>
      </w:r>
    </w:p>
    <w:p>
      <w:pPr>
        <w:spacing w:after="0" w:line="210"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8"/>
          <w:szCs w:val="18"/>
          <w:color w:val="auto"/>
        </w:rPr>
        <w:t>71</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199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98980" cy="8890"/>
                    </a:xfrm>
                    <a:prstGeom prst="rect">
                      <a:avLst/>
                    </a:prstGeom>
                    <a:noFill/>
                  </pic:spPr>
                </pic:pic>
              </a:graphicData>
            </a:graphic>
          </wp:anchor>
        </w:drawing>
      </w:r>
    </w:p>
    <w:p>
      <w:pPr>
        <w:spacing w:after="0" w:line="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8"/>
          <w:szCs w:val="18"/>
          <w:color w:val="auto"/>
        </w:rPr>
        <w:t>72</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CarGurus,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CarGurus, Inc. (the Company) as of December 31, 2022 and 2021, the related consolidated statements of income, comprehensive income, redeemable noncontrolling interest and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adverse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tc>
      </w:tr>
      <w:tr>
        <w:trPr>
          <w:trHeight w:val="439"/>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the year ended December 31, 2022, the Company recognized revenue of $1.66 billion. As explained in Note 2 to the</w:t>
            </w: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financial statements, the Company recognizes revenue in accordance with Accounting Standard Codification Topic</w:t>
            </w:r>
          </w:p>
        </w:tc>
      </w:tr>
      <w:tr>
        <w:trPr>
          <w:trHeight w:val="218"/>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upon transfer of control of promised services to customers in an amount that</w:t>
            </w:r>
          </w:p>
        </w:tc>
      </w:tr>
      <w:tr>
        <w:trPr>
          <w:trHeight w:val="234"/>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reflects the consideration the Company expects to receive in exchange for those services.</w:t>
            </w:r>
          </w:p>
        </w:tc>
      </w:tr>
      <w:tr>
        <w:trPr>
          <w:trHeight w:val="414"/>
        </w:trPr>
        <w:tc>
          <w:tcPr>
            <w:tcW w:w="1820" w:type="dxa"/>
            <w:vAlign w:val="bottom"/>
          </w:tcPr>
          <w:p>
            <w:pPr>
              <w:spacing w:after="0"/>
              <w:rPr>
                <w:sz w:val="24"/>
                <w:szCs w:val="24"/>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Auditing management’s recognition of revenue was challenging because of the higher extent of audit effort and because the</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are material to the consolidated financial statements and related disclosures. During our risk assessment process, we</w:t>
            </w:r>
          </w:p>
        </w:tc>
      </w:tr>
      <w:tr>
        <w:trPr>
          <w:trHeight w:val="216"/>
        </w:trPr>
        <w:tc>
          <w:tcPr>
            <w:tcW w:w="182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identified a higher inherent risk related to revenue primarily due to the size of the account and the volume of activity, as well as</w:t>
            </w:r>
          </w:p>
        </w:tc>
      </w:tr>
      <w:tr>
        <w:trPr>
          <w:trHeight w:val="234"/>
        </w:trPr>
        <w:tc>
          <w:tcPr>
            <w:tcW w:w="182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focus on revenue from readers of the financial statements.</w:t>
            </w:r>
          </w:p>
        </w:tc>
      </w:tr>
      <w:tr>
        <w:trPr>
          <w:trHeight w:val="445"/>
        </w:trPr>
        <w:tc>
          <w:tcPr>
            <w:tcW w:w="1820" w:type="dxa"/>
            <w:vAlign w:val="bottom"/>
          </w:tcPr>
          <w:p>
            <w:pPr>
              <w:spacing w:after="0"/>
              <w:rPr>
                <w:sz w:val="24"/>
                <w:szCs w:val="24"/>
                <w:color w:val="auto"/>
              </w:rPr>
            </w:pPr>
          </w:p>
        </w:tc>
        <w:tc>
          <w:tcPr>
            <w:tcW w:w="942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65</w:t>
            </w:r>
          </w:p>
        </w:tc>
      </w:tr>
      <w:tr>
        <w:trPr>
          <w:trHeight w:val="115"/>
        </w:trPr>
        <w:tc>
          <w:tcPr>
            <w:tcW w:w="182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ind w:left="20"/>
        <w:spacing w:after="0" w:line="31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certain of the Company’s revenue recognition process, including controls designed to mitigate the risk of override of controls. This included testing controls over management’s review of manual journal entries and revenue related account reconciliations.</w:t>
      </w:r>
    </w:p>
    <w:p>
      <w:pPr>
        <w:spacing w:after="0" w:line="176" w:lineRule="exact"/>
        <w:rPr>
          <w:sz w:val="20"/>
          <w:szCs w:val="20"/>
          <w:color w:val="auto"/>
        </w:rPr>
      </w:pPr>
    </w:p>
    <w:p>
      <w:pPr>
        <w:sectPr>
          <w:pgSz w:w="11900" w:h="16838" w:orient="portrait"/>
          <w:cols w:equalWidth="0" w:num="2">
            <w:col w:w="1680" w:space="280"/>
            <w:col w:w="9260"/>
          </w:cols>
          <w:pgMar w:left="320" w:top="349" w:right="359" w:bottom="1440" w:gutter="0" w:footer="0" w:header="0"/>
        </w:sectPr>
      </w:pPr>
    </w:p>
    <w:p>
      <w:pPr>
        <w:jc w:val="both"/>
        <w:ind w:left="1960"/>
        <w:spacing w:after="0" w:line="256" w:lineRule="auto"/>
        <w:rPr>
          <w:sz w:val="20"/>
          <w:szCs w:val="20"/>
          <w:color w:val="auto"/>
        </w:rPr>
      </w:pPr>
      <w:r>
        <w:rPr>
          <w:rFonts w:ascii="Times New Roman" w:cs="Times New Roman" w:eastAsia="Times New Roman" w:hAnsi="Times New Roman"/>
          <w:sz w:val="18"/>
          <w:szCs w:val="18"/>
          <w:color w:val="auto"/>
        </w:rPr>
        <w:t>We substantively tested the Company’s revenue recognized for the year ended December 31, 2022, through a combination of data analytics and tests of details. Our audit procedures included, among others, performing a correlation analysis between the related accounts (i.e., revenue, deferred revenue, account receivables, and cash) and testing the existence of cash receipts tied to revenue recognition. Additionally, we reconciled revenue recognized to the Company’s general ledger to test completeness and performed substantive test of details over significant customers deemed to be key items and a representative sample of the remaining transactions.</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of Liability-Classified Awards</w:t>
      </w:r>
    </w:p>
    <w:p>
      <w:pPr>
        <w:sectPr>
          <w:pgSz w:w="11900" w:h="16838" w:orient="portrait"/>
          <w:cols w:equalWidth="0" w:num="1">
            <w:col w:w="11220"/>
          </w:cols>
          <w:pgMar w:left="320" w:top="349" w:right="359" w:bottom="1440" w:gutter="0" w:footer="0" w:header="0"/>
          <w:type w:val="continuous"/>
        </w:sectPr>
      </w:pPr>
    </w:p>
    <w:p>
      <w:pPr>
        <w:spacing w:after="0" w:line="254"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Matter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and Note 10 to the consolidated financial statements CarOffer has issued incentive units that are liability-classified awards because the awards can be put to the Company at a contractually defined formulaic purchase price such that the holders do not bear the risks and rewards associated with equity ownership.</w:t>
      </w:r>
    </w:p>
    <w:p>
      <w:pPr>
        <w:spacing w:after="0" w:line="176" w:lineRule="exact"/>
        <w:rPr>
          <w:sz w:val="20"/>
          <w:szCs w:val="20"/>
          <w:color w:val="auto"/>
        </w:rPr>
      </w:pPr>
    </w:p>
    <w:p>
      <w:pPr>
        <w:sectPr>
          <w:pgSz w:w="11900" w:h="16838" w:orient="portrait"/>
          <w:cols w:equalWidth="0" w:num="4">
            <w:col w:w="880" w:space="220"/>
            <w:col w:w="140" w:space="220"/>
            <w:col w:w="220" w:space="280"/>
            <w:col w:w="9260"/>
          </w:cols>
          <w:pgMar w:left="320" w:top="349" w:right="359" w:bottom="1440" w:gutter="0" w:footer="0" w:header="0"/>
          <w:type w:val="continuous"/>
        </w:sectPr>
      </w:pPr>
    </w:p>
    <w:p>
      <w:pPr>
        <w:jc w:val="both"/>
        <w:ind w:left="1960"/>
        <w:spacing w:after="0" w:line="255" w:lineRule="auto"/>
        <w:rPr>
          <w:sz w:val="20"/>
          <w:szCs w:val="20"/>
          <w:color w:val="auto"/>
        </w:rPr>
      </w:pPr>
      <w:r>
        <w:rPr>
          <w:rFonts w:ascii="Times New Roman" w:cs="Times New Roman" w:eastAsia="Times New Roman" w:hAnsi="Times New Roman"/>
          <w:sz w:val="18"/>
          <w:szCs w:val="18"/>
          <w:color w:val="auto"/>
        </w:rPr>
        <w:t>Auditing the Company's accounting for these liability-classified awards was complex due to the significant estimation uncertainty in the Company’s determination of the change in fair value of the awards of $21.1 million for the year ended December 31, 2022. The significant estimation uncertainty was primarily due to the complexity of the valuation models prepared by management to measure the fair value of the awards and the sensitivity of the respective fair values to the significant underlying assumptions. The significant assumptions used to estimate the fair value of the liability classified awards include certain assumptions that form the basis of the CarOffer equity value (e.g., EBITDA). These significant assumptions are especially challenging to audit as they are forward looking and could be affected by future economic and market conditions.</w:t>
      </w:r>
    </w:p>
    <w:p>
      <w:pPr>
        <w:sectPr>
          <w:pgSz w:w="11900" w:h="16838" w:orient="portrait"/>
          <w:cols w:equalWidth="0" w:num="1">
            <w:col w:w="11220"/>
          </w:cols>
          <w:pgMar w:left="320" w:top="349" w:right="359" w:bottom="1440" w:gutter="0" w:footer="0" w:header="0"/>
          <w:type w:val="continuous"/>
        </w:sectPr>
      </w:pPr>
    </w:p>
    <w:p>
      <w:pPr>
        <w:spacing w:after="0" w:line="214" w:lineRule="exact"/>
        <w:rPr>
          <w:sz w:val="20"/>
          <w:szCs w:val="20"/>
          <w:color w:val="auto"/>
        </w:rPr>
      </w:pPr>
    </w:p>
    <w:p>
      <w:pPr>
        <w:ind w:left="20"/>
        <w:spacing w:after="0" w:line="31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valuation of these liability-classified awards. This included testing controls over the Company’s estimation process supporting the recognition and measurement of liability-classified awards, as well as controls over management’s judgments and evaluation of underlying assumptions regarding the valuation.</w:t>
      </w:r>
    </w:p>
    <w:p>
      <w:pPr>
        <w:spacing w:after="0" w:line="180" w:lineRule="exact"/>
        <w:rPr>
          <w:sz w:val="20"/>
          <w:szCs w:val="20"/>
          <w:color w:val="auto"/>
        </w:rPr>
      </w:pPr>
    </w:p>
    <w:p>
      <w:pPr>
        <w:sectPr>
          <w:pgSz w:w="11900" w:h="16838" w:orient="portrait"/>
          <w:cols w:equalWidth="0" w:num="2">
            <w:col w:w="1680" w:space="280"/>
            <w:col w:w="9260"/>
          </w:cols>
          <w:pgMar w:left="320" w:top="349" w:right="359" w:bottom="1440" w:gutter="0" w:footer="0" w:header="0"/>
          <w:type w:val="continuous"/>
        </w:sectPr>
      </w:pPr>
    </w:p>
    <w:p>
      <w:pPr>
        <w:jc w:val="both"/>
        <w:ind w:left="1960"/>
        <w:spacing w:after="0" w:line="253" w:lineRule="auto"/>
        <w:rPr>
          <w:sz w:val="20"/>
          <w:szCs w:val="20"/>
          <w:color w:val="auto"/>
        </w:rPr>
      </w:pPr>
      <w:r>
        <w:rPr>
          <w:rFonts w:ascii="Times New Roman" w:cs="Times New Roman" w:eastAsia="Times New Roman" w:hAnsi="Times New Roman"/>
          <w:sz w:val="18"/>
          <w:szCs w:val="18"/>
          <w:color w:val="auto"/>
        </w:rPr>
        <w:t>Our audit procedures to test the estimated fair value included, among others, evaluating the Company’s valuation methodology used to estimate the fair value of the liability-classified awards. We involved our valuation professionals to assist with our evaluation of the methodology used by the Company. For example, our valuation professionals evaluated the model used by the Company and performed independent calculations to estimate the fair value of the liability classified awards. Additionally, we evaluated the significant assumptions used by the Company, primarily consisting of projected financial information of the acquired entity (e.g., EBITDA), and evaluated the completeness and accuracy of the underlying data supporting the significant assumptions and estimates. Specifically, when evaluating the assumptions related to the forecasted results and changes in the business that would drive these results, we compared the assumptions to historical results of the acquired entity and current industry and economic trends. We also performed a sensitivity analysis of the significant assumptions to evaluate the change in the fair values that would result from changes in the assumptions.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ectPr>
          <w:pgSz w:w="11900" w:h="16838" w:orient="portrait"/>
          <w:cols w:equalWidth="0" w:num="1">
            <w:col w:w="11220"/>
          </w:cols>
          <w:pgMar w:left="320" w:top="349" w:right="3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469,517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231,944</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0"/>
                <w:szCs w:val="20"/>
                <w:color w:val="auto"/>
              </w:rPr>
            </w:pPr>
          </w:p>
        </w:tc>
      </w:tr>
      <w:tr>
        <w:trPr>
          <w:trHeight w:val="215"/>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$1,809 and</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$420, respectively</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189,324</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prepaid income taxes and other current assets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contract costs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557,366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563,108</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40,128</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53,054</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83,915</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157,467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158,287</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60,609</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927,102</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3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accrued income taxes and other current liabilities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78,586</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170,709</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51,656</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57,519</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155,744</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251,925</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162,808</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per share; 10,000,000 shares authorized;</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9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$0.001 par value per share; 500,000,000 shares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authorized; 101,636,649 and 101,773,034 shares issued and outstanding at</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1"/>
                <w:szCs w:val="21"/>
                <w:color w:val="auto"/>
              </w:rPr>
            </w:pPr>
          </w:p>
        </w:tc>
      </w:tr>
      <w:tr>
        <w:trPr>
          <w:trHeight w:val="211"/>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$0.001 par value per share; 100,000,000 shares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15,999,173 and 15,999,173 shares issued and outstanding at</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413,092</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387,868</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323,043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129,258</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(1,644 )</w:t>
            </w:r>
          </w:p>
        </w:tc>
        <w:tc>
          <w:tcPr>
            <w:tcW w:w="5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r>
      <w:tr>
        <w:trPr>
          <w:trHeight w:val="237"/>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734,609</w:t>
            </w:r>
          </w:p>
        </w:tc>
        <w:tc>
          <w:tcPr>
            <w:tcW w:w="30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516,841</w:t>
            </w:r>
          </w:p>
        </w:tc>
        <w:tc>
          <w:tcPr>
            <w:tcW w:w="100" w:type="dxa"/>
            <w:vAlign w:val="bottom"/>
            <w:tcBorders>
              <w:top w:val="single" w:sz="8" w:color="CFF0FC"/>
            </w:tcBorders>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stockholders’ equity</w:t>
            </w:r>
          </w:p>
        </w:tc>
        <w:tc>
          <w:tcPr>
            <w:tcW w:w="98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927,102</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-5725795</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-5725795</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-4165600</wp:posOffset>
            </wp:positionV>
            <wp:extent cx="126873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68730" cy="1797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-3213735</wp:posOffset>
            </wp:positionV>
            <wp:extent cx="6858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-2588260</wp:posOffset>
            </wp:positionV>
            <wp:extent cx="685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-351155</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Marketplace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658,771</w:t>
            </w:r>
          </w:p>
        </w:tc>
        <w:tc>
          <w:tcPr>
            <w:tcW w:w="120" w:type="dxa"/>
            <w:vAlign w:val="bottom"/>
          </w:tcPr>
          <w:p>
            <w:pPr>
              <w:spacing w:after="0"/>
              <w:rPr>
                <w:sz w:val="20"/>
                <w:szCs w:val="20"/>
                <w:color w:val="auto"/>
              </w:rPr>
            </w:pP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237,635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195,127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758,629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1,655,035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100" w:type="dxa"/>
            <w:vAlign w:val="bottom"/>
            <w:shd w:val="clear" w:color="auto" w:fill="CFF0FC"/>
          </w:tcPr>
          <w:p>
            <w:pPr>
              <w:spacing w:after="0"/>
              <w:rPr>
                <w:sz w:val="20"/>
                <w:szCs w:val="20"/>
                <w:color w:val="auto"/>
              </w:rPr>
            </w:pPr>
          </w:p>
        </w:tc>
      </w:tr>
      <w:tr>
        <w:trPr>
          <w:trHeight w:val="243"/>
        </w:trPr>
        <w:tc>
          <w:tcPr>
            <w:tcW w:w="66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Marketplace</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42,706</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764,996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118,647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42,706</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657,553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508,745</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336,708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290,574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256,979</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technology, and development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85,726</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tcPr>
          <w:p>
            <w:pPr>
              <w:spacing w:after="0"/>
              <w:rPr>
                <w:sz w:val="20"/>
                <w:szCs w:val="20"/>
                <w:color w:val="auto"/>
              </w:rPr>
            </w:pPr>
          </w:p>
        </w:tc>
      </w:tr>
      <w:tr>
        <w:trPr>
          <w:trHeight w:val="237"/>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549,075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509,090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21"/>
                <w:szCs w:val="21"/>
                <w:color w:val="auto"/>
              </w:rPr>
            </w:pPr>
          </w:p>
        </w:tc>
      </w:tr>
      <w:tr>
        <w:trPr>
          <w:trHeight w:val="237"/>
        </w:trPr>
        <w:tc>
          <w:tcPr>
            <w:tcW w:w="66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top w:val="single" w:sz="8" w:color="CFF0FC"/>
            </w:tcBorders>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111,362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149,360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99,110</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00" w:type="dxa"/>
            <w:vAlign w:val="bottom"/>
          </w:tcPr>
          <w:p>
            <w:pPr>
              <w:spacing w:after="0"/>
              <w:rPr>
                <w:sz w:val="20"/>
                <w:szCs w:val="20"/>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110,373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redeemable noncontrolling interest</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(5,433 )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CarGurus, Inc.</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84,387</w:t>
            </w:r>
          </w:p>
        </w:tc>
        <w:tc>
          <w:tcPr>
            <w:tcW w:w="120" w:type="dxa"/>
            <w:vAlign w:val="bottom"/>
            <w:shd w:val="clear" w:color="auto" w:fill="CFF0FC"/>
          </w:tcPr>
          <w:p>
            <w:pPr>
              <w:spacing w:after="0"/>
              <w:rPr>
                <w:sz w:val="20"/>
                <w:szCs w:val="20"/>
                <w:color w:val="auto"/>
              </w:rPr>
            </w:pPr>
          </w:p>
        </w:tc>
        <w:tc>
          <w:tcPr>
            <w:tcW w:w="420" w:type="dxa"/>
            <w:vAlign w:val="bottom"/>
            <w:tcBorders>
              <w:top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109,244</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(109,398 )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193,785</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(Note 11)</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FF0FC"/>
          </w:tcPr>
          <w:p>
            <w:pPr>
              <w:spacing w:after="0"/>
              <w:rPr>
                <w:sz w:val="22"/>
                <w:szCs w:val="22"/>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of common stock used in</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computing net income (loss) per share attributable to common stockholders:</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118,474,991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117,142,062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112,854,524</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128,150,974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117,142,062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113,849,815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-4285615</wp:posOffset>
            </wp:positionV>
            <wp:extent cx="7683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-4285615</wp:posOffset>
            </wp:positionV>
            <wp:extent cx="6858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-3034030</wp:posOffset>
            </wp:positionV>
            <wp:extent cx="76835"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-3034030</wp:posOffset>
            </wp:positionV>
            <wp:extent cx="6858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-2407920</wp:posOffset>
            </wp:positionV>
            <wp:extent cx="76835"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-2407920</wp:posOffset>
            </wp:positionV>
            <wp:extent cx="6858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-1139190</wp:posOffset>
            </wp:positionV>
            <wp:extent cx="2091690"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91690" cy="1803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-805180</wp:posOffset>
            </wp:positionV>
            <wp:extent cx="2091690"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91690" cy="205740"/>
                    </a:xfrm>
                    <a:prstGeom prst="rect">
                      <a:avLst/>
                    </a:prstGeom>
                    <a:noFill/>
                  </pic:spPr>
                </pic:pic>
              </a:graphicData>
            </a:graphic>
          </wp:anchor>
        </w:drawing>
      </w:r>
    </w:p>
    <w:p>
      <w:pPr>
        <w:spacing w:after="0" w:line="205" w:lineRule="exact"/>
        <w:rPr>
          <w:sz w:val="20"/>
          <w:szCs w:val="20"/>
          <w:color w:val="auto"/>
        </w:rPr>
      </w:pPr>
    </w:p>
    <w:p>
      <w:pPr>
        <w:ind w:left="520" w:right="20" w:hanging="512"/>
        <w:spacing w:after="0" w:line="223" w:lineRule="auto"/>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depreciation and amortization expense for the years ended December 31, 2022, 2021, and 2020 of $29,852, $26,061, and $5,224, respectively.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110,373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(1,241 )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(2,283 )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Consolidated comprehensive income</w:t>
            </w:r>
          </w:p>
        </w:tc>
        <w:tc>
          <w:tcPr>
            <w:tcW w:w="8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77,713</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108,090</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(loss) income attributable to redeemable noncontrolling</w:t>
            </w:r>
          </w:p>
        </w:tc>
        <w:tc>
          <w:tcPr>
            <w:tcW w:w="820" w:type="dxa"/>
            <w:vAlign w:val="bottom"/>
            <w:shd w:val="clear" w:color="auto" w:fill="CFF0FC"/>
          </w:tcPr>
          <w:p>
            <w:pPr>
              <w:spacing w:after="0"/>
              <w:rPr>
                <w:sz w:val="18"/>
                <w:szCs w:val="18"/>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(5,433 )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82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CarGurus, Inc.</w:t>
            </w: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83,146</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106,961</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-633730</wp:posOffset>
            </wp:positionV>
            <wp:extent cx="76835"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68580"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Noncontrolling Interest and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740" w:type="dxa"/>
            <w:vAlign w:val="bottom"/>
            <w:tcBorders>
              <w:right w:val="single" w:sz="8" w:color="auto"/>
            </w:tcBorders>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100" w:type="dxa"/>
            <w:vAlign w:val="bottom"/>
          </w:tcPr>
          <w:p>
            <w:pPr>
              <w:spacing w:after="0"/>
              <w:rPr>
                <w:sz w:val="10"/>
                <w:szCs w:val="10"/>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vMerge w:val="restart"/>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700" w:type="dxa"/>
            <w:vAlign w:val="bottom"/>
          </w:tcPr>
          <w:p>
            <w:pPr>
              <w:spacing w:after="0"/>
              <w:rPr>
                <w:sz w:val="9"/>
                <w:szCs w:val="9"/>
                <w:color w:val="auto"/>
              </w:rPr>
            </w:pPr>
          </w:p>
        </w:tc>
        <w:tc>
          <w:tcPr>
            <w:tcW w:w="740" w:type="dxa"/>
            <w:vAlign w:val="bottom"/>
            <w:tcBorders>
              <w:right w:val="single" w:sz="8" w:color="auto"/>
            </w:tcBorders>
            <w:gridSpan w:val="3"/>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Noncontrolli</w:t>
            </w:r>
          </w:p>
        </w:tc>
        <w:tc>
          <w:tcPr>
            <w:tcW w:w="10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3"/>
          </w:tcPr>
          <w:p>
            <w:pPr>
              <w:jc w:val="right"/>
              <w:ind w:right="280"/>
              <w:spacing w:after="0" w:line="11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rPr>
              <w:t>Comprehens</w:t>
            </w:r>
          </w:p>
        </w:tc>
        <w:tc>
          <w:tcPr>
            <w:tcW w:w="140" w:type="dxa"/>
            <w:vAlign w:val="bottom"/>
          </w:tcPr>
          <w:p>
            <w:pPr>
              <w:spacing w:after="0"/>
              <w:rPr>
                <w:sz w:val="9"/>
                <w:szCs w:val="9"/>
                <w:color w:val="auto"/>
              </w:rPr>
            </w:pPr>
          </w:p>
        </w:tc>
        <w:tc>
          <w:tcPr>
            <w:tcW w:w="660" w:type="dxa"/>
            <w:vAlign w:val="bottom"/>
            <w:gridSpan w:val="2"/>
          </w:tcPr>
          <w:p>
            <w:pPr>
              <w:jc w:val="right"/>
              <w:ind w:right="340"/>
              <w:spacing w:after="0" w:line="111"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ng</w:t>
            </w:r>
          </w:p>
        </w:tc>
        <w:tc>
          <w:tcPr>
            <w:tcW w:w="100" w:type="dxa"/>
            <w:vAlign w:val="bottom"/>
          </w:tcPr>
          <w:p>
            <w:pPr>
              <w:spacing w:after="0"/>
              <w:rPr>
                <w:sz w:val="12"/>
                <w:szCs w:val="12"/>
                <w:color w:val="auto"/>
              </w:rPr>
            </w:pPr>
          </w:p>
        </w:tc>
        <w:tc>
          <w:tcPr>
            <w:tcW w:w="1720" w:type="dxa"/>
            <w:vAlign w:val="bottom"/>
            <w:gridSpan w:val="5"/>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340" w:type="dxa"/>
            <w:vAlign w:val="bottom"/>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2"/>
                <w:szCs w:val="12"/>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00" w:type="dxa"/>
            <w:vAlign w:val="bottom"/>
          </w:tcPr>
          <w:p>
            <w:pPr>
              <w:spacing w:after="0"/>
              <w:rPr>
                <w:sz w:val="12"/>
                <w:szCs w:val="12"/>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88"/>
              </w:rPr>
              <w:t>ive</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13"/>
        </w:trPr>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320"/>
              <w:spacing w:after="0" w:line="113"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2"/>
                <w:szCs w:val="12"/>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4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9"/>
        </w:trPr>
        <w:tc>
          <w:tcPr>
            <w:tcW w:w="370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color w:val="auto"/>
              </w:rPr>
              <w:t>Balance as of December 31, 2019</w:t>
            </w: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91,819,64</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20,314,64</w:t>
            </w:r>
          </w:p>
        </w:tc>
        <w:tc>
          <w:tcPr>
            <w:tcW w:w="24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FF0FC"/>
          </w:tcPr>
          <w:p>
            <w:pPr>
              <w:ind w:left="37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205,234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51,859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(350 )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256,855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46,996</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46,996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352,212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 units</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1,347,464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78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Payment of withholding taxes on net share settlements of restricted stock</w:t>
            </w: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units</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(447,160 )</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(11,184 )</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(11,184 )</w:t>
            </w: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Conversion of common stock</w:t>
            </w: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(1,238,14</w:t>
            </w: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1,238,144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4 )</w:t>
            </w:r>
          </w:p>
        </w:tc>
        <w:tc>
          <w:tcPr>
            <w:tcW w:w="5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w w:val="89"/>
              </w:rPr>
              <w:t>(1 )</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0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color w:val="auto"/>
              </w:rPr>
              <w:t>Balance as of December 31, 2020</w:t>
            </w: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94,310,30</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19,076,50</w:t>
            </w:r>
          </w:p>
        </w:tc>
        <w:tc>
          <w:tcPr>
            <w:tcW w:w="24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242,181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129,412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373,586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56,772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56,772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222,147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 units</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1,575,206</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78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Payment of withholding taxes on net share settlements of restricted stock</w:t>
            </w: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units</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(527,237 )</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(15,388 )</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(15,388 )</w:t>
            </w: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Conversion of common stock</w:t>
            </w: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(3,077,32</w:t>
            </w: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3,077,327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7 )</w:t>
            </w:r>
          </w:p>
        </w:tc>
        <w:tc>
          <w:tcPr>
            <w:tcW w:w="5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w w:val="89"/>
              </w:rPr>
              <w:t>(3 )</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Issuance of common stock upon for acquisition</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3,115,282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Acquisition of a 51% interest in CarOffer, LLC</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60,982</w:t>
            </w:r>
          </w:p>
        </w:tc>
        <w:tc>
          <w:tcPr>
            <w:tcW w:w="1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Accretion of redeemable noncontrolling interest to redemption value</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109,398</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(109,398 )</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(109,398 )</w:t>
            </w: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Tax distributions to redeemable noncontrolling interest holders</w:t>
            </w:r>
          </w:p>
        </w:tc>
        <w:tc>
          <w:tcPr>
            <w:tcW w:w="6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(8,701 )</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(2,283 )</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(2,283 )</w:t>
            </w:r>
          </w:p>
        </w:tc>
        <w:tc>
          <w:tcPr>
            <w:tcW w:w="0" w:type="dxa"/>
            <w:vAlign w:val="bottom"/>
          </w:tcPr>
          <w:p>
            <w:pPr>
              <w:spacing w:after="0"/>
              <w:rPr>
                <w:sz w:val="1"/>
                <w:szCs w:val="1"/>
                <w:color w:val="auto"/>
              </w:rPr>
            </w:pPr>
          </w:p>
        </w:tc>
      </w:tr>
      <w:tr>
        <w:trPr>
          <w:trHeight w:val="119"/>
        </w:trPr>
        <w:tc>
          <w:tcPr>
            <w:tcW w:w="370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color w:val="auto"/>
              </w:rPr>
              <w:t>Balance as of December 31, 2021</w:t>
            </w: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101,773,0</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15,999,17</w:t>
            </w:r>
          </w:p>
        </w:tc>
        <w:tc>
          <w:tcPr>
            <w:tcW w:w="24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162,808</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387,868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129,258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(403 )</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Net (loss) income</w:t>
            </w:r>
          </w:p>
        </w:tc>
        <w:tc>
          <w:tcPr>
            <w:tcW w:w="6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(5,433 )</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59,245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59,245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 units</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1,649,294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78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Payment of withholding taxes on net share settlements of restricted stock</w:t>
            </w: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units</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(566,267 )</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(16,025 )</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(16,025 )</w:t>
            </w: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(1,350,473 )</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(1 )</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(18,716 )</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(18,717 )</w:t>
            </w: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Accretion of redeemable noncontrolling interest to redemption value</w:t>
            </w:r>
          </w:p>
        </w:tc>
        <w:tc>
          <w:tcPr>
            <w:tcW w:w="6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(109,398 )</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109,398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Tax distributions to redeemable noncontrolling interest holders</w:t>
            </w:r>
          </w:p>
        </w:tc>
        <w:tc>
          <w:tcPr>
            <w:tcW w:w="6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(11,228 )</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(1,241 )</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(1,241 )</w:t>
            </w:r>
          </w:p>
        </w:tc>
        <w:tc>
          <w:tcPr>
            <w:tcW w:w="0" w:type="dxa"/>
            <w:vAlign w:val="bottom"/>
          </w:tcPr>
          <w:p>
            <w:pPr>
              <w:spacing w:after="0"/>
              <w:rPr>
                <w:sz w:val="1"/>
                <w:szCs w:val="1"/>
                <w:color w:val="auto"/>
              </w:rPr>
            </w:pPr>
          </w:p>
        </w:tc>
      </w:tr>
      <w:tr>
        <w:trPr>
          <w:trHeight w:val="119"/>
        </w:trPr>
        <w:tc>
          <w:tcPr>
            <w:tcW w:w="370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color w:val="auto"/>
              </w:rPr>
              <w:t>Balance as of December 31, 2022</w:t>
            </w: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101,636,6</w:t>
            </w: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15,999,17</w:t>
            </w:r>
          </w:p>
        </w:tc>
        <w:tc>
          <w:tcPr>
            <w:tcW w:w="24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36,749</w:t>
            </w: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16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413,092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323,043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(1,644 )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734,609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-24765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-24765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8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78,954</w:t>
            </w:r>
          </w:p>
        </w:tc>
        <w:tc>
          <w:tcPr>
            <w:tcW w:w="100" w:type="dxa"/>
            <w:vAlign w:val="bottom"/>
          </w:tcPr>
          <w:p>
            <w:pPr>
              <w:spacing w:after="0"/>
              <w:rPr>
                <w:sz w:val="15"/>
                <w:szCs w:val="15"/>
                <w:color w:val="auto"/>
              </w:rPr>
            </w:pP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110,373</w:t>
            </w:r>
          </w:p>
        </w:tc>
        <w:tc>
          <w:tcPr>
            <w:tcW w:w="26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5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to reconcile consolidated net income to net cash provided</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by operating activities:</w:t>
            </w:r>
          </w:p>
        </w:tc>
        <w:tc>
          <w:tcPr>
            <w:tcW w:w="8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Currency loss (gain) on foreign denominated transactions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(70 )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taxes</w:t>
            </w: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(22,114 )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53,525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152,954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(174,771 )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(17,318 )</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 expenses, prepaid income taxes, and other assets</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(6,573 )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(5,068 )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costs</w:t>
            </w: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(13,697 )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(7,714 )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(11,378 )</w:t>
            </w:r>
          </w:p>
        </w:tc>
        <w:tc>
          <w:tcPr>
            <w:tcW w:w="0" w:type="dxa"/>
            <w:vAlign w:val="bottom"/>
          </w:tcPr>
          <w:p>
            <w:pPr>
              <w:spacing w:after="0"/>
              <w:rPr>
                <w:sz w:val="1"/>
                <w:szCs w:val="1"/>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(35,047 )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35,397</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(15,077 )</w:t>
            </w: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accrued income taxes, and other liabilities</w:t>
            </w: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(25,077 )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(861 )</w:t>
            </w: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obligations</w:t>
            </w: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(546 )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(542 )</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256,106</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98,292</w:t>
            </w: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156,743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(5,924 )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(7,713 )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(2,952 )</w:t>
            </w: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Capitalization of website development costs</w:t>
            </w: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(11,346 )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(6,163 )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(4,579 )</w:t>
            </w:r>
          </w:p>
        </w:tc>
        <w:tc>
          <w:tcPr>
            <w:tcW w:w="0" w:type="dxa"/>
            <w:vAlign w:val="bottom"/>
          </w:tcPr>
          <w:p>
            <w:pPr>
              <w:spacing w:after="0"/>
              <w:rPr>
                <w:sz w:val="1"/>
                <w:szCs w:val="1"/>
                <w:color w:val="auto"/>
              </w:rPr>
            </w:pPr>
          </w:p>
        </w:tc>
      </w:tr>
      <w:tr>
        <w:trPr>
          <w:trHeight w:val="17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(64,273 )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(21,056 )</w:t>
            </w: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certificates of deposit</w:t>
            </w:r>
          </w:p>
        </w:tc>
        <w:tc>
          <w:tcPr>
            <w:tcW w:w="840" w:type="dxa"/>
            <w:vAlign w:val="bottom"/>
          </w:tcPr>
          <w:p>
            <w:pPr>
              <w:spacing w:after="0"/>
              <w:rPr>
                <w:sz w:val="15"/>
                <w:szCs w:val="15"/>
                <w:color w:val="auto"/>
              </w:rPr>
            </w:pPr>
          </w:p>
        </w:tc>
        <w:tc>
          <w:tcPr>
            <w:tcW w:w="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(120,000 )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(100,000 )</w:t>
            </w:r>
          </w:p>
        </w:tc>
        <w:tc>
          <w:tcPr>
            <w:tcW w:w="0" w:type="dxa"/>
            <w:vAlign w:val="bottom"/>
          </w:tcPr>
          <w:p>
            <w:pPr>
              <w:spacing w:after="0"/>
              <w:rPr>
                <w:sz w:val="1"/>
                <w:szCs w:val="1"/>
                <w:color w:val="auto"/>
              </w:rPr>
            </w:pPr>
          </w:p>
        </w:tc>
      </w:tr>
      <w:tr>
        <w:trPr>
          <w:trHeight w:val="175"/>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Maturities of certificates of deposit</w:t>
            </w:r>
          </w:p>
        </w:tc>
        <w:tc>
          <w:tcPr>
            <w:tcW w:w="8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111,692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(68,149 )</w:t>
            </w:r>
          </w:p>
        </w:tc>
        <w:tc>
          <w:tcPr>
            <w:tcW w:w="32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(16,895 )</w:t>
            </w:r>
          </w:p>
        </w:tc>
        <w:tc>
          <w:tcPr>
            <w:tcW w:w="0" w:type="dxa"/>
            <w:vAlign w:val="bottom"/>
          </w:tcPr>
          <w:p>
            <w:pPr>
              <w:spacing w:after="0"/>
              <w:rPr>
                <w:sz w:val="1"/>
                <w:szCs w:val="1"/>
                <w:color w:val="auto"/>
              </w:rPr>
            </w:pPr>
          </w:p>
        </w:tc>
      </w:tr>
      <w:tr>
        <w:trPr>
          <w:trHeight w:val="16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upon exercise of stock options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 of finance lease obligations</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(39 )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withholding taxes on net share settlements of restricted stock units</w:t>
            </w: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(16,022 )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(15,388 )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(11,184 )</w:t>
            </w:r>
          </w:p>
        </w:tc>
        <w:tc>
          <w:tcPr>
            <w:tcW w:w="0" w:type="dxa"/>
            <w:vAlign w:val="bottom"/>
          </w:tcPr>
          <w:p>
            <w:pPr>
              <w:spacing w:after="0"/>
              <w:rPr>
                <w:sz w:val="1"/>
                <w:szCs w:val="1"/>
                <w:color w:val="auto"/>
              </w:rPr>
            </w:pPr>
          </w:p>
        </w:tc>
      </w:tr>
      <w:tr>
        <w:trPr>
          <w:trHeight w:val="17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(14,428 )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840" w:type="dxa"/>
            <w:vAlign w:val="bottom"/>
          </w:tcPr>
          <w:p>
            <w:pPr>
              <w:spacing w:after="0"/>
              <w:rPr>
                <w:sz w:val="15"/>
                <w:szCs w:val="15"/>
                <w:color w:val="auto"/>
              </w:rPr>
            </w:pPr>
          </w:p>
        </w:tc>
        <w:tc>
          <w:tcPr>
            <w:tcW w:w="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(14,250 )</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(2,578 )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tax distributions to redeemable noncontrolling interest holders</w:t>
            </w: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(19,913 )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gross advance payments received from third-party payment processor</w:t>
            </w:r>
          </w:p>
        </w:tc>
        <w:tc>
          <w:tcPr>
            <w:tcW w:w="8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(40,332 )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46,822</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(92,620 )</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17,808</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(10,085 )</w:t>
            </w:r>
          </w:p>
        </w:tc>
        <w:tc>
          <w:tcPr>
            <w:tcW w:w="0" w:type="dxa"/>
            <w:vAlign w:val="bottom"/>
          </w:tcPr>
          <w:p>
            <w:pPr>
              <w:spacing w:after="0"/>
              <w:rPr>
                <w:sz w:val="1"/>
                <w:szCs w:val="1"/>
                <w:color w:val="auto"/>
              </w:rPr>
            </w:pPr>
          </w:p>
        </w:tc>
      </w:tr>
      <w:tr>
        <w:trPr>
          <w:trHeight w:val="16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Impact of foreign currency on cash, cash equivalents, and restricted cash</w:t>
            </w:r>
          </w:p>
        </w:tc>
        <w:tc>
          <w:tcPr>
            <w:tcW w:w="8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2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47,354</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248,280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200,926</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70,723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484,132</w:t>
            </w:r>
          </w:p>
        </w:tc>
        <w:tc>
          <w:tcPr>
            <w:tcW w:w="100" w:type="dxa"/>
            <w:vAlign w:val="bottom"/>
          </w:tcPr>
          <w:p>
            <w:pPr>
              <w:spacing w:after="0"/>
              <w:rPr>
                <w:sz w:val="14"/>
                <w:szCs w:val="14"/>
                <w:color w:val="auto"/>
              </w:rPr>
            </w:pP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248,280</w:t>
            </w:r>
          </w:p>
        </w:tc>
        <w:tc>
          <w:tcPr>
            <w:tcW w:w="26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27,520</w:t>
            </w:r>
          </w:p>
        </w:tc>
        <w:tc>
          <w:tcPr>
            <w:tcW w:w="26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paid for operating lease liabilities</w:t>
            </w:r>
          </w:p>
        </w:tc>
        <w:tc>
          <w:tcPr>
            <w:tcW w:w="840" w:type="dxa"/>
            <w:vAlign w:val="bottom"/>
            <w:tcBorders>
              <w:top w:val="single" w:sz="8" w:color="auto"/>
              <w:bottom w:val="single" w:sz="8" w:color="auto"/>
            </w:tcBorders>
            <w:shd w:val="clear" w:color="auto" w:fill="CFF0FC"/>
          </w:tcPr>
          <w:p>
            <w:pPr>
              <w:jc w:val="right"/>
              <w:ind w:right="6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17,548</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16,168</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14,941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paid for interest</w:t>
            </w:r>
          </w:p>
        </w:tc>
        <w:tc>
          <w:tcPr>
            <w:tcW w:w="840" w:type="dxa"/>
            <w:vAlign w:val="bottom"/>
          </w:tcPr>
          <w:p>
            <w:pPr>
              <w:jc w:val="right"/>
              <w:ind w:right="6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3"/>
                <w:szCs w:val="13"/>
                <w:color w:val="auto"/>
              </w:rPr>
            </w:pPr>
          </w:p>
        </w:tc>
        <w:tc>
          <w:tcPr>
            <w:tcW w:w="46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noncash disclosure of cash flow information:</w:t>
            </w:r>
          </w:p>
        </w:tc>
        <w:tc>
          <w:tcPr>
            <w:tcW w:w="8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Unpaid purchases of property and equipment, capitalized website</w:t>
            </w:r>
          </w:p>
        </w:tc>
        <w:tc>
          <w:tcPr>
            <w:tcW w:w="840" w:type="dxa"/>
            <w:vAlign w:val="bottom"/>
            <w:vMerge w:val="restart"/>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tcPr>
          <w:p>
            <w:pPr>
              <w:spacing w:after="0"/>
              <w:rPr>
                <w:sz w:val="12"/>
                <w:szCs w:val="12"/>
                <w:color w:val="auto"/>
              </w:rPr>
            </w:pPr>
          </w:p>
        </w:tc>
        <w:tc>
          <w:tcPr>
            <w:tcW w:w="4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60" w:type="dxa"/>
            <w:vAlign w:val="bottom"/>
          </w:tcPr>
          <w:p>
            <w:pPr>
              <w:spacing w:after="0"/>
              <w:rPr>
                <w:sz w:val="12"/>
                <w:szCs w:val="12"/>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development, capitalized internal-use software and capitalized</w:t>
            </w:r>
          </w:p>
        </w:tc>
        <w:tc>
          <w:tcPr>
            <w:tcW w:w="8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2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color w:val="auto"/>
              </w:rPr>
              <w:t>hosting arrangements</w:t>
            </w:r>
          </w:p>
        </w:tc>
        <w:tc>
          <w:tcPr>
            <w:tcW w:w="8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Unpaid repurchases of common stock</w:t>
            </w:r>
          </w:p>
        </w:tc>
        <w:tc>
          <w:tcPr>
            <w:tcW w:w="840" w:type="dxa"/>
            <w:vAlign w:val="bottom"/>
            <w:tcBorders>
              <w:top w:val="single" w:sz="8" w:color="auto"/>
              <w:bottom w:val="single" w:sz="8" w:color="auto"/>
            </w:tcBorders>
            <w:shd w:val="clear" w:color="auto" w:fill="CFF0FC"/>
          </w:tcPr>
          <w:p>
            <w:pPr>
              <w:jc w:val="right"/>
              <w:ind w:right="6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4,289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65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Capitalized stock-based compensation expense in website development and</w:t>
            </w:r>
          </w:p>
        </w:tc>
        <w:tc>
          <w:tcPr>
            <w:tcW w:w="840" w:type="dxa"/>
            <w:vAlign w:val="bottom"/>
            <w:vMerge w:val="restart"/>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100" w:type="dxa"/>
            <w:vAlign w:val="bottom"/>
          </w:tcPr>
          <w:p>
            <w:pPr>
              <w:spacing w:after="0"/>
              <w:rPr>
                <w:sz w:val="10"/>
                <w:szCs w:val="10"/>
                <w:color w:val="auto"/>
              </w:rPr>
            </w:pPr>
          </w:p>
        </w:tc>
        <w:tc>
          <w:tcPr>
            <w:tcW w:w="4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260" w:type="dxa"/>
            <w:vAlign w:val="bottom"/>
          </w:tcPr>
          <w:p>
            <w:pPr>
              <w:spacing w:after="0"/>
              <w:rPr>
                <w:sz w:val="10"/>
                <w:szCs w:val="10"/>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520" w:type="dxa"/>
            <w:vAlign w:val="bottom"/>
            <w:vMerge w:val="restart"/>
          </w:tcPr>
          <w:p>
            <w:pPr>
              <w:ind w:left="100"/>
              <w:spacing w:after="0" w:line="125" w:lineRule="exact"/>
              <w:rPr>
                <w:sz w:val="20"/>
                <w:szCs w:val="20"/>
                <w:color w:val="auto"/>
              </w:rPr>
            </w:pPr>
            <w:r>
              <w:rPr>
                <w:rFonts w:ascii="Times New Roman" w:cs="Times New Roman" w:eastAsia="Times New Roman" w:hAnsi="Times New Roman"/>
                <w:sz w:val="14"/>
                <w:szCs w:val="14"/>
                <w:color w:val="auto"/>
              </w:rPr>
              <w:t>internal-use software costs and hosting arrangements</w:t>
            </w:r>
          </w:p>
        </w:tc>
        <w:tc>
          <w:tcPr>
            <w:tcW w:w="8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6520" w:type="dxa"/>
            <w:vAlign w:val="bottom"/>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Obtaining a right-of-use asset in exchange for a finance lease liability</w:t>
            </w:r>
          </w:p>
        </w:tc>
        <w:tc>
          <w:tcPr>
            <w:tcW w:w="840" w:type="dxa"/>
            <w:vAlign w:val="bottom"/>
            <w:tcBorders>
              <w:top w:val="single" w:sz="8" w:color="auto"/>
              <w:bottom w:val="single" w:sz="8" w:color="auto"/>
            </w:tcBorders>
            <w:shd w:val="clear" w:color="auto" w:fill="CFF0FC"/>
          </w:tcPr>
          <w:p>
            <w:pPr>
              <w:jc w:val="right"/>
              <w:ind w:right="6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664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Obtaining a right-of-use asset in exchange for an operating lease liability</w:t>
            </w:r>
          </w:p>
        </w:tc>
        <w:tc>
          <w:tcPr>
            <w:tcW w:w="840" w:type="dxa"/>
            <w:vAlign w:val="bottom"/>
            <w:tcBorders>
              <w:bottom w:val="single" w:sz="8" w:color="auto"/>
            </w:tcBorders>
          </w:tcPr>
          <w:p>
            <w:pPr>
              <w:jc w:val="right"/>
              <w:ind w:right="6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9,845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12,336</w:t>
            </w:r>
          </w:p>
        </w:tc>
        <w:tc>
          <w:tcPr>
            <w:tcW w:w="260" w:type="dxa"/>
            <w:vAlign w:val="bottom"/>
          </w:tcPr>
          <w:p>
            <w:pPr>
              <w:spacing w:after="0"/>
              <w:rPr>
                <w:sz w:val="13"/>
                <w:szCs w:val="13"/>
                <w:color w:val="auto"/>
              </w:rPr>
            </w:pPr>
          </w:p>
        </w:tc>
        <w:tc>
          <w:tcPr>
            <w:tcW w:w="320" w:type="dxa"/>
            <w:vAlign w:val="bottom"/>
            <w:tcBorders>
              <w:bottom w:val="single" w:sz="8" w:color="auto"/>
            </w:tcBorders>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Issuance of stock for acquisition</w:t>
            </w:r>
          </w:p>
        </w:tc>
        <w:tc>
          <w:tcPr>
            <w:tcW w:w="840" w:type="dxa"/>
            <w:vAlign w:val="bottom"/>
            <w:tcBorders>
              <w:top w:val="single" w:sz="8" w:color="auto"/>
              <w:bottom w:val="single" w:sz="8" w:color="auto"/>
            </w:tcBorders>
            <w:shd w:val="clear" w:color="auto" w:fill="CFF0FC"/>
          </w:tcPr>
          <w:p>
            <w:pPr>
              <w:jc w:val="right"/>
              <w:ind w:right="6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103,645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Accretion of redeemable noncontrolling interest to redemption value</w:t>
            </w:r>
          </w:p>
        </w:tc>
        <w:tc>
          <w:tcPr>
            <w:tcW w:w="840" w:type="dxa"/>
            <w:vAlign w:val="bottom"/>
          </w:tcPr>
          <w:p>
            <w:pPr>
              <w:jc w:val="right"/>
              <w:ind w:right="6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w w:val="99"/>
              </w:rPr>
              <w:t>(109,398 )</w:t>
            </w:r>
          </w:p>
        </w:tc>
        <w:tc>
          <w:tcPr>
            <w:tcW w:w="46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109,398</w:t>
            </w:r>
          </w:p>
        </w:tc>
        <w:tc>
          <w:tcPr>
            <w:tcW w:w="260" w:type="dxa"/>
            <w:vAlign w:val="bottom"/>
          </w:tcPr>
          <w:p>
            <w:pPr>
              <w:spacing w:after="0"/>
              <w:rPr>
                <w:sz w:val="13"/>
                <w:szCs w:val="13"/>
                <w:color w:val="auto"/>
              </w:rPr>
            </w:pPr>
          </w:p>
        </w:tc>
        <w:tc>
          <w:tcPr>
            <w:tcW w:w="320" w:type="dxa"/>
            <w:vAlign w:val="bottom"/>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Accrued tax distributions to redeemable noncontrolling interest holders</w:t>
            </w:r>
          </w:p>
        </w:tc>
        <w:tc>
          <w:tcPr>
            <w:tcW w:w="840" w:type="dxa"/>
            <w:vAlign w:val="bottom"/>
            <w:tcBorders>
              <w:bottom w:val="single" w:sz="8" w:color="auto"/>
            </w:tcBorders>
            <w:shd w:val="clear" w:color="auto" w:fill="CFF0FC"/>
          </w:tcPr>
          <w:p>
            <w:pPr>
              <w:jc w:val="right"/>
              <w:ind w:right="6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8,701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-4379595</wp:posOffset>
            </wp:positionV>
            <wp:extent cx="68580"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-4379595</wp:posOffset>
            </wp:positionV>
            <wp:extent cx="68580"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-3702685</wp:posOffset>
            </wp:positionV>
            <wp:extent cx="68580" cy="1282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-3702685</wp:posOffset>
            </wp:positionV>
            <wp:extent cx="68580" cy="128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128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-2571115</wp:posOffset>
            </wp:positionV>
            <wp:extent cx="6858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-2571115</wp:posOffset>
            </wp:positionV>
            <wp:extent cx="6858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-2108200</wp:posOffset>
            </wp:positionV>
            <wp:extent cx="68580"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-2108200</wp:posOffset>
            </wp:positionV>
            <wp:extent cx="68580"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-1602105</wp:posOffset>
            </wp:positionV>
            <wp:extent cx="2125980"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25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2125980" cy="2311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25980" cy="23114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-573405</wp:posOffset>
            </wp:positionV>
            <wp:extent cx="212598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25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-299085</wp:posOffset>
            </wp:positionV>
            <wp:extent cx="212598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25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Description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CarGurus, Inc. (the "Company") is a multinational, online automotive platform for buying and selling vehicles that is building upon its industry-leading listings marketplace with both digital retail solutions and the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The Company uses proprietary technology, search algorithms and data analytics to bring trust, transparency and competitive pricing to the automotive shopping experience.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headquartered in Cambridge, Massachusetts and was incorporated in the State of Delaware on June 26, 2015.</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principally in the United States. In the United States, it also operates as independent brands the Autolist online marketplace, which it wholly owns, and the CarOffer, LLC (“CarOffer”) digital wholesale marketplace, in which it holds a 51% equity interest. In addition to the United States, the Company operates online marketplaces under the CarGurus brand in Canada and the United Kingdom. In the United Kingdom, it also operates as an independent brand the PistonHeads online marketplace, which it wholly owns. The Company also operated online marketplaces in Germany, Italy, and Spain until it ceased the operations of each of these marketplaces in the second quarter of 2020.</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subsidiaries in the United States, Canada, Ireland, and the United Kingdom and, prior to the first quarter of 2022, had two reportable segments – United States and International. Effective as of the first quarter of 2022, the Company revised its segment reporting from two reportable segments to one reportable segment. Effective as of the fourth quarter of 2022, the Company revised its segment reporting from one reportable segment to two reportable segments – U.S. Marketplace and Digital Wholesale. See Note 13 of these consolidated financial statements for further segment reporting and geographical information.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the Company disclosed total revenue in the consolidated income statements in the Company's Annual Report on Form 10-K for the year ended December 31, 2020, filed with the SEC on February 12, 2021, the accompanying consolidated income statements for the year ended December 31, 2020 present revenues disaggregated into marketplace, wholesale, and product revenues to conform to the prior and current year presentation, as a result of the acquisition of a 51% interest in CarOffer.</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the Company disclosed impairment of long-lived assets within depreciation and amortization in the consolidated statements of cash flows in the Company's Annual Report on Form 10-K for the year ended December 31, 2020 filed with the SEC on February 12, 2021, the accompanying consolidated statements of cash flows for the year ended December 31, 2020 present impairment of long-lived assets separately to conform to the prior and current year presentation, as impairments of long-lived assets were material for the year ended December 31,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Critical estimates relied upon in preparing the consolidated financial statements include the determination of sales allowance and variable consideration in the Company’s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the Company’s net deferred tax assets and related valuation allowance, the valuation of inventory, and the valuation of equity and liability-classified compensation awards. Accordingly, the Company considers these to be its critical accounting estimates, and believes that of the Company’s significant accounting policies, these involve the greatest degree of judgment and complexity.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routinely assesses the creditworthiness of its customers and does not require collateral. The Company generally has not experienced any material losses related to receivables from individual customers, or groups of customers. The majority of the Company's accounts receivable results from wholesale and product revenue transactions. The Company has had no material losses related to wholesale and product receivables as it does not release title to the vehicle until successfully collecting funds from the buying dealer. Titling is handled by the Company's payment processor and is held in escrow until it collects funds from the buying dealer (i.e., title is legally transferred from the selling party to the buying party upon signing of bill of sale, but title is held in escrow by the payment processor until payment is received). Due to these factors, no additional credit risk beyond amounts provided for collection losses is believed by management to be probable in the Company’s accounts receivable.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one customer accounted for 13% of net accounts receivable. As of December 31, 2021, two customers accounted for 47% and 18% of net accounts receivable, respectively. The remainder of the accounts receivable was dispersed among more than 1,000 customers. The customers who account for greater than 10% of net accounts receivable are related to wholesale and product receivables. The collection risk associated with these customers is mitigated because, as discussed above, the Company does not release title on vehicles until funds are successfully collected. Furthermore, there is no significant credit risk with respect to accounts receivable because, other than the receivables associated with these customers, credit risk with respect to accounts receivable is dispersed due to the large number of customers.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2022, 2021, and 2020, no individual customer accounted for more than 10% of total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200" w:lineRule="exact"/>
        <w:rPr>
          <w:sz w:val="20"/>
          <w:szCs w:val="20"/>
          <w:color w:val="auto"/>
        </w:rPr>
      </w:pPr>
    </w:p>
    <w:p>
      <w:pPr>
        <w:jc w:val="both"/>
        <w:ind w:firstLine="509"/>
        <w:spacing w:after="0" w:line="239" w:lineRule="exact"/>
        <w:rPr>
          <w:sz w:val="20"/>
          <w:szCs w:val="20"/>
          <w:color w:val="auto"/>
        </w:rPr>
      </w:pPr>
      <w:r>
        <w:rPr>
          <w:rFonts w:ascii="Times New Roman" w:cs="Times New Roman" w:eastAsia="Times New Roman" w:hAnsi="Times New Roman"/>
          <w:sz w:val="18"/>
          <w:szCs w:val="18"/>
          <w:color w:val="auto"/>
        </w:rPr>
        <w:t>Cash and cash equivalents primarily consist of cash on deposit with banks, and amounts held in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money market accounts. Cash equivalents are carried at cost, which approximates their fair market value.</w:t>
      </w:r>
    </w:p>
    <w:p>
      <w:pPr>
        <w:spacing w:after="0" w:line="199"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at the date of purchase to be cash equivalents. Investments not classified as cash equivalents with maturities less than one year from the balance sheet date are classified as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while investments with maturities in excess of one year from the balance sheet date are classified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Management determines the appropriate classification of investments at the time of purchase, and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evaluates such determination at each balance sheet date. Investments are carried at cost, which approximates their fair market value.</w:t>
      </w:r>
    </w:p>
    <w:p>
      <w:pPr>
        <w:spacing w:after="0" w:line="201" w:lineRule="exact"/>
        <w:rPr>
          <w:sz w:val="20"/>
          <w:szCs w:val="20"/>
          <w:color w:val="auto"/>
        </w:rPr>
      </w:pPr>
    </w:p>
    <w:p>
      <w:pPr>
        <w:jc w:val="both"/>
        <w:ind w:firstLine="509"/>
        <w:spacing w:after="0" w:line="229" w:lineRule="exact"/>
        <w:rPr>
          <w:sz w:val="20"/>
          <w:szCs w:val="20"/>
          <w:color w:val="auto"/>
        </w:rPr>
      </w:pPr>
      <w:r>
        <w:rPr>
          <w:rFonts w:ascii="Times New Roman" w:cs="Times New Roman" w:eastAsia="Times New Roman" w:hAnsi="Times New Roman"/>
          <w:sz w:val="18"/>
          <w:szCs w:val="18"/>
          <w:color w:val="auto"/>
        </w:rPr>
        <w:t>The Company’s investment policy, which was approved by the Audit Committee of the Company’s board of directors (the “Board”), permits investments in fixed income securities, including U.S. government and agency securities,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government securities, money market instruments, commercial paper, certificates of deposit, corporate bonds,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 Company held no investments.</w:t>
      </w:r>
    </w:p>
    <w:p>
      <w:pPr>
        <w:spacing w:after="0" w:line="225"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As of December 31, 2021, investments consisted of U.S. certificates of deposit (“CDs”) with remaining maturities of less than twelve months. The Company classifies CDs with readily determinable market values as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because it is the Company’s intention to hold such investments until they mature. As such, as of December 31, 2021, investments were recognized at amortized cost. The Company adjusts the cost of investments for amortization of premiums and accretion of discounts to maturity, if any. For the years ended December 31, 2021 and 2020, the Company did not have any premiums or discounts. Realized gains and losses from sales of the Company’s investments are recognized within other (expense) income, net in the consolidated income statements. For the years ended December 31, 2021 and 2020, there were no realized gains or losses on investments.</w:t>
      </w:r>
    </w:p>
    <w:p>
      <w:pPr>
        <w:spacing w:after="0" w:line="174" w:lineRule="exact"/>
        <w:rPr>
          <w:sz w:val="20"/>
          <w:szCs w:val="20"/>
          <w:color w:val="auto"/>
        </w:rPr>
      </w:pPr>
    </w:p>
    <w:p>
      <w:pPr>
        <w:jc w:val="both"/>
        <w:ind w:firstLine="509"/>
        <w:spacing w:after="0" w:line="223" w:lineRule="exact"/>
        <w:rPr>
          <w:sz w:val="20"/>
          <w:szCs w:val="20"/>
          <w:color w:val="auto"/>
        </w:rPr>
      </w:pPr>
      <w:r>
        <w:rPr>
          <w:rFonts w:ascii="Times New Roman" w:cs="Times New Roman" w:eastAsia="Times New Roman" w:hAnsi="Times New Roman"/>
          <w:sz w:val="18"/>
          <w:szCs w:val="18"/>
          <w:color w:val="auto"/>
        </w:rPr>
        <w:t>The Company reviews investments for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 whenever the fair value of an investment is less than the amortized cost and evidence indicates that an investment’s carrying amount is not recoverable within a reasonable period of time.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impairments of investments are recognized in the consolidated income statements if the Company has experienced a credit loss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 For the years ended December 31, 2021 and 2020, the Company determined that no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impairments were required to be recognized in the consolidated income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and 2021, restricted cash was $14,615 and $16,336, respectively, and primarily related to cash held at a financial institution in an interest-bearing cash account as collateral for the letters of credit related to the contractual provisions for the Company’s building leases and pass-through payments from customers related to the Company’s wholesale business. As of December 31, 2022 and 2021, portions of restricted cash were classified as short-term assets and long-term assets, as disclosed in the consolidated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based on the amount due from the customer and a third-party payment processor. Accounts receivable do not bear interest.</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exposed to credit losses primarily through its trade accounts receivable, which includes receivables in transit from a third-party payment processor. The third-party payment processor collects customer payments on the Company's behalf and remits them to the Company. Customer payments received by the third-party payment processor, but not remitted to the Company as of period end are deemed to be receivables in transit. Additionally, the third-party payment processor provides payments in advance for certain selling dealers. If the third-party payment processor does not receive buying dealer payments associated with the transaction paid in advance, the Company would guarantee losses incurred by the third-party payment processor and the balance would be deducted from future remittances to the Company. To date, losses associated with these guarantees have not been material. Payments received in advance are presented as cash flows from financing activities in the consolidated statements of cash flows.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offsets gross trade accounts receivables in transit from the third-party payment processor with payments received in advance from the third-party payment processor as it has the right of offset. At any point in time, the Company could have amounts due from the third-party payment processor for funds the third-party payment processor has collected from buying dealers and has not yet remitted to the Company (i.e. receivables in transit), as well as amounts paid by the third-party payment processor to the Company in advance of collecting payments from buying dealers (i.e. payments received in advance). Therefore, as the Company has the right to offset, the Company can either have a net receivable balance due from the third-party payment processor which is recognized within accounts receivable, or the Company can have a net liability which is recognized within accrued expenses if the advance payments exceed the receivable position from the third-party payment processor as of the balance sheet date.</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gross trade accounts receivable from receivables in transit from the third-party payment processor was $7,122, offset by payments received in advance of $6,490, which resulted in a net receivable of $632 recognized within accounts receivable, net in the consolidated balance sheets. As of December 31, 2021, gross trade accounts receivable from receivables in transit from the third-party payment processor was $18,747, offset by payments received in advance of $46,822, which resulted in a net liability of $28,075 recognized within accrued expenses, accrued income taxes and other current liabilities in the consolidated balance sheets.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also is exposed to credit losses primarily through its trade accounts receivable. The Company offsets gross trade accounts receivable with an allowance for doubtful accounts. The allowance for doubtful accounts is the Company’s best estimate of the amount of probable credit losses in the Company’s existing accounts receivable and is based upon historical loss trends, the number of days that billings are past due, an evaluation of the potential risk of loss associated with specific accounts, current economic trends and conditions, and reasonable and supportable forecasts of economic conditions. If circumstances relating to specific customers change, or unanticipated changes occur in the general business environment, particularly as it affects auto dealers, the Company’s estimates of the recoverability of receivables could be further adjusted.</w:t>
      </w:r>
    </w:p>
    <w:p>
      <w:pPr>
        <w:spacing w:after="0" w:line="187"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Provisions for allowances for doubtful accounts are recognized within general and administrative expense in the consolidated income statements. Amounts are charged against the allowance after all means of collection have been exhausted, the potential for recovery is considered remote and when it is determined that expected credit losses may occur. The Company does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credit exposure related to its customers. Unbilled accounts receivable generally relate to services rendered in the current period, but not invoiced until the subsequent period.</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changes in the Company’s allowance for doubtful accounts are as follows:</w:t>
      </w: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Write</w:t>
            </w:r>
            <w:r>
              <w:rPr>
                <w:rFonts w:ascii="Calibri" w:cs="Calibri" w:eastAsia="Calibri" w:hAnsi="Calibri"/>
                <w:sz w:val="14"/>
                <w:szCs w:val="14"/>
                <w:b w:val="1"/>
                <w:bCs w:val="1"/>
                <w:color w:val="auto"/>
              </w:rPr>
              <w:t>–</w:t>
            </w:r>
            <w:r>
              <w:rPr>
                <w:rFonts w:ascii="Times New Roman" w:cs="Times New Roman" w:eastAsia="Times New Roman" w:hAnsi="Times New Roman"/>
                <w:sz w:val="14"/>
                <w:szCs w:val="14"/>
                <w:b w:val="1"/>
                <w:bCs w:val="1"/>
                <w:color w:val="auto"/>
              </w:rPr>
              <w:t>offs,</w:t>
            </w:r>
          </w:p>
        </w:tc>
        <w:tc>
          <w:tcPr>
            <w:tcW w:w="104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450"/>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(1,195 )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$7,150 and $7,356, respectively was included in net accounts receivable, representing unbilled accounts receivable relating primarily to advertising customers invoiced in the period subsequent to services rendered.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inventory consists of inventory acquired through IMCO transactions, at other marketplaces, or in certain situations across all transactions, during arbitrations. The inventory is recognized in the consolidated balance sheets and is valued at the lower of cost or net realizable value. Cost is determined based on specific identification. In recording inventory at the lower of cost or net realizable value, the Company estimates potential future losses on inventory on hand based on historical losses and market trends. Estimated potential future losses on inventory may vary from actual results which could lead to material adjustments to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00" w:lineRule="exact"/>
        <w:rPr>
          <w:sz w:val="20"/>
          <w:szCs w:val="20"/>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Leasehold improvements and right-of-use assets are amortized over the lease term, or the estimated useful life of the related asset, if shorter. The estimated useful lives of the Company’s property and equipment are as follows: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7"/>
        </w:trPr>
        <w:tc>
          <w:tcPr>
            <w:tcW w:w="710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equipment</w:t>
            </w: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website development</w:t>
            </w: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247"/>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Lease term, or asset life if shorter</w:t>
            </w: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 term, or asset life if shorter</w:t>
            </w:r>
          </w:p>
        </w:tc>
      </w:tr>
    </w:tbl>
    <w:p>
      <w:pPr>
        <w:spacing w:after="0" w:line="20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as incurred, whereas major betterments are capitalized as additions to property and equipment.</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-51435</wp:posOffset>
            </wp:positionV>
            <wp:extent cx="6413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22" w:lineRule="exact"/>
        <w:rPr>
          <w:sz w:val="20"/>
          <w:szCs w:val="20"/>
          <w:color w:val="auto"/>
        </w:rPr>
      </w:pPr>
      <w:r>
        <w:rPr>
          <w:rFonts w:ascii="Times New Roman" w:cs="Times New Roman" w:eastAsia="Times New Roman" w:hAnsi="Times New Roman"/>
          <w:sz w:val="18"/>
          <w:szCs w:val="18"/>
          <w:color w:val="auto"/>
        </w:rPr>
        <w:t>The Company evaluates the recoverability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such as property and equipment and intangible assets, for impairment at least annually and whenever events or changes in circumstances indicate that the carrying value of an asset may not be recoverable. During this review, the Company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evaluates the significant assumptions used in determining the original cost and estimated lives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1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the Company wrote off $165 of Digital Wholesale segment capitalized website development costs within wholesale cost of revenue in the consolidated income statements related to certain developed technology in which the Company has decided to cease investment. For the year ended December 31, 2021, the Company wrote off $2,481 of U.S. Marketplace segment capitalized website development costs within operating expense in the consolidated income statements and $647 of U.S. Marketplace segment intangible assets within marketplace cost of revenue in the consolidated income statements related to certain developed technology in which the Company has decided to cease investment. For the year ended December 31, 2020, the Company wrote off $1,151 of capitalized website development costs, which are included in the Other category of segment reporting, of which $844 related to the exit of certain international markets in connection with the cost-savings initiative by the Company during the second quarter of 2020 (the "Expense Reduction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Website Development and Capitalized Internal-Use Software Costs</w:t>
      </w:r>
    </w:p>
    <w:p>
      <w:pPr>
        <w:spacing w:after="0" w:line="200" w:lineRule="exact"/>
        <w:rPr>
          <w:sz w:val="20"/>
          <w:szCs w:val="20"/>
          <w:color w:val="auto"/>
        </w:rPr>
      </w:pPr>
    </w:p>
    <w:p>
      <w:pPr>
        <w:jc w:val="both"/>
        <w:ind w:firstLine="509"/>
        <w:spacing w:after="0" w:line="221" w:lineRule="exact"/>
        <w:rPr>
          <w:sz w:val="20"/>
          <w:szCs w:val="20"/>
          <w:color w:val="auto"/>
        </w:rPr>
      </w:pPr>
      <w:r>
        <w:rPr>
          <w:rFonts w:ascii="Times New Roman" w:cs="Times New Roman" w:eastAsia="Times New Roman" w:hAnsi="Times New Roman"/>
          <w:sz w:val="18"/>
          <w:szCs w:val="18"/>
          <w:color w:val="auto"/>
        </w:rPr>
        <w:t>The Company capitalizes certain costs associated with the development of its websites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after the preliminary project stage is complete and until the website development or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project with the required authority, it is probable the project will be completed, the website development or software will be used to perform the functions intended and certain functional and quality standards have been met. Qualified costs incurred during the operating stage of its website development or software relating to upgrades and enhancements are capitalized to the extent it is probable that they will result in added functionality, while costs that cannot be separated between maintenance of, and minor upgrades and enhancements to, websites and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are expensed as incurred. Capitalized website development and capitalized internal-use software costs are recognized within property and equipment, net in the consolidated balance sheets.</w:t>
      </w:r>
    </w:p>
    <w:p>
      <w:pPr>
        <w:spacing w:after="0" w:line="173" w:lineRule="exact"/>
        <w:rPr>
          <w:sz w:val="20"/>
          <w:szCs w:val="20"/>
          <w:color w:val="auto"/>
        </w:rPr>
      </w:pPr>
    </w:p>
    <w:p>
      <w:pPr>
        <w:jc w:val="both"/>
        <w:ind w:firstLine="509"/>
        <w:spacing w:after="0" w:line="223" w:lineRule="exact"/>
        <w:rPr>
          <w:sz w:val="20"/>
          <w:szCs w:val="20"/>
          <w:color w:val="auto"/>
        </w:rPr>
      </w:pPr>
      <w:r>
        <w:rPr>
          <w:rFonts w:ascii="Times New Roman" w:cs="Times New Roman" w:eastAsia="Times New Roman" w:hAnsi="Times New Roman"/>
          <w:sz w:val="18"/>
          <w:szCs w:val="18"/>
          <w:color w:val="auto"/>
        </w:rPr>
        <w:t>Capitalized website development and capitalized internal-use software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life of three years beginning with the time when the product is ready for intended use. Amortization expenses related to capitalized website development costs are recognized within cost of revenue in the consolidated income statements. Amortization expenses related to capitalized internal-use software costs are recognized within the operating expense caption for depreciation and amortization in the consolidated income statements. The Company evaluates the useful lives of these assets when each asset is ready for its intended use, and at least annually thereafter to ensure three years remains appropriate. The Company also tests for impairment at least annually and whenever events or changes in circumstances occur that could impact the recoverability of these assets. Impairment is evaluated as discussed in the “Impairment of Long-lived Assets” section above.</w:t>
      </w:r>
    </w:p>
    <w:p>
      <w:pPr>
        <w:spacing w:after="0" w:line="1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capitalized website development costs were $14,496 and $8,190, respectively. During the years ended December 31, 2022 and 2021, capitalized internal-use software costs were $4,388 and $2,892, respectively.</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2021, and 2020, amortization expense associated with capitalized website development costs were $7,637, $3,705 and $3,324, respectively. For the year ended December 31, 2022 and 2021, amortization expense associated with capitalized internal-use software costs was $1,286 and $272, respectively. For the year ended December 31, 2020, no amortization expense associated with its capitalized internal-use software costs was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Hosting Arrangements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Capitalized implementation costs for hosting arrangements costs are recognized within prepaid expenses, prepaid income taxes and other current assets and within other non-current assets, as applicable, in the consolidated balance sheets.</w:t>
      </w:r>
    </w:p>
    <w:p>
      <w:pPr>
        <w:spacing w:after="0" w:line="133" w:lineRule="exact"/>
        <w:rPr>
          <w:sz w:val="20"/>
          <w:szCs w:val="20"/>
          <w:color w:val="auto"/>
        </w:rPr>
      </w:pPr>
    </w:p>
    <w:p>
      <w:pPr>
        <w:jc w:val="both"/>
        <w:ind w:firstLine="509"/>
        <w:spacing w:after="0" w:line="223" w:lineRule="exact"/>
        <w:rPr>
          <w:sz w:val="20"/>
          <w:szCs w:val="20"/>
          <w:color w:val="auto"/>
        </w:rPr>
      </w:pPr>
      <w:r>
        <w:rPr>
          <w:rFonts w:ascii="Times New Roman" w:cs="Times New Roman" w:eastAsia="Times New Roman" w:hAnsi="Times New Roman"/>
          <w:sz w:val="18"/>
          <w:szCs w:val="18"/>
          <w:color w:val="auto"/>
        </w:rPr>
        <w:t>Capitalized implementation costs for hosting arrangements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an estimated useful life of the term of the hosting arrangement, taking into consideration several other factors such as, but not limited to, options to extend the hosting arrangement or options to terminate the hosting arrangement, beginning with the time when the software is ready for intended use. Amortization expenses related to hosting arrangements costs are recognized within the same line item in the consolidated income statements as the expense for fees for the associated hosting arrangement. The Company evaluates the useful lives of these assets when each asset is ready for its intended use, and at least annually thereafter to ensure the selected useful life remains appropriate. The Company also tests for impairment at least annually and whenever events or changes in circumstances occur that could impact the recoverability of these assets. Impairment is evaluated as discussed in the “Impairment of Long-lived Assets” section above.</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2021, 2020, and 2019, the Company launched separate initiatives designed to enhance its hosting arrangements related to its enterprise applications. During the years ended December 31, 2022 and 2021, capitalized implementation costs were $3,196 and $3,842, respectively, and recognized within other non-current assets and within prepaid expenses, prepaid income taxes and other current assets, respectively, in the consolidated balance sheets.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amortization expense associated with hosting arrangements was $2,117, $1,761, and $690, respectively, and recognized within operating expense and cost of revenue in the consolidated income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Acquired Assets and Liabilities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consideration transferred in a business combination at its acquisition-date fair value. Consideration transferred is determined by the acquisition-date fair value of assets transferred, liabilities assumed, including contingent consideration obligations, as applicable. The Company measures goodwill as the excess of the consideration transferred over the net of the acquisition-date amounts of assets acquired less liabilities assumed.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makes significant assumptions and estimates in determining the fair value of the acquired assets and liabilities as of the acquisition date, especially the valuation of intangible assets and certain tax positions. The Company records estimates as of the acquisition date and reassess the estimates at each reporting period up to one year after the acquisition date. Changes in estimates made prior to finalization of purchase accounting are recognized within goodwill.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are recognized at their estimated fair value at the date of acquisition. Fair value is determined based on inputs and assumptions such as discount rates, rates of return on assets, and long-term sales growth rates.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amortizes intangible assets over their estimated useful lives on a straight-line basis. Useful lives are established based on analysis of all pertinent factors such as: the expected use of the asset, expected useful lives of related assets, provisions that may limit the useful life, historical experience with similar arrangements, effects of economic factors, demand, competition, obsolescence, and maintenance required to maintain the future cash flows. Amortization is recognized over the relevant estimated useful lives ranging from three to eleven years.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useful lives of these assets as of the acquisition date and at least annually thereafter to ensure the selected useful life remains appropriate. If the estimate of an intangible asset’s remaining useful life is changed, the Company amortizes the remaining carrying value of the intangible asset prospectively over the revised remaining useful life.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monitors its long-lived assets for impairment indicators on an ongoing basis in accordance with GAAP, and tests for impairment at least annually and whenever events or changes in circumstances occur that could impact the recoverability of these assets. If impairment indicators exist, the Company performs the required impairment analysis by comparing the undiscounted cash flows expected to be generated from the long-lived assets to the related net book values. Impairment is evaluated as discussed in the “Impairment of Long-Lived Assets” section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Goodwill is recognized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the Company's stock price for a sustained period or a reduction of its market capitalization relative to net book value.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impairment annually on October 1 by comparing the estimated fair value of each reporting unit to its carrying value. For the first three quarters of fiscal year 2022, the Company determined that it had two reporting units: Marketplace and CarOffer. The Company elected to bypass the optional qualitative test for impairment and proceed to Step 1, which is a quantitative impairment test. The Company estimates fair value using a market approach, based on market multiples derived from public companies that are identified as peers. As of October 1, 2022, the Company estimated forecasted revenue and gross margin for fiscal year 2022, and estimated revenue and gross margin market multiples using publicly available information for each of its reporting units. Developing these assumptions required the use of judgment and estimates. Actual results may differ from these forecasts.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0" w:name="page81"/>
    <w:bookmarkEnd w:id="80"/>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Subsequent to the Company’s evaluation of impairment on October 1, 2022, the Company revised its reporting units from two reporting units, Marketplace and CarOffer, to four reporting units, U.S. Marketplace, Digital Wholesale, United Kingdom Marketplace and Canada Marketplace. Because of the change in reporting units, the Company performed an additional goodwill impairment evaluation as of December 31. A consistent methodology was utilized, calculating the fair value of the reporting units using the market approach described previously. Revenue and gross margin actuals were utilized for the year ended December 31, 2022, and estimated revenue and gross margin market multiples were utilized based upon publicly available information for each of the reporting units. Developing these assumptions required the use of judgment and estimates. Actual results may differ from these forecasts.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Company did not identify any impairment of its goodwill.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acquisition of a 51% interest in CarOffer on January 14, 2021, the Company became a party with the noncontrolling equity holders of CarOffer to the CarOffer Operating Agreement (as defined in "Stock-Based Compensation" below), which, among other matters, sets forth certain put and call rights described in "Stock-Based Compensation" below. The CarOffer Operating Agreement provides the Company with the right to purchase, and the noncontrolling equity holders with the right to sell to the Company, the noncontrolling CarOffer equity holders’ equity interests in CarOffer at a contractually defined formulaic purchase price, which is based on a multiple of earnings. As the purchase is contingently redeemable at the option of the noncontrolling equity holders, the Company classifies the carrying amount of the redeemable noncontrolling interests within the mezzanine section in the consolidated balance sheet, which is presented above the equity section and below the liabilities section. As of the date of Closing (as defined in "Stock-Based Compensation" below), the noncontrolling interest was recognized at fair value computed using the Least Square Monte Carlo Simulation approach. Significant inputs to the model included market price of risk, volatility, correlation and risk-free rate.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Subsequent to the Company’s acquisition of the 51% interest on January 14, 2021, the redeemable noncontrolling interest is measured at the greater of the amount that would be paid if settlement occurred as of the balance sheet date based on the contractually defined redemption value and its carrying amount adjusted for net income (loss) attributable to the noncontrolling interest and tax distributions to redeemable noncontrolling interest holders. Adjustments to the carrying value of the redeemable noncontrolling interest resulting from changes in the redemption value are recognized within retained earnings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a lease liability for the obligation to make lease payments and a right-of-use asset for the right to use the underlying assets for the lease term. The Company reviews all material contracts for embedded leases to determine if they have a right-of-use asset. The Company made an accounting policy election to apply the practical expedient under ASC Topic 842, Leases, to not separate lease components from non-lease components for all leases.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lease period. The depreciable life of assets and leasehold improvements are limited by the expected lease term, unless there is a transfer of title or purchase option reasonably certain of exercise. The Company allocates lease costs across all departments based on headcount in the respective location.</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Variable lease payments that depend on an index or a rate are included in the lease payments and are measured using the prevailing index or rate at the measurement date. Variable lease payments not based on an index or a rate are excluded from lease payments and are expensed as incurred.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made an accounting policy election to not recognize a lease liability or right-of-use asset on its consolidated balance sheet for leases with an initial term of twelve months or less, and instead to recognize lease payments in the consolidated income statement on a straight-line basis over the lease term and variable lease payments that do not depend on an index or rate as expense in the period in which the achievement of the specified target that triggers the variable lease payments to become probable.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1" w:name="page82"/>
    <w:bookmarkEnd w:id="8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sublease income on a straight-line basis over the sublease period. The Company recognizes sublease income as an offset to rent expense within operating expenses in the consolidated income statements as subleasing is not a primary business activity of the Company and is meant to offset occupancy costs. For the year ended December 31, 2022, the Company recognized sublease income of $1,809. For the year ended December 31, 2021, there was no sublease income. For the year ended December 31, 2020, the Company recognized sublease income within other (expense) income, net in the consolidated income statements for an immaterial amount.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certain contingent liabilities that arise in the ordinary course of business activities. The Company accrues for loss contingencies when losses become probable and can be reasonably estimated. If the reasonable estimate of the loss is a range and no amount within the range is a better estimate, the minimum amount of the range is recognized as a liability. The Company does not accrue for contingent losses that, in its judgment, are considered to be reasonably possible, but not probable; however, it discloses the range of such reasonably possible losses, if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and taxes in foreign jurisdictions in which it operates. For the years ended December 31, 2022 and 2021, a provision for income taxes was recognized as a result of the consolidated taxable income position.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the asset and liability method. Under this method, deferred tax assets and liabilities are recognized based on temporary differences between the financial reporting and income tax bases of assets and liabilities using enacted tax rates in effect for the year in which the temporary differences are expected to be recovered or settled.</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This method requires a valuation allowance against net deferred tax assets if, based upon the available evidence, it is more likely than not that some or all of the deferred tax assets will not be realized. In performing this analysis, the Company considers future taxable income and ongoing prudent and feasible tax planning strategies to assess realizability. Actual results may differ from these forecasts. Valuation allowances are reassessed periodically to determine whether it is more likely than not that the tax benefits will be realized in the future and if any existing valuation allowance should be released. As of December 31, 2022 and 2021, valuation allowances were immaterial.</w:t>
      </w:r>
    </w:p>
    <w:p>
      <w:pPr>
        <w:spacing w:after="0" w:line="155" w:lineRule="exact"/>
        <w:rPr>
          <w:sz w:val="20"/>
          <w:szCs w:val="20"/>
          <w:color w:val="auto"/>
        </w:rPr>
      </w:pPr>
    </w:p>
    <w:p>
      <w:pPr>
        <w:jc w:val="both"/>
        <w:ind w:firstLine="509"/>
        <w:spacing w:after="0" w:line="221" w:lineRule="exact"/>
        <w:rPr>
          <w:sz w:val="20"/>
          <w:szCs w:val="20"/>
          <w:color w:val="auto"/>
        </w:rPr>
      </w:pPr>
      <w:r>
        <w:rPr>
          <w:rFonts w:ascii="Times New Roman" w:cs="Times New Roman" w:eastAsia="Times New Roman" w:hAnsi="Times New Roman"/>
          <w:sz w:val="18"/>
          <w:szCs w:val="18"/>
          <w:color w:val="auto"/>
        </w:rPr>
        <w:t>The Company accounts for uncertain tax positions by prescribing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for financial statement recognition and measurement of a tax position taken or expected to be taken in a tax return. The Company assesses its income tax positions and recognizes an income tax benefit or expense within the provision for income taxes in the consolidated income statements based upon management’s evaluation of the facts, circumstances, and information available at the reporting date. The tax position is measured as the largest amount of benefit or expense that is greater than 50% likely of being realized upon ultimate settlement with the taxing authority during examination. The Company recognizes interest and penalties, if applicable, related to uncertain tax positions as income tax expense within other (expense) income, net in the consolidated income statements. The Company recognizes liabilities related to uncertain tax positions within accrued expenses, accrued income taxes and other current liabilities and other non-current liabilities in the consolidated balance sheets, as applicable depending on if the uncertainty is expected to be resolved within one year or more. The ultimate resolution of these tax positions may be greater or less than the liabilities recognized.</w:t>
      </w:r>
    </w:p>
    <w:p>
      <w:pPr>
        <w:spacing w:after="0" w:line="2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income tax expense and liability related to uncertain tax positions, exclusive of immaterial interest or penalties related to uncertain tax provisions was $598, which would favorably affect the Company's effective tax rate, if recognized. For the year ended December 31, 2021, no income tax expense or liability related to uncertain tax positions was recognized.</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Tax Cuts and Jobs Act subjects a U.S. shareholder to tax on global intangible low-taxed income (“GILTI”) earned by certain foreign subsidiaries. An entity can make an accounting policy election, per the FASB Staff Q&amp;A, Topic 740, No. 5, Accounting for Global Intangible Low-Taxed Income (“ASC 740”), either to recognize deferred taxes for temporary basis differences expected to reverse as GILTI in future years or to provide for the tax expense related to GILTI in the year the tax is incurred as a period expense only. The Company has elected to account for GILTI as a period cost in the year the tax is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2" w:name="page83"/>
    <w:bookmarkEnd w:id="8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US Inflation Reduction Act of 2022 (the "IRA") was passed into law on August 16, 2022. The provisions of the IRA will be effective beginning with fiscal year 2023, with certain exceptions. The IRA has several new provisions including a 15% corporate alternative minimum tax ("CAMT") for certain large corporations that have at least an average of $1.0 billion of adjusted financial statement income over a consecutive three-tax-year period. The IRA also introduced a 1% excise tax imposed on certain stock repurchases by publicly traded U.S. corporations made after December 31, 2022. Based on the Company’s initial evaluation, the Company does not believe the IRA will have a material impact on its income tax provision and cash taxes.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UK Finance Act 2022 that was granted on February 24, 2022, UK corporation tax rate will be increased from 19% to 25% effective April 1, 2023. The Company has evaluated the rate change impact and recognized immaterial deferred tax expense on its UK deferred tax assets and liabilities.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will continue to monitor the changes in tax laws and regulations to evaluate their potential impact on its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 During the years ended December 31, 2022 and 2021, the Company did not elect to remeasure any of its existing financial assets and did not elect the fair value option for any financial assets transacted.</w:t>
      </w:r>
    </w:p>
    <w:p>
      <w:pPr>
        <w:spacing w:after="0" w:line="151" w:lineRule="exact"/>
        <w:rPr>
          <w:sz w:val="20"/>
          <w:szCs w:val="20"/>
          <w:color w:val="auto"/>
        </w:rPr>
      </w:pPr>
    </w:p>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ASC Topic 820, Fair Value Measurements and Disclosures ("ASC 820"), establishes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99"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2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 — Quoted unadjusted prices for identical instruments in active markets.</w:t>
      </w:r>
    </w:p>
    <w:p>
      <w:pPr>
        <w:spacing w:after="0" w:line="225" w:lineRule="exact"/>
        <w:rPr>
          <w:sz w:val="20"/>
          <w:szCs w:val="20"/>
          <w:color w:val="auto"/>
        </w:rPr>
      </w:pPr>
    </w:p>
    <w:p>
      <w:pPr>
        <w:ind w:left="520" w:firstLine="509"/>
        <w:spacing w:after="0" w:line="235" w:lineRule="exact"/>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all observable inputs and significant value drivers are observable in active markets.</w:t>
      </w:r>
    </w:p>
    <w:p>
      <w:pPr>
        <w:spacing w:after="0" w:line="150" w:lineRule="exact"/>
        <w:rPr>
          <w:sz w:val="20"/>
          <w:szCs w:val="20"/>
          <w:color w:val="auto"/>
        </w:rPr>
      </w:pPr>
    </w:p>
    <w:p>
      <w:pPr>
        <w:ind w:left="520" w:right="20" w:firstLine="509"/>
        <w:spacing w:after="0" w:line="239" w:lineRule="exact"/>
        <w:rPr>
          <w:sz w:val="20"/>
          <w:szCs w:val="20"/>
          <w:color w:val="auto"/>
        </w:rPr>
      </w:pPr>
      <w:r>
        <w:rPr>
          <w:rFonts w:ascii="Times New Roman" w:cs="Times New Roman" w:eastAsia="Times New Roman" w:hAnsi="Times New Roman"/>
          <w:sz w:val="18"/>
          <w:szCs w:val="18"/>
          <w:color w:val="auto"/>
        </w:rPr>
        <w:t>Level 3 —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one or more significant inputs or significant value drivers are unobservable, including assumptions developed by the Company.</w:t>
      </w:r>
    </w:p>
    <w:p>
      <w:pPr>
        <w:spacing w:after="0" w:line="1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the estimated fair value of financial instruments using available market information. The use of different market assumptions, estimation methodologies, or both, could have a significant effect on the estimated fair value amounts.</w:t>
      </w:r>
    </w:p>
    <w:p>
      <w:pPr>
        <w:spacing w:after="0" w:line="162" w:lineRule="exact"/>
        <w:rPr>
          <w:sz w:val="20"/>
          <w:szCs w:val="20"/>
          <w:color w:val="auto"/>
        </w:rPr>
      </w:pPr>
    </w:p>
    <w:p>
      <w:pPr>
        <w:ind w:right="20" w:firstLine="509"/>
        <w:spacing w:after="0" w:line="235" w:lineRule="exact"/>
        <w:rPr>
          <w:sz w:val="20"/>
          <w:szCs w:val="20"/>
          <w:color w:val="auto"/>
        </w:rPr>
      </w:pPr>
      <w:r>
        <w:rPr>
          <w:rFonts w:ascii="Times New Roman" w:cs="Times New Roman" w:eastAsia="Times New Roman" w:hAnsi="Times New Roman"/>
          <w:sz w:val="18"/>
          <w:szCs w:val="18"/>
          <w:color w:val="auto"/>
        </w:rPr>
        <w:t>As of December 31, 2022 and 2021, the carrying amounts of the Company’s financial instruments, which include cash and cash equivalents, investments, accounts receivable, accounts payable, and accrued expenses approximated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may obtain access to capital via credit facilities. The amount of borrowings outstanding on credit facilities are recognized within other current liabilities or other non-current liabilities in the consolidated balance sheets, depending on the borrowing base. Costs for unutilized revolving commitments and interest for outstanding borrowings are recognized as interest expense within other (expense) income, net in the consolidated income statements. Interest payments are recognized within operating activities in the consolidated statement of cash flows, and repayments of principle amounts are recognized within financing activities in the consolidated statement of cash flows.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no borrowings and no letters of credit outstanding under the 2022 Revolver (as defined in Note 7 to these consolidated financial statements).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commitment fees under the 2022 Revolver were immaterial (as defined in Note 7 to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571"/>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and other third-party fees that are directly associated with obtaining access to capital via credit facilities. Deferred financing costs incurred in connection with obtaining access to capital are recognized within other non-current assets in the consolidated balance sheets and within financing activities in the consolidated statement of cash flows. These costs are amortized on a straight-line basis over the term of the applicable credit facility and recognized as interest expense within other (expense) income, net in the consolidated income statements and as an adjustment to consolidated net income in the consolidated statement of cash flows.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deferred financing costs were $2,442. As of December 31, 2021, no deferred financing costs were recognized.</w:t>
      </w:r>
    </w:p>
    <w:p>
      <w:pPr>
        <w:spacing w:after="0" w:line="225" w:lineRule="exact"/>
        <w:rPr>
          <w:sz w:val="20"/>
          <w:szCs w:val="20"/>
          <w:color w:val="auto"/>
        </w:rPr>
      </w:pPr>
    </w:p>
    <w:p>
      <w:pPr>
        <w:jc w:val="both"/>
        <w:ind w:firstLine="55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amortization expense associated with deferred financing costs was $136. For the year ended December 31, 2021 and 2020, no amortization expense associated with deferred financing costs was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reporting currency of the Company is the U.S. dollar. The functional currency of the Company’s foreign subsidiaries is the local currency of each subsidiary. All assets and liabilities in the balance sheets of entities whose functional currency is a currency other than the U.S. dollar are translated into U.S. dollar equivalents at exchange rates as follows: (i) asset and liability accounts at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rates; (ii) income statement accounts at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exchange rates for the period; and (iii) stockholders’ equity accounts at historical exchange rates. The resulting translation adjustments are excluded from consolidated net income and are recognized within accumulated other comprehensive (loss) income in the consolidated balance sheets.</w:t>
      </w:r>
    </w:p>
    <w:p>
      <w:pPr>
        <w:spacing w:after="0" w:line="201"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Foreign currency transaction gains and losses are included in consolidated net income for the period. The Company's foreign subsidiaries have intercompany transactions that are eliminated upon consolidation, and these transactions expose the Company to foreign currency exchange rate fluctuations. Exchange rate fluctuations on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intercompany transactions are recognized in other (expense) income, net in the consolidated income statements. Exchange rate fluctuations on long-term intercompany transactions are recognized within accumulated other comprehensive loss in the consolidated balance sheets.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Revenue</w:t>
      </w:r>
    </w:p>
    <w:p>
      <w:pPr>
        <w:spacing w:after="0" w:line="227"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The Company derives its revenue from marketplace revenue, wholesale revenue, and product revenue. Marketplace revenue is included in the U.S. Marketplace segment and Other category of segment reporting. Wholesale revenue and product revenue are included in the Digital Wholesale segment. The Company generates marketplace revenue primarily from (i) dealer subscriptions to the Company's Listings packages, Real-time Performance Marketing, or RPM, digital advertising suite, and Digital Retail, (ii) advertising revenue from auto manufacturers and other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brand advertisers, and (iii) revenue from partnerships with financing services companies. The Company generates wholesale revenue primarily from (i) transaction fees earned from facilitating the purchase and sale of vehicles between dealers, or Dealer-to-Dealer transactions, (ii) transaction fees earned from sale of vehicles to dealers that it acquires at other marketplaces, and (iii) transaction fees earned from performing inspection and transportation services, inclusive of Dealer-to-Dealer transactions, other marketplace to dealer transactions, and IMCO transactions (as defined below). The Company generates product revenue primarily from</w:t>
      </w:r>
    </w:p>
    <w:p>
      <w:pPr>
        <w:spacing w:after="0" w:line="1" w:lineRule="exact"/>
        <w:rPr>
          <w:sz w:val="20"/>
          <w:szCs w:val="20"/>
          <w:color w:val="auto"/>
        </w:rPr>
      </w:pPr>
    </w:p>
    <w:p>
      <w:pPr>
        <w:ind w:firstLine="8"/>
        <w:spacing w:after="0" w:line="260" w:lineRule="auto"/>
        <w:tabs>
          <w:tab w:leader="none" w:pos="2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proceeds received from the sale of vehicles to dealers that were acquired directly from customers, or CarGurus Instant Max Cash Offer, or IMCO transactions, and (ii) proceeds received from the sale of vehicles that were acquired through arbitration.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ASC Topic 606, Revenue from Contracts with Customers ("ASC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the Company applies the following five steps:</w:t>
      </w:r>
    </w:p>
    <w:p>
      <w:pPr>
        <w:spacing w:after="0" w:line="180" w:lineRule="exact"/>
        <w:rPr>
          <w:sz w:val="20"/>
          <w:szCs w:val="20"/>
          <w:color w:val="auto"/>
        </w:rPr>
      </w:pPr>
    </w:p>
    <w:p>
      <w:pPr>
        <w:ind w:left="720" w:hanging="203"/>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w:t>
      </w:r>
    </w:p>
    <w:p>
      <w:pPr>
        <w:spacing w:after="0" w:line="225"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Revenue - Description</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offers multiple types of marketplace Listings packages to its dealers for its CarGurus U.S. platform (availability varies on the Company's other marketplaces): Restricted Listings, which is free; and various levels of Listings packages, which each require a paid subscription under a monthly, quarterly, semiannual, or annual subscription basis.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subscriptions for customers generally auto-renew on a monthly basis and are cancellable by dealers with 30 days’ advance notice prior to the commencement of the applicable renewal term. Subscription pricing is determined based on a dealer’s inventory size, region, and the Company's assessment of the connections and return on investment ("ROI") the platform will provide them and is subject to discounts and/or fee reductions that the Company may offer from time to time. The Company also offers all dealers on the platform access to its Dealer Dashboard, which includes a performance summary, Dealer Insights tool, and user review management platform. Only dealers subscribing to a paid Listings package have access to the Pricing Tool, Market Analysis tool and IMV Scan tool.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offers paid Listings packages for the Autolist and PistonHeads websites.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displaying inventory in the Company's marketplace and providing access to the Dealer Dashboard, the Company offers dealers subscribing to certain of its Listings packages other subscription advertising and customer acquisition products and enhancements marketed under the Company's RPM digital advertising suite. Through RPM, dealers can buy advertising that appears in the Company's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5" w:name="page86"/>
    <w:bookmarkEnd w:id="85"/>
    <w:p>
      <w:pPr>
        <w:ind w:left="520"/>
        <w:spacing w:after="0"/>
        <w:rPr>
          <w:sz w:val="20"/>
          <w:szCs w:val="20"/>
          <w:color w:val="auto"/>
        </w:rPr>
      </w:pPr>
      <w:r>
        <w:rPr>
          <w:rFonts w:ascii="Times New Roman" w:cs="Times New Roman" w:eastAsia="Times New Roman" w:hAnsi="Times New Roman"/>
          <w:sz w:val="18"/>
          <w:szCs w:val="18"/>
          <w:color w:val="auto"/>
        </w:rPr>
        <w:t>The Company also offers dealer advertising products for the PistonHeads website.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also offers dealers subscribing to certain of its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Area Boost/Geo Expansion, which expands the visibility of a dealer’s inventory in the search results beyond its local market, and (iii) Hard Pull Financing, which provides loan information.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Marketplace revenue also consists of non-dealer advertising revenue from auto manufacturers and other auto-related brand advertisers sold on a cost per thousand impressions, or CPM basis. An impression is an advertisement loaded on a web page. In addition to advertising sold on a CPM basis, the Company also has advertising sold on a cost per click basis, or CPC basis. Pricing is primarily based on advertisement size and position on the Company’s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The Company does not provide minimum impression guarantees or other types of minimum guarantees in its contracts with customers. Advertising is also sold indirectly through revenue sharing arrangements with advertising exchange partners.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offers non-dealer advertising products for the Autolist and PistonHeads websites.</w:t>
      </w:r>
    </w:p>
    <w:p>
      <w:pPr>
        <w:spacing w:after="0" w:line="225" w:lineRule="exact"/>
        <w:rPr>
          <w:sz w:val="20"/>
          <w:szCs w:val="20"/>
          <w:color w:val="auto"/>
        </w:rPr>
      </w:pPr>
    </w:p>
    <w:p>
      <w:pPr>
        <w:jc w:val="both"/>
        <w:ind w:firstLine="568"/>
        <w:spacing w:after="0" w:line="261" w:lineRule="auto"/>
        <w:rPr>
          <w:sz w:val="20"/>
          <w:szCs w:val="20"/>
          <w:color w:val="auto"/>
        </w:rPr>
      </w:pPr>
      <w:r>
        <w:rPr>
          <w:rFonts w:ascii="Times New Roman" w:cs="Times New Roman" w:eastAsia="Times New Roman" w:hAnsi="Times New Roman"/>
          <w:sz w:val="18"/>
          <w:szCs w:val="18"/>
          <w:color w:val="auto"/>
        </w:rPr>
        <w:t>Marketplace revenue also includes revenue from partnerships with certain financing services companies pursuant to which the Company enables eligible consumers on the Company's CarGurus U.S. website to pre-qualify for financing on cars from dealerships that offer financing through such companies. The Company primarily generates revenue from these partnerships based on the number of funded loans from consumers who pre-qualify with its lending partners through its site.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Revenue - Revenue Recognition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Listings, Digital Retail, and RPM, the Company provides a single similar service each day for a period of time. Each time increment (i.e., one day), rather than the underlying activities, is distinct and substantially the same and therefore the performance obligation of the Company is to provide a series of daily activities over the contract term. Similar to the dealer listings, the dealer advertising is considered a promise to provide a single similar service each day. Each time increment is distinct and substantially the same and therefore the performance obligation of the Company is to provide a series of daily activities over the contract term.</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Total consideration for marketplace revenue is stated within the contracts. There are no contractual cash refund rights, but credits may be issued to a customer at the sole discretion of the Company. Dealer customers do not have the right to take possession of the Company’s software. At the portfolio level, there is also variable consideration that needs to be included in the transaction price. Variable consideration consists of sales allowances, usage fees, and concessions that change the transaction price of the unsatisfied or partially unsatisfied performance obligation. The Company recognizes that there are times when there is a customer satisfaction issue or other circumstances that will lead to a credit. Due to the known possibility of future credits, a monthly sales allowance review is performed to defer revenue at a portfolio level for such future adjustments in the period of incurrence.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financial statements. Estimated sales adjustments, credits and losses may vary from actual results which could lead to material adjustments to the financial statements. Sales allowances are recognized as a reduction to revenue in the consolidated income statements.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Performance obligations are satisfied over time as the customer simultaneously receives and consumes the benefit of the service. Revenue is recognized ratably over the subscription period beginning on the date the Company starts providing services to the customer under the contract. Revenue is presented net of any taxes collected from customers. Customers are billed in advance on the first day of each calendar month with payment terms generally thirty to sixty days from the date invoiced. Billings are recognized as accounts receivable or short-term deferred revenue when payment is received in advance of services being delivered to the customers.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non-dealer advertising revenue from auto manufacturers and other auto-related brand advertisers, the performance obligation is to publish the agreed upon campaign on the Company’s websites and load the related impressions.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Advertising contracts state the transaction price within the agreement with payment generally being based on the number of clicks or impressions delivered on the Company’s websites. Total consideration is based on output and deemed variable consideration constrained by an agreed upon delivery schedule and is allocated to the period in which the service was rendered. Additionally, there are generally no contractual cash refund rights. Certain contracts do contain the right for credits in situations in which impressions are not displayed in compliance with contractual specifications. At an individual contract level, the Company may give a credit for a customer satisfaction issue or other circumstance. Due to the known possibility of future credits, a monthly review is performed to defer revenue at an individual contract level for such future adjustments in the period of incurrence. Although these credits have not been material and have not changed significantly over the historical period, estimated sales adjustments credits and losses may vary from actual results which could lead to material adjustments to the financial statements.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the Company is recognized based on the gross amount charged to the advertiser because the Company is the principal in the arrangement as it controls the ad placement and timing of the campaign, establishes the selling price and is directly responsible for the fulfillment of the contractual terms including any remedy for issues with such fulfillment. Revenue from advertising sold by partners is recognized based on the net amount of revenue received from the content partners because the Company is the agent in the arrangement as the advertising partner is responsible for fulfillment, including the acceptability of the services delivered. In partner-sold advertising arrangements, the advertising partner has a direct contractual relationship with the advertiser. There is no contractual relationship between the Company and the advertiser for partner-sold transactions. Additionally, for auction-based partner agreements, the Company has latitude in establishing the floor price, but the final price established by the exchange server is at market rates. Revenue is presented net of any taxes collected from customers. Customers are billed monthly in arrears with payment terms generally thirty to sixty days from the date invoiced. Unbilled accounts receivable generally relate to services rendered in the current period, but not invoiced until the subsequent period.</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marketplace revenue includes revenue from contracts for which the performance obligation is a series of distinct services with the same level of effort daily. For these contracts, primarily related to the Company’s partnerships with financing services companies, the Company estimates the value of the variable consideration in determining the transaction price and allocates it to the performance obligation. Revenue is estimated and recognized on a ratable basis over the contractual term. The Company reassesses the estimate of variable consideration at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Revenue - Description</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Buying Matrix on the CarOffer platform enables buying dealers to create standing buy orders and provides instant offers to selling dealers. Wholesale revenue includes transaction fees earned from Dealer-to-Dealer transactions, where the Company collects fees from both the buying and selling dealers. The Company also sells vehicles to dealers that it acquires at other marketplaces, where it collects a transaction fee from the buying dealers.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Wholesale revenue also includes fees earned from performing inspection and transportation services, where it collects fees from the buying dealer. Inspection and transportation service revenue is inclusive of Dealer-to-Dealer transactions, other marketplace to dealer transactions, and IMCO transactions.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Wholesale revenue also includes arbitration in which the vehicle is rematched to a new buyer and not acquired by the Company. Arbitration is the process by which the Company investigates and resolves claims from buying dealers.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Wholesale revenue also includes fees earned from certain guarantees offered to dealers (which include 45-Day Guarantee and OfferGuard products), where the Company collects fees from the buying dealer or selling dealer, as applicable. Guarantee revenue is not accounted for under ASC 606 and is accounted for under ASC 460 as discussed further in Note 2 of these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Revenue - Revenue Recognition</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When facilitating Dealer-to-Dealer transactions and for vehicles sold to dealers that are acquired at other marketplaces, the Company does not control the vehicle and therefore acts as an agent in the transaction. Revenue earned from the fees for facilitating these transactions is recognized at a point in time when the vehicle is sold on a net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inspection and transportation services, the Company leverages a network of third-party inspection service providers and transportation carriers. The Company controls both inspection and transportation services as it is primarily responsible for fulfillment and therefore acts as a principal in the transaction. Revenue from fees for inspection services is recognized at the point in time when the inspection is performed and revenue from fees for transportation services is recognized over time as delivery is completed. Revenue from both inspection and transportation services is recognized on a gross basis. Unearned revenue related to unsatisfied performance obligations is recognized as deferred revenue.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Wholesale revenue also includes arbitration in which the vehicle is rematched to a new buyer and not acquired by the Company. Arbitration is the process by which the Company investigates and resolves claims from buying dealers. In these situations, the Company does not control the vehicle and therefore acts as an agent in the transaction.</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Within wholesale transactions, there are typically no contractual cash refund rights, but credits may be issued to a customer at the sole discretion of the Company and refunds may be required by law in the case of a vehicle defect. At the portfolio level, there is also variable consideration that needs to be included in the transaction price. Variable consideration consists of sales allowances and concessions that change the transaction price of the unsatisfied or partially unsatisfied performance obligation. The Company recognizes that there are times when there is a customer satisfaction issue or other circumstance that will lead to a credit or arbitration.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financial statements. Upon recognizing a sales transaction, the Company estimates the amount of transaction price that will be reversed in a subsequent period and records a reserve for returns and cancellations in other current liabilities in the consolidated income statements. Estimated sales adjustments, credits and losses may vary from actual results which could lead to material adjustments to the financial statements. Sales allowances are recognized as a reduction to revenue in the consolidated income statements and an increase to other current assets and other current liabilities in the consolidated balance sheet. Wholesale revenue is also offset by concessions.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Wholesale revenue is presented net of any taxes collected from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 Description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Buying Matrix on the CarOffer platform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and transaction fees collected from buying dealers. Arbitration is the process by which the Company investigates and resolves claims from buying dealers. The Company controls the vehicle in these transactions and therefore acts as the principal.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 Revenue Recognition</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vehicles sold to dealers that are acquired through IMCO transactions, the Company controls the vehicle and therefore acts as a principal in the transaction. Revenue earned from proceeds received on the sale of vehicles through IMCO transactions, including vehicle sale price and transaction fees collected from the buying dealers, is recognized at a point in time when the vehicle is sold on a gross basis.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certain situations across all transactions, during an arbitration process, the Company acquires vehicles in transactions in which it controls the vehicle and therefore acts as a principal in the transaction. Revenue earned from the sale of the vehicle in these transactions is recognized at a point in time on a gross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Within product transactions, there are typically no contractual cash refund rights, but credits may be issued to a customer at the sole discretion of the Company. At the portfolio level, there is also variable consideration that needs to be included in the transaction price. Variable consideration consists of sales allowances and concessions that change the transaction price of the unsatisfied or partially unsatisfied performance obligation. The Company recognizes that there are times when there is a customer satisfaction issue or other circumstance that will lead to a credit or arbitration.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financial statements. Upon recognizing a sales transaction, the Company estimates the amount of transaction price that will be reversed in a subsequent period and records a reserve for returns and cancellations in other current liabilities in the consolidated income statements. Estimated sales adjustments, credits and losses may vary from actual results which could lead to material adjustments to the financial statements. Sales allowances are recognized as a reduction to revenue and cost of revenue in the consolidated income statements and an increase to other current assets and other current liabilities in the consolidated balance sheet. Product revenue is also offset by concessions.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 presented net of any taxes collected from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periodically enters into arrangements that include Listings and/or dealer advertising product subscriptions within marketplace revenue. These contracts include multiple promises that the Company evaluates to determine if the promises are separate performance obligations. Performance obligations are identified based on services to be transferred to a customer that are distinct within the context of the contractual terms. Once the performance obligations have been identified, the Company determines the transaction price, which includes estimating the amount of variable consideration to be included in the transaction price, if any. If required, the transaction price is allocated to each performance obligation in the contract based on a relative standalone selling price method as the performance obligation is being satisfied. For the Company’s arrangements that include Listings and/or dealer advertising product subscriptions, the performance obligations were satisfied over a consistent period of time and therefore the allocations did not impact the revenue recognized.</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wholesale and product arrangements that include multiple performance obligations, the Company allocates revenue based on fair value. Vehicle and inspection revenues are recognized at a point in time and transportation revenue is recognized over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Commissions paid to sales representatives and payroll taxes are considered costs to obtain a contract. Under ASC 606, the costs to obtain a contract require capitalization and amortization of those costs over the period of benefit. Although the guidance specifies the accounting for an individual contract with a customer, as a practical expedient, the Company has opted to apply the guidance to a portfolio of contracts with similar characteristics. The Company has opted to apply another practical expedient to immediately expense the incremental cost of obtaining a contract when the underlying related asset would have been amortized over one year or less. As such, the Company applied this practical expedient to advertising contracts and wholesale and product transactions as the term is one year or less and these contracts do not renew automatically. The practical expedient is not applicable to marketplace subscription contracts as the period of benefit including renewals is anticipated to be greater than one year. The assets are periodically assessed for impairment.</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the Company's own historical data. Commissions paid that are not directly related to obtaining a new contract are expensed as incurred.</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Company allocates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assets associated with costs to obtain a contract were $17,394 and $14,912, respectively. For the years ended December 31, 2022, 2021, and 2020, amortization expense associated with costs to obtain a contract was $11,067, $12,653 and $11,605,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Deferred revenue primarily consists of payments received in advance of revenue recognition from the Company’s marketplace revenue and is recognized as the revenue recognition criteria are met. The Company generally invoices its customers monthly. Accordingly, the deferred revenue balances do not represent the total contract value of annual or multiyear subscription agreements. Deferred revenue that is expected to be recognized during the succeeding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is recognized as current deferred revenue and the remaining portion is recognized as noncurrent in the consolidated balance sheets. All deferred revenue was recognized as current for all periods presented.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 Cost of Revenue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Marketplace cost of revenue includes expenses related to supporting and hosting marketplace service offerings. These expenses include personnel and related expenses for the Company's customer support team, including salaries, benefits, incentive compensation, and stock-based compensation; third-party service provider expenses such as advertising, data center and networking expenses; amortization of developed technology; amortization of capitalized website development; amortization of hosting arrangements; and allocated overhead expenses. The Company allocates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Cost of Revenue</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Wholesale cost of revenue includes expenses related to supporting and hosting wholesale service offerings, including Dealer-to-Dealer transactions and vehicles sold to dealers acquired at other marketplaces, on the Buying Matrix on the CarOffer platform.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 The Company allocates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Cost of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cost of revenue includes expenses related to vehicles sold to dealers through IMCO transactions and vehicles sold to dealers acquired through arbitration. These costs include the cost of the vehicle and transportation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 Obligations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with its customers, partners and service providers that include commercial provisions with respect to licensing, infringement, guarantees, indemnification, and other common provisions.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Company provides certain guarantees to dealers through products such as its 45-Day Guarantee and OfferGuard service offerings on the CarOffer platform, which are accounted for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45-Day Guarantee is an arrangement through which a selling dealer lists a car on the CarOffer platform, and the Company provides an offer to purchase the vehicle listed at a specified price at any time over a 45-day period. This provides the seller with a put option, where they have the right, but not the obligation, to require the Company to purchase the vehicle during this window. OfferGuard is an arrangement through which a buying dealer purchases a car on the CarOffer platform, and the Company provides an offer to purchase the vehicle at a specified price between days 1 and 3, and days 42 and 45 if the dealer is not able to sell the vehicle after 42 days.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0" w:name="page91"/>
    <w:bookmarkEnd w:id="90"/>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consolidated income statements. When it is probable and reasonably estimable that the Company will incur a loss on a vehicle that it is required to purchase, a liability, and a corresponding charge to wholesale cost of revenue is recognized for the amount of the loss in the consolidated balance sheets and the consolidated income statements. Gains and losses resulting from the dealers exercise of guarantees are recognized within wholesale cost of revenue, as appropriate, in the consolidated income statements.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income for guarantees purchased by dealers was $10,026 and $5,537, respectively. For the year ended December 31, 2022, the loss, net of gains recognized within cost of revenue in the consolidated income statements resulting from the dealer's exercise of guarantees was $4,568. For the year ended December 31, 2021, the net loss resulting from the dealer's exercise of guarantees was immaterial.</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maximum potential amount of future payments that the Company could be required to make under these guarantees was $31,056. Of the maximum potential amount of future payments, the losses that are probable are not material. As such, as of December 31, 2022, the Company had no material contingent loss liabilities.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2021, the maximum potential amount of future payments that the Company could be required to make under these guarantees was $76,075. Of the maximum potential amount of future payments, none were considered probable. The exercise of guarantees has historically been infrequent and even when such exercises did occur, the losses were immaterial. As such, as of December 31, 2021, the Company had no contingent loss liabilities.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2020, the Company did not have any guarantees.</w:t>
      </w:r>
    </w:p>
    <w:p>
      <w:pPr>
        <w:spacing w:after="0" w:line="19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-51435</wp:posOffset>
            </wp:positionV>
            <wp:extent cx="6413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granted under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the fair value of each award is determined on the date of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restricted stock units (“RSUs”) granted subject to service-based vesting conditions, the fair value is determined on the date of grant using the closing price of the Company’s Class A common stock, par value $0.001 per share (the “Class A common stock”), as reported on the Nasdaq Global Select Market. RSUs granted subject to service-based vesting conditions generally vest over a four-year requisite service period.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RSUs granted subject to market-based vesting conditions, the fair value is determined on the date of grant using the Monte Carlo simulation lattice model. The determination of the fair value using this model is affected by the Company’s stock price performance relative to the companies listed on the S&amp;P 500 as of December 31, 2021 and 2020 and a number of assumptions including volatility, correlation coefficient, risk-free interest rate and expected dividends. RSUs granted subject to market-based vesting conditions vest upon achievement of specified levels of market conditions. During the year ended December 31, 2022, the Company modified its market-based performance awards to contain only service-based vesting conditions in line with the Company's other restricted stock unit awards. As a result, there are no market-based RSUs outstanding as of December 31, 2022.</w:t>
      </w:r>
    </w:p>
    <w:p>
      <w:pPr>
        <w:spacing w:after="0" w:line="159" w:lineRule="exact"/>
        <w:rPr>
          <w:sz w:val="20"/>
          <w:szCs w:val="20"/>
          <w:color w:val="auto"/>
        </w:rPr>
      </w:pPr>
    </w:p>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For stock options granted, the fair value is determined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The determination of the fair value is affected by the Company’s stock price and a number of assumptions including expected dividend yield, expected volatility, risk-free interest rate and expected term. For expected volatility, the Company uses a blended volatility to combine the historical volatility of trading with the volatility for a peer group of companies as the Company does not have historical stock prices for a period that is at least equal to the expected term. Stock options granted generally have a term of ten years from the date of grant and generally vest over a four-year requisite service period.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utilized to determine the fair value of options granted during the year ended December 31, 2022 and 2021 are as follows:</w:t>
      </w:r>
    </w:p>
    <w:p>
      <w:pPr>
        <w:spacing w:after="0" w:line="27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1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48.03 %</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50.95 %</w:t>
            </w:r>
          </w:p>
        </w:tc>
      </w:tr>
      <w:tr>
        <w:trPr>
          <w:trHeight w:val="25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free interest rate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1.47 %</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0.69 %</w:t>
            </w:r>
          </w:p>
        </w:tc>
      </w:tr>
      <w:tr>
        <w:trPr>
          <w:trHeight w:val="243"/>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63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2020, no options were granted.</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14, 2021, the Company acquired a 51% interest in CarOffer which provides an automated instant vehicle trade platform and is based in Addison, Texas, pursuant to the terms of a Membership Interest Purchase Agreement (the “Purchase Agreement”) dated as of December 9, 2020 (the “Agreement Date”), as amended, by and among the Company, CarOffer, CarOffer Investors Holding, LLC, a Delaware limited liability company (“TopCo”), each of the Members of TopCo (the “Members”), and Bruce T. Thompson, an individual residing in Texas (the “Members’ Representative”). This acquisition (the “CarOffer Acquisition”) has, and is intended to continue to add wholesale vehicle purchasing and selling capabilities to CarGurus’ portfolio of dealer offerings and create a complete and efficient digital solution for dealers to sell and acquire vehicles at both retail and wholesale.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Upon consummation of the transactions contemplated by the Purchase Agreement (the “Closing”), the Company acquired a 51% interest in CarOffer for an aggregate consideration of $173,155 (the “Total Consideration”), such Total Consideration consisting of (a) shares of Class A common stock in the aggregate amount of $103,645 (the “Stock Consideration”) and (b) $69,510 in cash (the “Cash Consideration”). The number of shares of Class A common stock issued following the Closing in connection with the Stock Consideration was 3,115,282, which was calculated by reference to a value of $22.51 per share, which equals the volume-weighted average closing price per share of Class A common stock on the Nasdaq Stock Market for the 28 consecutive trading days ending on the third Business Day (as defined in the Purchase Agreement) preceding the Agreement Date. Pursuant to the Purchase Agreement, the remaining equity in CarOffer (the “Remaining Equity”) is being retained by the then-current equity holders of CarOffer and subject to certain call and put arrangements discussed below.</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the Company established a retention pool in an aggregate amount of $8,000 in the form of RSUs to be issued pursuant to the Company’s standard form of RSU agreement under the 2017 Plan, (i) $6,000 of which was granted to certain CarOffer employees following the Closing in accordance with the terms of the Purchase Agreement and (ii) $2,000 of which is available for issuance to future CarOffer employees in accordance with the terms of the Purchase Agreement. RSUs issued from the retention pool will be subject to vesting based on rendering of future services.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TopCo, each Member and CarOffer MidCo, LLC, a Delaware limited liability company, entered into the Second Amended and Restated Limited Liability Company Agreement, dated as of December 9, 2020 (the “CarOffer Operating Agreement”), pursuant to which, among other matters, the Company secured the right to appoint a majority of the members of the Board of Managers of CarOffer, other rights customary for a transaction of this nature and the put and call rights described below. On November 23, 2021, the CarOffer Operating Agreement was amended and restated for administrative purposes, including principally to recapitalize certain of the membership units thereunder without changing overall consideration payable by the Company thereunder.</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second half of 2022, the Company had a call right (the “2022 Call Right”), exercisable in its sole discretion, to acquire a portion of the Remaining Equity representing up to twenty-five percent (25%) of the fully diluted capitalization of CarOffer (such acquired Remaining Equity, the “2022 Acquired Remaining Equity”) at an implied CarOffer value (the “2022 Call Right Value”) of seven (7) times CarOffer’s trailing twelve months gross profit as of June 30, 2022 (calculated in accordance with the defined terms and subject to the adjustments set forth in the CarOffer Operating Agreement, included as Exhibit 10.27 to the Annual Report on Form 10-K as of December 31, 2021 filed on February 25, 2022). During the year ended December 31, 2022, the Company determined not to exercise its call right to acquire up to an additional 25% of the fully diluted capitalization of CarOffer.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second half of 2024, (a) the Company will have a call right (the “2024 Call Right”), exercisable in its sole discretion, to acquire all, and not less than all, of the Remaining Equity that it has not acquired pursuant to the 2022 Call Right and the Closing, at the greater of (i) (x) one hundred million dollars ($100,000,000), and (y) the 2022 Call Right Value, whichever is less, and (ii) an implied CarOffer value of twelve (12) times CarOffer’s trailing twelve months EBITDA as of June 30, 2024 (in each case calculated in accordance with the defined terms and subject to the adjustments set forth in the CarOffer Operating Agreement), and (b) the representative of the holders of the Remaining Equity will have a put right (the “2024 Put Right”), exercisable in his, her or their sole discretion, to have the holders of the Remaining Equity sell to the Company, all, and not less than all, of the Remaining Equity at an implied CarOffer value of twelve (12) times CarOffer’s trailing twelve months EBITDA as of June 30, 2024 (calculated in accordance with the defined terms and subject to the adjustments set forth in the CarOffer Operating Agreement). The determination of whether the 2024 Call Right or the 2024 Put Right is ultimately exercised is as set forth in the CarOffer Operating Agreement. The consideration to be paid by the Company in connection with the exercise of either the 2024 Call Right or the 2024 Put Right, as applicable, will be in the form of cash and/or shares of Class A common stock, as determined by the Company in its sole discretion.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foregoing summary of the Purchase Agreement, the CarOffer Operating Agreement and the transactions contemplated thereby does not purport to be complete and is subject to, and qualified in their entirety by, the full text of the Purchase Agreement and the CarOffer Operating Agreement, which are included as Exhibit 2.1 to the Annual Report on Form 10-K as of December 31, 2020 filed on February 21, 2021 and Exhibit 10.27 to the Annual Report on Form 10-K as of December 31, 2021 filed on February 25, 2022, respectively.</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acquisition of a 51% interest in CarOffer, the then-outstanding unvested incentive units (“CO Incentive Units”) of CarOffer and unvested Class CO CarOffer units (the "Subject Units”) remained outstanding and will vest over the requisite service periods as discussed below.</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Grants of the CO Incentive Units are subject to the CarOffer 2020 Equity Incentive Plan, adopted effective November 24, 2020 (the “2020 CO Plan”), the applicable award agreement, and the CarOffer Operating Agreement. Following the Company’s acquisition of the 51% interest in CarOffer on January 14, 2021, remaining unvested CO Incentive Units will vest over a period of three (3) years, with one third having vested on January 14, 2022 and one third vesting on each of January 14, 2023 and January 14, 2024, provided that a grantee’s continuous service to CarOffer has not terminated on the applicable vesting date. Under the terms of the grants, vesting of unvested CO Incentive Units is accelerated in the event of (i) a change of control of CarOffer (which, for the avoidance of doubt, does not include the Company’s acquisition of the 51% interest on January 14, 2021), (ii) the death or disability of the grantee, (iii) termination of the grantee’s employment with CarOffer without cause, or (iv) termination of grantee’s employment by the grantee for good reason. Upon termination of a grantee’s continuous service to CarOffer voluntarily by the grantee (other than for good reason) or by CarOffer for cause, all of such grantee’s unvested CO Incentive Units are forfeited. In addition, if a grantee’s continuous service terminates, then CarOffer has the option to repurchase any outstanding CO Incentive Units from the grantee.</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2020 CO Plan, on December 9, 2020 CarOffer entered into a Vesting Agreement (the “Vesting Agreement”) regarding the vesting of Subject Units beneficially owned by Bruce Thompson, the founder and CEO of CarOffer, and certain affiliated persons (collectively, the “T5 Holders”) in connection with the Company’s then-anticipated acquisition of a 51% interest in CarOffer. Pursuant to the Vesting Agreement, 432,592 Subject Units beneficially owned by the T5 Holders vest in three (3) approximately equal installments, with one third having vested on January 14, 2022 and one third vesting on each of January 14, 2023 and January 14, 2024, subject to the terms of the Vesting Agreement. As more particularly described in the Vesting Agreement, unvested Subject Units are subject to forfeiture in the event that Mr. Thompson’s relationship with CarOffer terminates other than in the event of a termination without cause (as defined in the Vesting Agreement) or due to Mr. Thompson’s death or disability. The Vesting Agreement also provides for acceleration of any unvested Subject Units in the event of the termination of Mr. Thompson’s employment with CarOffer without cause, Mr. Thompson’s death or disability, or the consummation of an eligible liquidity event (as defined in the Vesting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Closing, CarOffer reserved 228,571 incentive units (the "2021 Incentive Units") for purposes of establishing an employee incentive equity plan. Thereafter, CarOffer formed CarOffer Incentive Equity, LLC (“CIE”), a Delaware manager-managed limited liability company managed by the Company, and established the CIE 2021 Equity Incentive Plan (the “2021 CO Plan). The 2021 CO Plan and related documentation, including the applicable award agreement, a vesting agreement between CarOffer and CIE, and the CarOffer Operating Agreement, provide for an incentive equity grant structure whereby 2021 Incentive Units will be granted to CIE and 2021 CO Plan grantees will receive an associated equity interest in CIE (the “CIE Interest”), with back-to-back vesting between the 2021 Incentive Units and the associated CIE Interest. Subject to any modifications as may be approved by the CarOffer Board of Managers in its discretion, grants under the 2021 CO Plan will vest over a period of three (3) years from the grant date, one third each on the first, second, and third anniversaries of the applicable grant date, provided that a grantee’s continuous service to CarOffer has not terminated on the applicable grant date. Upon termination of a grantee’s continuous service to CarOffer, all of such grantee’s unvested 2021 Incentive Units are forfeited. As of December 31, 2022 and 2021, there had not been any grants of 2021 Incentive Units under the 2021 CO Plan.</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 Incentive Units, Subject Units and 2021 Incentive Units are liability-classified awards because the awards can be put to the Company at a formula price such that the holders do not bear the risks and rewards associated with equity ownership. For liability-classified awards, the fair value was determined on the date of issuance using a Least Square Monte Carlo simulation model. Liability-classified awards are remeasured to fair value each period until settlement. Until March 31, 2022, the Least Square Monte Carlo simulation model was used for remeasurement. During the three months ended June 30, 2022, the Company refined its model for determining the fair value of liability-classified awards as a result of obtaining gross profit actuals through the trailing twelve-months ended June 30, 2022 measurement period for the first call option. Since March 31, 2022, the fair value has typically been determined using a Monte Carlo simulation model. During the year ended December 31, 2022, the Company determined not to exercise the Company's call right to acquire up to an additional 25% of the fully diluted capitalization of CarOffer. The valuation of these liability awards is now derived from the Company’s 2024 call right and CarOffer’s 2024 put right. The determination of the fair value is affected by CarOffer’s equity value, EBITDA, and Excess Parent Capital (as defined in the CarOffer Operating Agreement, included as Exhibit 10.27 to the Annual Report on Form 10-K as of December 31, 2021 filed on February 25, 2022) that drive the exercise price of future call/put rights, as well as a number of assumptions including market price of risk, volatility, correlation, and risk-free interest rate. As a result of the EBITDA and Excess Parent Capital projections for CarOffer as of December 31, 2022, a Monte Carlo simulation model was not required as of December 31, 2022. The Company will continue to assess its valuation approach quarterly. The Company recognizes stock compensation expense on a cumulative catch-up basis based on the fair value of the liability awards at each reporting period.</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issues shares of Class A common stock upon the vesting of RSUs and the exercise of stock options out of its shares available for issuance. The Company issues CO Incentive Units and Subject Units out of CarOffer’s units available for issuance. The Company accounts for forfeitures when they occur.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compensation expense on a straight-line basis over the requisite service period.</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tax effect of differences between tax deductions related to stock compensation and the corresponding financial statement expense compensation are recognized as an income tax benefit or expense within the provision for income taxes in the consolidated income statements. The permanent differences, including excess tax benefits and expenses, are recognized within accrued expenses, accrued income taxes, and other current liabilities in the consolidated balance sheets and classified as an operating activity in the consolidated statements of cash flows. The temporary differences are recognized within deferred tax assets in the consolidated balance sheets.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2022 and 2021, the income tax expense related to stock-based compensation was $4,181 and $1,179,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2020, income tax expense related to stock-based compensation was immaterial.</w:t>
      </w:r>
    </w:p>
    <w:p>
      <w:pPr>
        <w:spacing w:after="0" w:line="20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2021, and 2020, the income tax benefit from stock-based compensation expense, recognized through the Company's deferred tax asset in the consolidated balance sheets, was $5,441, $5,301, and $4,796,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Note 10 of these consolidated financial statements for a summary of the stock option, RSU and CO Incentive Unit activity for the year ended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i w:val="1"/>
          <w:iCs w:val="1"/>
          <w:color w:val="auto"/>
        </w:rPr>
        <w:t>Common Stock Share Repurchases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Repurchases of the Company's common stock are recognized as a reduction to common stock at par value and the remainder is recognized as a reduction to additional paid-in capital in the consolidated balance sheets. Repurchases in excess of the par value are recognized as a reduction to retained earnings in the consolidated balance sheets in the event that additional paid-in capital is reduced to zero.</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there is a difference between the trade date and the settlement date for shares repurchased as of period end, a liability is recognized within accrued expenses, accrued income taxes and other current liabilities in the consolidated balance sheets.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US Inflation Reduction Act of 2022 (the "IRA"), effective on January 1, 2023, the Company will be required to pay a 1% excise tax on certain stock repurchases. Based on the Company’s initial evaluation, the Company does not believe the IRA will have a material impact on its income tax provision and cash taxes. The excise tax is considered a direct and incremental cost of the share repurchase and will be recognized as a reduction to additional paid-in capital in the consolidated balance sheets. Other direct and incremental costs, such as commissions and legal expenses, are recognized as a reduction to additional paid-in capital in the consolidated balance sheets.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recognized within sales and marketing expense in the consolidated income statements. For the years ended December 31, 2022, 2021, and 2020, advertising expense was $156,128, $151,457, and $155,580,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Comprehensive income is defined as the change in stockholders’ equity of a business enterprise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 Comprehensive income consists of consolidated net income and other comprehensive income (loss), which includes certain changes in equity that are excluded from consolidated net income. Specifically, cumulative foreign currency translation adjustments are included in accumulated other comprehensive (loss) income. As of December 31, 2022 and 2021, accumulated other comprehensive (loss) income is presented separately in the consolidated balance sheets and consists entirely of cumulative foreign currency translation adjustments.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December 31, 2022, there are no new accounting pronouncements that the Company is considering adopting.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 from contracts with customers by services and products for the year ended December 31, 2022,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00" w:lineRule="exact"/>
        <w:rPr>
          <w:sz w:val="20"/>
          <w:szCs w:val="20"/>
          <w:color w:val="auto"/>
        </w:rPr>
      </w:pP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Marketplace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658,771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636,942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100" w:type="dxa"/>
            <w:vAlign w:val="bottom"/>
            <w:shd w:val="clear" w:color="auto" w:fill="CFF0FC"/>
          </w:tcPr>
          <w:p>
            <w:pPr>
              <w:spacing w:after="0"/>
              <w:rPr>
                <w:sz w:val="20"/>
                <w:szCs w:val="20"/>
                <w:color w:val="auto"/>
              </w:rPr>
            </w:pPr>
          </w:p>
        </w:tc>
      </w:tr>
      <w:tr>
        <w:trPr>
          <w:trHeight w:val="23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Dealer-to-Dealer</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320,119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IMCO</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676,145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89,600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1,655,035</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-187960</wp:posOffset>
            </wp:positionV>
            <wp:extent cx="6858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provides disaggregation of revenue by services and products, by income statement presentation, by segment, and by geographical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Revenue by services and products is disaggregated by (i) marketplace services, (ii) Dealer-to-Dealer services and products, and (iii) IMCO services and products as disclosed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5" w:name="page96"/>
    <w:bookmarkEnd w:id="9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by income statement presentation is disaggregated by (i) marketplace, (ii) wholesale, and (iii) product revenue sources as disclosed in the consolidated income statements. Marketplace services are included within marketplace revenue in the consolidated income statements. The Dealer-to-Dealer and IMCO services and products are included within both wholesale revenue and product revenue in the consolidated income statements.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by segment is disaggregated by (i) U.S. Marketplace and (ii) Digital Wholesale segments as disclosed in Note 13 of these consolidated financial statements. Marketplace services are included in the U.S. Marketplace segment and in the Other category of segment reporting. The Dealer-to-Dealer and IMCO services and products are included in the Digital Wholesale segment.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by geographic region is disaggregated by (i) United States and (ii) International regions as disclosed in Note 13 of these consolidated financial statements.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believes these categories best depict how the nature, amount, timing and uncertainty of revenue and cash flows are affected by economic factors.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ASC Topic 606, Revenue from Contracts with Customers (“ASC 606”) requires that the Company disclose the aggregate amount of transaction price that is allocated to performance obligations that have not yet been satisfied as of the relevant year end.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contracts with an original expected duration greater than one year, the aggregate amount of the transaction price allocated to the performance obligations that were unsatisfied as of December 31, 2022 was approximately $7.2 million, which the Company expects to recognize over the next twelve months.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contracts with an original expected duration of one year or less, the Company has applied the practical expedient available under ASC 606 to not disclose the amount of transaction price allocated to unsatisfied performance obligations as of December 31, 2022. For performance obligations not satisfied as of December 31, 2022, and to which this expedient applies, the nature of the performance obligations, the variable consideration and any consideration from contracts with customers not included in the transaction price is consistent with performance obligations satisfied as of December 31, 2022.</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and 2021, revenue recognized from amounts included in deferred revenue at the beginning of the period was $12,784 and $9,137, respectively.</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Company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the Company calculated the remaining transaction price and allocated the consideration over the remaining performance obligations. These fee reductions materially and adversely impacted revenue for the year ended December 31, 2020, resulting in an approximately $50 million decrease in marketplace revenue. These fee reductions did not impact revenue for the year ended December 31, 2022. These fee reductions did not materially impact revenue for the year ended December 31, 2021. During the December 2020 and February 2021 service periods, the Company also suspended charging subscription fees for subscribing dealers in the United Kingdom. These fee reductions are included in the Company’s variable consideration assessment. These fee reductions did not impact revenue for the years ended December 31, 2022. These fee reductions did not materially impact revenue for the years ended December 31, 2021 and 2020.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assets measured at fair value on a recurring basis consist of the following:</w:t>
      </w: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43"/>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175,486</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175,486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43"/>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157,525</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247,525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-1748155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-1731010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-1911350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-1748155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-1731010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-1911350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-1748155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-1731010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-1911350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-1748155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-1731010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-1911350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 Company did not hold any investments. As of December 31, 2021, investments consist of the following:</w:t>
      </w: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 due in one year or less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property and equipment, net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equipment</w:t>
            </w:r>
          </w:p>
        </w:tc>
        <w:tc>
          <w:tcPr>
            <w:tcW w:w="26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website development</w:t>
            </w:r>
          </w:p>
        </w:tc>
        <w:tc>
          <w:tcPr>
            <w:tcW w:w="2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(48,968 )</w:t>
            </w:r>
          </w:p>
        </w:tc>
        <w:tc>
          <w:tcPr>
            <w:tcW w:w="5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(35,324 )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40,128</w:t>
            </w:r>
          </w:p>
        </w:tc>
        <w:tc>
          <w:tcPr>
            <w:tcW w:w="26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4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-993775</wp:posOffset>
            </wp:positionV>
            <wp:extent cx="6858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-676275</wp:posOffset>
            </wp:positionV>
            <wp:extent cx="6858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-676275</wp:posOffset>
            </wp:positionV>
            <wp:extent cx="60325"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7" w:name="page98"/>
    <w:bookmarkEnd w:id="9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2021, and 2020, depreciation and amortization expense, excluding amortization of intangible assets, amortization of capitalized hosting arrangements, and write offs, was $14,618, $10,324 and $8,198, respectively.</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the Company wrote off $165 of Digital Wholesale segment capitalized website development costs within wholesale cost of revenue in the consolidated income statements related to certain developed technology in which the Company has decided to cease investment. For the year ended December 31, 2021, the Company wrote off $2,481 of U.S. Marketplace segment of capitalized website development costs within operating expense in the consolidated income statements related to certain developed technology in which the Company has decided to cease investment. For the year ended December 31, 2020, the Company wrote off $1,151 of capitalized website development costs, which are included in the Other category of segment reporting, of which $844 related to the exit of certain international markets in connection with the Expense Reduction Plan.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capitalized website development costs increased $14,332 due to continued investment in the Company's product offerings. Capitalized internal-use software costs increased $4,388 due to additions related to internal engineering and development tools. Construction in progress increased $3,307 due to the development of the Company's future headquarters at 1001 Boylston, as discussed in Note 9 to these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changes in the carrying value of goodwill are as follows:</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Digital</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Marketplace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130,451</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(820 )</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(820 )</w:t>
            </w:r>
          </w:p>
        </w:tc>
        <w:tc>
          <w:tcPr>
            <w:tcW w:w="0" w:type="dxa"/>
            <w:vAlign w:val="bottom"/>
          </w:tcPr>
          <w:p>
            <w:pPr>
              <w:spacing w:after="0"/>
              <w:rPr>
                <w:sz w:val="1"/>
                <w:szCs w:val="1"/>
                <w:color w:val="auto"/>
              </w:rPr>
            </w:pPr>
          </w:p>
        </w:tc>
      </w:tr>
      <w:tr>
        <w:trPr>
          <w:trHeight w:val="277"/>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130,451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157,467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assessed its goodwill for impairment and did not identify any impairment as of December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intangible assets consist of the following:</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65,212</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42,674</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117,211</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63,510</w:t>
            </w:r>
          </w:p>
        </w:tc>
        <w:tc>
          <w:tcPr>
            <w:tcW w:w="14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32,274</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65,212</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-2253615</wp:posOffset>
            </wp:positionV>
            <wp:extent cx="6858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-2253615</wp:posOffset>
            </wp:positionV>
            <wp:extent cx="6032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-2253615</wp:posOffset>
            </wp:positionV>
            <wp:extent cx="60325"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-2253615</wp:posOffset>
            </wp:positionV>
            <wp:extent cx="60325"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-676275</wp:posOffset>
            </wp:positionV>
            <wp:extent cx="68580"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-676275</wp:posOffset>
            </wp:positionV>
            <wp:extent cx="60325"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-676275</wp:posOffset>
            </wp:positionV>
            <wp:extent cx="6032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-676275</wp:posOffset>
            </wp:positionV>
            <wp:extent cx="60325"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8" w:name="page99"/>
    <w:bookmarkEnd w:id="98"/>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2022, 2021, and 2020, amortization of intangible assets was $30,716, $30,152, and $1,993, respectively.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Company wrote off $647 of U.S. Marketplace segment intangible assets within marketplace cost of revenue in the consolidated income statements related to certain developed technology which the Company has decided to cease investment.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estimated amortization expense of intangible assets for future periods is as follows:</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0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Accrued Income Taxes and Other Current Liabilities and Other Non-Current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accrued expenses, accrued income taxes and other current liabilities consist of the following:</w:t>
      </w: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Accrued tax distributions to redeemable noncontrolling interest holders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tcPr>
          <w:p>
            <w:pPr>
              <w:spacing w:after="0"/>
              <w:rPr>
                <w:sz w:val="20"/>
                <w:szCs w:val="20"/>
                <w:color w:val="auto"/>
              </w:rPr>
            </w:pPr>
          </w:p>
        </w:tc>
      </w:tr>
      <w:tr>
        <w:trPr>
          <w:trHeight w:val="21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in transit, net of payments received in advance from the third-party payment</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processor</w:t>
            </w: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and other current liabilities</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28,170</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30,033</w:t>
            </w:r>
          </w:p>
        </w:tc>
        <w:tc>
          <w:tcPr>
            <w:tcW w:w="100" w:type="dxa"/>
            <w:vAlign w:val="bottom"/>
          </w:tcPr>
          <w:p>
            <w:pPr>
              <w:spacing w:after="0"/>
              <w:rPr>
                <w:sz w:val="20"/>
                <w:szCs w:val="20"/>
                <w:color w:val="auto"/>
              </w:rPr>
            </w:pPr>
          </w:p>
        </w:tc>
      </w:tr>
      <w:tr>
        <w:trPr>
          <w:trHeight w:val="277"/>
        </w:trPr>
        <w:tc>
          <w:tcPr>
            <w:tcW w:w="6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2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decrease of $28,075 in the receivables in transit, net of payments received in advance from third-party payment processors is due to the timing of payments remitted by the third-party.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decrease of $8,685 in the accrued tax distributions to redeemable noncontrolling interest holders is due to cash settlement of the balance as of December 31, 2021 during the year ended December 31,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other non-current liabilities consist of the following:</w:t>
      </w:r>
    </w:p>
    <w:p>
      <w:pPr>
        <w:spacing w:after="0" w:line="340"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 Incentive Unit and Subject Unit liability-classified awards</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00" w:type="dxa"/>
            <w:vAlign w:val="bottom"/>
            <w:shd w:val="clear" w:color="auto" w:fill="CFF0FC"/>
          </w:tcPr>
          <w:p>
            <w:pPr>
              <w:spacing w:after="0"/>
              <w:rPr>
                <w:sz w:val="20"/>
                <w:szCs w:val="20"/>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20"/>
                <w:szCs w:val="20"/>
                <w:color w:val="auto"/>
              </w:rPr>
            </w:pPr>
          </w:p>
        </w:tc>
      </w:tr>
      <w:tr>
        <w:trPr>
          <w:trHeight w:val="276"/>
        </w:trPr>
        <w:tc>
          <w:tcPr>
            <w:tcW w:w="6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acquisition of a 51% interest in CarOffer, the then-outstanding unvested CO Incentive Units and unvested Subject Units remained outstanding. The decrease of $21,095 related to CO Incentive Unit and Subject Unit liability-classified awards is due to a decrease in the valuation of the awards to zero, following the mark to market valuation adjustments.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the Company had no long-term debt outstanding.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26, 2022, the Company entered into a Credit Agreement (the “Credit Agreement”) by and among the Company, PNC Bank, National Association, as administrative agent and collateral agent and an L/C Issuer (as defined in the Credit Agreement), and the other lenders, L/C Issuers and parties thereto from time to time. The Credit Agreement consists of the 2022 Revolver, which allows the Company to borrow up to $400.0 million, $50.0 million of which may be comprised of a letter of credit sub-facility. The borrowing capacity under the Credit Agreement may be increased in accordance with the terms and subject to the adjustments as set forth in the Credit Agreement. For example,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2022 Revolver is secured by a first priority lien on substantially all tangible and intangible property of the Company and its subsidiary, Auto List, Inc., as well as any future guarantors, and pledges of the equity of CarOffer and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December 31, 2022.</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there were no borrowings and no letters of credit outstanding under the 2022 Revolver.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commitment fees under the 2022 Revolver were immaterial.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all of the Company’s property, equipment, and externally sourced internal-use software have been purchased with cash with the exception of amounts related to unpaid property and equipment, capitalized website development, capitalized internal-use software and capitalized hosting arrangements and amounts related to obligations under finance leases as disclosed in the consolidated statements of cash flows. The Company has no material long-term purchase obligations outstanding with any vendors or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various leases for office space in: Boston, Massachusetts; Cambridge, Massachusetts; San Francisco, California; Addison, Texas; Plano, Texas; Detroit, Michigan; Raleigh, North Carolina; and Dublin, Ireland. The Company's leases in Plano, Texas, Detroit, Michigan, and Raleigh, North Carolina are immaterial.</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non-cancellable lease terms through 2033 for its various commenced operating leases, certain of which include the option to extend the lease term up to two additional periods of five years. Additionally, certain leases provide for annual rent increases through the terms of the leases, leasehold improvement incentives, and variable payments related to operating expenses, taxes, utilities, insurance, and maintenance expenses. Certain leases also contain non-lease components in the contract. Non-lease components relate to operating expenses, parking, utilities, and maintenance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0" w:name="page101"/>
    <w:bookmarkEnd w:id="10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non-cancellable lease terms through 2025 for its various operating subleases, certain of which include the option to extend the sublease term up to one additional period of three years. Additionally, certain subleases provide for annual rent increases through the terms of the leases. Certain subleases also contain both lease and non-lease components in the contract. Non-lease components relate to operating expenses, parking, utilities, and maintenance expenses.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operating lease agreement in Boston, Massachusetts at 1001 Boylston Street has been signed, but the lease term has not commenced. The “Commencement Date” of the lease term is the earlier to occur of (i) the date that is twelve months following the Delivery Date (as defined in the lease) and (ii) the date that the Company first occupies the premises for the normal conduct of business for the Permitted Use (as defined in the lease). The initial term will commence on the Commencement Date and expire on the date that is one hundred and eighty full calendar months after the Commencement Date (plus the partial month, if any, immediately following the Commencement Date). The lease provides for the option to terminate early under certain circumstances and contains options to extend the lease term for two additional periods of five years. The lease provides for annual rent increases through the term of the lease, leasehold improvement incentives, and variable payments related to operating expenses, management fees, taxes, utilities, insurance, and maintenance expenses. The lease also contains both lease and non-lease components in the contract. Non-lease components relate to operating expenses, parking, utilities, and maintenance expenses. As the lease has been signed but the lease term has not commenced as of December 31, 2022, there is no impact to the consolidated financial statements as of December 31, 2022. The lease commenced in February 2023 as the Company has been granted access to begin its build out. The Company is expecting to move into the office space in 2024.</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operating lease agreement in Detroit, Michigan has also been signed, but the lease term has not commenced as of December 31, 2022. As the lease has been signed but the lease term has not commenced as of December 31, 2022, there is no impact to the consolidated financial statements as of December 31, 2022. The lease commenced in February 2023. The lease terms are consistent with that of its commenced operating leases.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financing lease obligations, which consist of a lease for furniture and office equipment, are immaterial.</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leases in Boston, Massachusetts, Cambridge, Massachusetts and San Francisco, California have associated letters of credit, which are recognized within restricted cash in the consolidated balance sheets. As of December 31, 2022 and 2021, restricted cash was $14,615 and $16,336, respectively, and primarily related to cash held at a financial institution in an interest bearing cash account as collateral for the letters of credit related to the contractual provisions for the Company’s building leases and pass-through payments from customers related to the Company's wholesale business. As December 31, 2022 and 2021, portions of restricted cash were classified as a short-term asset and long-term asset, as disclosed in the consolidated balance sheets.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recognized $16,732, $15,844, and $14,157, respectively, of lease costs for leases that have commenced.</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$1,809 of sublease income. There was no sublease income for the year ended December 31, 2021. For the year ended December 31, 2020, the Company recognized immaterial sublease income.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and 2021, for leases that have commenced the weighted average remaining lease term was 7.1 years and 7.6 years, respectively, and the weighted average discount rate was 4.9% and 5.3%, respectively. As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1" w:name="page102"/>
    <w:bookmarkEnd w:id="101"/>
    <w:p>
      <w:pPr>
        <w:ind w:left="520"/>
        <w:spacing w:after="0"/>
        <w:rPr>
          <w:sz w:val="20"/>
          <w:szCs w:val="20"/>
          <w:color w:val="auto"/>
        </w:rPr>
      </w:pPr>
      <w:r>
        <w:rPr>
          <w:rFonts w:ascii="Times New Roman" w:cs="Times New Roman" w:eastAsia="Times New Roman" w:hAnsi="Times New Roman"/>
          <w:sz w:val="18"/>
          <w:szCs w:val="18"/>
          <w:color w:val="auto"/>
        </w:rPr>
        <w:t>As of December 31, 2022, future minimum lease payments are as follows:</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87"/>
        </w:trPr>
        <w:tc>
          <w:tcPr>
            <w:tcW w:w="8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236"/>
        </w:trPr>
        <w:tc>
          <w:tcPr>
            <w:tcW w:w="8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(15,941 )</w:t>
            </w:r>
          </w:p>
        </w:tc>
        <w:tc>
          <w:tcPr>
            <w:tcW w:w="0" w:type="dxa"/>
            <w:vAlign w:val="bottom"/>
          </w:tcPr>
          <w:p>
            <w:pPr>
              <w:spacing w:after="0"/>
              <w:rPr>
                <w:sz w:val="1"/>
                <w:szCs w:val="1"/>
                <w:color w:val="auto"/>
              </w:rPr>
            </w:pPr>
          </w:p>
        </w:tc>
      </w:tr>
      <w:tr>
        <w:trPr>
          <w:trHeight w:val="276"/>
        </w:trPr>
        <w:tc>
          <w:tcPr>
            <w:tcW w:w="80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chart above does not include options to extend lease terms that are not reasonably certain of being exercised or leases signed but not yet commenced as of December 31, 2022. As of December 31, 2022, total estimated future minimum lease payments for leases signed but not yet commenced are estimated to be $246,492.</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known contractual obligations that are fixed and determinable, including leases signed but not yet commenced based on expected contractual commencement date, are as follows:</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1 to 3 years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6"/>
              </w:rPr>
              <w:t>3 to 5 years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328,851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45,076</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231,170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-187960</wp:posOffset>
            </wp:positionV>
            <wp:extent cx="6858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-187960</wp:posOffset>
            </wp:positionV>
            <wp:extent cx="6858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0325"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60325"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future minimum sublease income payments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Sublease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Income Payments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0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14, 2021 the Company completed the acquisition of a 51% interest in CarOffer, an automated instant vehicle trade platform based in Addison, Texas, with the option to acquire portions of the remaining equity in the future. During the year ended December 31, 2022, the Company determined not to exercise its call right to acquire up to an additional 25% of the fully diluted capitalization of CarOffer. In the second half of 2024, the Company will have a call right to acquire all, and not less than all, of the remaining equity interests in CarOffer and the representative of the holders of the remaining equity will have a put right to sell to the Company, all, and not less than all, of the remaining equity interests in CarOffer. Details of this acquisition are more fully described in Note 2 to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Indemnification Obligations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with its customers, partners and service providers that include commercial provisions with respect to licensing, infringement, guarantees, indemnification, and other common provisions.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Company provides certain guarantees to dealers through products such as its 45-Day Guarantee and OfferGuard service offerings on the CarOffer platform, which are accounted for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45-Day Guarantee is an arrangement through which a selling dealer lists a car on the CarOffer platform, and the Company provides an offer to purchase the vehicle listed at a specified price at any time over a 45-day period. This provides the seller with a put option, where they have the right, but not the obligation, to require the Company to purchase the vehicle during this window. OfferGuard is an arrangement through which a buying dealer purchases a car on the CarOffer platform, and the Company provides an offer to purchase the vehicle at a specified price between days 1 and 3, and days 42 and 45 if the dealer is not able to sell the vehicle after 42 days.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consolidated income statements. When it is probable and reasonably estimable that the Company will incur a loss on a vehicle that it is required to purchase, a liability, and a corresponding charge to wholesale cost of revenue is recognized for the amount of the loss in the consolidated balance sheets and the consolidated income statements. Gains and losses resulting from the dealers exercise of guarantees are recognized within wholesale cost of revenue, as appropriate, in the consolidated income statements.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income for guarantees purchased by dealers was $10,026 and $5,537, respectively. For the year ended December 31, 2022, the loss, net of gains recognized within cost of revenue in the consolidated income statements resulting from the dealer's exercise of guarantees was $4,568. For the year ended December 31, 2021, the net loss resulting from the dealer's exercise of guarantees was immaterial.</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maximum potential amount of future payments that the Company could be required to make under these guarantees was $31,056. Of the maximum potential amount of future payments, the losses that are probable are not material. As such, as of December 31, 2022, the Company had no material contingent loss liabilities.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2021, the maximum potential amount of future payments that the Company could be required to make under these guarantees was $76,075. Of the maximum potential amount of future payments, none were considered probable. The exercise of guarantees has historically been infrequent and even when such exercises did occur, the losses were immaterial. As such, as of December 31, 2021, the Company had no contingent loss liabilities.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2020, the Company did not have any guarantees.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03" w:name="page104"/>
    <w:bookmarkEnd w:id="103"/>
    <w:p>
      <w:pPr>
        <w:spacing w:after="0" w:line="207" w:lineRule="exact"/>
        <w:rPr>
          <w:sz w:val="20"/>
          <w:szCs w:val="20"/>
          <w:color w:val="auto"/>
        </w:rPr>
      </w:pPr>
      <w:r>
        <w:rPr>
          <w:rFonts w:ascii="Times New Roman" w:cs="Times New Roman" w:eastAsia="Times New Roman" w:hAnsi="Times New Roman"/>
          <w:sz w:val="18"/>
          <w:szCs w:val="18"/>
          <w:b w:val="1"/>
          <w:bCs w:val="1"/>
          <w:color w:val="auto"/>
        </w:rPr>
        <w:t>10. 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CarGurus Equity Incentive Plans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2006 Equity Incentive Plan (the “2006 Plan”) provided for the issuance of non-qualified stock options, restricted stock and stock awards to the Company’s employees, officers, directors and consultants. The 2006 Plan authorized up to an aggregate of 3,444,668 shares of the Company's Class B common stock for such issuances. In conjunction with the effectiveness of the Company’s 2015 Equity Incentive Plan (the “2015 Plan”), the Board voted that no further stock options or other equity-based awards may be granted under the 2006 Plan.</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2015, the Board first adopted the 2015 Plan, which became effective on June 26, 2015. The 2015 Plan provided for the issuance of stock-based incentives to employees, consultants and non-employee directors. As of the effective date of the 2015 Plan, up to 603,436 shares of common stock were authorized for issuance under the 2015 Plan. The 2015 Plan was amended and restated effective August 6, 2015 to permit the granting of restricted stock units (“RSUs”) under the 2015 Plan, to remove Class B common stock from the pool of shares available for issuance under the 2015 Plan and to make certain other desired changes. The 2015 Plan was further amended and restated at October 15, 2015 to add a ten-year term and to make certain other desired changes.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2015 Plan was further amended and restated effective August 22, 2016 to merge the 2006 Plan into the 2015 Plan, to increase the number of shares of Class A common stock that may be issued under the 2015 Plan, and to lengthen the term of the 2015 Plan to expire on August 21, 2026. In addition, pursuant to this amendment and restatement of the 2015 Plan, prior to giving effect to the recapitalization that occurred on June 21, 2017, there were (i) 618,691 shares of Class A common stock, plus (ii) 802,562 shares of Class B common stock authorized under the 2015 Plan; provided, however, that (1) the number of shares of Class A common stock was increased, on a share for share basis, by the number of shares of Class B common stock that were (a) subject to outstanding options granted under the 2006 Plan that expired, terminated, or were canceled for any reason without having been exercised, (b) surrendered in payment of the exercise price of outstanding options granted under the 2006 Plan or (c) withheld in satisfaction of tax withholding upon exercise of outstanding options granted under the 2006 Plan, and the number of shares of Class B common stock reserved under the amended and restated 2015 Plan was decreased, on a corresponding share for share basis, (2) no new awards of Class B common stock could be granted under the amended and restated 2015 Plan, and (3) except with respect to outstanding options granted under the 2006 Plan that were exercised on or after the date of the amendment and restatement, no Class B common stock could be issued under the 2015 Plan.</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recapitalization that occurred on June 21, 2017, the 2015 Plan was further amended and restated to account for each outstanding common stock option being adjusted such that each share of common stock underlying such option became two shares of Class A common stock and four shares of Class B common stock underlying such option, and each outstanding RSU being adjusted such that each share of common stock issuable upon settlement of such RSU became two shares of Class A common stock and four shares of Class B common stock issuable upon settlement of such RSU. Pursuant to the 2015 Plan as further amended in connection with the recapitalization, there were (i) 3,181,740 shares of Class A common stock and (ii) 5,161,644 shares of Class B common stock authorized for issuance under the 2015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4" w:name="page105"/>
    <w:bookmarkEnd w:id="104"/>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connection with the Company's initial public offering ("IPO"), in October 2017, the Board adopted, and the Company’s stockholders approved, the Omnibus Incentive Compensation Plan (the “2017 Plan”) for the purpose of granting incentive stock options, non-qualified stock options, stock awards, stock units, other share-based awards and cash awards to employees, advisors and consultants to the Company and its subsidiaries and non-employee members of the Board. The 2017 Plan is the successor to the 2015 Plan. The 2017 Plan authorizes the issuance or transfer of the sum of: (i) 7,800,000 shares of the Company’s Class A common stock, plus (ii) the number of shares of Class A common stock (up to 4,500,000 shares) equal to the sum of (x) the number of shares of Class A common stock and Class B common stock of the Company subject to outstanding awards under the 2015 Plan as of October 10, 2017 that terminate, expire or are canceled, forfeited, exchanged, or surrendered on or after October 10, 2017 without having been exercised, vested, or paid prior to October 10, 2017, including shares tendered or withheld to satisfy tax withholding obligations with respect to outstanding grants under the 2015 Plan, plus (y) the number of shares of Class A common stock reserved for issuance under the 2015 Plan that remain available for grant under the 2015 Plan as of October 10, 2017. The aggregate number of shares of Class A common stock that may be issued or transferred under the 2017 Plan pursuant to incentive stock options will not exceed 12,300,000 shares of Class A common stock. Unless determined otherwise by the Compensation Committee of the Board, as of the first trading day of January of each calendar year during the term of the 2017 Plan (excluding any extensions), eligible beginning with calendar year 2019, an additional number of shares of Class A common stock will be added to the number of shares of the Company’s Class A common stock authorized to be issued or transferred under the 2017 Plan and the number of shares authorized to be issued or transferred pursuant to incentive stock options, equal to 4% of the total number of shares of Class A common stock outstanding on the last trading day in December of the immediately preceding calendar year, or 6,000,000 shares, whichever is less, or such lesser amount as determined by the Board (the “Evergreen Increase”). The Compensation Committee of the Board determined to not effectuate the Evergreen Increase that was otherwise scheduled to have occurred on each of January 2, 2019, January 2, 2020 and January 4, 2021. On January 3, 2022, an additional 4,070,921 shares of the Company's Class A Common Stock was authorized to be issued or transferred under the 2017 Plan pursuant to the Evergreen Increase. On January 3, 2023, an additional 4,065,466 shares of the Company's Class A Common Stock was authorized to be issued or transferred under the 2017 Plan pursuant to the Evergreen Increase. In conjunction with the adoption of the 2017 Plan, options and RSUs outstanding under the 2015 Plan will remain outstanding but no additional grants will be made from the 2015 Plan.</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4,939,416 shares of Class A common stock were available for issuance under the 2017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CarOffer Equity Incentive Plans</w:t>
      </w:r>
    </w:p>
    <w:p>
      <w:pPr>
        <w:spacing w:after="0" w:line="229"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The 2020 CO Plan provides for the issuance of CO Incentive Units to CarOffer’s employees, officers, managers, and consultants. The 2020 CO Plan authorized up to an aggregate of 485,714 CO Incentive Units for such issuances, all of which were issued prior to the close of the CarOffer Acquisition. At the time of close, 142,857 CO Incentive Units were accelerated and redeemed. The compensation relating to these CO Incentive Units was deemed to be outside of consideration transferred. Therefore, for the year ended December 31, 2021, the Company recognized an additional $1,229 of stock-based compensation expense. As of December 31, 2022 and 2021, 342,857 and 342,857 CO Inventive Units were unvested, respectively. During the year ended December 31, 2022, no CO Incentive Units were granted, vested or were forfeited. As of December 31, 2022, there is no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unvested CO Incentive Units, as a result of the revaluation of the awards. These CO Incentive Units are accounted for within other non-current liabilities in the consolidated balance sheets.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there were no CO Incentive Units available for issuance under the 2020 CO Plan.</w:t>
      </w:r>
    </w:p>
    <w:p>
      <w:pPr>
        <w:spacing w:after="0" w:line="225"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Vesting Agreement provides for the vesting of the Subject Units beneficially owned by the T5 Holders, which vest in accordance with the terms described in Note 2 of these consolidated financial statements. As of December 31, 2022 and 2021, 288,395 and 432,592 Subject Units issued and unvested, respectively. During the year ended December 31, 2022, no Subject Units were granted, 144,197 Subject Units vested and no Subject Units were forfeited. As of December 31, 2022, there is no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unvested Subject Units as a result of the revaluation of the awards. These Subject Units are accounted for within other non-current liabilities in the consolidated balance sheets.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there were no Subject Units available for issuance under the Vesting Agreement.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2021 CO Plan provides for an incentive equity grant structure whereby 2021 Incentive Units will be granted to CIE and 2021 CO Plan grantees will receive an associated CIE Interest, with back-to-back vesting between the 2021 Incentive Units and the associated CIE Interest. The 2021 CO Plan authorized up to an aggregate of 228,571 2021 Incentive Units for such issuances.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5" w:name="page106"/>
    <w:bookmarkEnd w:id="105"/>
    <w:p>
      <w:pPr>
        <w:ind w:left="520"/>
        <w:spacing w:after="0"/>
        <w:rPr>
          <w:sz w:val="20"/>
          <w:szCs w:val="20"/>
          <w:color w:val="auto"/>
        </w:rPr>
      </w:pPr>
      <w:r>
        <w:rPr>
          <w:rFonts w:ascii="Times New Roman" w:cs="Times New Roman" w:eastAsia="Times New Roman" w:hAnsi="Times New Roman"/>
          <w:sz w:val="18"/>
          <w:szCs w:val="18"/>
          <w:color w:val="auto"/>
        </w:rPr>
        <w:t>As of December 31, 2022, 228,571 2021 Incentive Units were available for issuance under the 2021 CO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2022, stock option activity is as follows:</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for Equity</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8"/>
              <w:spacing w:after="0" w:line="189" w:lineRule="exact"/>
              <w:rPr>
                <w:sz w:val="20"/>
                <w:szCs w:val="20"/>
                <w:color w:val="auto"/>
              </w:rPr>
            </w:pPr>
            <w:r>
              <w:rPr>
                <w:rFonts w:ascii="Times New Roman" w:cs="Times New Roman" w:eastAsia="Times New Roman" w:hAnsi="Times New Roman"/>
                <w:sz w:val="14"/>
                <w:szCs w:val="14"/>
                <w:b w:val="1"/>
                <w:bCs w:val="1"/>
                <w:color w:val="auto"/>
                <w:w w:val="92"/>
              </w:rPr>
              <w:t>Value</w:t>
            </w:r>
            <w:r>
              <w:rPr>
                <w:rFonts w:ascii="Times New Roman" w:cs="Times New Roman" w:eastAsia="Times New Roman" w:hAnsi="Times New Roman"/>
                <w:sz w:val="19"/>
                <w:szCs w:val="19"/>
                <w:b w:val="1"/>
                <w:bCs w:val="1"/>
                <w:color w:val="auto"/>
                <w:w w:val="92"/>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949,307</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2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(131,061 )</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or Expired</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(21,903 )</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826,609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-205105</wp:posOffset>
            </wp:positionV>
            <wp:extent cx="68580" cy="2057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70" w:lineRule="exact"/>
        <w:rPr>
          <w:sz w:val="20"/>
          <w:szCs w:val="20"/>
          <w:color w:val="auto"/>
        </w:rPr>
      </w:pPr>
    </w:p>
    <w:p>
      <w:pPr>
        <w:jc w:val="both"/>
        <w:ind w:left="1020" w:hanging="499"/>
        <w:spacing w:after="0" w:line="231" w:lineRule="auto"/>
        <w:tabs>
          <w:tab w:leader="none" w:pos="102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 of December 31, 2022 and 2021, the aggregate intrinsic value was calculated based on the positive difference, if any, between the estimated fair value of common stock on December 31, 2022 and 2021, respectively, or the date of exercise, as appropriate, and the exercise price of the underlying options.</w:t>
      </w:r>
    </w:p>
    <w:p>
      <w:pPr>
        <w:spacing w:after="0" w:line="20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there were 619,618 options granted. During the year ended December 31, 2020, there were no options granted.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2021 and 2020, the aggregate intrinsic value for options exercised was $6,027 and $8,401, respectively.</w:t>
      </w:r>
    </w:p>
    <w:p>
      <w:pPr>
        <w:spacing w:after="0" w:line="196" w:lineRule="exact"/>
        <w:rPr>
          <w:sz w:val="20"/>
          <w:szCs w:val="20"/>
          <w:color w:val="auto"/>
        </w:rPr>
      </w:pPr>
    </w:p>
    <w:p>
      <w:pPr>
        <w:ind w:firstLine="509"/>
        <w:spacing w:after="0" w:line="250" w:lineRule="exact"/>
        <w:rPr>
          <w:sz w:val="20"/>
          <w:szCs w:val="20"/>
          <w:color w:val="auto"/>
        </w:rPr>
      </w:pPr>
      <w:r>
        <w:rPr>
          <w:rFonts w:ascii="Times New Roman" w:cs="Times New Roman" w:eastAsia="Times New Roman" w:hAnsi="Times New Roman"/>
          <w:sz w:val="18"/>
          <w:szCs w:val="18"/>
          <w:color w:val="auto"/>
        </w:rPr>
        <w:t>As of December 31, 2022, there was $5,173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unvested stock options that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2.2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2022, RSU activity is as follows:</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outstanding, December 31, 2021</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3,834,322</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2,784,845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(1,649,294 )</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(485,582 )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outstanding, December 31, 2022</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4,484,291</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4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and 2020, the weighted-average grant-date fair value of RSUs granted was $33.83 and $28.47 per share,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2021 and 2020, RSUs that vested and settled totaled 1,575,206 and 1,347,464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2021 and 2020, the total fair value of RSUs vested was $52,423 and $40,613 respectively.</w:t>
      </w:r>
    </w:p>
    <w:p>
      <w:pPr>
        <w:spacing w:after="0" w:line="196" w:lineRule="exact"/>
        <w:rPr>
          <w:sz w:val="20"/>
          <w:szCs w:val="20"/>
          <w:color w:val="auto"/>
        </w:rPr>
      </w:pPr>
    </w:p>
    <w:p>
      <w:pPr>
        <w:ind w:firstLine="509"/>
        <w:spacing w:after="0" w:line="250" w:lineRule="exact"/>
        <w:rPr>
          <w:sz w:val="20"/>
          <w:szCs w:val="20"/>
          <w:color w:val="auto"/>
        </w:rPr>
      </w:pPr>
      <w:r>
        <w:rPr>
          <w:rFonts w:ascii="Times New Roman" w:cs="Times New Roman" w:eastAsia="Times New Roman" w:hAnsi="Times New Roman"/>
          <w:sz w:val="18"/>
          <w:szCs w:val="18"/>
          <w:color w:val="auto"/>
        </w:rPr>
        <w:t>As of December 31, 2022, there was $110,444 of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unvested RSUs that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2.7 years.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2021, and 2020, stock-based compensation expense by award type and where the stock-based compensation expense was recognized in the Company’s consolidated income statements is as follows: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0"/>
                <w:szCs w:val="20"/>
                <w:color w:val="auto"/>
              </w:rPr>
            </w:pPr>
          </w:p>
        </w:tc>
      </w:tr>
      <w:tr>
        <w:trPr>
          <w:trHeight w:val="23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45,304</w:t>
            </w:r>
          </w:p>
        </w:tc>
        <w:tc>
          <w:tcPr>
            <w:tcW w:w="100" w:type="dxa"/>
            <w:vAlign w:val="bottom"/>
          </w:tcPr>
          <w:p>
            <w:pPr>
              <w:spacing w:after="0"/>
              <w:rPr>
                <w:sz w:val="20"/>
                <w:szCs w:val="20"/>
                <w:color w:val="auto"/>
              </w:rPr>
            </w:pPr>
          </w:p>
        </w:tc>
      </w:tr>
      <w:tr>
        <w:trPr>
          <w:trHeight w:val="24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 Incentive Units and Subject Units</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(21,095 )</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77,710</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100" w:type="dxa"/>
            <w:vAlign w:val="bottom"/>
            <w:tcBorders>
              <w:top w:val="single" w:sz="8" w:color="CFF0FC"/>
            </w:tcBorders>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-187960</wp:posOffset>
            </wp:positionV>
            <wp:extent cx="68580"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032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decrease of $43,418 for the year ended December 31, 2022 compared to the year ended December 31, 2021 in CO Incentive Units and Subject Units stock-based compensation expense was due to a decrease in the valuation of the awards to zero, following the mark to market valuation adjustments.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0"/>
                <w:szCs w:val="20"/>
                <w:color w:val="auto"/>
              </w:rPr>
            </w:pPr>
          </w:p>
        </w:tc>
      </w:tr>
      <w:tr>
        <w:trPr>
          <w:trHeight w:val="23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technology, and development expense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00" w:type="dxa"/>
            <w:vAlign w:val="bottom"/>
          </w:tcPr>
          <w:p>
            <w:pPr>
              <w:spacing w:after="0"/>
              <w:rPr>
                <w:sz w:val="20"/>
                <w:szCs w:val="20"/>
                <w:color w:val="auto"/>
              </w:rPr>
            </w:pPr>
          </w:p>
        </w:tc>
      </w:tr>
      <w:tr>
        <w:trPr>
          <w:trHeight w:val="276"/>
        </w:trPr>
        <w:tc>
          <w:tcPr>
            <w:tcW w:w="59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77,710</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excluded from stock-based compensation expense was $4,468, $3,247, and $1,906, respectively, of capitalized website development costs, capitalized internal-use software costs, and capitalized hosting arrangements.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income tax benefit from stock-based compensation expense, recognized through the Company's deferred tax asset in the consolidated balance sheets was $5,441, $5,301, and $4,796, respectively.</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withheld 566,267, 527,237, and 447,160 shares of Class A common stock, respectively, to satisfy employee tax withholding requirements for net share settlements of restricted stock units. The shares withheld return to the authorized, but unissued, pool under the Company's 2017 Plan and can be reissued by the Company. For the years ended December 31, 2022, 2021, and 2020, total payments to satisfy employee tax withholding requirements for net share settlements of restricted stock units, were $16,022, $15,388, and $11,184 respectively, and are reflected as a financing activity in the consolidated statements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As of December 31, 2022, the Company had reserved the following shares of Class A common stock for future issuance: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826,609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4,484,291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2017 Plan</w:t>
            </w:r>
          </w:p>
        </w:tc>
        <w:tc>
          <w:tcPr>
            <w:tcW w:w="6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4,939,416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10,250,316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jc w:val="right"/>
              <w:ind w:right="2970"/>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8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82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-676275</wp:posOffset>
            </wp:positionV>
            <wp:extent cx="60325"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Share Repurchases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December 8, 2022, the Company announced that its Board of Directors authorized a new share repurchase program (the “Share Repurchase Program”), pursuant to which the Company may, from time to time, purchase shares of its Class A common stock for an aggregate purchase price not to exceed $250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Exchange Act. The Share Repurchase Program does not obligate the Company to repurchase any minimum dollar amount or number of shares. The Share Repurchase Program has an expiration date of December 31, 2023, and prior to its expiration may be modified, suspended, or discontinued by the Company’s Board of Directors at any time without prior notice. All repurchased shares will be retired. The Company expects to fund share repurchases through cash on hand and cash generated from operations.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and retired 1,350,473 shares for $18,691, at an average cost of $13.84 per share, under this authorization. As of December 31, 2022, the Company had remaining authorization to purchase up to $231,309 of the Company's common stock under the 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basis when computing net income per share. As a result, basic and diluted net income per share of Class A common stock and per share of Class B common stock are equivalent.</w:t>
      </w:r>
    </w:p>
    <w:p>
      <w:pPr>
        <w:spacing w:after="0" w:line="20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holders of Class B common stock converted no shares of Class B common stock to Class A common stock. During the years ended December 31, 2021, and 2020, holders of Class B common stock converted 3,077,327 shares and 1,238,144 shares, respectively, of Class B common stock to Class A common stock.</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net income per share (“Basic EPS”) is computed by dividing consolidated net income adjusted for net (loss) income attributable to redeemable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spacing w:after="0" w:line="18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Diluted net income per share (“Diluted EPS”) gives effect to all potentially dilutive securities. Diluted EPS is computed by dividing consolidated net income adjusted for net (loss) income attributable to redeemable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(as defined in Note 2 to these consolidated financial statements), inclusive of CarOffer noncontrolling interest and incentive and subject units, that would be issuable as of the end of the reporting period assuming the end of the reporting period was also the end of the contingency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8" w:name="page109"/>
    <w:bookmarkEnd w:id="108"/>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a reconciliation of the numerator and denominator used in the calculation of basic and diluted net income per share is as follows: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110,373</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redeemable noncontrolling interest</w:t>
            </w: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(5,433 )</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2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(109,398 )</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193,785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redeemable noncontrolling interest</w:t>
            </w:r>
          </w:p>
        </w:tc>
        <w:tc>
          <w:tcPr>
            <w:tcW w:w="220" w:type="dxa"/>
            <w:vAlign w:val="bottom"/>
          </w:tcPr>
          <w:p>
            <w:pPr>
              <w:spacing w:after="0"/>
              <w:rPr>
                <w:sz w:val="19"/>
                <w:szCs w:val="19"/>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(5,433 )</w:t>
            </w:r>
          </w:p>
        </w:tc>
        <w:tc>
          <w:tcPr>
            <w:tcW w:w="200" w:type="dxa"/>
            <w:vAlign w:val="bottom"/>
          </w:tcPr>
          <w:p>
            <w:pPr>
              <w:spacing w:after="0"/>
              <w:rPr>
                <w:sz w:val="19"/>
                <w:szCs w:val="19"/>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(109,398 )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 used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computing net income (loss) per share attributable to</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stockholders — basic</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118,474,991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117,142,062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112,854,524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Dilutive effect of share equivalents resulting from stock</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275,330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share equivalents resulting from</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Dilutive effect of share equivalents resulting from CarOffer</w:t>
            </w:r>
          </w:p>
        </w:tc>
        <w:tc>
          <w:tcPr>
            <w:tcW w:w="2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9,034,395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incentive units and noncontrolling interest</w:t>
            </w: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40" w:type="dxa"/>
            <w:vAlign w:val="bottom"/>
            <w:tcBorders>
              <w:top w:val="single" w:sz="8" w:color="CFF0FC"/>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used in computing net income (loss) per share attributable to</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stockholders — diluted</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128,150,974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117,142,062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113,849,815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-3059430</wp:posOffset>
            </wp:positionV>
            <wp:extent cx="1911350" cy="179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11350" cy="1797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-2725420</wp:posOffset>
            </wp:positionV>
            <wp:extent cx="68580"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-2725420</wp:posOffset>
            </wp:positionV>
            <wp:extent cx="60325"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-2725420</wp:posOffset>
            </wp:positionV>
            <wp:extent cx="60325"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-1088390</wp:posOffset>
            </wp:positionV>
            <wp:extent cx="68580" cy="4375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4375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-1088390</wp:posOffset>
            </wp:positionV>
            <wp:extent cx="60325" cy="4375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4375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-1088390</wp:posOffset>
            </wp:positionV>
            <wp:extent cx="60325" cy="4375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4375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35" w:lineRule="exact"/>
        <w:rPr>
          <w:sz w:val="20"/>
          <w:szCs w:val="20"/>
          <w:color w:val="auto"/>
        </w:rPr>
      </w:pPr>
      <w:r>
        <w:rPr>
          <w:rFonts w:ascii="Times New Roman" w:cs="Times New Roman" w:eastAsia="Times New Roman" w:hAnsi="Times New Roman"/>
          <w:sz w:val="18"/>
          <w:szCs w:val="18"/>
          <w:color w:val="auto"/>
        </w:rPr>
        <w:t>For the years ended December 31, 2022, 2021, and 2020, potentially dilutive common stock equivalents that have been excluded from the calculation of diluted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shares outstanding as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are as follows: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587,494</w:t>
            </w: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617,504</w:t>
            </w:r>
          </w:p>
        </w:tc>
        <w:tc>
          <w:tcPr>
            <w:tcW w:w="18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2,634,463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2,867,330</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2,722,226</w:t>
            </w:r>
          </w:p>
        </w:tc>
        <w:tc>
          <w:tcPr>
            <w:tcW w:w="100" w:type="dxa"/>
            <w:vAlign w:val="bottom"/>
          </w:tcPr>
          <w:p>
            <w:pPr>
              <w:spacing w:after="0"/>
              <w:rPr>
                <w:sz w:val="20"/>
                <w:szCs w:val="20"/>
                <w:color w:val="auto"/>
              </w:rPr>
            </w:pPr>
          </w:p>
        </w:tc>
      </w:tr>
      <w:tr>
        <w:trPr>
          <w:trHeight w:val="247"/>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 Incentive Units, Subject Units and noncontrolling interest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1,509,750</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shares of Class A common stock potentially issuable under market-based performance awards of approximately 14,682 RSUs were excluded from the calculation of weighted average shares used to compute Diluted EPS as the market-based vesting conditions had not been achieved as of the reporting period end date and as such there were zero contingently issuable shares. During the year ended December 31, 2022, the Company modified its market-based performance awards to contain only service-based vesting conditions in line with the Company's other restricted stock unit awards. As a result, there are no market-based RSUs outstanding as of December 31,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2022, 2021, and 2020, the domestic and foreign components of income before income taxes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110,213</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148,037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97,120</w:t>
            </w:r>
          </w:p>
        </w:tc>
        <w:tc>
          <w:tcPr>
            <w:tcW w:w="100" w:type="dxa"/>
            <w:vAlign w:val="bottom"/>
            <w:shd w:val="clear" w:color="auto" w:fill="CFF0FC"/>
          </w:tcPr>
          <w:p>
            <w:pPr>
              <w:spacing w:after="0"/>
              <w:rPr>
                <w:sz w:val="20"/>
                <w:szCs w:val="20"/>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20"/>
                <w:szCs w:val="20"/>
                <w:color w:val="auto"/>
              </w:rPr>
            </w:pPr>
          </w:p>
        </w:tc>
      </w:tr>
      <w:tr>
        <w:trPr>
          <w:trHeight w:val="27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111,362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149,360</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components of the provision for (benefit from) income taxes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(3,733 )</w:t>
            </w:r>
          </w:p>
        </w:tc>
      </w:tr>
      <w:tr>
        <w:trPr>
          <w:trHeight w:val="247"/>
        </w:trPr>
        <w:tc>
          <w:tcPr>
            <w:tcW w:w="5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0"/>
                <w:szCs w:val="20"/>
                <w:color w:val="auto"/>
              </w:rPr>
            </w:pPr>
          </w:p>
        </w:tc>
      </w:tr>
      <w:tr>
        <w:trPr>
          <w:trHeight w:val="237"/>
        </w:trPr>
        <w:tc>
          <w:tcPr>
            <w:tcW w:w="58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54,522</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(20,278 )</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19,539</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20"/>
                <w:szCs w:val="20"/>
                <w:color w:val="auto"/>
              </w:rPr>
            </w:pPr>
          </w:p>
        </w:tc>
        <w:tc>
          <w:tcPr>
            <w:tcW w:w="12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(1,789 )</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(47 )</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0"/>
        </w:trPr>
        <w:tc>
          <w:tcPr>
            <w:tcW w:w="58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(22,114 )</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100" w:type="dxa"/>
            <w:vAlign w:val="bottom"/>
          </w:tcPr>
          <w:p>
            <w:pPr>
              <w:spacing w:after="0"/>
              <w:rPr>
                <w:sz w:val="20"/>
                <w:szCs w:val="20"/>
                <w:color w:val="auto"/>
              </w:rPr>
            </w:pPr>
          </w:p>
        </w:tc>
      </w:tr>
      <w:tr>
        <w:trPr>
          <w:trHeight w:val="27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-976630</wp:posOffset>
            </wp:positionV>
            <wp:extent cx="68580" cy="1631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-976630</wp:posOffset>
            </wp:positionV>
            <wp:extent cx="60325" cy="1631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1631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-350520</wp:posOffset>
            </wp:positionV>
            <wp:extent cx="6858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-350520</wp:posOffset>
            </wp:positionV>
            <wp:extent cx="60325"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2022, 2021, and 2020, the components of the effective tax rate are as follows:</w:t>
      </w:r>
    </w:p>
    <w:p>
      <w:pPr>
        <w:spacing w:after="0" w:line="200" w:lineRule="exact"/>
        <w:rPr>
          <w:sz w:val="20"/>
          <w:szCs w:val="20"/>
          <w:color w:val="auto"/>
        </w:rPr>
      </w:pPr>
    </w:p>
    <w:p>
      <w:pPr>
        <w:spacing w:after="0" w:line="24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8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6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8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and state credits</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(4.7 )</w:t>
            </w:r>
          </w:p>
        </w:tc>
        <w:tc>
          <w:tcPr>
            <w:tcW w:w="8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6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CARES Act</w:t>
            </w:r>
          </w:p>
        </w:tc>
        <w:tc>
          <w:tcPr>
            <w:tcW w:w="1480" w:type="dxa"/>
            <w:vAlign w:val="bottom"/>
            <w:gridSpan w:val="3"/>
            <w:shd w:val="clear" w:color="auto" w:fill="CFF0FC"/>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Disallowed officer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tcPr>
          <w:p>
            <w:pPr>
              <w:spacing w:after="0"/>
              <w:rPr>
                <w:sz w:val="21"/>
                <w:szCs w:val="21"/>
                <w:color w:val="auto"/>
              </w:rPr>
            </w:pPr>
          </w:p>
        </w:tc>
        <w:tc>
          <w:tcPr>
            <w:tcW w:w="6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(0.3 )</w:t>
            </w:r>
          </w:p>
        </w:tc>
        <w:tc>
          <w:tcPr>
            <w:tcW w:w="1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state, and foreign provision to return differences</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(0.8 )</w:t>
            </w:r>
          </w:p>
        </w:tc>
        <w:tc>
          <w:tcPr>
            <w:tcW w:w="8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(0.7 )</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tcPr>
          <w:p>
            <w:pPr>
              <w:spacing w:after="0"/>
              <w:rPr>
                <w:sz w:val="21"/>
                <w:szCs w:val="21"/>
                <w:color w:val="auto"/>
              </w:rPr>
            </w:pPr>
          </w:p>
        </w:tc>
        <w:tc>
          <w:tcPr>
            <w:tcW w:w="6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Uncertain tax provision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effective tax rate</w:t>
            </w:r>
          </w:p>
        </w:tc>
        <w:tc>
          <w:tcPr>
            <w:tcW w:w="8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 attributable to redeemable noncontrolling</w:t>
            </w:r>
          </w:p>
        </w:tc>
        <w:tc>
          <w:tcPr>
            <w:tcW w:w="6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(1.0 )</w:t>
            </w:r>
          </w:p>
        </w:tc>
        <w:tc>
          <w:tcPr>
            <w:tcW w:w="84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190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64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attributable to CarGurus, Inc.</w:t>
            </w:r>
          </w:p>
        </w:tc>
        <w:tc>
          <w:tcPr>
            <w:tcW w:w="8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2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58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-2973705</wp:posOffset>
            </wp:positionV>
            <wp:extent cx="641223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-668020</wp:posOffset>
            </wp:positionV>
            <wp:extent cx="6412230" cy="180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41223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0" w:name="page111"/>
    <w:bookmarkEnd w:id="11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effective tax rate attributable to CarGurus, Inc. was 27.7%, which is greater than the U.S. federal statutory rate primarily due to state and local income taxes, the exclusion of loss from investment in partnership, shortfalls on the taxable compensation of share-based awards and the Section 162(m) excess officer compensation limitation, partially offset by federal and state research and development tax credits.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effective tax rate attributable to CarGurus, Inc. was 26.3%, which is greater than the U.S. federal statutory rate primarily due to state and local income taxes, shortfalls on the taxable compensation of share-based awards and the Section 162(m) excess officer compensation limitation, which became applicable in May 2021 upon the expiration of the transition period permitted following the IPO, partially offset by federal and state research and development tax credits.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effective tax rate attributable to CarGurus, Inc. was 21.8%, which is greater than the U.S. federal statutory rate primarily due to state and local income taxes with partial offset by the benefits from the U.S. federal and state research and development credits and the Coronavirus Aid, Relief, and Economic Security Act (the “CARES Act”).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the approximate income tax effect of each type of temporary difference and carryforward is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carryforwards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8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26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39,262</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(258 )</w:t>
            </w:r>
          </w:p>
        </w:tc>
        <w:tc>
          <w:tcPr>
            <w:tcW w:w="5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(229 )</w:t>
            </w:r>
          </w:p>
        </w:tc>
      </w:tr>
      <w:tr>
        <w:trPr>
          <w:trHeight w:val="236"/>
        </w:trPr>
        <w:tc>
          <w:tcPr>
            <w:tcW w:w="68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57,566</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(2,466 )</w:t>
            </w:r>
          </w:p>
        </w:tc>
        <w:tc>
          <w:tcPr>
            <w:tcW w:w="5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(1,850 )</w:t>
            </w: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(4,200 )</w:t>
            </w:r>
          </w:p>
        </w:tc>
        <w:tc>
          <w:tcPr>
            <w:tcW w:w="5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(3,508 )</w:t>
            </w: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(11,237 )</w:t>
            </w:r>
          </w:p>
        </w:tc>
        <w:tc>
          <w:tcPr>
            <w:tcW w:w="5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(12,955 )</w:t>
            </w: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(733 )</w:t>
            </w:r>
          </w:p>
        </w:tc>
        <w:tc>
          <w:tcPr>
            <w:tcW w:w="5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(1,111 )</w:t>
            </w:r>
          </w:p>
        </w:tc>
      </w:tr>
      <w:tr>
        <w:trPr>
          <w:trHeight w:val="24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(3,496 )</w:t>
            </w:r>
          </w:p>
        </w:tc>
        <w:tc>
          <w:tcPr>
            <w:tcW w:w="5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(6,289 )</w:t>
            </w:r>
          </w:p>
        </w:tc>
      </w:tr>
      <w:tr>
        <w:trPr>
          <w:trHeight w:val="20"/>
        </w:trPr>
        <w:tc>
          <w:tcPr>
            <w:tcW w:w="68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(22,132 )</w:t>
            </w:r>
          </w:p>
        </w:tc>
        <w:tc>
          <w:tcPr>
            <w:tcW w:w="5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(25,713 )</w:t>
            </w:r>
          </w:p>
        </w:tc>
      </w:tr>
      <w:tr>
        <w:trPr>
          <w:trHeight w:val="277"/>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-1285240</wp:posOffset>
            </wp:positionV>
            <wp:extent cx="68580" cy="1631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-1285240</wp:posOffset>
            </wp:positionV>
            <wp:extent cx="60325" cy="1631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-350520</wp:posOffset>
            </wp:positionV>
            <wp:extent cx="68580" cy="1714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and 2021, valuation allowances were immaterial. Based upon the level of historical U.S. earnings and future projections over the period in which the net deferred tax assets are deductible, the Company believes it is more likely than not that it will realize the benefits of these deductible differences, with the exception of the deferred tax asset related to intangible assets in Ireland. For the years ended December 31, 2022 and 2021, the change in the valuation allowance was $29 and $71,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1" w:name="page112"/>
    <w:bookmarkEnd w:id="11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federal and state net operating loss (“NOL”) carryforwards of $821 and $4,051, respectively. The federal NOL carryforward, subject to an annual limitation of 80% of taxable income, does not expire. The state NOL carryforwards expire at various dates through 2040. As of December 31, 2022, the Company had federal and state tax credit carryforwards of $673 and $322, respectively, available to reduce future tax liabilities. The federal tax credit carryforward expires in 2040. The state tax credit carryforwards indefinitely as it is related to California. Utilization of the NOL and tax credit carryforwards, respectively, may be subject to an annual limitation due to ownership change limitations that have occurred previously or that could occur in the future, as provided by Section 382 of the Internal Revenue Code (“Section 382”), as well as similar state provisions. Ownership changes may limit the amount of NOL or tax credit carryforwards that can be utilized annually to offset future taxable income and tax, respectively. In general, an ownership change, as defined by Section 382, results from transactions that increase the ownership of 5% stockholders in the stock of a corporation by more than 50% in the aggregate over a three-year period.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changes in the gross uncertain tax position (excluding interest and penalties)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current year tax provision</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related to prior year tax provision</w:t>
            </w:r>
          </w:p>
        </w:tc>
        <w:tc>
          <w:tcPr>
            <w:tcW w:w="9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-187960</wp:posOffset>
            </wp:positionV>
            <wp:extent cx="59690"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income tax expense and liability related to uncertain tax positions, exclusive of immaterial interest or penalties related to uncertain tax provisions, was $598, which would favorably affect the Company's effective tax rate, if recognized. For the year ended December 31, 2021, no income tax expense and liability related to uncertain tax positions was recognized.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permanently reinvests the earnings, if any, of its foreign subsidiaries and, therefore, does not provide for U.S. income taxes that could result from the distribution of those earnings to the Company. As of December 31, 2022 and December 31, 2021, the amount of unrecognized deferred U.S. taxes on these earnings was immaterial.</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various U.S. federal, state, and foreign income tax examinations. The Company is currently not subject to income tax examination for the tax years of 2018 and prior as a result of applicable statute of limitations of the Internal Revenue Service (“IRS”) and a majority of applicable state jurisdictions. The Company is currently not subject to examination in its foreign jurisdictions for tax years 2016 and prior.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and Geographic Information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Effective the first quarter of 2022, the Company revised its segment reporting from two reportable segments, United States and International, to one reportable segment. The Company concluded the change in segment reporting was not a triggering event for goodwill impairment. The change in segment reporting was made to align with changes made in the manner the Company's chief operating decision maker (the “CODM”) reviews the Company’s operating results in assessing performance and allocating resources. The Company’s Chief Executive Officer is the CODM.</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Effective the first quarter of 2022, the CODM assessed the Company's performance on a consolidated basis rather than by geographical location as a result of the international segment becoming less significant relative to the overall business. The CODM reviews revenue and operating income as a proxy for the operating performance of the Company’s operations.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Effective the fourth quarter of 2022, the Company revised its segment reporting from one reportable segment to two reportable segments, U.S. Marketplace and Digital Wholesale. The change in segment reporting was a triggering event for an evaluation of goodwill impairment. As such, the Company evaluated for goodwill impairment on December 31, 2022 and did not identify any impairment to its goodwill. The change in segment reporting was made to align with financial reporting results regularly provided to the Company's CODM to assess the business. The CODM reviews segment revenue and segment income (loss) from operations as a proxy for the performance of the Company’s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2" w:name="page113"/>
    <w:bookmarkEnd w:id="112"/>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U.S. Marketplace segment derives revenues from marketplace services from customers within the United States. The Digital Wholesale segment derives revenues from Dealer-to-Dealer and IMCO services and products which are sold on the CarOffer platform. The Company also has two operating segments which are individually immaterial and therefore aggregated into the Other category to reconcile reportable segments to the consolidated income statements. The Other category derives revenues from marketplace services from customers outside of the United States.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Revenue and costs discretely incurred by reportable segments, including depreciation and amortization, are included in the calculation of reportable income (loss) from operations. Digital Wholesale segment income (loss) from operations does not reflect certain IMCO related capitalized website development amortization incurred by the U.S. Marketplace segment. Digital Wholesale segment income (loss) from operations does reflect certain IMCO marketing and lead generation fees allocated from the U.S. Marketplace segment. Asset information by reportable segment is not provided to the CODM as asset information is assessed and reviewed on a consolidated basis.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December 31, 2022, 2021, and 2020, segment revenue, segment income (loss) from operations and segment depreciation and amortization are as follows: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Revenue</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Marketplace</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614,136</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594,602</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519,835</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Digital Wholesale</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996,264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314,431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100" w:type="dxa"/>
            <w:vAlign w:val="bottom"/>
          </w:tcPr>
          <w:p>
            <w:pPr>
              <w:spacing w:after="0"/>
              <w:rPr>
                <w:sz w:val="20"/>
                <w:szCs w:val="20"/>
                <w:color w:val="auto"/>
              </w:rPr>
            </w:pPr>
          </w:p>
        </w:tc>
      </w:tr>
      <w:tr>
        <w:trPr>
          <w:trHeight w:val="276"/>
        </w:trPr>
        <w:tc>
          <w:tcPr>
            <w:tcW w:w="5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1,655,035</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2"/>
        </w:trPr>
        <w:tc>
          <w:tcPr>
            <w:tcW w:w="58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Income (Loss) from Operations:</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Marketplace</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125,796</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151,343</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120,836</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Digital Wholesale</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(9,174 )</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(8,144 )</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(10,264 )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(23,080 )</w:t>
            </w:r>
          </w:p>
        </w:tc>
      </w:tr>
      <w:tr>
        <w:trPr>
          <w:trHeight w:val="277"/>
        </w:trPr>
        <w:tc>
          <w:tcPr>
            <w:tcW w:w="5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148,268</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2"/>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Depreciation and Amortization:</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Marketplace</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Digital Wholesale</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0"/>
                <w:szCs w:val="20"/>
                <w:color w:val="auto"/>
              </w:rPr>
            </w:pPr>
          </w:p>
        </w:tc>
      </w:tr>
      <w:tr>
        <w:trPr>
          <w:trHeight w:val="276"/>
        </w:trPr>
        <w:tc>
          <w:tcPr>
            <w:tcW w:w="5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40,476</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-2665095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-2647950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-2665095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-2647950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-2665095</wp:posOffset>
            </wp:positionV>
            <wp:extent cx="603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-2647950</wp:posOffset>
            </wp:positionV>
            <wp:extent cx="60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-1344930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-1327785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-1344930</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-1327785</wp:posOffset>
            </wp:positionV>
            <wp:extent cx="603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-1344930</wp:posOffset>
            </wp:positionV>
            <wp:extent cx="60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-1327785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December 31, 2022, 2021, and 2020, a reconciliation between segment income from operations to consolidated income before income taxes is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income from operations</w:t>
            </w:r>
          </w:p>
        </w:tc>
        <w:tc>
          <w:tcPr>
            <w:tcW w:w="19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148,268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9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111,362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149,360</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99,110</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-513715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-496570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-513715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-496570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8"/>
          <w:szCs w:val="18"/>
          <w:color w:val="auto"/>
        </w:rPr>
        <w:t>As of December 31, 2022, 2021, and 2020, segment assets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Segment Assets: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Marketplace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531,118</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453,837</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470,286</w:t>
            </w: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Digital Wholesale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352,274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442,216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100" w:type="dxa"/>
            <w:vAlign w:val="bottom"/>
          </w:tcPr>
          <w:p>
            <w:pPr>
              <w:spacing w:after="0"/>
              <w:rPr>
                <w:sz w:val="20"/>
                <w:szCs w:val="20"/>
                <w:color w:val="auto"/>
              </w:rPr>
            </w:pPr>
          </w:p>
        </w:tc>
      </w:tr>
      <w:tr>
        <w:trPr>
          <w:trHeight w:val="277"/>
        </w:trPr>
        <w:tc>
          <w:tcPr>
            <w:tcW w:w="59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927,102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931,574</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2022, 2021, and 2020, revenue by geographical region is as follows: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 by Geographic Region:</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1,610,400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909,033</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519,835</w:t>
            </w:r>
          </w:p>
        </w:tc>
        <w:tc>
          <w:tcPr>
            <w:tcW w:w="100" w:type="dxa"/>
            <w:vAlign w:val="bottom"/>
          </w:tcPr>
          <w:p>
            <w:pPr>
              <w:spacing w:after="0"/>
              <w:rPr>
                <w:sz w:val="20"/>
                <w:szCs w:val="20"/>
                <w:color w:val="auto"/>
              </w:rPr>
            </w:pPr>
          </w:p>
        </w:tc>
      </w:tr>
      <w:tr>
        <w:trPr>
          <w:trHeight w:val="243"/>
        </w:trPr>
        <w:tc>
          <w:tcPr>
            <w:tcW w:w="5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1,655,035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951,373</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551,451</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-187960</wp:posOffset>
            </wp:positionV>
            <wp:extent cx="68580" cy="1885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1885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As of December 31, 2022, 2021, and 2020, long-lived assets outside of the United States were immaterial.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maintains a defined contribution savings plan for all eligible U.S. employees under Section 401(k) of the Internal Revenue Code. Effective January 1, 2022, the Company updated its matching policy, under which the Company matches 50% of an employee’s annual contributions to the 401(k) plan, up to a maximum of 8% of the employee’s base salary, bonus and commissions paid during the year. For the years ended December 31, 2021 and 2020, the Company matched 50% of an employee’s annual contributions to the 401(k) plan, up to a maximum of the lesser of (i) 6% of the employee’s base salary, bonus and commissions paid during the year or (ii) $5,000. Matching contributions are subject to vesting based on the employee’s start date and length of service. Employees can designate the investment of their 401(k) accounts into several mutual funds. The Company does not allow investment in its common stock through the 401(k) plan.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subsidiary, CarOffer, maintains its own defined contribution savings plan for all eligible U.S. employees under Section 401(k) of the Internal Revenue Code. For the year ended December 31, 2022, CarOffer matched 50% of a CarOffer employee’s annual contributions to the 401(k) plan, up to a maximum of the lesser of (i) 6% of the CarOffer employee’s base salary, bonus and commissions paid during the year or (ii) $5,000. Matching contributions are subject to vesting based on the CarOffer employee’s start date and length of service. CarOffer employees can designate the investment of their 401(k) accounts into several mutual funds. For the years ended December 31, 2021 and 2020, CarOffer did not have a defined contribution savings plan.</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total employer contributions to the 401(k) plan were $5,498, $2,960, and $2,675,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Annual Report on Form 10-K.</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described below, based on the evaluation of our disclosure controls and procedures as of the end of the period covered by this Annual Report, management identified a material weakness in our internal control over financial reporting. As a result of the material weakness, our Principal Executive Officer has concluded that, as of such date, our disclosure controls and procedures were not effective to provide reasonable assurance that information required to be disclosed in the reports we file and submit under the Exchange Act is recorded, processed, summarized, and reported as and when required.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this material weakness noted above, our management, including our Principal Executive Officer, has concluded that our financial statements included in this Annual Report on Form 10-K present fairly, in all material respects, our financial position, results of operations, and cash flows for the periods presented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0"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5" w:name="page116"/>
    <w:bookmarkEnd w:id="115"/>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2022, using the criteria set forth by the Committee of Sponsoring Organizations of the Treadway Commission (COSO) in its Internal Control-Integrated Framework (2013).</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this assessment and those criteria, management concluded that our internal control over financial reporting was not effective as of December 31, 2022 due to the material weakness described below.</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control deficiencies which, in the aggregate, were assessed as a material weakness during the second quarter ended June 30, 2022 have not yet been fully remediated. The previously identified CarGurus control deficiencies in logical access and change management have been remediated as of year-end. Additionally, as of the fourth quarter ended December 31, 2022, management identified additional deficiencies in controls at our CarOffer subsidiary. In the aggregate, management has concluded that the previously identified unremediated control deficiencies at the CarOffer subsidiary, along with the deficiencies identified in the fourth quarter of 2022, constitute a material weakness.</w:t>
      </w:r>
    </w:p>
    <w:p>
      <w:pPr>
        <w:spacing w:after="0" w:line="183"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We have concluded that this material weakness exists at our CarOffer subsidiary, as CarOffer does not have the necessary business and IT processes, personnel, and related internal controls to operate in a manner to satisfy the accounting and financial reporting requirements of a public company.</w:t>
      </w:r>
    </w:p>
    <w:p>
      <w:pPr>
        <w:spacing w:after="0" w:line="1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deficiencies at our CarOffer subsidiary were the result of both design and operating deficiencies related to certain controls over information technology systems that are relevant to the preparation of our financial statements, and business controls over our financial statement close processes. The deficiencies were primarily the result of (i) insufficient evidence of management review and performance of control procedures, (ii) the inability to rely on information produced from IT systems and an absence of compensating procedures, (iii) controls not designed to require proper authorization of certain transactions, and (iv) controls not designed or operating effectively related to logical access and change management of IT systems.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we did not have sufficient knowledgeable personnel or processes in place which resulted in:</w:t>
      </w:r>
    </w:p>
    <w:p>
      <w:pPr>
        <w:spacing w:after="0" w:line="225"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controls related to user access reviews designed to adequately restrict privileged and end-user access to certain financial applications, programs, and data to appropriate company personnel, including consideration to segregation of incompatible duties;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change management review controls for certain financial applications to ensure that IT program and data changes affecting financial IT applications and underlying accounting records are identified, tested, authorized, and implemented appropriately; and</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controls over the financial statement close processes, including those related to the review of CarOffer journal entries, reconciliations, management review controls, and analyses of transactions and accounts.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material weakness did not result in a known material misstatement to our financial statements. However, the material weakness could have resulted in material misstatements in our interim or annual financial statements and disclosures which then may not have been prevented or detected. The material weakness also impacts the effectiveness of segregation of duties, the effectiveness of financial controls which rely on information from relevant financial systems and increases the reliance on corporate accounting personnel to identify errors at the CarOffer subsidiary level.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and our board of directors are committed to maintaining a strong internal control environment. Management, with the oversight of the audit committee of our board of directors, evaluated the material weakness identified during the second quarter of 2022, and implemented a remediation plan to address the material weakness and enhance our control environment. Management subsequently evaluated the additional control deficiencies, status of remediation, and the material weakness which exists as of December 31, 2022, and enhanced the previous remediation plan. The updated remediation plan addresses the additional deficiencies identified through the annual assessment of the effectiveness of our internal control over financial reporting. Our remediation measures are ongoing and include the following:</w:t>
      </w:r>
    </w:p>
    <w:p>
      <w:pPr>
        <w:spacing w:after="0" w:line="18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robust review controls over user access and change management for relevant financial systems;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effective review of journal entries and account reconciliations, and other financial statement close analyses and processes;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address the inability to rely on information from the IT systems;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evidence retained which supports the operating effectiveness of controls;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internal and external resources to assist with remediation ;</w:t>
      </w:r>
    </w:p>
    <w:p>
      <w:pPr>
        <w:spacing w:after="0" w:line="225"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controls at the corporate level to reduce the risk of material misstatement related to CarOffer financial statements and disclosures;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qualified SOX-focused personnel to provide additional capacity and expertise to enhance our IT control environment; and</w:t>
      </w:r>
    </w:p>
    <w:p>
      <w:pPr>
        <w:spacing w:after="0" w:line="225"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CarGurus resources with significant public company experience to provide oversight of CarOffer IT and financial controls programs.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is committed to successfully implementing the remediation plan as promptly as possible. The material weakness will not be considered remediated until our management implements effective controls that operate for a sufficient period of time and our management has concluded through testing that these controls are effective. The elements of our remediation plan can only be accomplished over time, and we can offer no assurance that these initiatives will ultimately have the intended effects. See “</w:t>
      </w:r>
      <w:r>
        <w:rPr>
          <w:rFonts w:ascii="Times New Roman" w:cs="Times New Roman" w:eastAsia="Times New Roman" w:hAnsi="Times New Roman"/>
          <w:sz w:val="18"/>
          <w:szCs w:val="18"/>
          <w:i w:val="1"/>
          <w:iCs w:val="1"/>
          <w:color w:val="auto"/>
        </w:rPr>
        <w:t>Risk Factors—Risks Related to Our Business and Industry— We have identified a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weakness in our internal control over financial reporting. If we are unable to remediate this material weakness, we may not be able to accurately or timely report our financial condition or results of operations, which may adversely affect our business and the market price of our common stock.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Ernst &amp; Young LLP, an independent registered public accounting firm, as stated in their report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as noted in the preceding paragraphs, there was no change in our internal control over financial reporting (as defined in Rules 13a-15(f) and 15d-15(f) under the Exchange Act) that occurred during the fourth quarter ended December 31, 2022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CarGurus,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CarGurus, Inc.’s internal control over financial reporting as of December 31, 2022, based on criteria established in Internal Control— Integrated Framework issued by the Committee of Sponsoring Organizations of the Treadway Commission (2013 framework) (the COSO criteria). In our opinion, because of the effect of the material weakness described below on the achievement of the objectives of the control criteria, CarGurus, Inc. (the Company) has not maintained effective internal control over financial reporting as of December 31, 2022, based on the COSO criteria.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deficiencies at the CarOffer subsidiary were the result of both design and operating deficiencies related to certain controls over information technology (IT) systems that are relevant to the preparation of our financial statements, and business controls over our financial statement close processes. The deficiencies were primarily the result of (i) insufficient evidence of management review and performance of control procedures, (ii) the inability to rely on information produced from IT systems and an absence of compensating procedures, (iii) controls not designed to require proper authorization of certain transactions, and (iv) controls not designed or operating effectively related to logical access and change management of IT systems.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2022 consolidated financial statements of the Company. This material weakness was considered in determining the nature, timing and extent of audit tests applied in our audit of the 2022 consolidated financial statements, and this report does not affect our report dated March 1, 2023, which expressed an unqualified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8" w:name="page119"/>
    <w:bookmarkEnd w:id="118"/>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2023 Annual Meeting of Stockholders, which we will file with the SEC within 120 days of the end of the fiscal year to which this Annual Report on Form 10-K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2023 Annual Meeting of Stockholders, which we will file with the SEC within 120 days of the end of the fiscal year to which this Annual Report on Form 10-K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2023 Annual Meeting of Stockholders, which we will file with the SEC within 120 days of the end of the fiscal year to which this Annual Report on Form 10-K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2023 Annual Meeting of Stockholders, which we will file with the SEC within 120 days of the end of the fiscal year to which this Annual Report on Form 10-K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information in our Proxy Statement for our 2023 Annual Meeting of Stockholders, which we will file with the SEC within 120 days of the end of the fiscal year to which this Annual Report on Form 10-K relates.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as a part of this Report: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statements of CarGurus, Inc. are included in Item 8 of this Annual Report on Form 10-K.</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statements schedules are omitted as they are either not required or the information is otherwise included in the consolidated financial statements and related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(3) Index to Exhibits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documents listed in the Exhibit Index immediately preceding the signature page of this Annual Report on Form 10-K are incorporated by reference or are filed or furnished with this Annual Report on Form 10-K, in each case as indicated therein (numbered in accordance with Item 601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3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w:t>
            </w:r>
          </w:p>
        </w:tc>
        <w:tc>
          <w:tcPr>
            <w:tcW w:w="10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24"/>
                <w:szCs w:val="24"/>
                <w:color w:val="auto"/>
              </w:rPr>
            </w:pPr>
          </w:p>
        </w:tc>
        <w:tc>
          <w:tcPr>
            <w:tcW w:w="64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3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3"/>
        </w:trPr>
        <w:tc>
          <w:tcPr>
            <w:tcW w:w="940" w:type="dxa"/>
            <w:vAlign w:val="bottom"/>
            <w:tcBorders>
              <w:top w:val="single" w:sz="8" w:color="auto"/>
            </w:tcBorders>
          </w:tcPr>
          <w:p>
            <w:pPr>
              <w:jc w:val="center"/>
              <w:ind w:right="232"/>
              <w:spacing w:after="0" w:line="182"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3900" w:type="dxa"/>
            <w:vAlign w:val="bottom"/>
            <w:tcBorders>
              <w:top w:val="single" w:sz="8" w:color="auto"/>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Membership Interest Purchase Agreement dated as of</w:t>
              </w:r>
            </w:hyperlink>
          </w:p>
        </w:tc>
        <w:tc>
          <w:tcPr>
            <w:tcW w:w="280" w:type="dxa"/>
            <w:vAlign w:val="bottom"/>
            <w:tcBorders>
              <w:top w:val="single" w:sz="8" w:color="auto"/>
            </w:tcBorders>
            <w:gridSpan w:val="11"/>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5"/>
                <w:szCs w:val="15"/>
                <w:color w:val="auto"/>
              </w:rPr>
            </w:pPr>
          </w:p>
        </w:tc>
        <w:tc>
          <w:tcPr>
            <w:tcW w:w="12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5"/>
                <w:szCs w:val="15"/>
                <w:color w:val="auto"/>
              </w:rPr>
            </w:pPr>
          </w:p>
        </w:tc>
        <w:tc>
          <w:tcPr>
            <w:tcW w:w="18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February 12, 2021</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center"/>
              <w:ind w:left="42"/>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December 9, 2020, as amended, by and among the</w:t>
              </w:r>
            </w:hyperlink>
          </w:p>
        </w:tc>
        <w:tc>
          <w:tcPr>
            <w:tcW w:w="6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Registrant, CarOffer, LLC, CarOffer Investors Holding,</w:t>
              </w:r>
            </w:hyperlink>
          </w:p>
        </w:tc>
        <w:tc>
          <w:tcPr>
            <w:tcW w:w="2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442">
              <w:r>
                <w:rPr>
                  <w:rFonts w:ascii="Times New Roman" w:cs="Times New Roman" w:eastAsia="Times New Roman" w:hAnsi="Times New Roman"/>
                  <w:sz w:val="18"/>
                  <w:szCs w:val="18"/>
                  <w:color w:val="0000FF"/>
                  <w:w w:val="99"/>
                </w:rPr>
                <w:t>LLC (“TopCo”), the Members of TopCo and Bruce T.</w:t>
              </w:r>
            </w:hyperlink>
          </w:p>
        </w:tc>
        <w:tc>
          <w:tcPr>
            <w:tcW w:w="36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gridSpan w:val="37"/>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Thompson.</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9"/>
                <w:szCs w:val="19"/>
                <w:color w:val="auto"/>
              </w:rPr>
            </w:pPr>
          </w:p>
        </w:tc>
        <w:tc>
          <w:tcPr>
            <w:tcW w:w="41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443">
              <w:r>
                <w:rPr>
                  <w:rFonts w:ascii="Times New Roman" w:cs="Times New Roman" w:eastAsia="Times New Roman" w:hAnsi="Times New Roman"/>
                  <w:sz w:val="18"/>
                  <w:szCs w:val="18"/>
                  <w:color w:val="0000FF"/>
                  <w:w w:val="99"/>
                </w:rPr>
                <w:t>Amended and Restated Certificate of Incorporation of the</w:t>
              </w:r>
            </w:hyperlink>
          </w:p>
        </w:tc>
        <w:tc>
          <w:tcPr>
            <w:tcW w:w="120" w:type="dxa"/>
            <w:vAlign w:val="bottom"/>
            <w:gridSpan w:val="2"/>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16,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43">
              <w:r>
                <w:rPr>
                  <w:rFonts w:ascii="Times New Roman" w:cs="Times New Roman" w:eastAsia="Times New Roman" w:hAnsi="Times New Roman"/>
                  <w:sz w:val="18"/>
                  <w:szCs w:val="18"/>
                  <w:color w:val="0000FF"/>
                  <w:w w:val="99"/>
                </w:rPr>
                <w:t>Registrant.</w:t>
              </w:r>
            </w:hyperlink>
          </w:p>
        </w:tc>
        <w:tc>
          <w:tcPr>
            <w:tcW w:w="3460" w:type="dxa"/>
            <w:vAlign w:val="bottom"/>
            <w:gridSpan w:val="35"/>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9"/>
                <w:szCs w:val="19"/>
                <w:color w:val="auto"/>
              </w:rPr>
            </w:pPr>
          </w:p>
        </w:tc>
        <w:tc>
          <w:tcPr>
            <w:tcW w:w="35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444">
              <w:r>
                <w:rPr>
                  <w:rFonts w:ascii="Times New Roman" w:cs="Times New Roman" w:eastAsia="Times New Roman" w:hAnsi="Times New Roman"/>
                  <w:sz w:val="18"/>
                  <w:szCs w:val="18"/>
                  <w:color w:val="0000FF"/>
                  <w:w w:val="99"/>
                </w:rPr>
                <w:t>Amended and Restated Bylaws of the Registrant.</w:t>
              </w:r>
            </w:hyperlink>
          </w:p>
        </w:tc>
        <w:tc>
          <w:tcPr>
            <w:tcW w:w="20" w:type="dxa"/>
            <w:vAlign w:val="bottom"/>
            <w:tcBorders>
              <w:bottom w:val="single" w:sz="8" w:color="0000EE"/>
            </w:tcBorders>
          </w:tcPr>
          <w:p>
            <w:pPr>
              <w:spacing w:after="0"/>
              <w:rPr>
                <w:sz w:val="19"/>
                <w:szCs w:val="19"/>
                <w:color w:val="auto"/>
              </w:rPr>
            </w:pPr>
          </w:p>
        </w:tc>
        <w:tc>
          <w:tcPr>
            <w:tcW w:w="720" w:type="dxa"/>
            <w:vAlign w:val="bottom"/>
            <w:gridSpan w:val="20"/>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16,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9"/>
                <w:szCs w:val="19"/>
                <w:color w:val="auto"/>
              </w:rPr>
            </w:pPr>
          </w:p>
        </w:tc>
        <w:tc>
          <w:tcPr>
            <w:tcW w:w="37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Specimen Class A common stock certificate of the</w:t>
              </w:r>
            </w:hyperlink>
          </w:p>
        </w:tc>
        <w:tc>
          <w:tcPr>
            <w:tcW w:w="580" w:type="dxa"/>
            <w:vAlign w:val="bottom"/>
            <w:gridSpan w:val="17"/>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45">
              <w:r>
                <w:rPr>
                  <w:rFonts w:ascii="Times New Roman" w:cs="Times New Roman" w:eastAsia="Times New Roman" w:hAnsi="Times New Roman"/>
                  <w:sz w:val="18"/>
                  <w:szCs w:val="18"/>
                  <w:color w:val="0000FF"/>
                  <w:w w:val="99"/>
                </w:rPr>
                <w:t>Registrant.</w:t>
              </w:r>
            </w:hyperlink>
          </w:p>
        </w:tc>
        <w:tc>
          <w:tcPr>
            <w:tcW w:w="3460" w:type="dxa"/>
            <w:vAlign w:val="bottom"/>
            <w:gridSpan w:val="35"/>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9"/>
                <w:szCs w:val="19"/>
                <w:color w:val="auto"/>
              </w:rPr>
            </w:pPr>
          </w:p>
        </w:tc>
        <w:tc>
          <w:tcPr>
            <w:tcW w:w="38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Description of the Registrant’s Securities Registered</w:t>
              </w:r>
            </w:hyperlink>
          </w:p>
        </w:tc>
        <w:tc>
          <w:tcPr>
            <w:tcW w:w="440" w:type="dxa"/>
            <w:vAlign w:val="bottom"/>
            <w:gridSpan w:val="14"/>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2020</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Under Section 12 of the Securities Exchange Act of</w:t>
              </w:r>
            </w:hyperlink>
          </w:p>
        </w:tc>
        <w:tc>
          <w:tcPr>
            <w:tcW w:w="52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1934.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35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Form of Indemnification Agreement between the</w:t>
              </w:r>
            </w:hyperlink>
          </w:p>
        </w:tc>
        <w:tc>
          <w:tcPr>
            <w:tcW w:w="700" w:type="dxa"/>
            <w:vAlign w:val="bottom"/>
            <w:gridSpan w:val="19"/>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47">
              <w:r>
                <w:rPr>
                  <w:rFonts w:ascii="Times New Roman" w:cs="Times New Roman" w:eastAsia="Times New Roman" w:hAnsi="Times New Roman"/>
                  <w:sz w:val="18"/>
                  <w:szCs w:val="18"/>
                  <w:color w:val="0000FF"/>
                  <w:w w:val="99"/>
                </w:rPr>
                <w:t>Registrant and each of its directors and officers.</w:t>
              </w:r>
            </w:hyperlink>
          </w:p>
        </w:tc>
        <w:tc>
          <w:tcPr>
            <w:tcW w:w="20" w:type="dxa"/>
            <w:vAlign w:val="bottom"/>
            <w:tcBorders>
              <w:bottom w:val="single" w:sz="8" w:color="0000EE"/>
            </w:tcBorders>
          </w:tcPr>
          <w:p>
            <w:pPr>
              <w:spacing w:after="0"/>
              <w:rPr>
                <w:sz w:val="17"/>
                <w:szCs w:val="17"/>
                <w:color w:val="auto"/>
              </w:rPr>
            </w:pPr>
          </w:p>
        </w:tc>
        <w:tc>
          <w:tcPr>
            <w:tcW w:w="82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19"/>
                <w:szCs w:val="19"/>
                <w:color w:val="auto"/>
              </w:rPr>
            </w:pPr>
          </w:p>
        </w:tc>
        <w:tc>
          <w:tcPr>
            <w:tcW w:w="3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448">
              <w:r>
                <w:rPr>
                  <w:rFonts w:ascii="Times New Roman" w:cs="Times New Roman" w:eastAsia="Times New Roman" w:hAnsi="Times New Roman"/>
                  <w:sz w:val="18"/>
                  <w:szCs w:val="18"/>
                  <w:color w:val="0000FF"/>
                  <w:w w:val="99"/>
                </w:rPr>
                <w:t>Amended and Restated 2006 Equity Incentive Plan.</w:t>
              </w:r>
            </w:hyperlink>
          </w:p>
        </w:tc>
        <w:tc>
          <w:tcPr>
            <w:tcW w:w="560" w:type="dxa"/>
            <w:vAlign w:val="bottom"/>
            <w:gridSpan w:val="16"/>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10.3#</w:t>
            </w:r>
          </w:p>
        </w:tc>
        <w:tc>
          <w:tcPr>
            <w:tcW w:w="140" w:type="dxa"/>
            <w:vAlign w:val="bottom"/>
          </w:tcPr>
          <w:p>
            <w:pPr>
              <w:spacing w:after="0"/>
              <w:rPr>
                <w:sz w:val="19"/>
                <w:szCs w:val="19"/>
                <w:color w:val="auto"/>
              </w:rPr>
            </w:pPr>
          </w:p>
        </w:tc>
        <w:tc>
          <w:tcPr>
            <w:tcW w:w="40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Amended and Restated 2015 Equity Incentive Plan and</w:t>
              </w:r>
            </w:hyperlink>
          </w:p>
        </w:tc>
        <w:tc>
          <w:tcPr>
            <w:tcW w:w="240" w:type="dxa"/>
            <w:vAlign w:val="bottom"/>
            <w:gridSpan w:val="7"/>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7"/>
              </w:rPr>
            </w:pPr>
            <w:hyperlink r:id="rId449">
              <w:r>
                <w:rPr>
                  <w:rFonts w:ascii="Times New Roman" w:cs="Times New Roman" w:eastAsia="Times New Roman" w:hAnsi="Times New Roman"/>
                  <w:sz w:val="18"/>
                  <w:szCs w:val="18"/>
                  <w:color w:val="0000FF"/>
                  <w:w w:val="97"/>
                </w:rPr>
                <w:t>forms of agreements thereunder.</w:t>
              </w:r>
            </w:hyperlink>
          </w:p>
        </w:tc>
        <w:tc>
          <w:tcPr>
            <w:tcW w:w="196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9"/>
                <w:szCs w:val="19"/>
                <w:color w:val="auto"/>
              </w:rPr>
            </w:pPr>
          </w:p>
        </w:tc>
        <w:tc>
          <w:tcPr>
            <w:tcW w:w="38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Omnibus Incentive Compensation Plan and forms of</w:t>
              </w:r>
            </w:hyperlink>
          </w:p>
        </w:tc>
        <w:tc>
          <w:tcPr>
            <w:tcW w:w="420" w:type="dxa"/>
            <w:vAlign w:val="bottom"/>
            <w:gridSpan w:val="13"/>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2021</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gridSpan w:val="37"/>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agreements thereunder.</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19"/>
                <w:szCs w:val="19"/>
                <w:color w:val="auto"/>
              </w:rPr>
            </w:pPr>
          </w:p>
        </w:tc>
        <w:tc>
          <w:tcPr>
            <w:tcW w:w="38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Form of Executive Nonqualified Stock Option Grant</w:t>
              </w:r>
            </w:hyperlink>
          </w:p>
        </w:tc>
        <w:tc>
          <w:tcPr>
            <w:tcW w:w="420" w:type="dxa"/>
            <w:vAlign w:val="bottom"/>
            <w:gridSpan w:val="13"/>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2021</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10.4.1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451">
              <w:r>
                <w:rPr>
                  <w:rFonts w:ascii="Times New Roman" w:cs="Times New Roman" w:eastAsia="Times New Roman" w:hAnsi="Times New Roman"/>
                  <w:sz w:val="18"/>
                  <w:szCs w:val="18"/>
                  <w:color w:val="0000FF"/>
                  <w:w w:val="97"/>
                </w:rPr>
                <w:t>Agreement.</w:t>
              </w:r>
            </w:hyperlink>
          </w:p>
        </w:tc>
        <w:tc>
          <w:tcPr>
            <w:tcW w:w="20" w:type="dxa"/>
            <w:vAlign w:val="bottom"/>
            <w:tcBorders>
              <w:bottom w:val="single" w:sz="8" w:color="0000EE"/>
            </w:tcBorders>
          </w:tcPr>
          <w:p>
            <w:pPr>
              <w:spacing w:after="0"/>
              <w:rPr>
                <w:sz w:val="17"/>
                <w:szCs w:val="17"/>
                <w:color w:val="auto"/>
              </w:rPr>
            </w:pPr>
          </w:p>
        </w:tc>
        <w:tc>
          <w:tcPr>
            <w:tcW w:w="3420" w:type="dxa"/>
            <w:vAlign w:val="bottom"/>
            <w:gridSpan w:val="33"/>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19"/>
                <w:szCs w:val="19"/>
                <w:color w:val="auto"/>
              </w:rPr>
            </w:pPr>
          </w:p>
        </w:tc>
        <w:tc>
          <w:tcPr>
            <w:tcW w:w="39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Form of Executive Time-Based Restricted Stock Unit</w:t>
              </w:r>
            </w:hyperlink>
          </w:p>
        </w:tc>
        <w:tc>
          <w:tcPr>
            <w:tcW w:w="380" w:type="dxa"/>
            <w:vAlign w:val="bottom"/>
            <w:gridSpan w:val="12"/>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 2018</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452">
              <w:r>
                <w:rPr>
                  <w:rFonts w:ascii="Times New Roman" w:cs="Times New Roman" w:eastAsia="Times New Roman" w:hAnsi="Times New Roman"/>
                  <w:sz w:val="18"/>
                  <w:szCs w:val="18"/>
                  <w:color w:val="0000FF"/>
                  <w:w w:val="97"/>
                </w:rPr>
                <w:t>Agreement.</w:t>
              </w:r>
            </w:hyperlink>
          </w:p>
        </w:tc>
        <w:tc>
          <w:tcPr>
            <w:tcW w:w="3440" w:type="dxa"/>
            <w:vAlign w:val="bottom"/>
            <w:gridSpan w:val="34"/>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Pr>
          <w:p>
            <w:pPr>
              <w:spacing w:after="0"/>
              <w:rPr>
                <w:sz w:val="19"/>
                <w:szCs w:val="19"/>
                <w:color w:val="auto"/>
              </w:rPr>
            </w:pPr>
          </w:p>
        </w:tc>
        <w:tc>
          <w:tcPr>
            <w:tcW w:w="41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Form of Executive Performance-Based Restricted Stock</w:t>
              </w:r>
            </w:hyperlink>
          </w:p>
        </w:tc>
        <w:tc>
          <w:tcPr>
            <w:tcW w:w="180" w:type="dxa"/>
            <w:vAlign w:val="bottom"/>
            <w:gridSpan w:val="4"/>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2021</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10.4.3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gridSpan w:val="37"/>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Unit Agreement.</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19"/>
                <w:szCs w:val="19"/>
                <w:color w:val="auto"/>
              </w:rPr>
            </w:pPr>
          </w:p>
        </w:tc>
        <w:tc>
          <w:tcPr>
            <w:tcW w:w="40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Form of Non-Employee Director Restricted Stock Unit</w:t>
              </w:r>
            </w:hyperlink>
          </w:p>
        </w:tc>
        <w:tc>
          <w:tcPr>
            <w:tcW w:w="280" w:type="dxa"/>
            <w:vAlign w:val="bottom"/>
            <w:gridSpan w:val="9"/>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2018</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454">
              <w:r>
                <w:rPr>
                  <w:rFonts w:ascii="Times New Roman" w:cs="Times New Roman" w:eastAsia="Times New Roman" w:hAnsi="Times New Roman"/>
                  <w:sz w:val="18"/>
                  <w:szCs w:val="18"/>
                  <w:color w:val="0000FF"/>
                  <w:w w:val="97"/>
                </w:rPr>
                <w:t>Agreement.</w:t>
              </w:r>
            </w:hyperlink>
          </w:p>
        </w:tc>
        <w:tc>
          <w:tcPr>
            <w:tcW w:w="3440" w:type="dxa"/>
            <w:vAlign w:val="bottom"/>
            <w:gridSpan w:val="34"/>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10.5#</w:t>
            </w:r>
          </w:p>
        </w:tc>
        <w:tc>
          <w:tcPr>
            <w:tcW w:w="140" w:type="dxa"/>
            <w:vAlign w:val="bottom"/>
          </w:tcPr>
          <w:p>
            <w:pPr>
              <w:spacing w:after="0"/>
              <w:rPr>
                <w:sz w:val="19"/>
                <w:szCs w:val="19"/>
                <w:color w:val="auto"/>
              </w:rPr>
            </w:pPr>
          </w:p>
        </w:tc>
        <w:tc>
          <w:tcPr>
            <w:tcW w:w="40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Offer Letter, dated March 17, 2006, by and between the</w:t>
              </w:r>
            </w:hyperlink>
          </w:p>
        </w:tc>
        <w:tc>
          <w:tcPr>
            <w:tcW w:w="240" w:type="dxa"/>
            <w:vAlign w:val="bottom"/>
            <w:gridSpan w:val="7"/>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gridSpan w:val="37"/>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Registrant and Langley Steinert.</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9"/>
                <w:szCs w:val="19"/>
                <w:color w:val="auto"/>
              </w:rPr>
            </w:pPr>
          </w:p>
        </w:tc>
        <w:tc>
          <w:tcPr>
            <w:tcW w:w="41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Offer Letter, dated August 10, 2015, by and between the</w:t>
              </w:r>
            </w:hyperlink>
          </w:p>
        </w:tc>
        <w:tc>
          <w:tcPr>
            <w:tcW w:w="180" w:type="dxa"/>
            <w:vAlign w:val="bottom"/>
            <w:gridSpan w:val="4"/>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456">
              <w:r>
                <w:rPr>
                  <w:rFonts w:ascii="Times New Roman" w:cs="Times New Roman" w:eastAsia="Times New Roman" w:hAnsi="Times New Roman"/>
                  <w:sz w:val="18"/>
                  <w:szCs w:val="18"/>
                  <w:color w:val="0000FF"/>
                  <w:w w:val="98"/>
                </w:rPr>
                <w:t>Registrant and Jason Trevisan.</w:t>
              </w:r>
            </w:hyperlink>
          </w:p>
        </w:tc>
        <w:tc>
          <w:tcPr>
            <w:tcW w:w="20" w:type="dxa"/>
            <w:vAlign w:val="bottom"/>
            <w:tcBorders>
              <w:bottom w:val="single" w:sz="8" w:color="0000EE"/>
            </w:tcBorders>
          </w:tcPr>
          <w:p>
            <w:pPr>
              <w:spacing w:after="0"/>
              <w:rPr>
                <w:sz w:val="17"/>
                <w:szCs w:val="17"/>
                <w:color w:val="auto"/>
              </w:rPr>
            </w:pPr>
          </w:p>
        </w:tc>
        <w:tc>
          <w:tcPr>
            <w:tcW w:w="2060" w:type="dxa"/>
            <w:vAlign w:val="bottom"/>
            <w:gridSpan w:val="27"/>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9"/>
                <w:szCs w:val="19"/>
                <w:color w:val="auto"/>
              </w:rPr>
            </w:pPr>
          </w:p>
        </w:tc>
        <w:tc>
          <w:tcPr>
            <w:tcW w:w="41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Offer Letter, dated October 24, 2014, by and between the</w:t>
              </w:r>
            </w:hyperlink>
          </w:p>
        </w:tc>
        <w:tc>
          <w:tcPr>
            <w:tcW w:w="120" w:type="dxa"/>
            <w:vAlign w:val="bottom"/>
            <w:gridSpan w:val="2"/>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gridSpan w:val="37"/>
          </w:tcPr>
          <w:p>
            <w:pPr>
              <w:spacing w:after="0" w:line="196" w:lineRule="exact"/>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Registrant and Samuel Zales.</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9"/>
                <w:szCs w:val="19"/>
                <w:color w:val="auto"/>
              </w:rPr>
            </w:pPr>
          </w:p>
        </w:tc>
        <w:tc>
          <w:tcPr>
            <w:tcW w:w="40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Offer Letter, dated November 18, 2016, by and between</w:t>
              </w:r>
            </w:hyperlink>
          </w:p>
        </w:tc>
        <w:tc>
          <w:tcPr>
            <w:tcW w:w="200" w:type="dxa"/>
            <w:vAlign w:val="bottom"/>
            <w:gridSpan w:val="5"/>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58">
              <w:r>
                <w:rPr>
                  <w:rFonts w:ascii="Times New Roman" w:cs="Times New Roman" w:eastAsia="Times New Roman" w:hAnsi="Times New Roman"/>
                  <w:sz w:val="18"/>
                  <w:szCs w:val="18"/>
                  <w:color w:val="0000FF"/>
                  <w:w w:val="99"/>
                </w:rPr>
                <w:t>the Registrant and Thomas Caputo.</w:t>
              </w:r>
            </w:hyperlink>
          </w:p>
        </w:tc>
        <w:tc>
          <w:tcPr>
            <w:tcW w:w="20" w:type="dxa"/>
            <w:vAlign w:val="bottom"/>
            <w:tcBorders>
              <w:bottom w:val="single" w:sz="8" w:color="0000EE"/>
            </w:tcBorders>
          </w:tcPr>
          <w:p>
            <w:pPr>
              <w:spacing w:after="0"/>
              <w:rPr>
                <w:sz w:val="17"/>
                <w:szCs w:val="17"/>
                <w:color w:val="auto"/>
              </w:rPr>
            </w:pPr>
          </w:p>
        </w:tc>
        <w:tc>
          <w:tcPr>
            <w:tcW w:w="1720" w:type="dxa"/>
            <w:vAlign w:val="bottom"/>
            <w:gridSpan w:val="24"/>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10.9#</w:t>
            </w:r>
          </w:p>
        </w:tc>
        <w:tc>
          <w:tcPr>
            <w:tcW w:w="140" w:type="dxa"/>
            <w:vAlign w:val="bottom"/>
          </w:tcPr>
          <w:p>
            <w:pPr>
              <w:spacing w:after="0"/>
              <w:rPr>
                <w:sz w:val="19"/>
                <w:szCs w:val="19"/>
                <w:color w:val="auto"/>
              </w:rPr>
            </w:pPr>
          </w:p>
        </w:tc>
        <w:tc>
          <w:tcPr>
            <w:tcW w:w="39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Offer Letter, dated December 4, 2015, by and between</w:t>
              </w:r>
            </w:hyperlink>
          </w:p>
        </w:tc>
        <w:tc>
          <w:tcPr>
            <w:tcW w:w="320" w:type="dxa"/>
            <w:vAlign w:val="bottom"/>
            <w:gridSpan w:val="10"/>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2021</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459">
              <w:r>
                <w:rPr>
                  <w:rFonts w:ascii="Times New Roman" w:cs="Times New Roman" w:eastAsia="Times New Roman" w:hAnsi="Times New Roman"/>
                  <w:sz w:val="18"/>
                  <w:szCs w:val="18"/>
                  <w:color w:val="0000FF"/>
                  <w:w w:val="98"/>
                </w:rPr>
                <w:t>the Registrant and Scot Fredo.</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2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9"/>
                <w:szCs w:val="19"/>
                <w:color w:val="auto"/>
              </w:rPr>
            </w:pPr>
          </w:p>
        </w:tc>
        <w:tc>
          <w:tcPr>
            <w:tcW w:w="40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Offer Letter, dated December 29, 2015, by and between</w:t>
              </w:r>
            </w:hyperlink>
          </w:p>
        </w:tc>
        <w:tc>
          <w:tcPr>
            <w:tcW w:w="220" w:type="dxa"/>
            <w:vAlign w:val="bottom"/>
            <w:gridSpan w:val="6"/>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001-38233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6, 2020</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gridSpan w:val="37"/>
          </w:tcPr>
          <w:p>
            <w:pPr>
              <w:spacing w:after="0" w:line="196"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the Registrant and Sarah Welch.</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11"/>
            <w:shd w:val="clear" w:color="auto" w:fill="0000FF"/>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3"/>
              </w:rPr>
              <w:t>10.11</w:t>
            </w:r>
          </w:p>
        </w:tc>
        <w:tc>
          <w:tcPr>
            <w:tcW w:w="140" w:type="dxa"/>
            <w:vAlign w:val="bottom"/>
          </w:tcPr>
          <w:p>
            <w:pPr>
              <w:spacing w:after="0"/>
              <w:rPr>
                <w:sz w:val="19"/>
                <w:szCs w:val="19"/>
                <w:color w:val="auto"/>
              </w:rPr>
            </w:pPr>
          </w:p>
        </w:tc>
        <w:tc>
          <w:tcPr>
            <w:tcW w:w="40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Lease, dated as of October 8, 2014, by and between the</w:t>
              </w:r>
            </w:hyperlink>
          </w:p>
        </w:tc>
        <w:tc>
          <w:tcPr>
            <w:tcW w:w="260" w:type="dxa"/>
            <w:vAlign w:val="bottom"/>
            <w:gridSpan w:val="8"/>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gridSpan w:val="37"/>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Registrant and BCSP Cambridge Two Property LLC.</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80" w:type="dxa"/>
            <w:vAlign w:val="bottom"/>
            <w:gridSpan w:val="19"/>
            <w:shd w:val="clear" w:color="auto" w:fill="0000FF"/>
          </w:tcPr>
          <w:p>
            <w:pPr>
              <w:spacing w:after="0" w:line="20" w:lineRule="exact"/>
              <w:rPr>
                <w:sz w:val="1"/>
                <w:szCs w:val="1"/>
                <w:color w:val="auto"/>
              </w:rPr>
            </w:pPr>
          </w:p>
        </w:tc>
        <w:tc>
          <w:tcPr>
            <w:tcW w:w="16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10.12</w:t>
            </w:r>
          </w:p>
        </w:tc>
        <w:tc>
          <w:tcPr>
            <w:tcW w:w="140" w:type="dxa"/>
            <w:vAlign w:val="bottom"/>
          </w:tcPr>
          <w:p>
            <w:pPr>
              <w:spacing w:after="0"/>
              <w:rPr>
                <w:sz w:val="19"/>
                <w:szCs w:val="19"/>
                <w:color w:val="auto"/>
              </w:rPr>
            </w:pPr>
          </w:p>
        </w:tc>
        <w:tc>
          <w:tcPr>
            <w:tcW w:w="41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Office Lease Agreement, dated as of March 11, 2016, by</w:t>
              </w:r>
            </w:hyperlink>
          </w:p>
        </w:tc>
        <w:tc>
          <w:tcPr>
            <w:tcW w:w="160" w:type="dxa"/>
            <w:vAlign w:val="bottom"/>
            <w:gridSpan w:val="3"/>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333-220495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and between 55 Cambridge Parkway, LLC and the</w:t>
              </w:r>
            </w:hyperlink>
          </w:p>
        </w:tc>
        <w:tc>
          <w:tcPr>
            <w:tcW w:w="6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gridSpan w:val="37"/>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Registrant.</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First Amendment to Lease, dated as of July 30, 2016 by</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333-220495</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and between 55 Cambridge Parkway, LLC and the</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Registrant.</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CarGurus, Inc. Annual Incentive Plan.</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6, 2018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Lease Agreement, dated as of June 19, 2018, by and</w:t>
              </w:r>
            </w:hyperlink>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2018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between US Parcel A, LLC and the Registrant.</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Second Amendment to Lease, dated as of August 30,</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5, 2019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2019 by and between 55 Cambridge Parkway, LLC and</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the Registrant.</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4080" w:type="dxa"/>
            <w:vAlign w:val="bottom"/>
            <w:gridSpan w:val="16"/>
          </w:tcPr>
          <w:p>
            <w:pPr>
              <w:spacing w:after="0"/>
              <w:rPr>
                <w:rFonts w:ascii="Times New Roman" w:cs="Times New Roman" w:eastAsia="Times New Roman" w:hAnsi="Times New Roman"/>
                <w:sz w:val="18"/>
                <w:szCs w:val="18"/>
                <w:color w:val="0000FF"/>
                <w:w w:val="97"/>
              </w:rPr>
            </w:pPr>
            <w:hyperlink r:id="rId469">
              <w:r>
                <w:rPr>
                  <w:rFonts w:ascii="Times New Roman" w:cs="Times New Roman" w:eastAsia="Times New Roman" w:hAnsi="Times New Roman"/>
                  <w:sz w:val="18"/>
                  <w:szCs w:val="18"/>
                  <w:color w:val="0000FF"/>
                  <w:w w:val="97"/>
                </w:rPr>
                <w:t>Indenture of Lease between S&amp;A P-12 Property LLC and</w:t>
              </w:r>
            </w:hyperlink>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20, 2019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69">
              <w:r>
                <w:rPr>
                  <w:rFonts w:ascii="Times New Roman" w:cs="Times New Roman" w:eastAsia="Times New Roman" w:hAnsi="Times New Roman"/>
                  <w:sz w:val="18"/>
                  <w:szCs w:val="18"/>
                  <w:color w:val="0000FF"/>
                </w:rPr>
                <w:t>the Registrant, dated as of December 19, 2019.</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First Amendment to Lease between S&amp;A P-12 Property</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6, 2020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LLC and the Registrant, dated as of June 12, 2020.</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Third Amendment to Lease, dated as of July 1, 2020,</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5, 2020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between 55 Cambridge Parkway, LLC and the</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Registrant.</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4080" w:type="dxa"/>
            <w:vAlign w:val="bottom"/>
            <w:gridSpan w:val="16"/>
          </w:tcPr>
          <w:p>
            <w:pPr>
              <w:spacing w:after="0"/>
              <w:rPr>
                <w:rFonts w:ascii="Times New Roman" w:cs="Times New Roman" w:eastAsia="Times New Roman" w:hAnsi="Times New Roman"/>
                <w:sz w:val="18"/>
                <w:szCs w:val="18"/>
                <w:color w:val="0000FF"/>
                <w:w w:val="97"/>
              </w:rPr>
            </w:pPr>
            <w:hyperlink r:id="rId472">
              <w:r>
                <w:rPr>
                  <w:rFonts w:ascii="Times New Roman" w:cs="Times New Roman" w:eastAsia="Times New Roman" w:hAnsi="Times New Roman"/>
                  <w:sz w:val="18"/>
                  <w:szCs w:val="18"/>
                  <w:color w:val="0000FF"/>
                  <w:w w:val="97"/>
                </w:rPr>
                <w:t>First Amendment to Lease, dated as of October 27, 2015,</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5, 2020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between BCSP Cambridge Two Property, LLC and the</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Registrant.</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4080" w:type="dxa"/>
            <w:vAlign w:val="bottom"/>
            <w:gridSpan w:val="16"/>
          </w:tcPr>
          <w:p>
            <w:pPr>
              <w:spacing w:after="0"/>
              <w:rPr>
                <w:rFonts w:ascii="Times New Roman" w:cs="Times New Roman" w:eastAsia="Times New Roman" w:hAnsi="Times New Roman"/>
                <w:sz w:val="18"/>
                <w:szCs w:val="18"/>
                <w:color w:val="0000FF"/>
                <w:w w:val="99"/>
              </w:rPr>
            </w:pPr>
            <w:hyperlink r:id="rId473">
              <w:r>
                <w:rPr>
                  <w:rFonts w:ascii="Times New Roman" w:cs="Times New Roman" w:eastAsia="Times New Roman" w:hAnsi="Times New Roman"/>
                  <w:sz w:val="18"/>
                  <w:szCs w:val="18"/>
                  <w:color w:val="0000FF"/>
                  <w:w w:val="99"/>
                </w:rPr>
                <w:t>Second Amendment to Lease, dated as of September 28,</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5, 2020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3">
              <w:r>
                <w:rPr>
                  <w:rFonts w:ascii="Times New Roman" w:cs="Times New Roman" w:eastAsia="Times New Roman" w:hAnsi="Times New Roman"/>
                  <w:sz w:val="18"/>
                  <w:szCs w:val="18"/>
                  <w:color w:val="0000FF"/>
                </w:rPr>
                <w:t>2020, between Two Canal Park Massachusetts, LLC, as</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473">
              <w:r>
                <w:rPr>
                  <w:rFonts w:ascii="Times New Roman" w:cs="Times New Roman" w:eastAsia="Times New Roman" w:hAnsi="Times New Roman"/>
                  <w:sz w:val="18"/>
                  <w:szCs w:val="18"/>
                  <w:color w:val="0000FF"/>
                  <w:w w:val="99"/>
                </w:rPr>
                <w:t>successor-in-interest to BCSP Cambridge Two Property,</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3">
              <w:r>
                <w:rPr>
                  <w:rFonts w:ascii="Times New Roman" w:cs="Times New Roman" w:eastAsia="Times New Roman" w:hAnsi="Times New Roman"/>
                  <w:sz w:val="18"/>
                  <w:szCs w:val="18"/>
                  <w:color w:val="0000FF"/>
                </w:rPr>
                <w:t>LLC, and the Registrant.</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4080" w:type="dxa"/>
            <w:vAlign w:val="bottom"/>
            <w:gridSpan w:val="16"/>
          </w:tcPr>
          <w:p>
            <w:pPr>
              <w:spacing w:after="0"/>
              <w:rPr>
                <w:rFonts w:ascii="Times New Roman" w:cs="Times New Roman" w:eastAsia="Times New Roman" w:hAnsi="Times New Roman"/>
                <w:sz w:val="18"/>
                <w:szCs w:val="18"/>
                <w:color w:val="0000FF"/>
                <w:w w:val="97"/>
              </w:rPr>
            </w:pPr>
            <w:hyperlink r:id="rId474">
              <w:r>
                <w:rPr>
                  <w:rFonts w:ascii="Times New Roman" w:cs="Times New Roman" w:eastAsia="Times New Roman" w:hAnsi="Times New Roman"/>
                  <w:sz w:val="18"/>
                  <w:szCs w:val="18"/>
                  <w:color w:val="0000FF"/>
                  <w:w w:val="97"/>
                </w:rPr>
                <w:t>Separation Agreement, dated November 13, 2020, by and</w:t>
              </w:r>
            </w:hyperlink>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17, 2020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4">
              <w:r>
                <w:rPr>
                  <w:rFonts w:ascii="Times New Roman" w:cs="Times New Roman" w:eastAsia="Times New Roman" w:hAnsi="Times New Roman"/>
                  <w:sz w:val="18"/>
                  <w:szCs w:val="18"/>
                  <w:color w:val="0000FF"/>
                </w:rPr>
                <w:t>between the Registrant and Kyle Lomeli.</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Amendment to Separation Agreement, dated May 4,</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2021, by and between the Registrant and Kyle Lomeli.</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10.24#</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Consulting Agreement, dated November 13, 2020, by</w:t>
              </w:r>
            </w:hyperlink>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17, 2020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and between the Registrant and Kyle Lomeli.</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10.25</w:t>
            </w:r>
          </w:p>
        </w:tc>
        <w:tc>
          <w:tcPr>
            <w:tcW w:w="4080" w:type="dxa"/>
            <w:vAlign w:val="bottom"/>
            <w:gridSpan w:val="16"/>
          </w:tcPr>
          <w:p>
            <w:pPr>
              <w:spacing w:after="0"/>
              <w:rPr>
                <w:rFonts w:ascii="Times New Roman" w:cs="Times New Roman" w:eastAsia="Times New Roman" w:hAnsi="Times New Roman"/>
                <w:sz w:val="18"/>
                <w:szCs w:val="18"/>
                <w:color w:val="0000FF"/>
                <w:w w:val="97"/>
              </w:rPr>
            </w:pPr>
            <w:hyperlink r:id="rId477">
              <w:r>
                <w:rPr>
                  <w:rFonts w:ascii="Times New Roman" w:cs="Times New Roman" w:eastAsia="Times New Roman" w:hAnsi="Times New Roman"/>
                  <w:sz w:val="18"/>
                  <w:szCs w:val="18"/>
                  <w:color w:val="0000FF"/>
                  <w:w w:val="97"/>
                </w:rPr>
                <w:t>Third Amended and Restated Limited Liability Company</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w w:val="97"/>
              </w:rPr>
            </w:pPr>
            <w:hyperlink r:id="rId477">
              <w:r>
                <w:rPr>
                  <w:rFonts w:ascii="Times New Roman" w:cs="Times New Roman" w:eastAsia="Times New Roman" w:hAnsi="Times New Roman"/>
                  <w:sz w:val="18"/>
                  <w:szCs w:val="18"/>
                  <w:color w:val="0000FF"/>
                  <w:w w:val="97"/>
                </w:rPr>
                <w:t>Agreement, dated November 23, 2021, by and among the</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w w:val="97"/>
              </w:rPr>
            </w:pPr>
            <w:hyperlink r:id="rId477">
              <w:r>
                <w:rPr>
                  <w:rFonts w:ascii="Times New Roman" w:cs="Times New Roman" w:eastAsia="Times New Roman" w:hAnsi="Times New Roman"/>
                  <w:sz w:val="18"/>
                  <w:szCs w:val="18"/>
                  <w:color w:val="0000FF"/>
                  <w:w w:val="97"/>
                </w:rPr>
                <w:t>Registrant, TopCo, the Members of TopCo, and CarOffer</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7">
              <w:r>
                <w:rPr>
                  <w:rFonts w:ascii="Times New Roman" w:cs="Times New Roman" w:eastAsia="Times New Roman" w:hAnsi="Times New Roman"/>
                  <w:sz w:val="18"/>
                  <w:szCs w:val="18"/>
                  <w:color w:val="0000FF"/>
                </w:rPr>
                <w:t>MidCo, LLC.</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10.26</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Corrective Amendment, dated May 6, 2022, to Third</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Amended and Restated Limited Liability Company</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w w:val="97"/>
              </w:rPr>
            </w:pPr>
            <w:hyperlink r:id="rId478">
              <w:r>
                <w:rPr>
                  <w:rFonts w:ascii="Times New Roman" w:cs="Times New Roman" w:eastAsia="Times New Roman" w:hAnsi="Times New Roman"/>
                  <w:sz w:val="18"/>
                  <w:szCs w:val="18"/>
                  <w:color w:val="0000FF"/>
                  <w:w w:val="97"/>
                </w:rPr>
                <w:t>Agreement of CarOffer, LLC, dated November 23, 2021,</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w w:val="96"/>
              </w:rPr>
            </w:pPr>
            <w:hyperlink r:id="rId478">
              <w:r>
                <w:rPr>
                  <w:rFonts w:ascii="Times New Roman" w:cs="Times New Roman" w:eastAsia="Times New Roman" w:hAnsi="Times New Roman"/>
                  <w:sz w:val="18"/>
                  <w:szCs w:val="18"/>
                  <w:color w:val="0000FF"/>
                  <w:w w:val="96"/>
                </w:rPr>
                <w:t>by and among the Registrant, CarOffer, LLC, TopCo, and</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CarOffer Midco, LLC</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10.27#</w:t>
            </w:r>
          </w:p>
        </w:tc>
        <w:tc>
          <w:tcPr>
            <w:tcW w:w="4080" w:type="dxa"/>
            <w:vAlign w:val="bottom"/>
            <w:gridSpan w:val="16"/>
          </w:tcPr>
          <w:p>
            <w:pPr>
              <w:spacing w:after="0"/>
              <w:rPr>
                <w:rFonts w:ascii="Times New Roman" w:cs="Times New Roman" w:eastAsia="Times New Roman" w:hAnsi="Times New Roman"/>
                <w:sz w:val="18"/>
                <w:szCs w:val="18"/>
                <w:color w:val="0000FF"/>
                <w:w w:val="97"/>
              </w:rPr>
            </w:pPr>
            <w:hyperlink r:id="rId479">
              <w:r>
                <w:rPr>
                  <w:rFonts w:ascii="Times New Roman" w:cs="Times New Roman" w:eastAsia="Times New Roman" w:hAnsi="Times New Roman"/>
                  <w:sz w:val="18"/>
                  <w:szCs w:val="18"/>
                  <w:color w:val="0000FF"/>
                  <w:w w:val="97"/>
                </w:rPr>
                <w:t>Separation Agreement, dated November 16, 2021, by and</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00" w:type="dxa"/>
            <w:vAlign w:val="bottom"/>
          </w:tcPr>
          <w:p>
            <w:pPr>
              <w:spacing w:after="0" w:line="20" w:lineRule="exact"/>
              <w:rPr>
                <w:sz w:val="1"/>
                <w:szCs w:val="1"/>
                <w:color w:val="auto"/>
              </w:rPr>
            </w:pPr>
          </w:p>
        </w:tc>
        <w:tc>
          <w:tcPr>
            <w:tcW w:w="208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79">
              <w:r>
                <w:rPr>
                  <w:rFonts w:ascii="Times New Roman" w:cs="Times New Roman" w:eastAsia="Times New Roman" w:hAnsi="Times New Roman"/>
                  <w:sz w:val="18"/>
                  <w:szCs w:val="18"/>
                  <w:color w:val="0000FF"/>
                </w:rPr>
                <w:t>between the Registrant and Sarah Welch.</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10.28</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Sublease, dated October 6, 2021, by and between the</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2080" w:type="dxa"/>
            <w:vAlign w:val="bottom"/>
            <w:tcBorders>
              <w:right w:val="single" w:sz="8" w:color="0000FF"/>
            </w:tcBorders>
            <w:gridSpan w:val="5"/>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Registrant and HubSpot, Inc.</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gridSpan w:val="5"/>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10.29</w:t>
            </w:r>
          </w:p>
        </w:tc>
        <w:tc>
          <w:tcPr>
            <w:tcW w:w="4080" w:type="dxa"/>
            <w:vAlign w:val="bottom"/>
            <w:gridSpan w:val="16"/>
          </w:tcPr>
          <w:p>
            <w:pPr>
              <w:spacing w:after="0"/>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First Amendment to Sublease, dated July 31, 2022, by</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8, 2022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326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and between the Registrant and HubSpot, Inc.</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26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tcBorders>
              <w:left w:val="single" w:sz="8" w:color="0000EE"/>
            </w:tcBorders>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10.30</w:t>
            </w:r>
          </w:p>
        </w:tc>
        <w:tc>
          <w:tcPr>
            <w:tcW w:w="4080" w:type="dxa"/>
            <w:vAlign w:val="bottom"/>
            <w:gridSpan w:val="16"/>
          </w:tcPr>
          <w:p>
            <w:pPr>
              <w:spacing w:after="0"/>
              <w:rPr>
                <w:rFonts w:ascii="Times New Roman" w:cs="Times New Roman" w:eastAsia="Times New Roman" w:hAnsi="Times New Roman"/>
                <w:sz w:val="18"/>
                <w:szCs w:val="18"/>
                <w:color w:val="0000FF"/>
                <w:w w:val="99"/>
              </w:rPr>
            </w:pPr>
            <w:hyperlink r:id="rId482">
              <w:r>
                <w:rPr>
                  <w:rFonts w:ascii="Times New Roman" w:cs="Times New Roman" w:eastAsia="Times New Roman" w:hAnsi="Times New Roman"/>
                  <w:sz w:val="18"/>
                  <w:szCs w:val="18"/>
                  <w:color w:val="0000FF"/>
                  <w:w w:val="99"/>
                </w:rPr>
                <w:t>Sublease, dated December 23, 2021, by and between the</w:t>
              </w:r>
            </w:hyperlink>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001-38233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70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326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tcBorders>
              <w:left w:val="single" w:sz="8" w:color="0000FF"/>
            </w:tcBorders>
            <w:gridSpan w:val="8"/>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Registrant and Amylyx Pharmaceuticals, Inc.</w:t>
              </w:r>
            </w:hyperlink>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66"/>
        </w:trPr>
        <w:tc>
          <w:tcPr>
            <w:tcW w:w="110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121</w:t>
            </w:r>
          </w:p>
        </w:tc>
        <w:tc>
          <w:tcPr>
            <w:tcW w:w="1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tbl>
      <w:tblPr>
        <w:tblLayout w:type="fixed"/>
        <w:tblInd w:w="2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10.31</w:t>
            </w:r>
          </w:p>
        </w:tc>
        <w:tc>
          <w:tcPr>
            <w:tcW w:w="4060" w:type="dxa"/>
            <w:vAlign w:val="bottom"/>
            <w:gridSpan w:val="13"/>
          </w:tcPr>
          <w:p>
            <w:pPr>
              <w:spacing w:after="0"/>
              <w:rPr>
                <w:rFonts w:ascii="Times New Roman" w:cs="Times New Roman" w:eastAsia="Times New Roman" w:hAnsi="Times New Roman"/>
                <w:sz w:val="18"/>
                <w:szCs w:val="18"/>
                <w:color w:val="0000FF"/>
                <w:w w:val="98"/>
              </w:rPr>
            </w:pPr>
            <w:hyperlink r:id="rId485">
              <w:r>
                <w:rPr>
                  <w:rFonts w:ascii="Times New Roman" w:cs="Times New Roman" w:eastAsia="Times New Roman" w:hAnsi="Times New Roman"/>
                  <w:sz w:val="18"/>
                  <w:szCs w:val="18"/>
                  <w:color w:val="0000FF"/>
                  <w:w w:val="98"/>
                </w:rPr>
                <w:t>First Amendment to Sublease, dated March 23, 2022, by</w:t>
              </w:r>
            </w:hyperlink>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001-38233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2022</w:t>
            </w:r>
          </w:p>
        </w:tc>
        <w:tc>
          <w:tcPr>
            <w:tcW w:w="13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and between the Registrant and Amylyx</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Pharmaceuticals, Inc.</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10.32#</w:t>
            </w:r>
          </w:p>
        </w:tc>
        <w:tc>
          <w:tcPr>
            <w:tcW w:w="4060" w:type="dxa"/>
            <w:vAlign w:val="bottom"/>
            <w:gridSpan w:val="13"/>
          </w:tcPr>
          <w:p>
            <w:pPr>
              <w:spacing w:after="0"/>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Form of Amendment to Performance Restricted Stock</w:t>
              </w:r>
            </w:hyperlink>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001-38233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13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10.31</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Unit Agreement.</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10.33</w:t>
            </w:r>
          </w:p>
        </w:tc>
        <w:tc>
          <w:tcPr>
            <w:tcW w:w="4060" w:type="dxa"/>
            <w:vAlign w:val="bottom"/>
            <w:gridSpan w:val="13"/>
          </w:tcPr>
          <w:p>
            <w:pPr>
              <w:spacing w:after="0"/>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Credit Agreement, dated September 26, 2022, by and</w:t>
              </w:r>
            </w:hyperlink>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001-38233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2022</w:t>
            </w:r>
          </w:p>
        </w:tc>
        <w:tc>
          <w:tcPr>
            <w:tcW w:w="13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487">
              <w:r>
                <w:rPr>
                  <w:rFonts w:ascii="Times New Roman" w:cs="Times New Roman" w:eastAsia="Times New Roman" w:hAnsi="Times New Roman"/>
                  <w:sz w:val="18"/>
                  <w:szCs w:val="18"/>
                  <w:color w:val="0000FF"/>
                  <w:w w:val="99"/>
                </w:rPr>
                <w:t>among the Registrant, as borrower, PNC Bank, National</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w w:val="98"/>
              </w:rPr>
            </w:pPr>
            <w:hyperlink r:id="rId487">
              <w:r>
                <w:rPr>
                  <w:rFonts w:ascii="Times New Roman" w:cs="Times New Roman" w:eastAsia="Times New Roman" w:hAnsi="Times New Roman"/>
                  <w:sz w:val="18"/>
                  <w:szCs w:val="18"/>
                  <w:color w:val="0000FF"/>
                  <w:w w:val="98"/>
                </w:rPr>
                <w:t>Association, as administrative agent, collateral agent and</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an L/C Issuer, and the other lenders, L/C Issuers and</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other parties party thereto</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10.34#</w:t>
            </w:r>
          </w:p>
        </w:tc>
        <w:tc>
          <w:tcPr>
            <w:tcW w:w="4060" w:type="dxa"/>
            <w:vAlign w:val="bottom"/>
            <w:gridSpan w:val="13"/>
          </w:tcPr>
          <w:p>
            <w:pPr>
              <w:spacing w:after="0"/>
              <w:rPr>
                <w:rFonts w:ascii="Times New Roman" w:cs="Times New Roman" w:eastAsia="Times New Roman" w:hAnsi="Times New Roman"/>
                <w:sz w:val="18"/>
                <w:szCs w:val="18"/>
                <w:color w:val="0000FF"/>
                <w:w w:val="97"/>
              </w:rPr>
            </w:pPr>
            <w:hyperlink r:id="rId488">
              <w:r>
                <w:rPr>
                  <w:rFonts w:ascii="Times New Roman" w:cs="Times New Roman" w:eastAsia="Times New Roman" w:hAnsi="Times New Roman"/>
                  <w:sz w:val="18"/>
                  <w:szCs w:val="18"/>
                  <w:color w:val="0000FF"/>
                  <w:w w:val="97"/>
                </w:rPr>
                <w:t>Offer Letter, dated January 17, 2020, by and between the</w:t>
              </w:r>
            </w:hyperlink>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001-38233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2022</w:t>
            </w:r>
          </w:p>
        </w:tc>
        <w:tc>
          <w:tcPr>
            <w:tcW w:w="13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10.2#</w:t>
            </w: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Registrant and Andrea Eldridge</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10.35#</w:t>
            </w:r>
          </w:p>
        </w:tc>
        <w:tc>
          <w:tcPr>
            <w:tcW w:w="4060" w:type="dxa"/>
            <w:vAlign w:val="bottom"/>
            <w:gridSpan w:val="13"/>
          </w:tcPr>
          <w:p>
            <w:pPr>
              <w:spacing w:after="0"/>
              <w:rPr>
                <w:rFonts w:ascii="Times New Roman" w:cs="Times New Roman" w:eastAsia="Times New Roman" w:hAnsi="Times New Roman"/>
                <w:sz w:val="18"/>
                <w:szCs w:val="18"/>
                <w:color w:val="0000FF"/>
                <w:w w:val="99"/>
              </w:rPr>
            </w:pPr>
            <w:hyperlink r:id="rId489">
              <w:r>
                <w:rPr>
                  <w:rFonts w:ascii="Times New Roman" w:cs="Times New Roman" w:eastAsia="Times New Roman" w:hAnsi="Times New Roman"/>
                  <w:sz w:val="18"/>
                  <w:szCs w:val="18"/>
                  <w:color w:val="0000FF"/>
                  <w:w w:val="99"/>
                </w:rPr>
                <w:t>Offer Letter, dated November 15, 2021, by and between</w:t>
              </w:r>
            </w:hyperlink>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001-38233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2022</w:t>
            </w:r>
          </w:p>
        </w:tc>
        <w:tc>
          <w:tcPr>
            <w:tcW w:w="13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10.3#</w:t>
            </w: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the Registrant and Dafna Sarnoff</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List of Subsidiaries of the Registrant.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 Independent Registered</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Certification of Principal Executive Officer and Principal</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Rules 13a-14(a) and 15d-</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16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Certification of Principal Executive Officer and Principal</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80" w:type="dxa"/>
            <w:vAlign w:val="bottom"/>
          </w:tcPr>
          <w:p>
            <w:pPr>
              <w:spacing w:after="0" w:line="20" w:lineRule="exact"/>
              <w:rPr>
                <w:sz w:val="1"/>
                <w:szCs w:val="1"/>
                <w:color w:val="auto"/>
              </w:rPr>
            </w:pPr>
          </w:p>
        </w:tc>
        <w:tc>
          <w:tcPr>
            <w:tcW w:w="4060" w:type="dxa"/>
            <w:vAlign w:val="bottom"/>
            <w:gridSpan w:val="1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Financial Officer Pursuant to 18 U.S.C. Section 1350, as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060" w:type="dxa"/>
            <w:vAlign w:val="bottom"/>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060" w:type="dxa"/>
            <w:vAlign w:val="bottom"/>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8"/>
              </w:rPr>
              <w:t>Inline XBRL Instance Document- the instance document</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8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2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7"/>
              </w:rPr>
              <w:t>Inline XBRL Taxonomy Extension Calculation Linkbase</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80" w:type="dxa"/>
            <w:vAlign w:val="bottom"/>
          </w:tcPr>
          <w:p>
            <w:pPr>
              <w:spacing w:after="0"/>
              <w:rPr>
                <w:sz w:val="20"/>
                <w:szCs w:val="20"/>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80" w:type="dxa"/>
            <w:vAlign w:val="bottom"/>
          </w:tcPr>
          <w:p>
            <w:pPr>
              <w:spacing w:after="0"/>
              <w:rPr>
                <w:sz w:val="20"/>
                <w:szCs w:val="20"/>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80" w:type="dxa"/>
            <w:vAlign w:val="bottom"/>
          </w:tcPr>
          <w:p>
            <w:pPr>
              <w:spacing w:after="0"/>
              <w:rPr>
                <w:sz w:val="20"/>
                <w:szCs w:val="20"/>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80" w:type="dxa"/>
            <w:vAlign w:val="bottom"/>
          </w:tcPr>
          <w:p>
            <w:pPr>
              <w:spacing w:after="0"/>
              <w:rPr>
                <w:sz w:val="20"/>
                <w:szCs w:val="20"/>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8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10-K for the year ended December 31, 2022 has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0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been formatted in Inline XBRL.</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266" w:lineRule="exact"/>
        <w:rPr>
          <w:sz w:val="20"/>
          <w:szCs w:val="20"/>
          <w:color w:val="auto"/>
        </w:rPr>
      </w:pPr>
    </w:p>
    <w:p>
      <w:pPr>
        <w:jc w:val="both"/>
        <w:ind w:firstLine="8"/>
        <w:spacing w:after="0" w:line="266" w:lineRule="auto"/>
        <w:tabs>
          <w:tab w:leader="none" w:pos="1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CarGurus, Inc.</w:t>
      </w:r>
    </w:p>
    <w:p>
      <w:pPr>
        <w:spacing w:after="0" w:line="283" w:lineRule="exact"/>
        <w:rPr>
          <w:sz w:val="20"/>
          <w:szCs w:val="20"/>
          <w:color w:val="auto"/>
        </w:rPr>
      </w:pPr>
    </w:p>
    <w:p>
      <w:pPr>
        <w:ind w:left="20"/>
        <w:spacing w:after="0"/>
        <w:tabs>
          <w:tab w:leader="none" w:pos="5680" w:val="left"/>
          <w:tab w:leader="none" w:pos="61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Trevisan</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constitutes and appoints Jason Trevisan,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8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3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4"/>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5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Trevisan</w:t>
            </w:r>
          </w:p>
        </w:tc>
        <w:tc>
          <w:tcPr>
            <w:tcW w:w="1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120" w:type="dxa"/>
            <w:vAlign w:val="bottom"/>
          </w:tcPr>
          <w:p>
            <w:pPr>
              <w:spacing w:after="0"/>
              <w:rPr>
                <w:sz w:val="21"/>
                <w:szCs w:val="21"/>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Trevisan</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5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Langley Steinert</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Chairman and Chairman of the Board of Directors</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Langley Steinert</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41"/>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Conine</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Conine</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5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Lori Hickok</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Lori Hickok</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5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Kaufer</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Kaufer</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5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Greg Schwartz</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Greg Schwartz</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5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Ian Smith</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Ian Smith</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643"/>
        </w:trPr>
        <w:tc>
          <w:tcPr>
            <w:tcW w:w="2800" w:type="dxa"/>
            <w:vAlign w:val="bottom"/>
          </w:tcPr>
          <w:p>
            <w:pPr>
              <w:spacing w:after="0"/>
              <w:rPr>
                <w:sz w:val="24"/>
                <w:szCs w:val="24"/>
                <w:color w:val="auto"/>
              </w:rPr>
            </w:pPr>
          </w:p>
        </w:tc>
        <w:tc>
          <w:tcPr>
            <w:tcW w:w="5960" w:type="dxa"/>
            <w:vAlign w:val="bottom"/>
            <w:gridSpan w:val="2"/>
          </w:tcPr>
          <w:p>
            <w:pPr>
              <w:jc w:val="right"/>
              <w:ind w:right="291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CarGurus,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List,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Canada, Inc., a company incorporated under the laws of the Province of British Columbia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Ireland Limited, an Irish Private Company Limited by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Securities Corp., a Massachusetts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UK Limited, a U.K. Private 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CarOffer, LLC, a Texas limited liability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Pistonheads Holdco Limited, a U.K. Private Limited Company</w:t>
      </w:r>
      <w:r>
        <w:rPr>
          <w:rFonts w:ascii="Times New Roman" w:cs="Times New Roman" w:eastAsia="Times New Roman" w:hAnsi="Times New Roman"/>
          <w:sz w:val="24"/>
          <w:szCs w:val="24"/>
          <w:color w:val="auto"/>
          <w:vertAlign w:val="superscript"/>
        </w:rPr>
        <w:t>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WPLE, Inc., a Delaware corporation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The Company is in the process of dissolving the Pistonheads Holdco Limited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020" w:right="2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333-221090) pertaining to the Omnibus Incentive Compensation Plan Amended and Restated 2015 Equity Incentive Plan of CarGurus, Inc.,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333-263031) pertaining to the Omnibus Incentive Compensation Plan of CarGurus, Inc.;</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of our reports dated March 1, 2023, with respect to the consolidated financial statements of CarGurus, Inc. and the effectiveness of internal control over financial reporting of CarGurus, Inc. included in this Annual Report (Form 10-K) of CarGurus, Inc.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CarGurus,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 2023</w:t>
            </w: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05"/>
        </w:trPr>
        <w:tc>
          <w:tcPr>
            <w:tcW w:w="3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Jason Trevisan</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560"/>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CarGurus, Inc. (the “Company”) for the period ending December 31, 2022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7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 2023</w:t>
            </w: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Jason Trevisan</w:t>
            </w:r>
          </w:p>
        </w:tc>
      </w:tr>
      <w:tr>
        <w:trPr>
          <w:trHeight w:val="205"/>
        </w:trPr>
        <w:tc>
          <w:tcPr>
            <w:tcW w:w="3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Jason Trevisan</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560"/>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lowerRoman"/>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90" Type="http://schemas.openxmlformats.org/officeDocument/2006/relationships/image" Target="media/image439.png"/><Relationship Id="rId491" Type="http://schemas.openxmlformats.org/officeDocument/2006/relationships/image" Target="media/image440.png"/><Relationship Id="rId492" Type="http://schemas.openxmlformats.org/officeDocument/2006/relationships/image" Target="media/image441.png"/><Relationship Id="rId493" Type="http://schemas.openxmlformats.org/officeDocument/2006/relationships/image" Target="media/image442.png"/><Relationship Id="rId494" Type="http://schemas.openxmlformats.org/officeDocument/2006/relationships/image" Target="media/image443.png"/><Relationship Id="rId495" Type="http://schemas.openxmlformats.org/officeDocument/2006/relationships/image" Target="media/image444.png"/><Relationship Id="rId496" Type="http://schemas.openxmlformats.org/officeDocument/2006/relationships/image" Target="media/image445.png"/><Relationship Id="rId497" Type="http://schemas.openxmlformats.org/officeDocument/2006/relationships/image" Target="media/image446.png"/><Relationship Id="rId498" Type="http://schemas.openxmlformats.org/officeDocument/2006/relationships/image" Target="media/image447.png"/><Relationship Id="rId499" Type="http://schemas.openxmlformats.org/officeDocument/2006/relationships/image" Target="media/image448.png"/><Relationship Id="rId442" Type="http://schemas.openxmlformats.org/officeDocument/2006/relationships/hyperlink" Target="https://www.sec.gov/Archives/edgar/data/1494259/000156459021005612/carg-ex21_246.htm" TargetMode="External"/><Relationship Id="rId443" Type="http://schemas.openxmlformats.org/officeDocument/2006/relationships/hyperlink" Target="https://www.sec.gov/Archives/edgar/data/1494259/000110465917062378/a17-24010_1ex3d1.htm" TargetMode="External"/><Relationship Id="rId444" Type="http://schemas.openxmlformats.org/officeDocument/2006/relationships/hyperlink" Target="https://www.sec.gov/Archives/edgar/data/1494259/000110465917062378/a17-24010_1ex3d2.htm" TargetMode="External"/><Relationship Id="rId445" Type="http://schemas.openxmlformats.org/officeDocument/2006/relationships/hyperlink" Target="https://www.sec.gov/Archives/edgar/data/1494259/000104746917006138/a2233329zex-4_1.htm" TargetMode="External"/><Relationship Id="rId446" Type="http://schemas.openxmlformats.org/officeDocument/2006/relationships/hyperlink" Target="https://www.sec.gov/Archives/edgar/data/1494259/000156459020004805/carg-ex43_423.htm" TargetMode="External"/><Relationship Id="rId447" Type="http://schemas.openxmlformats.org/officeDocument/2006/relationships/hyperlink" Target="https://www.sec.gov/Archives/edgar/data/1494259/000104746917005904/a2233230zex-10_1.htm" TargetMode="External"/><Relationship Id="rId448" Type="http://schemas.openxmlformats.org/officeDocument/2006/relationships/hyperlink" Target="https://www.sec.gov/Archives/edgar/data/1494259/000104746917005904/a2233230zex-10_2.htm" TargetMode="External"/><Relationship Id="rId449" Type="http://schemas.openxmlformats.org/officeDocument/2006/relationships/hyperlink" Target="https://www.sec.gov/Archives/edgar/data/1494259/000104746917006138/a2233329zex-10_3.htm" TargetMode="External"/><Relationship Id="rId450" Type="http://schemas.openxmlformats.org/officeDocument/2006/relationships/hyperlink" Target="https://www.sec.gov/Archives/edgar/data/1494259/000156459021005612/carg-ex104_400.htm" TargetMode="External"/><Relationship Id="rId451" Type="http://schemas.openxmlformats.org/officeDocument/2006/relationships/hyperlink" Target="https://www.sec.gov/Archives/edgar/data/1494259/000156459021005612/carg-ex1041_401.htm" TargetMode="External"/><Relationship Id="rId452" Type="http://schemas.openxmlformats.org/officeDocument/2006/relationships/hyperlink" Target="https://www.sec.gov/Archives/edgar/data/1494259/000156459018010708/carg-ex103_187.htm" TargetMode="External"/><Relationship Id="rId453" Type="http://schemas.openxmlformats.org/officeDocument/2006/relationships/hyperlink" Target="https://www.sec.gov/Archives/edgar/data/1494259/000156459021005612/carg-ex1043_1104.htm" TargetMode="External"/><Relationship Id="rId454" Type="http://schemas.openxmlformats.org/officeDocument/2006/relationships/hyperlink" Target="https://www.sec.gov/Archives/edgar/data/1494259/000119312518096041/d557263dex101.htm" TargetMode="External"/><Relationship Id="rId455" Type="http://schemas.openxmlformats.org/officeDocument/2006/relationships/hyperlink" Target="https://www.sec.gov/Archives/edgar/data/1494259/000104746917005904/a2233230zex-10_5.htm" TargetMode="External"/><Relationship Id="rId456" Type="http://schemas.openxmlformats.org/officeDocument/2006/relationships/hyperlink" Target="https://www.sec.gov/Archives/edgar/data/1494259/000104746917005904/a2233230zex-10_6.htm" TargetMode="External"/><Relationship Id="rId457" Type="http://schemas.openxmlformats.org/officeDocument/2006/relationships/hyperlink" Target="https://www.sec.gov/Archives/edgar/data/1494259/000104746917005904/a2233230zex-10_7.htm" TargetMode="External"/><Relationship Id="rId458" Type="http://schemas.openxmlformats.org/officeDocument/2006/relationships/hyperlink" Target="https://www.sec.gov/Archives/edgar/data/1494259/000156459019005473/carg-ex108_14.htm" TargetMode="External"/><Relationship Id="rId459" Type="http://schemas.openxmlformats.org/officeDocument/2006/relationships/hyperlink" Target="https://www.sec.gov/Archives/edgar/data/1494259/000156459021005612/carg-ex1010_245.htm" TargetMode="External"/><Relationship Id="rId460" Type="http://schemas.openxmlformats.org/officeDocument/2006/relationships/hyperlink" Target="https://www.sec.gov/Archives/edgar/data/1494259/000156459020037766/carg-ex102_54.htm" TargetMode="External"/><Relationship Id="rId461" Type="http://schemas.openxmlformats.org/officeDocument/2006/relationships/hyperlink" Target="https://www.sec.gov/Archives/edgar/data/1494259/000104746917005904/a2233230zex-10_8.htm" TargetMode="External"/><Relationship Id="rId462" Type="http://schemas.openxmlformats.org/officeDocument/2006/relationships/hyperlink" Target="https://www.sec.gov/Archives/edgar/data/1494259/000104746917005904/a2233230zex-10_9.htm" TargetMode="External"/><Relationship Id="rId465" Type="http://schemas.openxmlformats.org/officeDocument/2006/relationships/hyperlink" Target="https://www.sec.gov/Archives/edgar/data/1494259/000104746917005904/a2233230zex-10_10.htm" TargetMode="External"/><Relationship Id="rId466" Type="http://schemas.openxmlformats.org/officeDocument/2006/relationships/hyperlink" Target="https://www.sec.gov/Archives/edgar/data/1494259/000119312518110054/d556560dex101.htm" TargetMode="External"/><Relationship Id="rId467" Type="http://schemas.openxmlformats.org/officeDocument/2006/relationships/hyperlink" Target="https://www.sec.gov/Archives/edgar/data/1494259/000119312518197983/d778651dex101.htm" TargetMode="External"/><Relationship Id="rId468" Type="http://schemas.openxmlformats.org/officeDocument/2006/relationships/hyperlink" Target="https://www.sec.gov/Archives/edgar/data/1494259/000156459019040396/carg-ex101_7.htm" TargetMode="External"/><Relationship Id="rId469" Type="http://schemas.openxmlformats.org/officeDocument/2006/relationships/hyperlink" Target="https://www.sec.gov/Archives/edgar/data/1494259/000119312519320928/d851940dex101.htm" TargetMode="External"/><Relationship Id="rId470" Type="http://schemas.openxmlformats.org/officeDocument/2006/relationships/hyperlink" Target="https://www.sec.gov/Archives/edgar/data/1494259/000156459020037766/carg-ex103_51.htm" TargetMode="External"/><Relationship Id="rId471" Type="http://schemas.openxmlformats.org/officeDocument/2006/relationships/hyperlink" Target="https://www.sec.gov/Archives/edgar/data/1494259/000156459020051350/carg-ex101_35.htm" TargetMode="External"/><Relationship Id="rId472" Type="http://schemas.openxmlformats.org/officeDocument/2006/relationships/hyperlink" Target="https://www.sec.gov/Archives/edgar/data/1494259/000156459020051350/carg-ex102_34.htm" TargetMode="External"/><Relationship Id="rId473" Type="http://schemas.openxmlformats.org/officeDocument/2006/relationships/hyperlink" Target="https://www.sec.gov/Archives/edgar/data/1494259/000156459020051350/carg-ex103_33.htm" TargetMode="External"/><Relationship Id="rId474" Type="http://schemas.openxmlformats.org/officeDocument/2006/relationships/hyperlink" Target="https://www.sec.gov/Archives/edgar/data/1494259/000156459020054365/carg-ex101_6.htm" TargetMode="External"/><Relationship Id="rId475" Type="http://schemas.openxmlformats.org/officeDocument/2006/relationships/hyperlink" Target="https://www.sec.gov/Archives/edgar/data/1494259/000156459021025253/carg-ex104_315.htm" TargetMode="External"/><Relationship Id="rId476" Type="http://schemas.openxmlformats.org/officeDocument/2006/relationships/hyperlink" Target="https://www.sec.gov/Archives/edgar/data/1494259/000156459020054365/carg-ex102_7.htm" TargetMode="External"/><Relationship Id="rId477" Type="http://schemas.openxmlformats.org/officeDocument/2006/relationships/hyperlink" Target="https://www.sec.gov/Archives/edgar/data/1494259/000095017022002023/carg-ex10_27.htm" TargetMode="External"/><Relationship Id="rId478" Type="http://schemas.openxmlformats.org/officeDocument/2006/relationships/hyperlink" Target="https://www.sec.gov/Archives/edgar/data/1494259/000095017022008509/carg-ex10_5.htm" TargetMode="External"/><Relationship Id="rId479" Type="http://schemas.openxmlformats.org/officeDocument/2006/relationships/hyperlink" Target="https://www.sec.gov/Archives/edgar/data/1494259/000095017022002023/carg-ex10_28.htm" TargetMode="External"/><Relationship Id="rId480" Type="http://schemas.openxmlformats.org/officeDocument/2006/relationships/hyperlink" Target="https://www.sec.gov/Archives/edgar/data/1494259/000095017022002023/carg-ex10_29.htm" TargetMode="External"/><Relationship Id="rId481" Type="http://schemas.openxmlformats.org/officeDocument/2006/relationships/hyperlink" Target="https://www.sec.gov/Archives/edgar/data/1494259/000095017022023243/carg-ex10_2.htm" TargetMode="External"/><Relationship Id="rId482" Type="http://schemas.openxmlformats.org/officeDocument/2006/relationships/hyperlink" Target="https://www.sec.gov/Archives/edgar/data/1494259/000095017022002023/carg-ex10_30.htm" TargetMode="External"/><Relationship Id="rId485" Type="http://schemas.openxmlformats.org/officeDocument/2006/relationships/hyperlink" Target="https://www.sec.gov/Archives/edgar/data/1494259/000095017022008509/carg-ex10_1.htm" TargetMode="External"/><Relationship Id="rId486" Type="http://schemas.openxmlformats.org/officeDocument/2006/relationships/hyperlink" Target="https://www.sec.gov/Archives/edgar/data/1494259/000095017022002023/carg-ex10_31.htm" TargetMode="External"/><Relationship Id="rId487" Type="http://schemas.openxmlformats.org/officeDocument/2006/relationships/hyperlink" Target="https://www.sec.gov/Archives/edgar/data/1494259/000095017022019045/carg-ex10_1.htm" TargetMode="External"/><Relationship Id="rId488" Type="http://schemas.openxmlformats.org/officeDocument/2006/relationships/hyperlink" Target="https://www.sec.gov/Archives/edgar/data/1494259/000095017022008509/carg-ex10_2.htm" TargetMode="External"/><Relationship Id="rId489" Type="http://schemas.openxmlformats.org/officeDocument/2006/relationships/hyperlink" Target="https://www.sec.gov/Archives/edgar/data/1494259/000095017022008509/carg-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2023-03-01T14:24:09Z</dcterms:created>
  <dcterms:modified xsi:type="dcterms:W3CDTF">2023-03-01T14:24:09Z</dcterms:modified>
</cp:coreProperties>
</file>