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220" w:type="dxa"/>
            <w:vAlign w:val="bottom"/>
          </w:tcPr>
          <w:p>
            <w:pPr>
              <w:jc w:val="center"/>
              <w:ind w:right="3740"/>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right"/>
              <w:ind w:right="61"/>
              <w:spacing w:after="0"/>
              <w:rPr>
                <w:sz w:val="20"/>
                <w:szCs w:val="20"/>
                <w:color w:val="auto"/>
              </w:rPr>
            </w:pPr>
            <w:r>
              <w:rPr>
                <w:rFonts w:ascii="Arial" w:cs="Arial" w:eastAsia="Arial" w:hAnsi="Arial"/>
                <w:sz w:val="18"/>
                <w:szCs w:val="18"/>
                <w:b w:val="1"/>
                <w:bCs w:val="1"/>
                <w:color w:val="auto"/>
              </w:rPr>
              <w:t>04-3843478</w:t>
            </w:r>
          </w:p>
        </w:tc>
      </w:tr>
      <w:tr>
        <w:trPr>
          <w:trHeight w:val="148"/>
        </w:trPr>
        <w:tc>
          <w:tcPr>
            <w:tcW w:w="6220" w:type="dxa"/>
            <w:vAlign w:val="bottom"/>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6220" w:type="dxa"/>
            <w:vAlign w:val="bottom"/>
          </w:tcPr>
          <w:p>
            <w:pPr>
              <w:jc w:val="center"/>
              <w:ind w:right="3760"/>
              <w:spacing w:after="0"/>
              <w:rPr>
                <w:sz w:val="20"/>
                <w:szCs w:val="20"/>
                <w:color w:val="auto"/>
              </w:rPr>
            </w:pPr>
            <w:r>
              <w:rPr>
                <w:rFonts w:ascii="Arial" w:cs="Arial" w:eastAsia="Arial" w:hAnsi="Arial"/>
                <w:sz w:val="18"/>
                <w:szCs w:val="18"/>
                <w:b w:val="1"/>
                <w:bCs w:val="1"/>
                <w:color w:val="auto"/>
                <w:w w:val="93"/>
              </w:rPr>
              <w:t>2 Canal Park, 4th Floor</w:t>
            </w:r>
          </w:p>
        </w:tc>
        <w:tc>
          <w:tcPr>
            <w:tcW w:w="1160" w:type="dxa"/>
            <w:vAlign w:val="bottom"/>
          </w:tcPr>
          <w:p>
            <w:pPr>
              <w:spacing w:after="0"/>
              <w:rPr>
                <w:sz w:val="24"/>
                <w:szCs w:val="24"/>
                <w:color w:val="auto"/>
              </w:rPr>
            </w:pPr>
          </w:p>
        </w:tc>
      </w:tr>
      <w:tr>
        <w:trPr>
          <w:trHeight w:val="212"/>
        </w:trPr>
        <w:tc>
          <w:tcPr>
            <w:tcW w:w="6220" w:type="dxa"/>
            <w:vAlign w:val="bottom"/>
          </w:tcPr>
          <w:p>
            <w:pPr>
              <w:jc w:val="center"/>
              <w:ind w:right="3740"/>
              <w:spacing w:after="0"/>
              <w:rPr>
                <w:sz w:val="20"/>
                <w:szCs w:val="20"/>
                <w:color w:val="auto"/>
              </w:rPr>
            </w:pPr>
            <w:r>
              <w:rPr>
                <w:rFonts w:ascii="Arial" w:cs="Arial" w:eastAsia="Arial" w:hAnsi="Arial"/>
                <w:sz w:val="18"/>
                <w:szCs w:val="18"/>
                <w:b w:val="1"/>
                <w:bCs w:val="1"/>
                <w:color w:val="auto"/>
                <w:w w:val="89"/>
              </w:rPr>
              <w:t>Cambridge, Massachusetts</w:t>
            </w:r>
          </w:p>
        </w:tc>
        <w:tc>
          <w:tcPr>
            <w:tcW w:w="11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186"/>
        </w:trPr>
        <w:tc>
          <w:tcPr>
            <w:tcW w:w="6220" w:type="dxa"/>
            <w:vAlign w:val="bottom"/>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6"/>
        </w:trPr>
        <w:tc>
          <w:tcPr>
            <w:tcW w:w="6220" w:type="dxa"/>
            <w:vAlign w:val="bottom"/>
          </w:tcPr>
          <w:p>
            <w:pPr>
              <w:ind w:left="1800"/>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11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8"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82" w:lineRule="exact"/>
        <w:rPr>
          <w:sz w:val="24"/>
          <w:szCs w:val="24"/>
          <w:color w:val="auto"/>
        </w:rPr>
      </w:pPr>
    </w:p>
    <w:tbl>
      <w:tblPr>
        <w:tblLayout w:type="fixed"/>
        <w:tblInd w:w="740" w:type="dxa"/>
        <w:tblCellMar>
          <w:top w:w="0" w:type="dxa"/>
          <w:left w:w="0" w:type="dxa"/>
          <w:bottom w:w="0" w:type="dxa"/>
          <w:right w:w="0" w:type="dxa"/>
        </w:tblCellMar>
      </w:tblPr>
      <w:tr>
        <w:trPr>
          <w:trHeight w:val="172"/>
        </w:trPr>
        <w:tc>
          <w:tcPr>
            <w:tcW w:w="96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5"/>
                <w:szCs w:val="15"/>
                <w:b w:val="1"/>
                <w:bCs w:val="1"/>
                <w:color w:val="auto"/>
              </w:rPr>
              <w:t>Title of Each Class</w:t>
            </w: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3"/>
              </w:rPr>
              <w:t>Trading Symbol</w:t>
            </w:r>
          </w:p>
        </w:tc>
        <w:tc>
          <w:tcPr>
            <w:tcW w:w="104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1"/>
              </w:rPr>
              <w:t>Class A Common</w:t>
            </w:r>
          </w:p>
        </w:tc>
        <w:tc>
          <w:tcPr>
            <w:tcW w:w="12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4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75"/>
              </w:rPr>
              <w:t>The Nasdaq</w:t>
            </w:r>
          </w:p>
        </w:tc>
        <w:tc>
          <w:tcPr>
            <w:tcW w:w="2640" w:type="dxa"/>
            <w:vAlign w:val="bottom"/>
            <w:shd w:val="clear" w:color="auto" w:fill="000000"/>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Market)</w:t>
            </w:r>
          </w:p>
        </w:tc>
        <w:tc>
          <w:tcPr>
            <w:tcW w:w="0" w:type="dxa"/>
            <w:vAlign w:val="bottom"/>
          </w:tcPr>
          <w:p>
            <w:pPr>
              <w:spacing w:after="0" w:line="20" w:lineRule="exact"/>
              <w:rPr>
                <w:sz w:val="1"/>
                <w:szCs w:val="1"/>
                <w:color w:val="auto"/>
              </w:rPr>
            </w:pPr>
          </w:p>
        </w:tc>
      </w:tr>
      <w:tr>
        <w:trPr>
          <w:trHeight w:val="180"/>
        </w:trPr>
        <w:tc>
          <w:tcPr>
            <w:tcW w:w="960" w:type="dxa"/>
            <w:vAlign w:val="bottom"/>
            <w:vMerge w:val="continue"/>
          </w:tcPr>
          <w:p>
            <w:pPr>
              <w:spacing w:after="0"/>
              <w:rPr>
                <w:sz w:val="15"/>
                <w:szCs w:val="15"/>
                <w:color w:val="auto"/>
              </w:rPr>
            </w:pPr>
          </w:p>
        </w:tc>
        <w:tc>
          <w:tcPr>
            <w:tcW w:w="34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 par value $0.001 per share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4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b w:val="1"/>
                <w:bCs w:val="1"/>
                <w:color w:val="auto"/>
                <w:w w:val="91"/>
              </w:rPr>
              <w:t>Stock Market LLC (Nasdaq Global Select</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6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ind w:right="38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24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2660"/>
              <w:spacing w:after="0"/>
              <w:rPr>
                <w:sz w:val="20"/>
                <w:szCs w:val="20"/>
                <w:color w:val="auto"/>
              </w:rPr>
            </w:pPr>
            <w:r>
              <w:rPr>
                <w:rFonts w:ascii="Arial" w:cs="Arial" w:eastAsia="Arial" w:hAnsi="Arial"/>
                <w:sz w:val="17"/>
                <w:szCs w:val="17"/>
                <w:color w:val="auto"/>
              </w:rPr>
              <w:t>Small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524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line="196" w:lineRule="exact"/>
        <w:tabs>
          <w:tab w:leader="none" w:pos="842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0" w:lineRule="exact"/>
        <w:rPr>
          <w:sz w:val="24"/>
          <w:szCs w:val="24"/>
          <w:color w:val="auto"/>
        </w:rPr>
      </w:pPr>
    </w:p>
    <w:p>
      <w:pPr>
        <w:ind w:right="20" w:firstLine="510"/>
        <w:spacing w:after="0" w:line="274" w:lineRule="auto"/>
        <w:rPr>
          <w:sz w:val="20"/>
          <w:szCs w:val="20"/>
          <w:color w:val="auto"/>
        </w:rPr>
      </w:pPr>
      <w:r>
        <w:rPr>
          <w:rFonts w:ascii="Arial" w:cs="Arial" w:eastAsia="Arial" w:hAnsi="Arial"/>
          <w:sz w:val="17"/>
          <w:szCs w:val="17"/>
          <w:color w:val="auto"/>
        </w:rPr>
        <w:t>As of April 29, 2021, the registrant had 98,925,105 shares of Class A common stock, $0.001 par value per share, and 18,146,903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7"/>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420" w:type="dxa"/>
            <w:vAlign w:val="bottom"/>
            <w:gridSpan w:val="17"/>
            <w:vMerge w:val="continue"/>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3"/>
          </w:tcPr>
          <w:p>
            <w:pPr>
              <w:spacing w:after="0"/>
              <w:rPr>
                <w:sz w:val="18"/>
                <w:szCs w:val="18"/>
                <w:color w:val="auto"/>
              </w:rPr>
            </w:pPr>
          </w:p>
        </w:tc>
        <w:tc>
          <w:tcPr>
            <w:tcW w:w="7040" w:type="dxa"/>
            <w:vAlign w:val="bottom"/>
            <w:gridSpan w:val="9"/>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Income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Comprehensive Income</w:t>
              </w:r>
            </w:hyperlink>
          </w:p>
        </w:tc>
        <w:tc>
          <w:tcPr>
            <w:tcW w:w="40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Consolidated Statements of Redeemable Noncontrolling Interest and Stockholders’ Equity</w:t>
              </w:r>
            </w:hyperlink>
          </w:p>
        </w:tc>
        <w:tc>
          <w:tcPr>
            <w:tcW w:w="1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Unaudited Condensed Consolidated Statements of Cash Flows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2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506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OTHER INFORMATION</w:t>
              </w:r>
            </w:hyperlink>
          </w:p>
        </w:tc>
        <w:tc>
          <w:tcPr>
            <w:tcW w:w="740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810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12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are building the world’s most trusted and transparent automotive marketplace and creating a differentiated automotive search experience for consumers;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quality leads at a high volume for our dealer customers;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acquire new customers;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succeed internationally;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share issuances and the exercise of put and call rights in connection with our acquisition of a majority interest in CarOffer, LLC, as well as the associated valuation of redeemable noncontrolling interests;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we will realize the benefits of deferred tax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cost savings and achieve other benefits for our business from our expense reduction efforts, the impact of such reductions on our business and the timing of payments associated with such efforts;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outlook for our Restricted Listings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fee reductions for customers;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both"/>
        <w:ind w:firstLine="510"/>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3"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At</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At</w:t>
            </w:r>
          </w:p>
        </w:tc>
      </w:tr>
      <w:tr>
        <w:trPr>
          <w:trHeight w:val="148"/>
        </w:trPr>
        <w:tc>
          <w:tcPr>
            <w:tcW w:w="6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48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Current assets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50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140,668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190,299</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18"/>
                <w:szCs w:val="18"/>
                <w:color w:val="auto"/>
              </w:rPr>
            </w:pPr>
          </w:p>
        </w:tc>
      </w:tr>
      <w:tr>
        <w:trPr>
          <w:trHeight w:val="198"/>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$636</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$616, respectively</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36,364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18,235</w:t>
            </w:r>
          </w:p>
        </w:tc>
        <w:tc>
          <w:tcPr>
            <w:tcW w:w="100" w:type="dxa"/>
            <w:vAlign w:val="bottom"/>
            <w:shd w:val="clear" w:color="auto" w:fill="CFF0FC"/>
          </w:tcPr>
          <w:p>
            <w:pPr>
              <w:spacing w:after="0"/>
              <w:rPr>
                <w:sz w:val="19"/>
                <w:szCs w:val="19"/>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Prepaid expenses, prepaid income taxes and other current assets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17,170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12,385</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contract costs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11,085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10,807</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Restricted cash</w:t>
            </w:r>
          </w:p>
        </w:tc>
        <w:tc>
          <w:tcPr>
            <w:tcW w:w="1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FF0FC"/>
            </w:tcBorders>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311,776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331,976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29,816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27,483</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108,165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10,862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Goodwill</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157,152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29,129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70,087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60,835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Restricted cash</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10,377</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19,728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19,774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9,189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1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3,158</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2,673</w:t>
            </w:r>
          </w:p>
        </w:tc>
        <w:tc>
          <w:tcPr>
            <w:tcW w:w="100" w:type="dxa"/>
            <w:vAlign w:val="bottom"/>
            <w:shd w:val="clear" w:color="auto" w:fill="CFF0FC"/>
          </w:tcPr>
          <w:p>
            <w:pPr>
              <w:spacing w:after="0"/>
              <w:rPr>
                <w:sz w:val="18"/>
                <w:szCs w:val="18"/>
                <w:color w:val="auto"/>
              </w:rPr>
            </w:pPr>
          </w:p>
        </w:tc>
      </w:tr>
      <w:tr>
        <w:trPr>
          <w:trHeight w:val="249"/>
        </w:trPr>
        <w:tc>
          <w:tcPr>
            <w:tcW w:w="6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1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719,393</w:t>
            </w:r>
          </w:p>
        </w:tc>
        <w:tc>
          <w:tcPr>
            <w:tcW w:w="3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502,298</w:t>
            </w:r>
          </w:p>
        </w:tc>
        <w:tc>
          <w:tcPr>
            <w:tcW w:w="100" w:type="dxa"/>
            <w:vAlign w:val="bottom"/>
            <w:tcBorders>
              <w:bottom w:val="single" w:sz="8" w:color="CFF0FC"/>
            </w:tcBorders>
          </w:tcPr>
          <w:p>
            <w:pPr>
              <w:spacing w:after="0"/>
              <w:rPr>
                <w:sz w:val="21"/>
                <w:szCs w:val="21"/>
                <w:color w:val="auto"/>
              </w:rPr>
            </w:pPr>
          </w:p>
        </w:tc>
      </w:tr>
      <w:tr>
        <w:trPr>
          <w:trHeight w:val="197"/>
        </w:trPr>
        <w:tc>
          <w:tcPr>
            <w:tcW w:w="648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Liabilities, redeemable noncontrolling interest and stockholders’ equity</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Current liabilities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payable</w:t>
            </w:r>
          </w:p>
        </w:tc>
        <w:tc>
          <w:tcPr>
            <w:tcW w:w="150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36,293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21,563</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22,847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24,751</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revenue</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11,986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9,137</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liabilities</w:t>
            </w:r>
          </w:p>
        </w:tc>
        <w:tc>
          <w:tcPr>
            <w:tcW w:w="1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11,085</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81,725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66,536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68,280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58,810</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liabilities</w:t>
            </w:r>
          </w:p>
        </w:tc>
        <w:tc>
          <w:tcPr>
            <w:tcW w:w="1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5,218</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Borders>
              <w:bottom w:val="single" w:sz="8" w:color="CFF0FC"/>
            </w:tcBorders>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155,517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128,712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Redeemable noncontrolling interest</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55,221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480" w:type="dxa"/>
            <w:vAlign w:val="bottom"/>
          </w:tcPr>
          <w:p>
            <w:pPr>
              <w:spacing w:after="0"/>
              <w:rPr>
                <w:sz w:val="20"/>
                <w:szCs w:val="20"/>
                <w:color w:val="auto"/>
              </w:rPr>
            </w:pPr>
            <w:r>
              <w:rPr>
                <w:rFonts w:ascii="Arial" w:cs="Arial" w:eastAsia="Arial" w:hAnsi="Arial"/>
                <w:sz w:val="17"/>
                <w:szCs w:val="17"/>
                <w:color w:val="auto"/>
              </w:rPr>
              <w:t>Stockholders’ equity: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Preferred stock, $0.001 par value; 10,000,000 shares authorized;</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no shares issued and outstanding</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98"/>
        </w:trPr>
        <w:tc>
          <w:tcPr>
            <w:tcW w:w="6480" w:type="dxa"/>
            <w:vAlign w:val="bottom"/>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tcPr>
          <w:p>
            <w:pPr>
              <w:ind w:left="380"/>
              <w:spacing w:after="0"/>
              <w:rPr>
                <w:sz w:val="20"/>
                <w:szCs w:val="20"/>
                <w:color w:val="auto"/>
              </w:rPr>
            </w:pPr>
            <w:r>
              <w:rPr>
                <w:rFonts w:ascii="Arial" w:cs="Arial" w:eastAsia="Arial" w:hAnsi="Arial"/>
                <w:sz w:val="17"/>
                <w:szCs w:val="17"/>
                <w:color w:val="auto"/>
              </w:rPr>
              <w:t>authorized; 98,759,576 and 94,310,309 shares issued and outstanding</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480" w:type="dxa"/>
            <w:vAlign w:val="bottom"/>
          </w:tcPr>
          <w:p>
            <w:pPr>
              <w:ind w:left="380"/>
              <w:spacing w:after="0"/>
              <w:rPr>
                <w:sz w:val="20"/>
                <w:szCs w:val="20"/>
                <w:color w:val="auto"/>
              </w:rPr>
            </w:pPr>
            <w:r>
              <w:rPr>
                <w:rFonts w:ascii="Arial" w:cs="Arial" w:eastAsia="Arial" w:hAnsi="Arial"/>
                <w:sz w:val="17"/>
                <w:szCs w:val="17"/>
                <w:color w:val="auto"/>
              </w:rPr>
              <w:t>at March 31, 2021 and December 31, 2020, respectively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r>
      <w:tr>
        <w:trPr>
          <w:trHeight w:val="200"/>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18,146,903 and 19,076,500 shares issued and outstanding</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4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March 31, 2021 and December 31, 2020, respectively</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9"/>
                <w:szCs w:val="19"/>
                <w:color w:val="auto"/>
              </w:rPr>
            </w:pPr>
          </w:p>
        </w:tc>
      </w:tr>
      <w:tr>
        <w:trPr>
          <w:trHeight w:val="216"/>
        </w:trPr>
        <w:tc>
          <w:tcPr>
            <w:tcW w:w="64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355,968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242,181</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Retained earnings</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151,773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129,412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1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Borders>
              <w:bottom w:val="single" w:sz="8" w:color="CFF0FC"/>
            </w:tcBorders>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508,655</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373,586</w:t>
            </w:r>
          </w:p>
        </w:tc>
        <w:tc>
          <w:tcPr>
            <w:tcW w:w="100" w:type="dxa"/>
            <w:vAlign w:val="bottom"/>
            <w:shd w:val="clear" w:color="auto" w:fill="CFF0FC"/>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Total liabilities, redeemable noncontrolling interest and stockholders’ equity</w:t>
            </w:r>
          </w:p>
        </w:tc>
        <w:tc>
          <w:tcPr>
            <w:tcW w:w="12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719,393</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502,298</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65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171,368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24,058</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147,310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68,174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25,164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121,519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25,791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26,013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w:t>
            </w:r>
          </w:p>
        </w:tc>
        <w:tc>
          <w:tcPr>
            <w:tcW w:w="12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3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 (Note 11)</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8"/>
                <w:szCs w:val="18"/>
                <w:color w:val="auto"/>
              </w:rPr>
              <w:t>Basic</w:t>
            </w:r>
          </w:p>
        </w:tc>
        <w:tc>
          <w:tcPr>
            <w:tcW w:w="15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2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of common stock used in computing</w:t>
            </w: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net income per share attributable to common stockholders:</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116,316,464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112,355,093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117,249,365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113,489,992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600" w:right="1140" w:hanging="1592"/>
        <w:spacing w:after="0" w:line="429" w:lineRule="auto"/>
        <w:tabs>
          <w:tab w:leader="none" w:pos="366"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Includes depreciation and amortization expense for the three months ended March 31, 2021 and 2020 of $999 and $1,469, respectively. The accompanying notes are an integral part of these Unaudited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72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19,551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(1,083)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Consolidated comprehensive income</w:t>
            </w:r>
          </w:p>
        </w:tc>
        <w:tc>
          <w:tcPr>
            <w:tcW w:w="10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18,468</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12,203</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comprehensive loss attributable to redeemable noncontrolling interests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Comprehensive income attributable to common stockholders</w:t>
            </w:r>
          </w:p>
        </w:tc>
        <w:tc>
          <w:tcPr>
            <w:tcW w:w="10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21,278</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12,203</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CarGurus, Inc.</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Redeemable Noncontrolling Interest and Stockholders’ Equity</w:t>
      </w: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84"/>
              </w:rPr>
              <w:t>Redeemable</w:t>
            </w:r>
          </w:p>
        </w:tc>
        <w:tc>
          <w:tcPr>
            <w:tcW w:w="94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Class A</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4"/>
          </w:tcPr>
          <w:p>
            <w:pPr>
              <w:jc w:val="right"/>
              <w:spacing w:after="0" w:line="135" w:lineRule="exact"/>
              <w:rPr>
                <w:sz w:val="20"/>
                <w:szCs w:val="20"/>
                <w:color w:val="auto"/>
              </w:rPr>
            </w:pPr>
            <w:r>
              <w:rPr>
                <w:rFonts w:ascii="Arial" w:cs="Arial" w:eastAsia="Arial" w:hAnsi="Arial"/>
                <w:sz w:val="12"/>
                <w:szCs w:val="12"/>
                <w:b w:val="1"/>
                <w:bCs w:val="1"/>
                <w:color w:val="auto"/>
              </w:rPr>
              <w:t>Class B</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Total</w:t>
            </w:r>
          </w:p>
        </w:tc>
      </w:tr>
      <w:tr>
        <w:trPr>
          <w:trHeight w:val="143"/>
        </w:trPr>
        <w:tc>
          <w:tcPr>
            <w:tcW w:w="3500" w:type="dxa"/>
            <w:vAlign w:val="bottom"/>
          </w:tcPr>
          <w:p>
            <w:pPr>
              <w:spacing w:after="0"/>
              <w:rPr>
                <w:sz w:val="12"/>
                <w:szCs w:val="12"/>
                <w:color w:val="auto"/>
              </w:rPr>
            </w:pPr>
          </w:p>
        </w:tc>
        <w:tc>
          <w:tcPr>
            <w:tcW w:w="940" w:type="dxa"/>
            <w:vAlign w:val="bottom"/>
            <w:tcBorders>
              <w:right w:val="single" w:sz="8" w:color="auto"/>
            </w:tcBorders>
            <w:gridSpan w:val="3"/>
          </w:tcPr>
          <w:p>
            <w:pPr>
              <w:spacing w:after="0"/>
              <w:rPr>
                <w:sz w:val="20"/>
                <w:szCs w:val="20"/>
                <w:color w:val="auto"/>
              </w:rPr>
            </w:pPr>
            <w:r>
              <w:rPr>
                <w:rFonts w:ascii="Arial" w:cs="Arial" w:eastAsia="Arial" w:hAnsi="Arial"/>
                <w:sz w:val="12"/>
                <w:szCs w:val="12"/>
                <w:b w:val="1"/>
                <w:bCs w:val="1"/>
                <w:color w:val="auto"/>
              </w:rPr>
              <w:t>Noncontrolling</w:t>
            </w:r>
          </w:p>
        </w:tc>
        <w:tc>
          <w:tcPr>
            <w:tcW w:w="150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Pr>
          <w:p>
            <w:pPr>
              <w:spacing w:after="0"/>
              <w:rPr>
                <w:sz w:val="12"/>
                <w:szCs w:val="12"/>
                <w:color w:val="auto"/>
              </w:rPr>
            </w:pPr>
          </w:p>
        </w:tc>
        <w:tc>
          <w:tcPr>
            <w:tcW w:w="148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3"/>
              </w:rPr>
              <w:t>Paid–in</w:t>
            </w:r>
          </w:p>
        </w:tc>
        <w:tc>
          <w:tcPr>
            <w:tcW w:w="14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w w:val="90"/>
              </w:rPr>
              <w:t>Retained</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w w:val="95"/>
              </w:rPr>
              <w:t>Comprehensive</w:t>
            </w: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Stockholders’</w:t>
            </w:r>
          </w:p>
        </w:tc>
      </w:tr>
      <w:tr>
        <w:trPr>
          <w:trHeight w:val="142"/>
        </w:trPr>
        <w:tc>
          <w:tcPr>
            <w:tcW w:w="35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Interest</w:t>
            </w:r>
          </w:p>
        </w:tc>
        <w:tc>
          <w:tcPr>
            <w:tcW w:w="180" w:type="dxa"/>
            <w:vAlign w:val="bottom"/>
            <w:tcBorders>
              <w:bottom w:val="single" w:sz="8" w:color="CFF0FC"/>
              <w:right w:val="single" w:sz="8" w:color="auto"/>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8"/>
              </w:rPr>
              <w:t>Amount</w:t>
            </w:r>
          </w:p>
        </w:tc>
        <w:tc>
          <w:tcPr>
            <w:tcW w:w="1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88"/>
              </w:rPr>
              <w:t>Amount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89"/>
              </w:rPr>
              <w:t>Earnings</w:t>
            </w:r>
          </w:p>
        </w:tc>
        <w:tc>
          <w:tcPr>
            <w:tcW w:w="2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Borders>
              <w:bottom w:val="single" w:sz="8" w:color="CFF0FC"/>
            </w:tcBorders>
          </w:tcPr>
          <w:p>
            <w:pPr>
              <w:spacing w:after="0"/>
              <w:rPr>
                <w:sz w:val="12"/>
                <w:szCs w:val="12"/>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December 31, 2020</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94,310,309</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19,076,500</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242,181</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129,412</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373,586</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Net income (loss)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(2,810)</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22,361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22,361</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14,929</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14,929</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93,455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Issuance of common stock upon vesting of restricted stock units</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473,883</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w w:val="90"/>
              </w:rPr>
              <w:t>Payment of withholding taxes on net share settlements of equity awards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(162,950)</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(5,041)</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(5,041)</w:t>
            </w:r>
          </w:p>
        </w:tc>
      </w:tr>
      <w:tr>
        <w:trPr>
          <w:trHeight w:val="149"/>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929,597</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(929,597)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for acquisition</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3,115,282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103,642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103,645</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Acquisition of a 51% interest in CarOffer, LLC</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58,031</w:t>
            </w:r>
          </w:p>
        </w:tc>
        <w:tc>
          <w:tcPr>
            <w:tcW w:w="180" w:type="dxa"/>
            <w:vAlign w:val="bottom"/>
            <w:tcBorders>
              <w:right w:val="single" w:sz="8" w:color="auto"/>
            </w:tcBorders>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(1,083)</w:t>
            </w:r>
          </w:p>
        </w:tc>
      </w:tr>
      <w:tr>
        <w:trPr>
          <w:trHeight w:val="20"/>
        </w:trPr>
        <w:tc>
          <w:tcPr>
            <w:tcW w:w="35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March 31, 2021</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55,221</w:t>
            </w:r>
          </w:p>
        </w:tc>
        <w:tc>
          <w:tcPr>
            <w:tcW w:w="18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98,759,576</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18,146,903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355,968</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151,773</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508,655</w:t>
            </w:r>
          </w:p>
        </w:tc>
        <w:tc>
          <w:tcPr>
            <w:tcW w:w="100" w:type="dxa"/>
            <w:vAlign w:val="bottom"/>
            <w:shd w:val="clear" w:color="auto" w:fill="CFF0FC"/>
          </w:tcPr>
          <w:p>
            <w:pPr>
              <w:spacing w:after="0"/>
              <w:rPr>
                <w:sz w:val="12"/>
                <w:szCs w:val="12"/>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29"/>
        </w:trPr>
        <w:tc>
          <w:tcPr>
            <w:tcW w:w="3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91,819,649</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20,314,644</w:t>
            </w:r>
          </w:p>
        </w:tc>
        <w:tc>
          <w:tcPr>
            <w:tcW w:w="1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205,234</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51,859</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(350)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256,855</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12,696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12,696</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11,793</w:t>
            </w:r>
          </w:p>
        </w:tc>
        <w:tc>
          <w:tcPr>
            <w:tcW w:w="100" w:type="dxa"/>
            <w:vAlign w:val="bottom"/>
            <w:shd w:val="clear" w:color="auto" w:fill="CFF0FC"/>
          </w:tcPr>
          <w:p>
            <w:pPr>
              <w:spacing w:after="0"/>
              <w:rPr>
                <w:sz w:val="12"/>
                <w:szCs w:val="12"/>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160,668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Issuance of common stock upon vesting of restricted stock units</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308,303</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500" w:type="dxa"/>
            <w:vAlign w:val="bottom"/>
          </w:tcPr>
          <w:p>
            <w:pPr>
              <w:spacing w:after="0"/>
              <w:rPr>
                <w:sz w:val="20"/>
                <w:szCs w:val="20"/>
                <w:color w:val="auto"/>
              </w:rPr>
            </w:pPr>
            <w:r>
              <w:rPr>
                <w:rFonts w:ascii="Arial" w:cs="Arial" w:eastAsia="Arial" w:hAnsi="Arial"/>
                <w:sz w:val="12"/>
                <w:szCs w:val="12"/>
                <w:color w:val="auto"/>
                <w:w w:val="90"/>
              </w:rPr>
              <w:t>Payment of withholding taxes on net share settlements of equity awards</w:t>
            </w:r>
          </w:p>
        </w:tc>
        <w:tc>
          <w:tcPr>
            <w:tcW w:w="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(106,934)</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(3,397)</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(3,397)</w:t>
            </w:r>
          </w:p>
        </w:tc>
      </w:tr>
      <w:tr>
        <w:trPr>
          <w:trHeight w:val="148"/>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60" w:type="dxa"/>
            <w:vAlign w:val="bottom"/>
            <w:shd w:val="clear" w:color="auto" w:fill="CFF0FC"/>
          </w:tcPr>
          <w:p>
            <w:pPr>
              <w:spacing w:after="0"/>
              <w:rPr>
                <w:sz w:val="12"/>
                <w:szCs w:val="12"/>
                <w:color w:val="auto"/>
              </w:rPr>
            </w:pPr>
          </w:p>
        </w:tc>
        <w:tc>
          <w:tcPr>
            <w:tcW w:w="8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335,741</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(335,741)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r>
      <w:tr>
        <w:trPr>
          <w:trHeight w:val="20"/>
        </w:trPr>
        <w:tc>
          <w:tcPr>
            <w:tcW w:w="35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5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March 31, 2020</w:t>
            </w:r>
          </w:p>
        </w:tc>
        <w:tc>
          <w:tcPr>
            <w:tcW w:w="60" w:type="dxa"/>
            <w:vAlign w:val="bottom"/>
            <w:shd w:val="clear" w:color="auto" w:fill="CFF0FC"/>
          </w:tcPr>
          <w:p>
            <w:pPr>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92,517,427</w:t>
            </w: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19,978,903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214,143</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64,555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(843)</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277,968</w:t>
            </w:r>
          </w:p>
        </w:tc>
        <w:tc>
          <w:tcPr>
            <w:tcW w:w="100" w:type="dxa"/>
            <w:vAlign w:val="bottom"/>
            <w:shd w:val="clear" w:color="auto" w:fill="CFF0FC"/>
          </w:tcPr>
          <w:p>
            <w:pPr>
              <w:spacing w:after="0"/>
              <w:rPr>
                <w:sz w:val="12"/>
                <w:szCs w:val="12"/>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2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19,551</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Adjustments to reconcile consolidated net income to net cash provided by operating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8,666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Deferred taxes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9"/>
                <w:szCs w:val="19"/>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14,360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Pr>
          <w:p>
            <w:pPr>
              <w:spacing w:after="0"/>
              <w:rPr>
                <w:sz w:val="19"/>
                <w:szCs w:val="19"/>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(2,423)</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100" w:type="dxa"/>
            <w:vAlign w:val="bottom"/>
            <w:shd w:val="clear" w:color="auto" w:fill="CFF0FC"/>
          </w:tcPr>
          <w:p>
            <w:pPr>
              <w:spacing w:after="0"/>
              <w:rPr>
                <w:sz w:val="19"/>
                <w:szCs w:val="19"/>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(2,217)</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(11,047)</w:t>
            </w: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(3,494)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(3,296)</w:t>
            </w: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(7,437)</w:t>
            </w: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liabilities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(1,632)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(4,513)</w:t>
            </w: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(4,938)</w:t>
            </w: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obligations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(721)</w:t>
            </w: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43,862</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Borders>
              <w:bottom w:val="single" w:sz="8" w:color="CFF0FC"/>
            </w:tcBorders>
          </w:tcPr>
          <w:p>
            <w:pPr>
              <w:spacing w:after="0"/>
              <w:rPr>
                <w:sz w:val="19"/>
                <w:szCs w:val="19"/>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(1,227)</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Capitalization of website development costs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(966)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(666)</w:t>
            </w: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Cash paid for acquisitions, net of cash acquired</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(65,899)</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(21,004)</w:t>
            </w: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30,411</w:t>
            </w:r>
          </w:p>
        </w:tc>
        <w:tc>
          <w:tcPr>
            <w:tcW w:w="100" w:type="dxa"/>
            <w:vAlign w:val="bottom"/>
            <w:shd w:val="clear" w:color="auto" w:fill="CFF0FC"/>
          </w:tcPr>
          <w:p>
            <w:pPr>
              <w:spacing w:after="0"/>
              <w:rPr>
                <w:sz w:val="19"/>
                <w:szCs w:val="19"/>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4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(68,092)</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FF0FC"/>
            </w:tcBorders>
          </w:tcPr>
          <w:p>
            <w:pPr>
              <w:spacing w:after="0"/>
              <w:rPr>
                <w:sz w:val="19"/>
                <w:szCs w:val="19"/>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Payment of finance lease obligations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Payment of withholding taxes and option costs on net share settlement of</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restricted stock units and stock options</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(5,041)</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(3,397)</w:t>
            </w: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Repayment of line of credit</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(14,250)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(19,043)</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FF0FC"/>
            </w:tcBorders>
          </w:tcPr>
          <w:p>
            <w:pPr>
              <w:spacing w:after="0"/>
              <w:rPr>
                <w:sz w:val="19"/>
                <w:szCs w:val="19"/>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(43,392)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14,748</w:t>
            </w:r>
          </w:p>
        </w:tc>
        <w:tc>
          <w:tcPr>
            <w:tcW w:w="100" w:type="dxa"/>
            <w:vAlign w:val="bottom"/>
          </w:tcPr>
          <w:p>
            <w:pPr>
              <w:spacing w:after="0"/>
              <w:rPr>
                <w:sz w:val="19"/>
                <w:szCs w:val="19"/>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200,926</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shd w:val="clear" w:color="auto" w:fill="CFF0FC"/>
          </w:tcPr>
          <w:p>
            <w:pPr>
              <w:spacing w:after="0"/>
              <w:rPr>
                <w:sz w:val="19"/>
                <w:szCs w:val="19"/>
                <w:color w:val="auto"/>
              </w:rPr>
            </w:pPr>
          </w:p>
        </w:tc>
      </w:tr>
      <w:tr>
        <w:trPr>
          <w:trHeight w:val="26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6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157,534</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85,471</w:t>
            </w:r>
          </w:p>
        </w:tc>
        <w:tc>
          <w:tcPr>
            <w:tcW w:w="100" w:type="dxa"/>
            <w:vAlign w:val="bottom"/>
            <w:tcBorders>
              <w:bottom w:val="single" w:sz="8" w:color="CFF0FC"/>
            </w:tcBorders>
          </w:tcPr>
          <w:p>
            <w:pPr>
              <w:spacing w:after="0"/>
              <w:rPr>
                <w:sz w:val="22"/>
                <w:szCs w:val="22"/>
                <w:color w:val="auto"/>
              </w:rPr>
            </w:pPr>
          </w:p>
        </w:tc>
      </w:tr>
      <w:tr>
        <w:trPr>
          <w:trHeight w:val="210"/>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FF0FC"/>
          </w:tcPr>
          <w:p>
            <w:pPr>
              <w:spacing w:after="0"/>
              <w:rPr>
                <w:sz w:val="19"/>
                <w:szCs w:val="19"/>
                <w:color w:val="auto"/>
              </w:rPr>
            </w:pPr>
          </w:p>
        </w:tc>
      </w:tr>
      <w:tr>
        <w:trPr>
          <w:trHeight w:val="215"/>
        </w:trPr>
        <w:tc>
          <w:tcPr>
            <w:tcW w:w="7260" w:type="dxa"/>
            <w:vAlign w:val="bottom"/>
          </w:tcPr>
          <w:p>
            <w:pPr>
              <w:spacing w:after="0"/>
              <w:rPr>
                <w:sz w:val="20"/>
                <w:szCs w:val="20"/>
                <w:color w:val="auto"/>
              </w:rPr>
            </w:pPr>
            <w:r>
              <w:rPr>
                <w:rFonts w:ascii="Arial" w:cs="Arial" w:eastAsia="Arial" w:hAnsi="Arial"/>
                <w:sz w:val="18"/>
                <w:szCs w:val="18"/>
                <w:color w:val="auto"/>
              </w:rPr>
              <w:t>Capitalized stock-based compensation expense in website development and</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internal-use software costs</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Obtaining a right-of-use asset in exchange for a finance lease liability</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Obtaining a right-of-use asset in exchange for an operating lease liability</w:t>
            </w:r>
          </w:p>
        </w:tc>
        <w:tc>
          <w:tcPr>
            <w:tcW w:w="140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Issuance of stock for acquisition</w:t>
            </w: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103,645</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CarGurus, Inc. (the “Company”), is a global, online automotive marketplace connecting buyers and sellers of new and used cars. Using proprietary technology, search algorithms, and innovative data analytics, the Company believes it is building the world’s most trusted and transparent automotive marketplace creating a differentiated automotive search experience for consumers. The Company’s trusted marketplace empowers consumers with unbiased third-party validation on pricing and dealer reputation, as well as other information that aids them in finding “Great Deals from Top-Rated Dealers.”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operates principally in the United States. In the United States, it also operates the Autolist online marketplace, which it wholly owns, and the CarOffer, LLC (“CarOffer”) digital wholesale marketplace, in which it has a 51% interest, as independent brands. In addition to the United States, the Company operates online marketplaces under the CarGurus brand in Canada and the United Kingdom. In the United Kingdom, it also operates the PistonHeads online marketplace, which it wholly owns, as an independent brand. The Company also operated online marketplaces in Germany, Italy, and Spain until it ceased the operations of each of these marketplaces in the second quarter of 2020.</w:t>
      </w:r>
    </w:p>
    <w:p>
      <w:pPr>
        <w:spacing w:after="0" w:line="176"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The Company has subsidiaries in the United States, Canada, Ireland, and the United Kingdom. Additionally, it has two reportable segments, United States and International. See Note 13 of the Unaudited Condensed Consolidated Financial Statements included elsewhere in this Quarterly Report.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March 31, 2021 and December 31, 2020, results of operations, comprehensive income, changes in shareholders’ equity for the three months ended March 31, 2021 and 2020 and cash flows for the three months ended March 31, 2021 and 2020. These interim period results are not necessarily indicative of the results to be expected for any other interim period or the full year.</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2020, filed with the SEC on February 12, 2021 (the “Annual Report”).</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the Unaudited Condensed Consolidated Statements of Cash Flows for the three months ended March 31, 2020, the Company presented other non-current liabilities with accrued expenses, accrued income taxes and other current liabilities to conform to the current year presentation as it did not meet the disclosure threshold.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71"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sales allowance and variable consideration in the Company’s revenue recognition, allowance for doubtful accounts, the valuation of a redeemable noncontrolling interest, the valuation of equity and liability-classified compensation awards under ASC 718, the expensing and capitalization of product, technology, and development costs for website development and internal</w:t>
      </w:r>
      <w:r>
        <w:rPr>
          <w:rFonts w:ascii="MS PGothic" w:cs="MS PGothic" w:eastAsia="MS PGothic" w:hAnsi="MS PGothic"/>
          <w:sz w:val="18"/>
          <w:szCs w:val="18"/>
          <w:color w:val="auto"/>
        </w:rPr>
        <w:t>‑</w:t>
      </w:r>
      <w:r>
        <w:rPr>
          <w:rFonts w:ascii="Arial" w:cs="Arial" w:eastAsia="Arial" w:hAnsi="Arial"/>
          <w:sz w:val="18"/>
          <w:szCs w:val="18"/>
          <w:color w:val="auto"/>
        </w:rPr>
        <w:t>use software, the valuation and recoverability of goodwill and intangible assets and other long-lived assets, and the recoverability of the Company’s net deferred tax assets and related valuation allowance. Accordingly, the Company considers these to be its critical accounting policies, and believes that of the Company’s significant accounting policies, these policies involve the greatest degree of judgment and complexity.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2021 and 2020, no individual customer accounted for more than 10% of total revenue.</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8"/>
          <w:szCs w:val="18"/>
          <w:color w:val="auto"/>
        </w:rPr>
        <w:t>As of March 31, 2021, one vendor of CarOffer accounted for approximately 49% of net accounts receivable. This receivable is attributable to a third-party vendor that manages customer payments on CarOffer's behalf. As of December 31, 2020, one customer accounted for approximately 10% of net accounts receivable.</w:t>
      </w:r>
    </w:p>
    <w:p>
      <w:pPr>
        <w:spacing w:after="0" w:line="16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Included in net accounts receivable at March 31, 2021 and December 31, 2020, are $7,035 and $7,426, respectively, of unbilled accounts receivable relating primarily to advertising customers billed in a period subsequent to services 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March 31, 2021, the Company’s significant accounting policies and estimates, which are detailed in the Annual Report, have not changed, other than those impacted by the acquisition of a 51% interest in CarOffer and recently issued equity awards, as described below.</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Redeemable Noncontrolling Interest</w:t>
      </w:r>
    </w:p>
    <w:p>
      <w:pPr>
        <w:spacing w:after="0" w:line="117"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In connection with the Company’s acquisition of a 51% interest in CarOffer on January 14, 2021, the Company became a party with the noncontrolling equity holders of CarOffer to the CarOffer Operating Agreement (as defined in Note 4 of the Unaudited Condensed Consolidated Financial Statements included elsewhere in this Quarterly Report), which, among other matters, sets forth certain put and call rights described in Note 4 of the Unaudited Condensed Consolidated Financial Statements included elsewhere in this Quarterly Report. The CarOffer Operating Agreement provides the Company with the right to purchase, and the noncontrolling equity holders with the right to sell to the Company, the noncontrolling CarOffer equity holders’ equity interests in CarOffer at a contractually defined formulaic purchase price, which is based on a multiple of earnings. As the purchase is contingently redeemable at the option of the noncontrolling equity holders, the Company classifies the carrying amount of the redeemable noncontrolling interests in the mezzanine section on the Unaudited Condensed Consolidated Balance Sheet, which is presented above the equity section and below the liabilities section. As of the acquisition date the noncontrolling interest was recognized at fair value computed using the Least Square Monte Carlo Simulation approach. Significant inputs to the model include market price of risk, volatility, correlation and risk-free rate.</w:t>
      </w:r>
    </w:p>
    <w:p>
      <w:pPr>
        <w:spacing w:after="0" w:line="20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Subsequent to the Company’s acquisition of the 51% interest on January 14, 2021, the redeemable noncontrolling interest is measured at the greater of the amount that would be paid if settlement occurred as of the balance sheet date based on the contractually defined redemption value and its carrying amount adjusted for net losses attributable to the noncontrolling interest. Adjustments to the carrying value of the redeemable noncontrolling interest resulting from changes in the purchase price are recorded through retained earnings in the Unaudited Condensed Consolidated Balance Sheet.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 – Other Revenue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generates other revenue primarily from revenue relating to the wholesale sale of automobiles, display advertising revenue from auto manufacturers and other auto-related brand advertisers and revenue from partnerships with financing services companies. CarOffer revenue is comprised entirely of wholesale revenue.</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Wholesale revenue includes transaction fees earned by CarOffer from facilitating the purchase and sale of vehicles between dealers, where CarOffer collects fees from both the buyer and seller. CarOffer may also fulfill buy orders from dealers through the acquisition of vehicles at other marketplaces – in these instances, CarOffer collects a transaction fee from the buyer. CarOffer also charges the buyer fees to perform inspection and transportation services for all wholesale transactions.</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For wholesale transactions, CarOffer generally does not control the vehicle and therefore acts as an agent in the transaction. Revenue earned</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from the fees for facilitating these wholesale transactions is recognized at a point in time when the vehicle is sold and revenue is recognized on a net basis.</w:t>
      </w:r>
    </w:p>
    <w:p>
      <w:pPr>
        <w:spacing w:after="0" w:line="234"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For vehicles acquired to fulfill buy orders at other marketplaces, CarOffer recognizes the vehicles on its balance sheet in inventory for the short period of time it possesses the vehicle title and the fees received for the vehicle are typically recognized on a net basis. In limited circumstances, typically during an arbitration process, CarOffer acquires vehicles in transactions for which it is deemed to control the vehicle and therefore is deemed to be the principal. In these situations, the inventory is recorded on the balance sheet and valued at the lower of cost or net realizable value. The Company records inventory within prepaid expenses, prepaid income taxes and other current assets within the Unaudited Condensed Consolidated Balance Sheets.</w:t>
      </w:r>
    </w:p>
    <w:p>
      <w:pPr>
        <w:spacing w:after="0" w:line="16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CarOffer is deemed to control both inspection and transportation services, as it is primarily responsible for fulfillment and therefore acts as a principal. CarOffer leverages a network of third-party inspection service providers and transportation carriers. Revenue from fees for inspection services is recognized at the point in time when the inspection is performed and revenue from fees for transportation services is recognized over time as delivery is completed. Unearned revenue related to unsatisfied performance obligations is recorded as deferred revenue.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left="520"/>
        <w:spacing w:after="0" w:line="207" w:lineRule="exact"/>
        <w:rPr>
          <w:sz w:val="20"/>
          <w:szCs w:val="20"/>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p>
    <w:p>
      <w:pPr>
        <w:spacing w:after="0" w:line="117" w:lineRule="exact"/>
        <w:rPr>
          <w:sz w:val="20"/>
          <w:szCs w:val="20"/>
          <w:color w:val="auto"/>
        </w:rPr>
      </w:pPr>
    </w:p>
    <w:p>
      <w:pPr>
        <w:ind w:left="520"/>
        <w:spacing w:after="0" w:line="184" w:lineRule="exact"/>
        <w:rPr>
          <w:sz w:val="20"/>
          <w:szCs w:val="20"/>
          <w:color w:val="auto"/>
        </w:rPr>
      </w:pPr>
      <w:r>
        <w:rPr>
          <w:rFonts w:ascii="Arial" w:cs="Arial" w:eastAsia="Arial" w:hAnsi="Arial"/>
          <w:sz w:val="16"/>
          <w:szCs w:val="16"/>
          <w:color w:val="auto"/>
        </w:rPr>
        <w:t>For stock</w:t>
      </w:r>
      <w:r>
        <w:rPr>
          <w:rFonts w:ascii="MS PGothic" w:cs="MS PGothic" w:eastAsia="MS PGothic" w:hAnsi="MS PGothic"/>
          <w:sz w:val="16"/>
          <w:szCs w:val="16"/>
          <w:color w:val="auto"/>
        </w:rPr>
        <w:t>‑</w:t>
      </w:r>
      <w:r>
        <w:rPr>
          <w:rFonts w:ascii="Arial" w:cs="Arial" w:eastAsia="Arial" w:hAnsi="Arial"/>
          <w:sz w:val="16"/>
          <w:szCs w:val="16"/>
          <w:color w:val="auto"/>
        </w:rPr>
        <w:t>based awards granted under the Company’s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plans, the fair value of each award is determined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For restricted stock units (“RSUs”) granted subject to service-based vesting conditions, the fair value is determined based on the closing price of the Company’s Class A common stock, par value $0.001 per share (the “Class A common stock”), as reported on the Nasdaq Global Select Market on the date of grant. RSUs granted subject to service-based vesting conditions generally vest over a four-year requisite service period.</w:t>
      </w:r>
    </w:p>
    <w:p>
      <w:pPr>
        <w:spacing w:after="0" w:line="16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For RSUs granted subject to market-based vesting conditions, the fair value is determined using the Monte Carlo simulation lattice model. The determination of the fair value using this model is affected by the Company’s stock price performance relative to the companies listed on the S&amp;P 500 as of December 31, 2020 and a number of assumptions including volatility, correlation coefficient, risk-free interest rate and expected dividends. RSUs granted subject to market-based vesting conditions vest upon achievement of specified levels of market conditions.</w:t>
      </w:r>
    </w:p>
    <w:p>
      <w:pPr>
        <w:spacing w:after="0" w:line="171" w:lineRule="exact"/>
        <w:rPr>
          <w:sz w:val="20"/>
          <w:szCs w:val="20"/>
          <w:color w:val="auto"/>
        </w:rPr>
      </w:pPr>
    </w:p>
    <w:p>
      <w:pPr>
        <w:jc w:val="both"/>
        <w:ind w:firstLine="510"/>
        <w:spacing w:after="0" w:line="221" w:lineRule="exact"/>
        <w:rPr>
          <w:sz w:val="20"/>
          <w:szCs w:val="20"/>
          <w:color w:val="auto"/>
        </w:rPr>
      </w:pPr>
      <w:r>
        <w:rPr>
          <w:rFonts w:ascii="Arial" w:cs="Arial" w:eastAsia="Arial" w:hAnsi="Arial"/>
          <w:sz w:val="17"/>
          <w:szCs w:val="17"/>
          <w:color w:val="auto"/>
        </w:rPr>
        <w:t>For stock options granted, the fair value is determined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The determination of the fair value is affected by the Company’s stock price and a number of assumptions including volatility, term, risk-free interest rate and dividend yield. Stock options granted generally have a term of ten years from the date of grant and generally vest over a four-year requisite service period.</w:t>
      </w:r>
    </w:p>
    <w:p>
      <w:pPr>
        <w:spacing w:after="0" w:line="20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connection with the Company’s acquisition of a 51% interest in CarOffer, the unvested incentive units (“CO Incentive Units”) of CarOffer remained outstanding and will vest over the requisite service period. CO Incentive Units are liability-classified awards because the awards can be put to the Company at a formula price such that the holders do not bear the risks and rewards associated with equity ownership. For liability-classified awards, the fair value is determined on the date of issuance using a Least Square Monte Carlo simulation model. The determination of the fair value is affected by CarOffer’s equity value, EBITDA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16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Grants are subject to the CarOffer 2020 Equity Incentive Plan, adopted effective November 24, 2020 (the “2020 CO Plan”), the applicable award agreement, and the CarOffer Operating Agreement. Following the Company’s acquisition of the 51% interest in CarOffer on January 14, 2021, remaining unvested incentive interests will vest over a period of three (3) years, one third each on the first, second, and third anniversaries of January 14, 2021, provided that a grantee’s continuous service to CarOffer has not terminated on the applicable vesting date. Under the terms of the grants, vesting of unvested incentive interests is accelerated in the event of (i) a change of control of CarOffer (which, for the avoidance of doubt, does not include the Company’s acquisition of the 51% interest on January 14, 2021), (ii) the death or disability of the grantee, (iii) termination of the grantee’s employment with CarOffer without cause, or (iv) termination of grantee’s employment by the grantee for good reason. Upon termination of a grantee’s continuous service to CarOffer voluntarily by the grantee (other than for good reason) or by CarOffer for cause, all of such grantee’s unvested incentive interests are forfeited. In addition, if a grantee’s continuous service terminates then CarOffer has the option to repurchase any outstanding incentive interests from the grantee.</w:t>
      </w:r>
    </w:p>
    <w:p>
      <w:pPr>
        <w:spacing w:after="0" w:line="194"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Company issues shares for RSUs and stock option exercises out of its shares available for issuance. The Company issues CO Incentive Units out of CarOffer’s units available for issuance. The Company accounts for forfeitures when they occur.</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recognizes compensation expense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84"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Unaudited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(“ASU 2019-12”). ASU 2019-12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standard is effective for fiscal years, and interim periods within those fiscal years, beginning after December 15, 2020, with early adoption permitted. The Company adopted the guidance on January 1, 2021. The adoption did not have an impact on the Unaudited Condensed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March 31, 2021, there are no new accounting pronouncements that the Company is considering adopting.</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summarizes revenue from contracts with customers by geographical region and by revenue source for the three months ended March 31, 2021 and 2020.</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wp:posOffset>
            </wp:positionV>
            <wp:extent cx="1954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6"/>
        </w:trPr>
        <w:tc>
          <w:tcPr>
            <w:tcW w:w="4800" w:type="dxa"/>
            <w:vAlign w:val="bottom"/>
            <w:tcBorders>
              <w:bottom w:val="single" w:sz="8" w:color="CFF0FC"/>
            </w:tcBorders>
          </w:tcPr>
          <w:p>
            <w:pPr>
              <w:spacing w:after="0"/>
              <w:rPr>
                <w:sz w:val="2"/>
                <w:szCs w:val="2"/>
                <w:color w:val="auto"/>
              </w:rPr>
            </w:pPr>
          </w:p>
        </w:tc>
        <w:tc>
          <w:tcPr>
            <w:tcW w:w="2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132,028</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133,024</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2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14,982</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163,011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148,006</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2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9,683</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Marketplace subscription revenue</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139,565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141,866</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2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15,823</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171,368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157,689</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provides disaggregation of revenue based on the marketplace subscription versus other revenue classification and based on geographic region in the table above as it believes these categories best depict how the nature, amount, timing and uncertainty of revenue and cash flows are affected by economic factors.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ASC Topic 606, Revenue from Contracts with Customers (“Topic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March 31, 2021 was approximately $21.1 million, which the Company expects to recognize over the next 12 months.</w:t>
      </w:r>
    </w:p>
    <w:p>
      <w:pPr>
        <w:spacing w:after="0" w:line="1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For contracts with an original expected duration of one year or less, the Company has applied the practical expedient available under Topic 606 to not disclose the amount of transaction price allocated to unsatisfied performance obligations as of March 31, 2021. For performance obligations not satisfied as of March 31, 2021, and to which this expedient applies, the nature of the performance obligations, the variable consideration and any consideration from contracts with customers not included in the transaction price is consistent with performance obligations satisfied as of March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ind w:firstLine="510"/>
        <w:spacing w:after="0" w:line="277" w:lineRule="auto"/>
        <w:rPr>
          <w:sz w:val="20"/>
          <w:szCs w:val="20"/>
          <w:color w:val="auto"/>
        </w:rPr>
      </w:pPr>
      <w:r>
        <w:rPr>
          <w:rFonts w:ascii="Arial" w:cs="Arial" w:eastAsia="Arial" w:hAnsi="Arial"/>
          <w:sz w:val="18"/>
          <w:szCs w:val="18"/>
          <w:color w:val="auto"/>
        </w:rPr>
        <w:t>Revenue recognized during the three months ended March 31, 2021 and 2020, from amounts included in deferred revenue at the beginning of the period, was approximately $9,137 and $9,984, respectively.</w:t>
      </w:r>
    </w:p>
    <w:p>
      <w:pPr>
        <w:spacing w:after="0" w:line="17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In response to the COVID-19 pandemic, the Company reduced the subscription fees for paying dealers by at least 50% on all marketplace subscriptions for the April and May 2020 service periods, as well as provided a fee reduction on all June 2020 marketplace subscriptions of 20% for paying dealers in the United States and Canada and 50% for paying dealers in the United Kingdom. These fee reductions resulted in a modification to contracts with initial contractual periods greater than one month. For any contract modified, the Company calculated the remaining transaction price and allocated the consideration over the remaining performance obligations. The Company also waived subscription fees for paying dealers in the United Kingdom for the December 2020 and February 2021 service periods. These fee reductions are included in the Company’s variable consideration assessment. The fee reductions had an immaterial impact on the Company’s revenues for the three months ended March 31, 2021 and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4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January 14, 2021, the Company acquired a 51% interest in CarOffer, which provides an automated instant vehicle trade platform and is based in Addison, Texas, pursuant to the terms of a Membership Interest Purchase Agreement (the “Purchase Agreement”) dated as of December 9, 2020 (the “Agreement Date”), as amended, by and among the Company, CarOffer, CarOffer Investors Holding, LLC, a Delaware limited liability company (“TopCo”), each of the Members of TopCo (the “Members”), and Bruce T. Thompson, an individual residing in Texas (the “Members’ Representative”). This acquisition (the “CarOffer Acquisition”) is intended to add wholesale vehicle purchasing and selling capabilities to CarGurus’ portfolio of dealer offerings and create a complete and efficient digital solution for dealers to sell and acquire vehicles at both retail and wholesale.</w:t>
      </w:r>
    </w:p>
    <w:p>
      <w:pPr>
        <w:spacing w:after="0" w:line="21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Upon consummation of the transactions contemplated by the Purchase Agreement (the “Closing”), the Company acquired a 51% interest in CarOffer for an aggregate consideration of $174,400 (the “Total Consideration”), such Total Consideration consisting of (a) shares of Class A common stock in the aggregate amount of $103,645 (the “Stock Consideration”) and (b) $70,755 in cash (the “Cash Consideration”). The number of shares of Class A common stock issued following the Closing in connection with the Stock Consideration was 3,115,282, which was calculated by reference to a value of $22.51 per share, which equals the volume-weighted average closing price per share of Class A common stock on the Nasdaq Stock Market for the 28 consecutive trading days ending on the third Business Day (as defined in the Purchase Agreement) preceding the Agreement Date. Pursuant to the Purchase Agreement, the remaining equity in CarOffer (the “Remaining Equity”) is being retained by the then-current equity holders of CarOffer and subject to certain call and put arrangements discussed below.</w:t>
      </w:r>
    </w:p>
    <w:p>
      <w:pPr>
        <w:spacing w:after="0" w:line="205" w:lineRule="exact"/>
        <w:rPr>
          <w:sz w:val="20"/>
          <w:szCs w:val="20"/>
          <w:color w:val="auto"/>
        </w:rPr>
      </w:pPr>
    </w:p>
    <w:p>
      <w:pPr>
        <w:jc w:val="both"/>
        <w:ind w:firstLine="510"/>
        <w:spacing w:after="0" w:line="313" w:lineRule="auto"/>
        <w:rPr>
          <w:sz w:val="20"/>
          <w:szCs w:val="20"/>
          <w:color w:val="auto"/>
        </w:rPr>
      </w:pPr>
      <w:r>
        <w:rPr>
          <w:rFonts w:ascii="Arial" w:cs="Arial" w:eastAsia="Arial" w:hAnsi="Arial"/>
          <w:sz w:val="16"/>
          <w:szCs w:val="16"/>
          <w:color w:val="auto"/>
        </w:rPr>
        <w:t>Pursuant to the Purchase Agreement, the Company established a retention pool in an aggregate amount of $8,000 in the form of RSUs to be issued pursuant to the Company’s standard form of RSU agreement under the 2017 Plan, (i) $6,000 of which was granted to certain CarOffer employees following the Closing in accordance with the terms of the Purchase Agreement and (ii) $2,000 of which is available for issuance to future CarOffer employees in accordance with the terms of the Purchase Agreement. RSUs issued from the retention pool will be subject to vesting based on rendering of future services.</w:t>
      </w:r>
    </w:p>
    <w:p>
      <w:pPr>
        <w:spacing w:after="0" w:line="17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March 31, 2021, the Company incurred total acquisition-related costs of $2,582 related to the CarOffer Acquisition, of which $644 was incurred during the three months ended March 31, 2021 and recorded as general and administrative operating expense within the Unaudited Condensed Consolidated Income Statements. Acquisition-related costs were excluded from the purchase price allocation as they were primarily comprised of legal, professional and consulting expenses.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total consideration transferred.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Consideration Transferred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net of cash acquired</w:t>
            </w:r>
          </w:p>
        </w:tc>
        <w:tc>
          <w:tcPr>
            <w:tcW w:w="3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Cash acquired</w:t>
            </w: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working capital adjustment - receivable</w:t>
            </w:r>
          </w:p>
        </w:tc>
        <w:tc>
          <w:tcPr>
            <w:tcW w:w="3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Cash consideration</w:t>
            </w:r>
          </w:p>
        </w:tc>
        <w:tc>
          <w:tcPr>
            <w:tcW w:w="3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Stock consideration</w:t>
            </w:r>
          </w:p>
        </w:tc>
        <w:tc>
          <w:tcPr>
            <w:tcW w:w="38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103,645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Total consideration transferred</w:t>
            </w:r>
          </w:p>
        </w:tc>
        <w:tc>
          <w:tcPr>
            <w:tcW w:w="3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80" w:type="dxa"/>
            <w:vAlign w:val="bottom"/>
            <w:vMerge w:val="restart"/>
          </w:tcPr>
          <w:p>
            <w:pPr>
              <w:jc w:val="right"/>
              <w:ind w:right="271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510"/>
        <w:spacing w:after="0" w:line="273" w:lineRule="auto"/>
        <w:rPr>
          <w:sz w:val="20"/>
          <w:szCs w:val="20"/>
          <w:color w:val="auto"/>
        </w:rPr>
      </w:pPr>
      <w:r>
        <w:rPr>
          <w:rFonts w:ascii="Arial" w:cs="Arial" w:eastAsia="Arial" w:hAnsi="Arial"/>
          <w:sz w:val="17"/>
          <w:szCs w:val="17"/>
          <w:color w:val="auto"/>
        </w:rPr>
        <w:t>The CarOffer Acquisition has been accounted for as a business combination under the acquisition method and, accordingly, the total consideration is allocated to the acquired assets and assumed liabilities. The Company’s 51% interest in CarOffer represents a controlling financial interest in the entity as the minority interest holders only have protective rights such that CarOffer is consolidated as of the acquisition date. The following table presents the preliminary purchase price allocation recorded in the Company’s Unaudited Condensed Consolidated Balance Sheet as of the acquisition date, which is subject to finalization for estimates of the fair value of assets acquired and liabilities assumed as of the acquisition date, including, but not limited to tangible assets, intangible assets and tax-related items, and the related tax effects of any changes made: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Estimated Fair</w:t>
            </w:r>
          </w:p>
        </w:tc>
      </w:tr>
      <w:tr>
        <w:trPr>
          <w:trHeight w:val="149"/>
        </w:trPr>
        <w:tc>
          <w:tcPr>
            <w:tcW w:w="7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Value at Date</w:t>
            </w:r>
          </w:p>
        </w:tc>
      </w:tr>
      <w:tr>
        <w:trPr>
          <w:trHeight w:val="171"/>
        </w:trPr>
        <w:tc>
          <w:tcPr>
            <w:tcW w:w="7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 Acquisition</w:t>
            </w: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19"/>
                <w:szCs w:val="19"/>
                <w:color w:val="auto"/>
              </w:rPr>
            </w:pP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prepaid income taxes and other current assets</w:t>
            </w: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FF0FC"/>
          </w:tcPr>
          <w:p>
            <w:pPr>
              <w:spacing w:after="0"/>
              <w:rPr>
                <w:sz w:val="19"/>
                <w:szCs w:val="19"/>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104,100</w:t>
            </w:r>
          </w:p>
        </w:tc>
        <w:tc>
          <w:tcPr>
            <w:tcW w:w="100" w:type="dxa"/>
            <w:vAlign w:val="bottom"/>
            <w:shd w:val="clear" w:color="auto" w:fill="CFF0FC"/>
          </w:tcPr>
          <w:p>
            <w:pPr>
              <w:spacing w:after="0"/>
              <w:rPr>
                <w:sz w:val="19"/>
                <w:szCs w:val="19"/>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128,745</w:t>
            </w:r>
          </w:p>
        </w:tc>
        <w:tc>
          <w:tcPr>
            <w:tcW w:w="100" w:type="dxa"/>
            <w:vAlign w:val="bottom"/>
          </w:tcPr>
          <w:p>
            <w:pPr>
              <w:spacing w:after="0"/>
              <w:rPr>
                <w:sz w:val="19"/>
                <w:szCs w:val="19"/>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9"/>
                <w:szCs w:val="19"/>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(8,888)</w:t>
            </w: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3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(15,513)</w:t>
            </w: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Operating lease liabilities - current</w:t>
            </w:r>
          </w:p>
        </w:tc>
        <w:tc>
          <w:tcPr>
            <w:tcW w:w="32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r>
      <w:tr>
        <w:trPr>
          <w:trHeight w:val="22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non-current</w:t>
            </w:r>
          </w:p>
        </w:tc>
        <w:tc>
          <w:tcPr>
            <w:tcW w:w="3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 xml:space="preserve">Redeemable noncontrolling interest </w:t>
            </w:r>
            <w:r>
              <w:rPr>
                <w:rFonts w:ascii="Arial" w:cs="Arial" w:eastAsia="Arial" w:hAnsi="Arial"/>
                <w:sz w:val="15"/>
                <w:szCs w:val="15"/>
                <w:color w:val="auto"/>
              </w:rPr>
              <w:t>(3)</w:t>
            </w:r>
          </w:p>
        </w:tc>
        <w:tc>
          <w:tcPr>
            <w:tcW w:w="32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(58,031)</w:t>
            </w:r>
          </w:p>
        </w:tc>
      </w:tr>
      <w:tr>
        <w:trPr>
          <w:trHeight w:val="223"/>
        </w:trPr>
        <w:tc>
          <w:tcPr>
            <w:tcW w:w="79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consideration transferred</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740" w:hanging="368"/>
        <w:spacing w:after="0" w:line="25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Identifiable definite-lived intangible assets were comprised of developed technology, brand, and customer relationships of $63,000, $23,100, and $18,000, respectively, with estimated useful lives of 3 years, 11 years, and 3 years, respectively, which will be amortized on a straight-line basis over their estimated useful lives. The fair value of the developed technology has been estimated using the multi-period excess earnings method which is a variation of the income approach. The fair value of the brand and customer relationships has been estimated using the relief from royalty method and the with/without approach, respectively.</w:t>
      </w:r>
    </w:p>
    <w:p>
      <w:pPr>
        <w:spacing w:after="0" w:line="12" w:lineRule="exact"/>
        <w:rPr>
          <w:rFonts w:ascii="Arial" w:cs="Arial" w:eastAsia="Arial" w:hAnsi="Arial"/>
          <w:sz w:val="18"/>
          <w:szCs w:val="18"/>
          <w:color w:val="auto"/>
        </w:rPr>
      </w:pPr>
    </w:p>
    <w:p>
      <w:pPr>
        <w:jc w:val="both"/>
        <w:ind w:left="740" w:hanging="368"/>
        <w:spacing w:after="0" w:line="25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represents the excess value of the purchase price over net assets acquired, primarily attributable to adding wholesale vehicle acquisition and selling capabilities to CarGurus’ portfolio of dealer offerings. All goodwill is assigned to the United States reporting segment. For tax purposes, $26,250 of the goodwill is estimated to be deductible under IRC Section 197 and will be concluded upon finalization of the working capital analysis and transaction cost study.</w:t>
      </w:r>
    </w:p>
    <w:p>
      <w:pPr>
        <w:spacing w:after="0" w:line="2" w:lineRule="exact"/>
        <w:rPr>
          <w:rFonts w:ascii="Arial" w:cs="Arial" w:eastAsia="Arial" w:hAnsi="Arial"/>
          <w:sz w:val="18"/>
          <w:szCs w:val="18"/>
          <w:color w:val="auto"/>
        </w:rPr>
      </w:pPr>
    </w:p>
    <w:p>
      <w:pPr>
        <w:ind w:left="740" w:hanging="368"/>
        <w:spacing w:after="0" w:line="26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redeemable noncontrolling interest has been estimated using the Least Square Monte Carlo Simulation approach. Significant inputs include market price of risk, volatility, correlation and risk-free rate.</w:t>
      </w:r>
    </w:p>
    <w:p>
      <w:pPr>
        <w:spacing w:after="0" w:line="21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the Company, TopCo, each Member and CarOffer MidCo, LLC, a Delaware limited liability company, entered into the Second Amended and Restated Limited Liability Company Agreement, dated December 9, 2020 (the “CarOffer Operating Agreement”), pursuant to which, among other matters, the Company secured the right to appoint a majority of the members of the Board of Managers of CarOffer, other rights customary for a transaction of this nature and the put and call rights described below.</w:t>
      </w:r>
    </w:p>
    <w:p>
      <w:pPr>
        <w:spacing w:after="0" w:line="22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the second half of 2022, the Company will have a call right (the “2022 Call Right”), exercisable in its sole discretion, to acquire a portion of the Remaining Equity representing up to twenty-five percent (25%) of the fully diluted capitalization of CarOffer (such acquired Remaining Equity, the “2022 Acquired Remaining Equity”) at an implied CarOffer value (the “2022 Call Right Value”) of seven (7) times CarOffer’s trailing twelve months gross profit as of June 30, 2022 (calculated in accordance with the defined terms and subject to the adjustments set forth in the CarOffer Operating Agreement). If the 2022 Call Right is exercised by the Company, the 2022 Acquired Remaining Equity will be purchased ratably across all of the holders of CarOffer equity securities other than the Company. The consideration to be paid by the Company in connection with the exercise of the 2022 Call Right will be in the form of cash and/or shares of Class A common stock, as determined by the Company in its sole discretion.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firstLine="510"/>
        <w:spacing w:after="0" w:line="269" w:lineRule="auto"/>
        <w:rPr>
          <w:sz w:val="20"/>
          <w:szCs w:val="20"/>
          <w:color w:val="auto"/>
        </w:rPr>
      </w:pPr>
      <w:r>
        <w:rPr>
          <w:rFonts w:ascii="Arial" w:cs="Arial" w:eastAsia="Arial" w:hAnsi="Arial"/>
          <w:sz w:val="17"/>
          <w:szCs w:val="17"/>
          <w:color w:val="auto"/>
        </w:rPr>
        <w:t>In the second half of 2024, (a) the Company will have a call right (the “2024 Call Right”), exercisable in its sole discretion, to acquire all, and not less than all, of the Remaining Equity that it has not acquired pursuant to the 2022 Call Right and the Closing, at the greater of (i) (x) one hundred million dollars ($100,000,000), and (y) the 2022 Call Right Value, whichever is less, and (ii) an implied CarOffer value of twelve (12) times CarOffer’s trailing twelve months EBITDA as of June 30, 2024 (in each case calculated in accordance with the defined terms and subject to the adjustments set forth in the CarOffer Operating Agreement), and (b) the representative of the holders of the Remaining Equity will have a put right (the “2024 Put Right”), exercisable in his, her or their sole discretion, to have the holders of the Remaining Equity sell to the Company, all, and not less than all, of the Remaining Equity at an implied CarOffer value of twelve (12) times CarOffer’s trailing twelve months EBITDA as of June 30, 2024 (calculated in accordance with the defined terms and subject to the adjustments set forth in the CarOffer Operating Agreement). The determination of whether the 2024 Call Right or the 2024 Put Right is ultimately exercised is as set forth in the CarOffer Operating Agreement. The consideration to be paid by the Company in connection with the exercise of either the 2024 Call Right or the 2024 Put Right, as applicable, will be in the form of cash and/or shares of Class A common stock, as determined by the Company in its sole discretion.</w:t>
      </w:r>
    </w:p>
    <w:p>
      <w:pPr>
        <w:spacing w:after="0" w:line="20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foregoing summary of the Purchase Agreement, the CarOffer Operating Agreement and the transactions contemplated thereby does not purport to be complete and is subject to, and qualified in its entirety by, the full text of the Purchase Agreement and the CarOffer Operating Agreement, which are filed as exhibits to the Annual Report.</w:t>
      </w:r>
    </w:p>
    <w:p>
      <w:pPr>
        <w:spacing w:after="0" w:line="224"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three months ended March 31, 2021 and 2020 and the unaudited results of CarOffer for the three months ended March 31, 2021 and 2020, and assumes that the CarOffer Acquisition, which closed on January 14, 2021, was completed on January 1, 2020 (the first day of fiscal year 2020). The pro forma consolidated financial information has been calculated after applying the Company’s accounting policies and includes adjustments for amortization expense of acquired intangible assets, transaction-related costs, and compensation expense for ongoing share-based compensation arrangements replaced, together with the consequential tax effects. These pro forma results have been prepared for comparative purposes only and do not purport to be indicative of the operating results of the Company that would have been achieved had the CarOffer Acquisition actually taken place on January 1, 2020. In addition, these results are not intended to be a projection of future results and do not reflect events that may occur after March 31, 2021, including but not limited to revenue enhancements, cost savings or operating synergies that the combined Company may achieve as a result of the CarOffer Acquisition.</w:t>
      </w:r>
    </w:p>
    <w:p>
      <w:pPr>
        <w:spacing w:after="0" w:line="23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4174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 w:lineRule="exact"/>
        <w:rPr>
          <w:sz w:val="20"/>
          <w:szCs w:val="20"/>
          <w:color w:val="auto"/>
        </w:rPr>
      </w:pPr>
    </w:p>
    <w:p>
      <w:pPr>
        <w:ind w:left="7520"/>
        <w:spacing w:after="0"/>
        <w:tabs>
          <w:tab w:leader="none" w:pos="95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20"/>
        </w:trPr>
        <w:tc>
          <w:tcPr>
            <w:tcW w:w="408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40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FF0FC"/>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174,307</w:t>
            </w:r>
          </w:p>
        </w:tc>
        <w:tc>
          <w:tcPr>
            <w:tcW w:w="920" w:type="dxa"/>
            <w:vAlign w:val="bottom"/>
            <w:gridSpan w:val="2"/>
            <w:shd w:val="clear" w:color="auto" w:fill="CFF0FC"/>
          </w:tcPr>
          <w:p>
            <w:pPr>
              <w:jc w:val="right"/>
              <w:ind w:right="48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163,194</w:t>
            </w:r>
          </w:p>
        </w:tc>
        <w:tc>
          <w:tcPr>
            <w:tcW w:w="100" w:type="dxa"/>
            <w:vAlign w:val="bottom"/>
            <w:shd w:val="clear" w:color="auto" w:fill="CFF0FC"/>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Consolidated net income</w:t>
            </w:r>
            <w:r>
              <w:rPr>
                <w:rFonts w:ascii="Arial" w:cs="Arial" w:eastAsia="Arial" w:hAnsi="Arial"/>
                <w:sz w:val="15"/>
                <w:szCs w:val="15"/>
                <w:color w:val="auto"/>
              </w:rPr>
              <w:t>(1)</w:t>
            </w:r>
          </w:p>
        </w:tc>
        <w:tc>
          <w:tcPr>
            <w:tcW w:w="27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19,186</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jc w:val="both"/>
        <w:ind w:left="740" w:hanging="368"/>
        <w:spacing w:after="0" w:line="31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March 31, 2021, pro forma consolidated net income includes $7,275 and $1,607 related to intangibles amortization and stock-based compensation for CarOffer, respectively. For the three months ended March 31, 2020, pro forma consolidated net income includes $7,275 and $1,422 related to intangibles amortization and stock-based compensation for CarOffer, respectively.</w:t>
      </w:r>
    </w:p>
    <w:p>
      <w:pPr>
        <w:spacing w:after="0" w:line="17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$15,566 of revenue and $7,567 of net loss attributable to CarOffer is included in our Unaudited Condensed Consolidated Income Statement from the acquisition date of January 14, 2021 to March 31, 2021.</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for each of the fair value levels, the Company’s assets that are measured at fair value on a recurring basis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at 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At March 31, 2021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4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2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2 Inputs)</w:t>
            </w: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3 Inputs)</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82,433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82,433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7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At December 31, 2020</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4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2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2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2 Inputs)</w:t>
            </w: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(Level 3 Inputs)</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112,431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March 31, 2021 and December 31, 2020.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three months ended March 31, 2021 or the year ended December 31, 2020.</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March 31, 2021 and at December 31, 2020 had maturity dates of one year or less.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investments as of March 31, 2021 and December 31, 2020,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At March 31, 2021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04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Certificates of deposit due in 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04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Certificates of deposit due in 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78"/>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At</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At</w:t>
            </w:r>
          </w:p>
        </w:tc>
      </w:tr>
      <w:tr>
        <w:trPr>
          <w:trHeight w:val="148"/>
        </w:trPr>
        <w:tc>
          <w:tcPr>
            <w:tcW w:w="6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9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w:t>
            </w:r>
          </w:p>
        </w:tc>
        <w:tc>
          <w:tcPr>
            <w:tcW w:w="10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20,507</w:t>
            </w:r>
          </w:p>
        </w:tc>
        <w:tc>
          <w:tcPr>
            <w:tcW w:w="10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53,477</w:t>
            </w:r>
          </w:p>
        </w:tc>
        <w:tc>
          <w:tcPr>
            <w:tcW w:w="10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(27,825)</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(25,994)</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27,483</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Depreciation and amortization expense, excluding amortization of intangible assets, was $2,020 and $2,558 for the three months ended March 31, 2021 and 2020,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The changes in the carrying value of goodwill were as follows:</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29,129</w:t>
            </w:r>
          </w:p>
        </w:tc>
        <w:tc>
          <w:tcPr>
            <w:tcW w:w="12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280" w:type="dxa"/>
            <w:vAlign w:val="bottom"/>
          </w:tcPr>
          <w:p>
            <w:pPr>
              <w:ind w:left="240"/>
              <w:spacing w:after="0"/>
              <w:rPr>
                <w:sz w:val="20"/>
                <w:szCs w:val="20"/>
                <w:color w:val="auto"/>
              </w:rPr>
            </w:pPr>
            <w:r>
              <w:rPr>
                <w:rFonts w:ascii="Arial" w:cs="Arial" w:eastAsia="Arial" w:hAnsi="Arial"/>
                <w:sz w:val="18"/>
                <w:szCs w:val="18"/>
                <w:color w:val="auto"/>
              </w:rPr>
              <w:t xml:space="preserve">CarOffer acquisition </w:t>
            </w:r>
            <w:r>
              <w:rPr>
                <w:rFonts w:ascii="Arial" w:cs="Arial" w:eastAsia="Arial" w:hAnsi="Arial"/>
                <w:sz w:val="15"/>
                <w:szCs w:val="15"/>
                <w:color w:val="auto"/>
              </w:rPr>
              <w:t>(1)</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128,745</w:t>
            </w:r>
          </w:p>
        </w:tc>
        <w:tc>
          <w:tcPr>
            <w:tcW w:w="1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(722)</w:t>
            </w:r>
          </w:p>
        </w:tc>
      </w:tr>
      <w:tr>
        <w:trPr>
          <w:trHeight w:val="223"/>
        </w:trPr>
        <w:tc>
          <w:tcPr>
            <w:tcW w:w="6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157,152</w:t>
            </w:r>
          </w:p>
        </w:tc>
        <w:tc>
          <w:tcPr>
            <w:tcW w:w="12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Note 4 of the Unaudited Condensed Consolidated Financial Statements included elsewhere in this Quarterly Report</w:t>
      </w:r>
      <w:r>
        <w:rPr>
          <w:rFonts w:ascii="Arial" w:cs="Arial" w:eastAsia="Arial" w:hAnsi="Arial"/>
          <w:sz w:val="19"/>
          <w:szCs w:val="19"/>
          <w:color w:val="auto"/>
        </w:rPr>
        <w:t>.</w:t>
      </w:r>
    </w:p>
    <w:p>
      <w:pPr>
        <w:spacing w:after="0" w:line="26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 tests goodwill for impairment at least annually or whenever events or changes in circumstances indicate that the carrying value may not be recoverable. As of March 31, 2021, there have been no events or changes in circumstance that the carrying value may not be recoverable. As of December 31, 2020, the Company assessed its goodwill for impairment and concluded that there was no impairment.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March 31, 2021 and December 31, 2020 consist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6"/>
              </w:rPr>
              <w:t>At March 31,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32,369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65,215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117,453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At December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recorded amortization expense related to intangible assets of $6,646, and $432 for the three months ended March 31, 2021, and 2020, respectively.</w:t>
      </w:r>
    </w:p>
    <w:p>
      <w:pPr>
        <w:spacing w:after="0" w:line="19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evaluates the useful lives of these assets on an annual basis and tests for impairment whenever events or changes in circumstances occur that could impact the recoverability of these assets. As of March 31, 2021, there have been no events or changes in circumstances occur that could impact the recoverability of these assets. As of December 31, 2020, the Company assessed its intangible assets for impairment and concluded that there was no impairment.</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March 31,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Amortization</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Expense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31,065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jc w:val="right"/>
              <w:ind w:right="1491"/>
              <w:spacing w:after="0"/>
              <w:rPr>
                <w:sz w:val="20"/>
                <w:szCs w:val="20"/>
                <w:color w:val="auto"/>
              </w:rPr>
            </w:pPr>
            <w:r>
              <w:rPr>
                <w:rFonts w:ascii="Arial" w:cs="Arial" w:eastAsia="Arial" w:hAnsi="Arial"/>
                <w:sz w:val="18"/>
                <w:szCs w:val="18"/>
                <w:b w:val="1"/>
                <w:bCs w:val="1"/>
                <w:color w:val="auto"/>
                <w:w w:val="90"/>
              </w:rPr>
              <w:t>8. Accrued Expenses, Accrued Income Taxes and Other Current Liabilities</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40" w:type="dxa"/>
            <w:vAlign w:val="bottom"/>
            <w:gridSpan w:val="2"/>
          </w:tcPr>
          <w:p>
            <w:pPr>
              <w:jc w:val="right"/>
              <w:ind w:right="11"/>
              <w:spacing w:after="0"/>
              <w:rPr>
                <w:sz w:val="20"/>
                <w:szCs w:val="20"/>
                <w:color w:val="auto"/>
              </w:rPr>
            </w:pPr>
            <w:r>
              <w:rPr>
                <w:rFonts w:ascii="Arial" w:cs="Arial" w:eastAsia="Arial" w:hAnsi="Arial"/>
                <w:sz w:val="18"/>
                <w:szCs w:val="18"/>
                <w:color w:val="auto"/>
                <w:w w:val="97"/>
              </w:rPr>
              <w:t>Accrued expenses, accrued income taxes and other current liabilities consist of the following:</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7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6,245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bonus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10,268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22,847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jc w:val="right"/>
              <w:ind w:right="15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0" w:name="page21"/>
    <w:bookmarkEnd w:id="20"/>
    <w:p>
      <w:pPr>
        <w:jc w:val="both"/>
        <w:ind w:firstLine="510"/>
        <w:spacing w:after="0" w:line="286" w:lineRule="auto"/>
        <w:rPr>
          <w:sz w:val="20"/>
          <w:szCs w:val="20"/>
          <w:color w:val="auto"/>
        </w:rPr>
      </w:pPr>
      <w:r>
        <w:rPr>
          <w:rFonts w:ascii="Arial" w:cs="Arial" w:eastAsia="Arial" w:hAnsi="Arial"/>
          <w:sz w:val="17"/>
          <w:szCs w:val="17"/>
          <w:color w:val="auto"/>
        </w:rPr>
        <w:t>The increase of $6,012 in accrued income taxes is primarily due to higher taxable income projected for 2021 in excess of tax attributes available to offset. The decrease of $7,128 in accrued bonus is primarily due to the payout of the fiscal year 2020 bonus in the first quarter of 2021. The decrease of $1,324 in accrued commissions is primarily due to payouts of the fiscal year 2020 commissions in the first quarter of 2021.</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All of the Company’s property, equipment, and internal-use software have been purchased with cash with the exception of amounts related to unpaid property and equipment and internal use software and amounts related to obligations under finance leases as disclosed in the Unaudited Condensed Consolidated Statements of Cash Flows as of March 31, 2021. The Company has no material long-term purchase obligations outstanding with any vendor or third party.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Plano, Texas; and Dublin, Ireland. The Company also has an operating lease obligation for data center space in Needham, Massachusetts.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2021, there were no material changes in the Company’s material leases from those disclosed in the Annual Report, other than as discussed below.</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January 25, 2021, CarOffer entered into a sublease in Addison, Texas at 15601 Dallas Parkway for approximately 61,826 square feet of office space with a non-cancellable lease term through 2030. The sublease commenced on March 1, 2021. CarOffer’s monthly base rent for the premises, which is payable from January 1, 2022, will initially be approximately $152, and will increase each year up to a maximum monthly base rent of approximately $185. In connection with the sublease, CarOffer entered into a financing lease arrangement for furniture and fixtures used in connection with its operations. The term of the financing lease is for the entire period of the sublease. The monthly rent for the furniture and fixtures is included in the sublease monthly rent, with ownership of the furniture and fixtures transferring to CarOffer at the expiration of the lease term. Monthly rent payments are allocated based upon the relative fair value of the office space and furniture of 95% and 5%, respectively. Upon commencement, the right of use asset for the office space and furniture was $12,336 and $664, respectively.</w:t>
      </w:r>
    </w:p>
    <w:p>
      <w:pPr>
        <w:spacing w:after="0" w:line="1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On July 1, 2019, CarOffer entered into a sublease in Plano, Texas at 2701 East Plano Parkway, for the lease of approximately 26,971 square feet of office space with a non-cancellable lease term through 2023. The sublease commenced on July 1, 2019. CarOffer’s monthly base rent for the premises, which is payable from July 1, 2019, was initially approximately $21, and will increase each year up to maximum monthly base rent of $22. The Company acquired the lease as part of the CarOffer Acquisition.</w:t>
      </w:r>
    </w:p>
    <w:p>
      <w:pPr>
        <w:spacing w:after="0" w:line="179"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recorded as restricted cash within the Unaudited Condensed Consolidated Balance Sheet. At March 31, 2021 and December 31, 2020, restricted cash was $16,866 and $10,627,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Restricted cash at March 31, 2021 also includes pass-through payments from customers related to the Company’s wholesale business. At March 31, 2021 and December 31, 2020,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on the Unaudited Condensed Consolidated Balance Sheet.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January 14, 2021, the Company completed the CarOffer Acquisition, details of which are described in Note 4 of the Unaudited Condensed Consolidated Financial Statements included elsewhere in this Quarterly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the ordinary course of business, the Company enters into agreements with its customers, partners and service providers that include commercial provisions with respect to licensing, infringement, indemnification, and other common provisions. The Company does not, in the ordinary course, agree to guaranty or indemnification obligations for the Company under its contracts with customers. Based on historical experience and information known at March 31, 2021 and December 31, 2020, the Company has not incurred any costs for guarantees or indemnities.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2020 CO Plan provides for the issuance of incentive interests to CarOffer’s employees, officers, managers, and consultants. The 2020 CO Plan authorized up to an aggregate of 485,714 incentive interests for such issuances.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Unaudited Condensed Consolidated Income Statements:</w:t>
      </w:r>
    </w:p>
    <w:p>
      <w:pPr>
        <w:spacing w:after="0" w:line="175"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6"/>
        </w:trPr>
        <w:tc>
          <w:tcPr>
            <w:tcW w:w="69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13,743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 Incentive Units</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15,393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6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9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15,393</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Excluded from stock-based compensation expense is $569 and $248 of capitalized website development and internal-use software costs for the three months ended March 31, 2021 and 2020, respectively.</w:t>
      </w:r>
    </w:p>
    <w:p>
      <w:pPr>
        <w:spacing w:after="0" w:line="21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During the three months ended March 31, 2021 and 2020, the Company withheld 162,950 and 106,934 shares of Class A common stock, respectively, to satisfy employee tax withholding requirements and for option exercise costs due to net share settlements and cashless exercises of options. The shares withheld return to the authorized, but unissued pool under the 2017 Plan and can be reissued by the Company. Total payments to satisfy employee tax withholding requirements and for option exercise costs due to net share settlements and cashless exercises of options were $5,041 and $3,397 for the three months ended March 31, 2021 and 2020, respectively, and are reflected as a financing activity within the Unaudited Condensed Consolidated Statements of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510"/>
        <w:spacing w:after="0" w:line="218"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510"/>
        <w:spacing w:after="0" w:line="277" w:lineRule="auto"/>
        <w:rPr>
          <w:sz w:val="20"/>
          <w:szCs w:val="20"/>
          <w:color w:val="auto"/>
        </w:rPr>
      </w:pPr>
      <w:r>
        <w:rPr>
          <w:rFonts w:ascii="Arial" w:cs="Arial" w:eastAsia="Arial" w:hAnsi="Arial"/>
          <w:sz w:val="18"/>
          <w:szCs w:val="18"/>
          <w:color w:val="auto"/>
        </w:rPr>
        <w:t>During the three months ended March 31, 2021 and 2020, holders of Class B common stock converted 929,597 and 335,741 shares of Class B common stock to Class A common stock, respectively.</w:t>
      </w:r>
    </w:p>
    <w:p>
      <w:pPr>
        <w:spacing w:after="0" w:line="170"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18"/>
          <w:szCs w:val="18"/>
          <w:color w:val="auto"/>
        </w:rPr>
        <w:t>Basic net income per share (“Basic EPS”) is computed by dividing net income attributable to common stockholders and adjusted to reflect changes in the redemption value of the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180"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Diluted net income per share (“Diluted EPS”) gives effect to all potentially dilutive securities. Diluted EPS is computed by dividing net income attributable to common stockholders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inclusive of CO Incentive Units, that would be issuable as of the end of the reporting period assuming the end of the reporting period was also the end of the contingency period.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a reconciliation of the numerator and denominator used in the calculation of basic and diluted net income per share:</w:t>
      </w:r>
    </w:p>
    <w:p>
      <w:pPr>
        <w:spacing w:after="0" w:line="253"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576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19,551</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redeemable noncontrolling interest</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(2,810)</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w:t>
            </w:r>
          </w:p>
        </w:tc>
        <w:tc>
          <w:tcPr>
            <w:tcW w:w="1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Borders>
              <w:bottom w:val="single" w:sz="8" w:color="CFF0FC"/>
            </w:tcBorders>
          </w:tcPr>
          <w:p>
            <w:pPr>
              <w:spacing w:after="0"/>
              <w:rPr>
                <w:sz w:val="22"/>
                <w:szCs w:val="22"/>
                <w:color w:val="auto"/>
              </w:rPr>
            </w:pPr>
          </w:p>
        </w:tc>
      </w:tr>
      <w:tr>
        <w:trPr>
          <w:trHeight w:val="210"/>
        </w:trPr>
        <w:tc>
          <w:tcPr>
            <w:tcW w:w="5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used in computing net income per share</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 basic</w:t>
            </w: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116,316,464</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112,355,093</w:t>
            </w:r>
          </w:p>
        </w:tc>
        <w:tc>
          <w:tcPr>
            <w:tcW w:w="100" w:type="dxa"/>
            <w:vAlign w:val="bottom"/>
            <w:shd w:val="clear" w:color="auto" w:fill="CFF0FC"/>
          </w:tcPr>
          <w:p>
            <w:pPr>
              <w:spacing w:after="0"/>
              <w:rPr>
                <w:sz w:val="20"/>
                <w:szCs w:val="20"/>
                <w:color w:val="auto"/>
              </w:rPr>
            </w:pPr>
          </w:p>
        </w:tc>
      </w:tr>
      <w:tr>
        <w:trPr>
          <w:trHeight w:val="215"/>
        </w:trPr>
        <w:tc>
          <w:tcPr>
            <w:tcW w:w="5760" w:type="dxa"/>
            <w:vAlign w:val="bottom"/>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513,092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796,884</w:t>
            </w:r>
          </w:p>
        </w:tc>
        <w:tc>
          <w:tcPr>
            <w:tcW w:w="100" w:type="dxa"/>
            <w:vAlign w:val="bottom"/>
          </w:tcPr>
          <w:p>
            <w:pPr>
              <w:spacing w:after="0"/>
              <w:rPr>
                <w:sz w:val="20"/>
                <w:szCs w:val="20"/>
                <w:color w:val="auto"/>
              </w:rPr>
            </w:pPr>
          </w:p>
        </w:tc>
      </w:tr>
      <w:tr>
        <w:trPr>
          <w:trHeight w:val="215"/>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unvested restricted stock units</w:t>
            </w:r>
          </w:p>
        </w:tc>
        <w:tc>
          <w:tcPr>
            <w:tcW w:w="1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419,809</w:t>
            </w:r>
          </w:p>
        </w:tc>
        <w:tc>
          <w:tcPr>
            <w:tcW w:w="2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338,015</w:t>
            </w:r>
          </w:p>
        </w:tc>
        <w:tc>
          <w:tcPr>
            <w:tcW w:w="100" w:type="dxa"/>
            <w:vAlign w:val="bottom"/>
            <w:shd w:val="clear" w:color="auto" w:fill="CFF0FC"/>
          </w:tcPr>
          <w:p>
            <w:pPr>
              <w:spacing w:after="0"/>
              <w:rPr>
                <w:sz w:val="20"/>
                <w:szCs w:val="20"/>
                <w:color w:val="auto"/>
              </w:rPr>
            </w:pPr>
          </w:p>
        </w:tc>
      </w:tr>
      <w:tr>
        <w:trPr>
          <w:trHeight w:val="209"/>
        </w:trPr>
        <w:tc>
          <w:tcPr>
            <w:tcW w:w="5760" w:type="dxa"/>
            <w:vAlign w:val="bottom"/>
          </w:tcPr>
          <w:p>
            <w:pPr>
              <w:ind w:left="240"/>
              <w:spacing w:after="0"/>
              <w:rPr>
                <w:sz w:val="20"/>
                <w:szCs w:val="20"/>
                <w:color w:val="auto"/>
              </w:rPr>
            </w:pPr>
            <w:r>
              <w:rPr>
                <w:rFonts w:ascii="Arial" w:cs="Arial" w:eastAsia="Arial" w:hAnsi="Arial"/>
                <w:sz w:val="18"/>
                <w:szCs w:val="18"/>
                <w:color w:val="auto"/>
              </w:rPr>
              <w:t>Weighted-average number of shares of common</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stock used in computing net income per share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attributable to common stockholders — diluted</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117,249,365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113,489,992</w:t>
            </w:r>
          </w:p>
        </w:tc>
        <w:tc>
          <w:tcPr>
            <w:tcW w:w="100" w:type="dxa"/>
            <w:vAlign w:val="bottom"/>
          </w:tcPr>
          <w:p>
            <w:pPr>
              <w:spacing w:after="0"/>
              <w:rPr>
                <w:sz w:val="20"/>
                <w:szCs w:val="20"/>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FF0FC"/>
            </w:tcBorders>
          </w:tcPr>
          <w:p>
            <w:pPr>
              <w:spacing w:after="0"/>
              <w:rPr>
                <w:sz w:val="23"/>
                <w:szCs w:val="23"/>
                <w:color w:val="auto"/>
              </w:rPr>
            </w:pPr>
          </w:p>
        </w:tc>
      </w:tr>
      <w:tr>
        <w:trPr>
          <w:trHeight w:val="21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weighted-average shares outstanding for the three months ended March 31, 2021 and 2020, as their effect would have been anti-dilutive for the periods presented:</w:t>
      </w:r>
    </w:p>
    <w:p>
      <w:pPr>
        <w:spacing w:after="0" w:line="15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3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326,939</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2,492,820</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2,825,609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40" w:type="dxa"/>
            <w:vAlign w:val="bottom"/>
          </w:tcPr>
          <w:p>
            <w:pPr>
              <w:jc w:val="right"/>
              <w:ind w:right="1710"/>
              <w:spacing w:after="0"/>
              <w:rPr>
                <w:sz w:val="20"/>
                <w:szCs w:val="20"/>
                <w:color w:val="auto"/>
              </w:rPr>
            </w:pPr>
            <w:r>
              <w:rPr>
                <w:rFonts w:ascii="Arial" w:cs="Arial" w:eastAsia="Arial" w:hAnsi="Arial"/>
                <w:sz w:val="18"/>
                <w:szCs w:val="18"/>
                <w:color w:val="auto"/>
              </w:rPr>
              <w:t>19</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firstLine="510"/>
        <w:spacing w:after="0" w:line="286" w:lineRule="auto"/>
        <w:rPr>
          <w:sz w:val="20"/>
          <w:szCs w:val="20"/>
          <w:color w:val="auto"/>
        </w:rPr>
      </w:pPr>
      <w:r>
        <w:rPr>
          <w:rFonts w:ascii="Arial" w:cs="Arial" w:eastAsia="Arial" w:hAnsi="Arial"/>
          <w:sz w:val="17"/>
          <w:szCs w:val="17"/>
          <w:color w:val="auto"/>
        </w:rPr>
        <w:t>In addition, shares of Class A common stock potentially issuable under market-based performance awards of approximately 282,921 for the three months ended March 31, 2021 were excluded from the calculation of weighted average shares used to compute Diluted EPS as the market-based vesting conditions had not been achieved as of the reporting period end date and as such there were zero contingently issuable shares.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were no shares included in diluted EPS for the number of shares issuable upon exercise of the 2024 Put Right, inclusive of CO Incentive Units, as no shares would be issuable as of the end of March 31, 2021 had that been the end of the contingency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the three months ended March 31, 2021, the Company recorded an income tax provision of $6,462, representing an effective tax rate of 22.4%. The effective tax rate for the three months ended March 31, 2021 was greater than the statutory tax rate of 21% principally due to state and local income taxes, partially offset by federal and state research and development tax credits.</w:t>
      </w:r>
    </w:p>
    <w:p>
      <w:pPr>
        <w:spacing w:after="0" w:line="21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During the three months ended March 31, 2020, the Company recorded an income tax provision of $51 representing an effective tax rate of 0.4%. The effective tax rate for the three months ended March 31, 2020 was lower than the statutory tax rate of 21% principally due to a discrete benefit recognized as a result of the enactment of the Coronavirus Aid, Relief, and Economic Security Act, excess stock deductions from the taxable compensation of share-based awards and federal and state research and development tax credits, partially offset by state and local income taxes.</w:t>
      </w:r>
    </w:p>
    <w:p>
      <w:pPr>
        <w:spacing w:after="0" w:line="21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 and its subsidiaries are subject to various U.S. federal, state, and foreign income tax examinations. The Company is currently not subject to income tax examination for the tax years of 2017 and prior as a result of applicable statute of limitations of the Internal Revenue Service (“IRS”) and state jurisdictions. The Company is currently open to examination in its foreign jurisdictions for tax years 2018 and after. In 2019, the IRS commenced a federal employment tax audit with respect to the 2018, 2017 and 2016 calendar years, which is still open. In 2020, the State of New York commenced a sales tax audit of the Company for the tax years 2014 to 2020, which is still open. In 2020, the IRS initiated a federal income tax audit associated with tax year 2017, which closed in January 2021. In 2020, the State of Ohio commenced a commercial activity tax audit for the tax years 2013 to 2019, which was settled in April 2021.</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United States segment derives revenues from marketplace subscriptions and other revenues from customers within the United States. The International segment derives revenues from marketplace subscriptions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Revenue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30"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Three Months Ended</w:t>
      </w:r>
    </w:p>
    <w:p>
      <w:pPr>
        <w:jc w:val="center"/>
        <w:ind w:left="60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6"/>
        </w:trPr>
        <w:tc>
          <w:tcPr>
            <w:tcW w:w="61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163,011</w:t>
            </w:r>
          </w:p>
        </w:tc>
        <w:tc>
          <w:tcPr>
            <w:tcW w:w="28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148,006</w:t>
            </w:r>
          </w:p>
        </w:tc>
        <w:tc>
          <w:tcPr>
            <w:tcW w:w="100" w:type="dxa"/>
            <w:vAlign w:val="bottom"/>
          </w:tcPr>
          <w:p>
            <w:pPr>
              <w:spacing w:after="0"/>
              <w:rPr>
                <w:sz w:val="19"/>
                <w:szCs w:val="19"/>
                <w:color w:val="auto"/>
              </w:rPr>
            </w:pPr>
          </w:p>
        </w:tc>
      </w:tr>
      <w:tr>
        <w:trPr>
          <w:trHeight w:val="229"/>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100" w:type="dxa"/>
            <w:vAlign w:val="bottom"/>
            <w:shd w:val="clear" w:color="auto" w:fill="CFF0FC"/>
          </w:tcPr>
          <w:p>
            <w:pPr>
              <w:spacing w:after="0"/>
              <w:rPr>
                <w:sz w:val="19"/>
                <w:szCs w:val="19"/>
                <w:color w:val="auto"/>
              </w:rPr>
            </w:pPr>
          </w:p>
        </w:tc>
      </w:tr>
      <w:tr>
        <w:trPr>
          <w:trHeight w:val="223"/>
        </w:trPr>
        <w:tc>
          <w:tcPr>
            <w:tcW w:w="61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171,368</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157,689</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6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29,390</w:t>
            </w:r>
          </w:p>
        </w:tc>
        <w:tc>
          <w:tcPr>
            <w:tcW w:w="28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tcPr>
          <w:p>
            <w:pPr>
              <w:spacing w:after="0"/>
              <w:rPr>
                <w:sz w:val="19"/>
                <w:szCs w:val="19"/>
                <w:color w:val="auto"/>
              </w:rPr>
            </w:pPr>
          </w:p>
        </w:tc>
      </w:tr>
      <w:tr>
        <w:trPr>
          <w:trHeight w:val="229"/>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0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(3,599)</w:t>
            </w:r>
          </w:p>
        </w:tc>
        <w:tc>
          <w:tcPr>
            <w:tcW w:w="6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(8,243)</w:t>
            </w:r>
          </w:p>
        </w:tc>
      </w:tr>
      <w:tr>
        <w:trPr>
          <w:trHeight w:val="223"/>
        </w:trPr>
        <w:tc>
          <w:tcPr>
            <w:tcW w:w="6180" w:type="dxa"/>
            <w:vAlign w:val="bottom"/>
          </w:tcPr>
          <w:p>
            <w:pPr>
              <w:ind w:left="480"/>
              <w:spacing w:after="0"/>
              <w:rPr>
                <w:sz w:val="20"/>
                <w:szCs w:val="20"/>
                <w:color w:val="auto"/>
              </w:rPr>
            </w:pPr>
            <w:r>
              <w:rPr>
                <w:rFonts w:ascii="Arial" w:cs="Arial" w:eastAsia="Arial" w:hAnsi="Arial"/>
                <w:sz w:val="18"/>
                <w:szCs w:val="18"/>
                <w:color w:val="auto"/>
              </w:rPr>
              <w:t>Total income from operations</w:t>
            </w: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25,791</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212529"/>
        </w:rPr>
        <w:t>The Company ceased the operations of the International segment online marketplaces in Germany, Italy, and Spain in the second quarter of 2020.</w:t>
      </w:r>
    </w:p>
    <w:p>
      <w:pPr>
        <w:spacing w:after="0" w:line="289" w:lineRule="exact"/>
        <w:rPr>
          <w:sz w:val="20"/>
          <w:szCs w:val="20"/>
          <w:color w:val="auto"/>
        </w:rPr>
      </w:pPr>
    </w:p>
    <w:p>
      <w:pPr>
        <w:ind w:firstLine="510"/>
        <w:spacing w:after="0" w:line="377" w:lineRule="auto"/>
        <w:rPr>
          <w:sz w:val="20"/>
          <w:szCs w:val="20"/>
          <w:color w:val="auto"/>
        </w:rPr>
      </w:pPr>
      <w:r>
        <w:rPr>
          <w:rFonts w:ascii="Arial" w:cs="Arial" w:eastAsia="Arial" w:hAnsi="Arial"/>
          <w:sz w:val="16"/>
          <w:szCs w:val="16"/>
          <w:color w:val="212529"/>
        </w:rPr>
        <w:t>As of March 31, 2021 total assets held outside of the United States were $31,802, primarily attributable to $15,929 of goodwill. As of December 31, 2020, total assets held outside of the United States were $32,012, primarily attributable to $16,652 of goodwill and $3,571 of intangible assets.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2020, filed with the Securities and Exchange Commission, or SEC, on February 12, 2021,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7"/>
          <w:szCs w:val="17"/>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consumers with unbiased third</w:t>
      </w:r>
      <w:r>
        <w:rPr>
          <w:rFonts w:ascii="MS PGothic" w:cs="MS PGothic" w:eastAsia="MS PGothic" w:hAnsi="MS PGothic"/>
          <w:sz w:val="17"/>
          <w:szCs w:val="17"/>
          <w:color w:val="auto"/>
        </w:rPr>
        <w:t>‑</w:t>
      </w:r>
      <w:r>
        <w:rPr>
          <w:rFonts w:ascii="Arial" w:cs="Arial" w:eastAsia="Arial" w:hAnsi="Arial"/>
          <w:sz w:val="17"/>
          <w:szCs w:val="17"/>
          <w:color w:val="auto"/>
        </w:rPr>
        <w:t>party validation on pricing and dealer reputation as well as other information that aids them in finding “Great Deals from Top-Rated Dealers.”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operate principally in the United States. In the United States, we also operate the Autolist online marketplace, which we wholly own, and CarOffer digital wholesale marketplace, in which we have a 51% interest, as independent brands. In addition to the United States, we operate online marketplaces under the CarGurus brand in Canada and the United Kingdom. In the United Kingdom, we also operate the PistonHeads online marketplace, which we wholly own, as an independent brand. We also operated online marketplaces in Germany, Italy, and Spain until we ceased the operations of each of these marketplaces in the second quarter of 2020.</w:t>
      </w:r>
    </w:p>
    <w:p>
      <w:pPr>
        <w:spacing w:after="0" w:line="188"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have subsidiaries in the United States, Canada, Ireland, and the United Kingdom. Additionally, we have two reportable segments, United States and International. See Note 13 of the Unaudited Condensed Consolidated Financial Statements included elsewhere in this Quarterly Report.</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generate marketplace subscription revenue from dealers primarily through Listings and Dealer Display subscriptions. We generate other revenue primarily from revenue relating to the wholesale sale of automobiles, display advertising revenue from auto manufacturers and other auto-related brand advertisers and revenue from partnerships with financing services companies.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revenue for the three months ended March 31, 2021 was $171.4 million, a 9% increase from $157.7 million of revenue in the three months ended March 31, 2020. For the three months ended March 31, 2021, we generated consolidated net income of $19.6 million and our Adjusted EBITDA was $50.6 million, compared to consolidated net income of $12.7 million and Adjusted EBITDA of $27.6 million for the three months ended March 31, 2020. See “Adjusted EBITDA” below for more information regarding our use of Adjusted EBITDA, a non-GAAP financial measure, and a reconciliation of Adjusted EBITDA to our consolidated net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2020, we temporarily closed all of our offices and began requiring our employees to work remotely until further notice, which has disrupted how we operate our business. In addition, in an effort to limit the spread of COVID-19, many countries, as well as states and localities in the United States, implemented or mandated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t>shopping by consumers and disrupted the operations of car dealerships, which has adversely affected the market for automobile purchases. 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6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 material adverse effect on our revenues and our business.</w:t>
      </w:r>
    </w:p>
    <w:p>
      <w:pPr>
        <w:spacing w:after="0" w:line="149"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Further, because of the significant financial challenges that dealerships have faced, we took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which materially and adversely affected our business for the year ended December 31, 2020. We have also experienced increased account delinquencies from dealer customers challenged by the COVID-19 pandemic that failed to pay us on time or at all. However, since the second quarter of 2020, cancellations by paying dealers have begun to stabilize, which we believe resulted from the resumption of consumer activity as well as the fee reductions that we provided to our customers. Additionally, while we suspended charging subscription fees for paying dealers in the United Kingdom for the February 2021 service period, during the three months ended March 31, 2021 we returned to normal contractual billings in all other markets. Although the fee reductions had a material adverse effect to our revenue for the year ended December 31, 2020, they did not have a material adverse impact for three months ended March 31, 2021 or 2020.</w:t>
      </w:r>
    </w:p>
    <w:p>
      <w:pPr>
        <w:spacing w:after="0" w:line="17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These effects from the COVID-19 pandemic on our revenue caused us to implement certain cost-savings measures across our business, which disrupted our business and operations during the year ended December 31, 2020. For example, during the second quarter of 2020, we initiated a cost-savings initiative, or the Expense Reduction Plan, that included a reduction in our workforce, a limitation in discretionary spend across our business, and our ceasing certain international operations and expansion efforts. In particular, we ceased marketplace operations in Germany, Italy, and Spain, and halted any new international expansion efforts, which we believe will allow us to focus our financial and human capital resources on our more established international markets in Canada and the United Kingdom. We also reduced consumer marketing across both algorithmic traffic acquisition and brand spend during the year ended December 31, 2020 in comparison to the year ended December 31, 2019 in an effort to reduce expenses and as a result of suppressed dealer inventory and the resulting reduced demand for leads by dealers. However, since the second quarter of 2020, we have increased our consumer marketing expenses as consumer activity increased and governments implemented re-opening policies.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However, we cannot at this time accurately predict what effects these conditions will ultimately have on our future revenue and operations. See the “Risk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Factors” section of this Quarterly Report for further discussion of the impacts of the COVID-19 pandemic on our business.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and other revenues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 The metrics presented below exclude CarOffer as we believe such metrics are either not applicable for the CarOffer business or do not provide a meaningful way to evaluate the CarOffer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left="76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2160" w:type="dxa"/>
            <w:vAlign w:val="bottom"/>
            <w:tcBorders>
              <w:bottom w:val="single" w:sz="8" w:color="auto"/>
            </w:tcBorders>
            <w:gridSpan w:val="3"/>
          </w:tcPr>
          <w:p>
            <w:pPr>
              <w:jc w:val="center"/>
              <w:ind w:left="7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gridSpan w:val="2"/>
            <w:vMerge w:val="continue"/>
          </w:tcPr>
          <w:p>
            <w:pPr>
              <w:spacing w:after="0"/>
              <w:rPr>
                <w:sz w:val="13"/>
                <w:szCs w:val="13"/>
                <w:color w:val="auto"/>
              </w:rPr>
            </w:pPr>
          </w:p>
        </w:tc>
        <w:tc>
          <w:tcPr>
            <w:tcW w:w="1360" w:type="dxa"/>
            <w:vAlign w:val="bottom"/>
          </w:tcPr>
          <w:p>
            <w:pPr>
              <w:jc w:val="right"/>
              <w:ind w:right="46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Borders>
              <w:top w:val="single" w:sz="8" w:color="auto"/>
            </w:tcBorders>
            <w:gridSpan w:val="3"/>
          </w:tcPr>
          <w:p>
            <w:pPr>
              <w:jc w:val="center"/>
              <w:ind w:left="7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38,438</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users from the Autolist website from January 16, 2020 (the date of the closing of our acquisition of Autolist) to March 31, 2020.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(iii) Greenwich Mean Time for our U.K. websites, and (iv) Central European Time (or Central European Summer Time when daylight savings is observed) for our Germany, Italy, and Spain websites, which ceased operations in the second quarter of 2020.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left="76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2160" w:type="dxa"/>
            <w:vAlign w:val="bottom"/>
            <w:tcBorders>
              <w:bottom w:val="single" w:sz="8" w:color="auto"/>
            </w:tcBorders>
            <w:gridSpan w:val="3"/>
          </w:tcPr>
          <w:p>
            <w:pPr>
              <w:jc w:val="center"/>
              <w:ind w:left="7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1360" w:type="dxa"/>
            <w:vAlign w:val="bottom"/>
          </w:tcPr>
          <w:p>
            <w:pPr>
              <w:jc w:val="right"/>
              <w:ind w:right="46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Borders>
              <w:top w:val="single" w:sz="8" w:color="auto"/>
            </w:tcBorders>
            <w:gridSpan w:val="3"/>
          </w:tcPr>
          <w:p>
            <w:pPr>
              <w:jc w:val="center"/>
              <w:ind w:left="7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90,668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101,129</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18,249</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25,307</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108,917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126,436</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left="5540" w:right="400" w:hanging="5168"/>
        <w:spacing w:after="0" w:line="5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sessions from the Autolist website from January 16, 2020 (the date of the closing of our acquisition of Autolist) to March 31, 2020.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At March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4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(1)</w:t>
            </w:r>
          </w:p>
        </w:tc>
        <w:tc>
          <w:tcPr>
            <w:tcW w:w="100" w:type="dxa"/>
            <w:vAlign w:val="bottom"/>
          </w:tcPr>
          <w:p>
            <w:pPr>
              <w:spacing w:after="0"/>
              <w:rPr>
                <w:sz w:val="18"/>
                <w:szCs w:val="18"/>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24,371</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33,260</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left="880" w:hanging="373"/>
        <w:spacing w:after="0" w:line="275"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our Quarterly Report on Form 10-Q for the quarter ended June 30, 2020, filed with the SEC on August 6, 2020, we announced that we had modified our method for calculating paying dealers to align our data with an enterprise system upgrade, or the Internal System Upgrade, and had replaced our Average Annual Revenue per Subscribing Dealer key metric with Quarterly Average Revenue per Subscribing Dealer, or QARSD. As a result of the Internal System Upgrade, and to provide consistency in our year-to-year comparisons, we have recast our paying dealer calculation as of March 31, 2020 to reflect the updated calculation methodology.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define QARSD, which is measured at the end of a fiscal quarter, as the marketplace subscription revenue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At 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10"/>
        <w:spacing w:after="0" w:line="220"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United States generally accepted accounting principles, or GAAP, and is not necessarily comparable to similarly titled measures presented by other companies.</w:t>
      </w:r>
    </w:p>
    <w:p>
      <w:pPr>
        <w:spacing w:after="0" w:line="204"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6"/>
          <w:szCs w:val="16"/>
          <w:color w:val="auto"/>
        </w:rPr>
        <w:t>We define Adjusted EBITDA as consolidated net income, adjusted to exclude: depreciation and amortization,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acquisition-related expenses, other income, net, the provision for income taxes, and net loss attributable to the minority interest in acquired entities. 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comparisons of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510"/>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consolidated net income, which is the most directly comparable GAAP equivalent. Some of these limitations are:</w:t>
      </w:r>
    </w:p>
    <w:p>
      <w:pPr>
        <w:spacing w:after="0" w:line="76" w:lineRule="exact"/>
        <w:rPr>
          <w:sz w:val="20"/>
          <w:szCs w:val="20"/>
          <w:color w:val="auto"/>
        </w:rPr>
      </w:pPr>
    </w:p>
    <w:p>
      <w:pPr>
        <w:ind w:left="880" w:right="20" w:hanging="373"/>
        <w:spacing w:after="0" w:line="223" w:lineRule="exact"/>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4" w:lineRule="exact"/>
        <w:rPr>
          <w:rFonts w:ascii="Arial" w:cs="Arial" w:eastAsia="Arial" w:hAnsi="Arial"/>
          <w:sz w:val="18"/>
          <w:szCs w:val="18"/>
          <w:color w:val="auto"/>
        </w:rPr>
      </w:pPr>
    </w:p>
    <w:p>
      <w:pPr>
        <w:ind w:left="880" w:hanging="373"/>
        <w:spacing w:after="0" w:line="223" w:lineRule="exact"/>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4" w:lineRule="exact"/>
        <w:rPr>
          <w:rFonts w:ascii="Arial" w:cs="Arial" w:eastAsia="Arial" w:hAnsi="Arial"/>
          <w:sz w:val="18"/>
          <w:szCs w:val="18"/>
          <w:color w:val="auto"/>
        </w:rPr>
      </w:pPr>
    </w:p>
    <w:p>
      <w:pPr>
        <w:jc w:val="both"/>
        <w:ind w:left="880" w:hanging="373"/>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other income, net which primarily includes transition service agreement income, interest income earned on our cash, cash equivalents, and investments, sublease income and net foreign exchange gains and losses;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the provision for income taxes;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the loss attributable to the minority interest in acquired entities, adjusted for all prior limitations to Adjusted EBITDA as described above; and</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a reconciliation of Adjusted EBITDA to consolidated net income, the most directly comparable measure calculated in accordance with GAAP, for each of the periods presented.</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3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22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19,551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8,666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15,393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Adjusted EBITDA</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50,494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50,562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35" w:lineRule="exact"/>
        <w:rPr>
          <w:sz w:val="20"/>
          <w:szCs w:val="20"/>
          <w:color w:val="auto"/>
        </w:rPr>
      </w:pPr>
    </w:p>
    <w:p>
      <w:pPr>
        <w:jc w:val="both"/>
        <w:ind w:firstLine="510"/>
        <w:spacing w:after="0" w:line="221" w:lineRule="exact"/>
        <w:rPr>
          <w:sz w:val="20"/>
          <w:szCs w:val="20"/>
          <w:color w:val="auto"/>
        </w:rPr>
      </w:pPr>
      <w:r>
        <w:rPr>
          <w:rFonts w:ascii="Arial" w:cs="Arial" w:eastAsia="Arial" w:hAnsi="Arial"/>
          <w:sz w:val="17"/>
          <w:szCs w:val="17"/>
          <w:color w:val="auto"/>
        </w:rPr>
        <w:t>We derive revenue from two sources: (1) marketplace subscription revenue, which consists primarily of Listings and Dealer Display subscriptions, and (2) other revenue, which consists primarily of revenue relating to the wholesale sale of automobiles, display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and revenue from partnerships with financing services companies.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(formerly referred to as Basic Listings), which is free; and various levels of Listings packages, which each require a paid subscription under a monthly, quarterly, semiannual, or annual subscription basis.</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at the end of the committed term, although during the second quarter of 2020 we did not require 30 days’ advance notice of termination from dealers who cancelled as a result of the COVID-19 pandemic.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6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addition to displaying inventory in our marketplace and providing access to the Dealer Dashboard, we offer dealers subscribing to certain of our Listings packages other subscription advertising and customer acquisition products and enhancements, including Dealer Display, which is marketed under our Real-time Performance Marketing suite. With Dealer Display, dealers can buy display advertising that appears in our marketplace, on other sites on the internet and/or on Facebook, a highly converting social platform. Such advertisements can be targeted by the user’s geography, search history, CarGurus website activity (including showing a consumer relevant vehicles from a dealer’s inventory that the consumer has not yet discovered on our marketplace), and a number of other targeting factors, allowing dealers to increase their visibility with in-market consumers and drive qualified traffic for dealers.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display products for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Other revenue consists of revenue relating to the wholesale sale of automobiles, which includes transaction fees earned by CarOffer from facilitating the purchase and sale of vehicles between dealers, where CarOffer collects fees from both the buyer and seller. CarOffer may also fulfill buy orders from dealers through the acquisition of vehicles at other marketplaces – in these instances, CarOffer collects a transaction fee from the buyer. CarOffer also charges the buyer fees to perform inspection and transportation services for all wholesale transactions.</w:t>
      </w:r>
    </w:p>
    <w:p>
      <w:pPr>
        <w:spacing w:after="0" w:line="1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Other revenue also consists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Other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display products for the Autolist and PistonHeads websites.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description of our revenue accounting policies, see “— Critical Accounting Policies and Significant Estimates.”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Cost of revenue includes costs incurred to support revenue relating to the wholesale sale of automobiles. These costs include the costs to facilitate the purchase and sale of vehicles between dealers and from fulfilling buy orders from dealers through the acquisition of vehicles at auction. The primary costs incurred for wholesale transactions include the costs to transport and inspect vehicles, certain salaries, benefits, incentive compensation and stock-based compensation for employees directly involved in the fulfillment and support of transactions, allocated overhead costs and other third-party costs. In limited circumstances, typically during an arbitration process, CarOffer acquires vehicles in transactions for which it is deemed to control the vehicle and recognizes the cost of the vehicle through cost of revenue when the vehicle is sold.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1" w:name="page32"/>
    <w:bookmarkEnd w:id="31"/>
    <w:p>
      <w:pPr>
        <w:jc w:val="both"/>
        <w:ind w:firstLine="510"/>
        <w:spacing w:after="0" w:line="273" w:lineRule="auto"/>
        <w:rPr>
          <w:sz w:val="20"/>
          <w:szCs w:val="20"/>
          <w:color w:val="auto"/>
        </w:rPr>
      </w:pPr>
      <w:r>
        <w:rPr>
          <w:rFonts w:ascii="Arial" w:cs="Arial" w:eastAsia="Arial" w:hAnsi="Arial"/>
          <w:sz w:val="17"/>
          <w:szCs w:val="17"/>
          <w:color w:val="auto"/>
        </w:rPr>
        <w:t>Cost of revenue also includes costs related to supporting and hosting our digital product offerings. These costs include salaries, benefits, incentive compensation, and stock-based compensation for our customer support team and third-party service provider costs such as advertising, data center and networking expenses, allocated overhead costs, depreciation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A portion of our commissions that are related to obtaining a new contract is capitalized and amortized over the estimated benefit period of customer relationships. All other sales and marketing costs are expensed as incurred. We expect sales and marketing expenses to fluctuate from quarter to quarter as we respond to the COVID-19 pandemic and changes in the macroeconomic and competitive landscapes affecting our consumer audience and brand awareness, which will impact our quarterly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We expect product, technology, and development expenses to increase as we invest in additional engineering resourcing to develop new solutions and make improvements to our existing platform.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General and administrative costs are expensed as incurred. We expect general and administrative expenses to increase as we continue to scale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Other income, net consists primarily of transition service agreement income, interest income earned on our cash, cash equivalents, and investments, sublease income and net foreign exchange gains and losses.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are subject to federal and state income taxes in the United States and taxes in foreign jurisdictions in which we operate. We have recorded a provision for income taxes for the three months ended March 31, 2021 and 2020.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allowances against our net deferred tax assets as of March 31, 2021 and December 31, 2020 were both immaterial.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 sets forth our selected consolidated income statements data for each of the periods indicated. The period-to-period comparison of financial results is not necessarily indicative of future results.</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center"/>
              <w:ind w:left="45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2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139,565</w:t>
            </w:r>
          </w:p>
        </w:tc>
        <w:tc>
          <w:tcPr>
            <w:tcW w:w="2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141,866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2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31,803</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revenue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171,368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24,058</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147,310</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68,174</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20,514</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121,519</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134,060</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26,013</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Net loss attributable to redeemable noncontrolling interest</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(2,810)</w:t>
            </w:r>
          </w:p>
        </w:tc>
        <w:tc>
          <w:tcPr>
            <w:tcW w:w="5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center"/>
              <w:ind w:left="45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163,011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148,006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2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171,368</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157,689</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2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29,390</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International</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(3,599)</w:t>
            </w: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360" w:type="dxa"/>
            <w:vAlign w:val="bottom"/>
            <w:vMerge w:val="restart"/>
          </w:tcPr>
          <w:p>
            <w:pPr>
              <w:jc w:val="right"/>
              <w:ind w:right="1690"/>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7"/>
          <w:szCs w:val="17"/>
          <w:color w:val="auto"/>
        </w:rPr>
        <w:t>The following table sets forth our selected consolidated income statements data as a percentage of revenue for each of the periods indicated.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 in tables below may not sum due to rounding.</w:t>
      </w:r>
    </w:p>
    <w:p>
      <w:pPr>
        <w:spacing w:after="0" w:line="216"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8"/>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Net loss attributable to redeemable noncontrolling interest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w:t>
            </w: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March 31, 2021 and 2020</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9"/>
          </w:tcPr>
          <w:p>
            <w:pPr>
              <w:ind w:lef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139,565</w:t>
            </w:r>
          </w:p>
        </w:tc>
        <w:tc>
          <w:tcPr>
            <w:tcW w:w="3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141,866</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15,823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15,980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2"/>
                <w:szCs w:val="22"/>
                <w:color w:val="auto"/>
              </w:rPr>
            </w:pPr>
          </w:p>
        </w:tc>
        <w:tc>
          <w:tcPr>
            <w:tcW w:w="260" w:type="dxa"/>
            <w:vAlign w:val="bottom"/>
          </w:tcPr>
          <w:p>
            <w:pPr>
              <w:jc w:val="center"/>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171,368</w:t>
            </w:r>
          </w:p>
        </w:tc>
        <w:tc>
          <w:tcPr>
            <w:tcW w:w="300" w:type="dxa"/>
            <w:vAlign w:val="bottom"/>
          </w:tcPr>
          <w:p>
            <w:pPr>
              <w:spacing w:after="0"/>
              <w:rPr>
                <w:sz w:val="22"/>
                <w:szCs w:val="22"/>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157,689</w:t>
            </w:r>
          </w:p>
        </w:tc>
        <w:tc>
          <w:tcPr>
            <w:tcW w:w="30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13,679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4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30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6"/>
          <w:szCs w:val="16"/>
          <w:color w:val="auto"/>
        </w:rPr>
        <w:t>Overall revenue increased by $13.7 million, or 9%, in the three months ended March 31, 2021 compared to the three months ended March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by 101%, while marketplace subscription revenue decreased by 2%.</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Marketplace subscription revenue decreased by $2.3 million in the three months ended March 31, 2021 compared to the three months ended March 31, 2020 and represented 81% of total revenue for the three months ended March 31, 2021 and 90% of total revenue for the three months ended March 31, 2020. The decrease was due primarily to a 6% decrease in the number of paying dealers to 31,213 at March 31, 2021 from 33,260 at March 31, 2020 as paying dealers cancelled their subscriptions with us (including, in some cases, with our permission prior to the end of the applicable contract term and notice period) as a result of the impact of the COVID-19 pandemic.</w:t>
      </w:r>
    </w:p>
    <w:p>
      <w:pPr>
        <w:spacing w:after="0" w:line="21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Other revenue increased by $16.0 million in the three months ended March 31, 2021 compared to the three months ended March 31, 2020 and represented 19% of total revenue for the three months ended March 31, 2021 and 10% of total revenue for the three months ended March 31, 2020. The increase was primarily due to a $15.6 million increase in wholesale revenue due to our acquisition of a 51% interest in CarOffer.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7"/>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163,011</w:t>
            </w:r>
          </w:p>
        </w:tc>
        <w:tc>
          <w:tcPr>
            <w:tcW w:w="2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148,006</w:t>
            </w:r>
          </w:p>
        </w:tc>
        <w:tc>
          <w:tcPr>
            <w:tcW w:w="22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(1,326)</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171,368</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157,689</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13,679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United States revenue increased $15.0 million, or 10%, in the three months ended March 31, 2021 compared to the three months ended March 31, 2020. The increase was due primarily to a $15.6 million increase in wholesale revenue due to our acquisition of a 51% interest in CarOffer.</w:t>
      </w:r>
    </w:p>
    <w:p>
      <w:pPr>
        <w:spacing w:after="0" w:line="18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International revenue decreased $1.3 million, or 14%, in the three months ended March 31, 2021 compared to the three months ended March 31, 2020. The decrease was due primarily to a 9% decrease in International paying dealers as paying dealers cancelled their subscriptions with us (including, in certain cases, with our permission prior to the end of the applicable contract term and notice period) as a result of the impact of the COVID-19 pandemic.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24,058</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12,448</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revenue increased $12.4 million, or 107%, in the three months ended March 31, 2021 compared to the three months ended March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primarily to $13.1 million in cost of revenue attributable to our wholesale offerings from CarOffer.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3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4"/>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68,174</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(25,421)</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Sales and marketing expenses decreased $25.4 million, or 27%, in the three months ended March 31, 2021 compared to the three months ended March 31, 2020. The decrease was due primarily to a $23.6 million decrease in advertising costs due to a gain in efficiency of algorithmic traffic acquisition and a deliberate reduction in spend as a result of market conditions, primarily strong demand and automotive inventory supply issues. The decrease was also due in part to a $0.6 million decrease in travel related expenses, a $0.5 million decrease in employee expenses due to employees working remotely, a $0.4 million decrease in marketing costs related to events expense, and a $0.4 million decrease in consulting and recruiting expenses. These decreases were primarily the result of cost savings efforts in connection with the COVID-19 pandemic.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25,164</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2,080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Product, technology, and development expenses increased $2.1 million, or 9%, in the three months ended March 31, 2021 compared to the three months ended March 31, 2020. The increase was due primarily to a $2.3 million increase in salaries and employee-related costs. The increase in salaries and employee-related costs was due primarily to an increase in expected bonus attainment in comparison to the three months ended March 31, 2020 due to improved macroeconomic conditions since the outset of the COVID-19 pandemic. The increase was offset in part by a $0.4 million decrease in employee expenses due to employees working remotely. The increase for the three months ended March 31, 2021 is inclusive of product, technology, and development expenses associated with the integration and development of CarOffer technology of $1.0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20,514</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4,654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General and administrative expenses increased $4.7 million, or 29%, in the three months ended March 31, 2021 compared to the three months ended March 31, 2020. The increase was due primarily a $0.9 million increase in salaries and employee-related costs, exclusive of stock-based compensation expense, which increased $3.3 million. The increase in salaries and employee-related costs was due primarily to an increase in expected bonus attainment in comparison to the three months ended March 31, 2020 due to improved macroeconomic conditions since the outset of the COVID-19 pandemic. The increase in stock-based compensation expense was due primarily to annual retention grants. The increase in general and administrative expenses was also due in part to a $0.7 million increase in consulting, tax, and recruiting service expense and a $0.6 million increase in insurance expense. These increases were offset in part by a $0.8 million decrease in bad debt expense. The increase for the three months ended is inclusive of general and administrative expenses associated with CarOffer of $2.0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7,667</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6,146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Depreciation and amortization expenses increased $6.1 million, or 404%, in the three months ended March 31, 2021 compared to the three months ended March 31, 2020, due primarily to an increase in amortization of intangible assets related to the acquired intangible assets from CarOffer.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560" w:type="dxa"/>
            <w:vAlign w:val="bottom"/>
            <w:tcBorders>
              <w:bottom w:val="single" w:sz="8" w:color="auto"/>
            </w:tcBorders>
          </w:tcPr>
          <w:p>
            <w:pPr>
              <w:jc w:val="right"/>
              <w:ind w:right="841"/>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540" w:type="dxa"/>
            <w:vAlign w:val="bottom"/>
            <w:gridSpan w:val="3"/>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60" w:type="dxa"/>
            <w:vAlign w:val="bottom"/>
            <w:shd w:val="clear" w:color="auto" w:fill="CFF0FC"/>
          </w:tcPr>
          <w:p>
            <w:pPr>
              <w:jc w:val="right"/>
              <w:ind w:right="501"/>
              <w:spacing w:after="0"/>
              <w:rPr>
                <w:sz w:val="20"/>
                <w:szCs w:val="20"/>
                <w:color w:val="auto"/>
              </w:rPr>
            </w:pPr>
            <w:r>
              <w:rPr>
                <w:rFonts w:ascii="Arial" w:cs="Arial" w:eastAsia="Arial" w:hAnsi="Arial"/>
                <w:sz w:val="18"/>
                <w:szCs w:val="18"/>
                <w:color w:val="auto"/>
              </w:rPr>
              <w:t>222</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(506)</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jc w:val="right"/>
              <w:ind w:right="321"/>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Total other income, net decreased $0.5 million, or 70%, in the three months ended March 31, 2021 compared to the three months ended March 31, 2020, due primarily to a $0.5 million decrease in interest income as a result of a decline in interest rates associated with our investments in certificates of deposit during the three months ended March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4"/>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6,462</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6,411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provision for income taxes recorded during the three months ended March 31, 2021, as compared to the provision for income taxes recorded during the three months ended March 31, 2020 was principally due to increased profitability in excess of tax attributes available to offset. Additionally, there was an immaterial amount of tax expense related to shortfalls on the taxable compensation of share-based awards recorded during the three months ended March 31, 2021, compared to $1.2 million of tax benefit related to excess stock-based compensation deductions recorded during the three months ended March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7"/>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29,390</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International</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20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25,791</w:t>
            </w:r>
          </w:p>
        </w:tc>
        <w:tc>
          <w:tcPr>
            <w:tcW w:w="2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18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Percentage of segment revenue:</w:t>
            </w:r>
          </w:p>
        </w:tc>
        <w:tc>
          <w:tcPr>
            <w:tcW w:w="25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56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18%</w:t>
            </w:r>
          </w:p>
        </w:tc>
        <w:tc>
          <w:tcPr>
            <w:tcW w:w="3460" w:type="dxa"/>
            <w:vAlign w:val="bottom"/>
            <w:shd w:val="clear" w:color="auto" w:fill="CFF0FC"/>
          </w:tcPr>
          <w:p>
            <w:pPr>
              <w:jc w:val="right"/>
              <w:ind w:right="2510"/>
              <w:spacing w:after="0"/>
              <w:rPr>
                <w:sz w:val="20"/>
                <w:szCs w:val="20"/>
                <w:color w:val="auto"/>
              </w:rPr>
            </w:pPr>
            <w:r>
              <w:rPr>
                <w:rFonts w:ascii="Arial" w:cs="Arial" w:eastAsia="Arial" w:hAnsi="Arial"/>
                <w:sz w:val="18"/>
                <w:szCs w:val="18"/>
                <w:color w:val="auto"/>
              </w:rPr>
              <w:t>14%</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International</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3460" w:type="dxa"/>
            <w:vAlign w:val="bottom"/>
          </w:tcPr>
          <w:p>
            <w:pPr>
              <w:jc w:val="right"/>
              <w:ind w:right="2450"/>
              <w:spacing w:after="0"/>
              <w:rPr>
                <w:sz w:val="20"/>
                <w:szCs w:val="20"/>
                <w:color w:val="auto"/>
              </w:rPr>
            </w:pPr>
            <w:r>
              <w:rPr>
                <w:rFonts w:ascii="Arial" w:cs="Arial" w:eastAsia="Arial" w:hAnsi="Arial"/>
                <w:sz w:val="18"/>
                <w:szCs w:val="18"/>
                <w:color w:val="auto"/>
              </w:rPr>
              <w:t>(85)%</w:t>
            </w:r>
          </w:p>
        </w:tc>
      </w:tr>
    </w:tbl>
    <w:p>
      <w:pPr>
        <w:spacing w:after="0" w:line="24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United States income from operations increased $9.1 million, or 45%, in the three months ended March 31, 2021 compared to the three months ended March 31, 2020. This increase was due to increases in revenue of $15.0 million, increases in cost of revenue of $13.1 million and decreases in operating expenses of $7.2 million related to cost-savings efforts in connection with the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ind w:firstLine="510"/>
        <w:spacing w:after="0" w:line="263" w:lineRule="auto"/>
        <w:rPr>
          <w:sz w:val="20"/>
          <w:szCs w:val="20"/>
          <w:color w:val="auto"/>
        </w:rPr>
      </w:pPr>
      <w:r>
        <w:rPr>
          <w:rFonts w:ascii="Arial" w:cs="Arial" w:eastAsia="Arial" w:hAnsi="Arial"/>
          <w:sz w:val="18"/>
          <w:szCs w:val="18"/>
          <w:color w:val="auto"/>
        </w:rPr>
        <w:t>International loss from operations decreased $4.6 million, or 56%, in the three months ended March 31, 2021 compared to the three months ended March 31, 2020. The decrease was due to decreases in revenue of $1.3 million, decreases in operating expenses of $5.3 million and decreases in cost of revenue of $0.6 million related to cost-savings efforts in connection with the COVID-19 pandemic.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March 31, 2021 and December 31, 2020, our principal sources of liquidity were cash and cash equivalents of $140.7 million and $190.3 million, respectively, and investments in certificates of deposit with terms of greater than 90 days but less than one year of $100.0 million at both March 31, 2021 and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69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(68,092)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(19,043)</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(2,892)</w:t>
            </w: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operations have been financed primarily from operating activities. We generated cash from operating activities of $43.9 million during the three months ended March 31, 2021, and $10.1 million during the three months ended March 31, 2020.</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Quarterly Report. During the second quarter of 2020 in connection with the COVID-19 pandemic, we implemented the Expense Reduction Plan, pursuant to which we reduced our workforce, ceased operation of certain international marketplaces, halted expansion efforts in any new international markets, and implemented targeted reductions in sales and marketing expenses, including across both algorithmic traffic acquisition and brand spend, and discretionary operating expenses. Our future capital requirements will depend on many factors, including the further impact of the COVID-19 pandemic, our revenue, costs associated with our sales and marketing activities and the support of our product, technology, and development efforts, our investments in international markets, and the timing and extent of our cost savings related to the Expense Reduction Plan. Cash from operations could also be affected by various risks and uncertainties, including, but not limited to, the effects of the COVID-19 pandemic and other risks detailed in the “Risk Factors” section of this Quarterly Report.</w:t>
      </w:r>
    </w:p>
    <w:p>
      <w:pPr>
        <w:spacing w:after="0" w:line="18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 including due to increased volatility in the capital markets attributable to the COVID-19 pandemic.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Cash provided by operating activities of $43.9 million during the three months ended March 31, 2021 was due primarily to consolidated net income of $19.6 million, adjusted for $14.4 million of stock-based compensation expense for equity classified awards, $8.7 million of depreciation and amortization, $3.2 million of amortization of deferred contract costs, and $0.4 million of provision for doubtful accounts. Cash provided by operating activities was also attributable to a $4.9 million increase in accounts payable and a $2.9 million increase in deferred revenue. The increases in cash flow from operations were partially offset by a $3.5 million increase in deferred contract costs, a $2.4 million increase in accounts receivable, net, a $2.2 million increase in prepaid expenses, prepaid income taxes, and other assets, and a $1.6 million decrease in accrued expenses, accrued income taxes, and other liabilities.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ind w:firstLine="510"/>
        <w:spacing w:after="0" w:line="272" w:lineRule="auto"/>
        <w:rPr>
          <w:sz w:val="20"/>
          <w:szCs w:val="20"/>
          <w:color w:val="auto"/>
        </w:rPr>
      </w:pPr>
      <w:r>
        <w:rPr>
          <w:rFonts w:ascii="Arial" w:cs="Arial" w:eastAsia="Arial" w:hAnsi="Arial"/>
          <w:sz w:val="17"/>
          <w:szCs w:val="17"/>
          <w:color w:val="212529"/>
        </w:rPr>
        <w:t>Cash provided by operating activities of $10.1 million during the three months ended March 31, 2020 was due primarily to consolidated net income of $12.7 million, adjusted for $11.6 million of stock-based compensation expense for equity classified awards, $5.5 million of deferred taxes, $3.0 million of depreciation and amortization, $2.8 million of amortization of deferred contract costs and $1.2 million of provision for doubtful accounts. Cash provided by operating activities was also attributable to a $5.4 million decrease in accounts receivable. The increases in cash flow from operations were partially offset by an $11.0 million increase in prepaid expenses, prepaid income taxes, and other assets, a $7.4 million decrease in accounts payable, a $4.9 million decrease in deferred revenue, a $4.4 million decrease in accrued expenses, accrued income taxes, and other liabilities, a $3.3 million increase in deferred contract costs, and a $0.7 million decrease in lease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investing activities of $68.1 million during the three months ended March 31, 2021 was due to $65.9 million of cash paid for acquisitions, net of cash acquired, $1.2 million of purchases of property and equipment and $1.0 million related to the capitalization of website development costs.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provided by investing activities of $7.5 million during the three months ended March 31, 2020 was due to maturities of certificates of deposit of $30.4 million, offset in part by $21.0 million of cash paid for acquisitions, net of cash acquired, $1.2 million of purchases of property and equipment and $0.7 million related to the capitalization of website development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$19.0 million during the three months ended March 31, 2021 was due primarily to the repayment of line of credit of $14.3 million and payment of withholding taxes on net share settlements of restricted stock units of $5.0 million, partially offset by $0.3 million related to the proceeds from the issuance of common stock related to the exercise of vested stock options.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financing activities of $2.9 million during the three months ended March 31, 2020 was due primarily to the payment of withholding taxes on net share settlements of restricted stock units of $3.4 million, partially offset by $0.5 million related to the proceeds from the issuance of common stock related to the exercise of vested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2021,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March 31, 2021 and December 31, 2020, we did not have any off-balance sheet arrangements, or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recorded in the period in which they become known.</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sales allowance and variable consideration in our revenue recognition, allowance for doubtful accounts, the valuation of redeemable noncontrolling interest, valuation of equity and liability-classified compensation awards under ASC 718, the expensing and capitalization of product, technology, and development costs for website development and internal-use software, the valuation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recoverability of goodwill, intangible assets and other long-lived assets, and the recoverability of our net deferred tax assets and related valuation allowance. Accordingly, we consider these to be our critical accounting policies.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a detailed explanation of the judgments made in these areas, refer Note 2 to our Unaudited Condensed Consolidated Financial Statements appearing elsewhere in this Quarterly Report and “Management’s Discussion and Analysis of Financial Condition and Results of Operations” in our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March 31, 2021 or at December 31, 2020.</w:t>
      </w:r>
    </w:p>
    <w:p>
      <w:pPr>
        <w:spacing w:after="0" w:line="22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had cash, cash equivalents, and investments of $240.7 million and $290.3 million at March 31, 2021 and December 31, 2020, respectively, which consisted of bank deposits, money market funds and certificates of deposit with maturity dates ranging from six to nine months.</w:t>
      </w:r>
    </w:p>
    <w:p>
      <w:pPr>
        <w:spacing w:after="0" w:line="173"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March 31, 2021 and December 31, 2020, we had foreign currency exposures in the British pound, the Euro and the Canadian dollar, although such exposure is not significant.</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net. Exchange rate fluctuations on long-term intercompany accounts are recorded in our Unaudited Condensed Consolidated Balance Sheets under the heading accumulated other comprehensive income.</w:t>
      </w:r>
    </w:p>
    <w:p>
      <w:pPr>
        <w:spacing w:after="0" w:line="17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we expect it to continue to be, adversely affected by the COVID-19 pandemic.</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COVID-19 pandemic has caused an international health crisis and resulted in significant disruptions to the global economy as well as businesses and capital markets around the world. Our operations have been materially adversely affected by a range of factors related to the COVID-19 pandemic. In March 2020, we temporarily closed all of our offices and began requiring our employees to work remotely until further notice, which has disrupted and may continue to disrupt how we operate our business. In addition, in an effort to limit the spread of COVID-19, many countries, as well as states and localities in the United States, implemented or mandated and continue to implement or mandate significant restrictions on travel and commerce, shelter-in-place or stay-at-home orders, and business closures. Fluctuation in infection rates in the regions in which we operate has resulted in periodic changes in restrictions that vary from region to region and may require rapid response to new or reinstated orders. Many of these orders resulted in, and may continue to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18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automotive industry is also facing, and may continue to face, inventory supply problems, including for reasons attributable to the COVID-19 pandemic and other macroeconomic issues, such as the global semiconductor chip shortage.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Instant Market Values, or IMV, and distribution of Deal Ratings. In addition, if our paying dealers continue to operate at reduced inventory levels or with increased costs, they may reduce or be unwilling to increase their advertising spend with us and/or may terminate their subscriptions at the conclusion of the committed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which could contribute to a decline in the number of consumer visits to our websites and/or the number of connections between consumers and dealers through our marketplaces. These inventory-related issues resulting from the COVID-19 pandemic and other macroeconomic issues may materially and adversely impact our business, financial condition and results of operations.</w:t>
      </w:r>
    </w:p>
    <w:p>
      <w:pPr>
        <w:spacing w:after="0" w:line="17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a result of the travel and commerce restrictions and the impact on their businesses, a number of our dealer customers temporarily closed or are operating on a reduced capacity, and many dealerships are facing significant financial challenges. Such closures and circumstances led some paying dealers to cancel their subscriptions and/or reduce their spending with us, which has had and may continue to have a material adverse effect on our revenues and on our business. Additionally, in response to the increasing cancelations and the drop in consumer demand at the beginning of the COVID-19 pandemic, we reduced our spending on brand advertising and traffic acquisition, which contributed to fewer consumers using our platform during the year ended December 31, 2020 and the three months ended March 31, 2021 compared to the prior periods, which in turn has, and may continue to, materially and adversely affect our business. While we have since restored a portion of that historical consumer spend, we may not in the future fully restore prior spending levels if we elect to redirect our investments elsewhere, including in favor of new product development. If such a strategy were not to result in the benefits that we expect, our business could be harmed. Our business relies on the ability of consumers to borrow funds to acquire automobiles and banks and other financing companies may limit or restrict lending to consumers as a result of the economic impacts of the COVID-19 pandemic, which may also materially and adversely affect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510"/>
        <w:spacing w:after="0" w:line="270" w:lineRule="auto"/>
        <w:rPr>
          <w:sz w:val="20"/>
          <w:szCs w:val="20"/>
          <w:color w:val="auto"/>
        </w:rPr>
      </w:pPr>
      <w:r>
        <w:rPr>
          <w:rFonts w:ascii="Arial" w:cs="Arial" w:eastAsia="Arial" w:hAnsi="Arial"/>
          <w:sz w:val="17"/>
          <w:szCs w:val="17"/>
          <w:color w:val="auto"/>
        </w:rPr>
        <w:t>Further, because of the significant financial challenges that dealerships have faced and continue to face as a result of the COVID-19 pandemic, we took measures to help our paying dealers maintain their business health during the COVID-19 pandemic, including by proactively reducing the subscription fees for paying dealers for certain service periods. As a result, the level of fees we received from paying dealers materially decreased during the year ended December 31, 2020, resulting in a material decline in our revenue and a material adverse effect to our business. In addition, despite our proactive fee reductions during the second quarter of 2020, we experienced increased customer cancellation rates and slowed paying dealer additions, which materially and adversely affected our business for the year ended December 31, 2020. We may again in the future experience slowed paying dealer additions and as a result may decide to re-institute further billings relief as we continue to assess the effects of the COVID-19 pandemic on our paying dealers and business operations. During the COVID-19 pandemic, we have also experienced, and may continue to experience, increased account delinquencies from dealer customers challenged by the COVID-19 pandemic that failed to pay us on time or at all.</w:t>
      </w:r>
    </w:p>
    <w:p>
      <w:pPr>
        <w:spacing w:after="0" w:line="181"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These effects from the COVID-19 pandemic on our revenue caused us to implement certain cost-savings measures across our business, which disrupted our business and operations during the year ended December 31, 2020. For example, during the second quarter of 2020, we initiated a cost-savings initiative that included a reduction in our workforce, a limitation in discretionary spend across our business and our ceasing of certain international operations and expansion efforts. We also reduced consumer marketing across both algorithmic traffic acquisition and brand spend during the year ended December 31, 2020 in comparison to the prior year in an effort to reduce expenses and as a result of suppressed dealer inventory and resulting reduced demand for leads from dealers. Despite these measures, we may not achieve the costs savings or attract consumer visits at the levels we expect, which would adversely impact our cash flows and financial condition. These expense reduction activities, and any future cost savings actions that we may take, may yield unintended consequences, such as loss of key employees, undesired attrition, and the risk that we may not achieve the anticipated cost savings at the levels we expect, any of which may have a material adverse effect on our results of operations and/or financial condition. If the COVID-19 pandemic materially impacts our revenues in the future, we may also decide that additional disruptive measures are necessary to reduce our operating expenses.</w:t>
      </w:r>
    </w:p>
    <w:p>
      <w:pPr>
        <w:spacing w:after="0" w:line="16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global nature of the COVID-19 pandemic has also had, and will continue to have, a significant impact on our international businesses. Due to the crisis, we ceased marketplace operations in Germany, Italy, and Spain, and halted any new international expansion efforts, which we believe will allow us to focus our financial and human capital resources on our more established international markets in Canada and the United Kingdom. Failure by us to succeed in these two markets, however, would materially and adversely affect our business and potential growth.</w:t>
      </w:r>
    </w:p>
    <w:p>
      <w:pPr>
        <w:spacing w:after="0" w:line="17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continue to monitor and assess the effects of the COVID-19 pandemic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of vaccines, shifts in behavior going forward, and the length or severity of the travel and commerce restrictions imposed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primary source of revenue consists of subscription fees paid to us by dealers for access to enhanced features on our automotive marketplaces. Our subscription agreements with dealers generally may be terminated by us with 30 days’ notice and by dealers with 30 days’ notice at the end of the committed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a result of the COVID-19 pandemic, many paying dealers cancelled their subscriptions with us (including, in some cases, with our permission prior to the end of the applicable contract term and notice period), which caused a material adverse impact on our revenues during the year ended December 31, 2020, and it is possible that additional dealers will cancel their subscriptions as they continue to experience the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at the conclusion of the committed term. If we fail to maintain or expand our base of paying dealers or fail to maintain or increase the level of fees that we receive from them, our business and financial results would be materially and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jc w:val="both"/>
        <w:ind w:firstLine="510"/>
        <w:spacing w:after="0" w:line="254" w:lineRule="auto"/>
        <w:rPr>
          <w:sz w:val="20"/>
          <w:szCs w:val="20"/>
          <w:color w:val="auto"/>
        </w:rPr>
      </w:pPr>
      <w:r>
        <w:rPr>
          <w:rFonts w:ascii="Arial" w:cs="Arial" w:eastAsia="Arial" w:hAnsi="Arial"/>
          <w:sz w:val="18"/>
          <w:szCs w:val="18"/>
          <w:color w:val="auto"/>
        </w:rPr>
        <w:t>We allow dealers to list their inventory in CarGurus marketplaces for free; however, we impose certain limitations on such free listings, such as capping the number of leads that non-paying dealers in the U.S. may receive within a 30-day period,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non-paying dealers to receive fewer leads and connections, which may make it more difficult for us to convert such dealers to paying dealers. If dealers do not subscribe to our paid offerings at the rates we expect, our business and financial results would be materially and adversely affected.</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 significant amount of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195"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COVID-19 pandemic, some advertisers have cancelled or reduced their advertising with us, which has caused a material adverse impact on our revenues during the year ended December 31, 2020 compared to the prior period, and it is possible that advertising customers will continue to cancel or reduce their advertising with us as they continue to experience the effects of the COVID-19 pandemic. In addition, a reduction in consumer visits to our sites as a result of the COVID-19 pandemic resulted in the delivery of fewer impressions for our advertising customers than anticipated during the year ended December 31, 2020 and the three months ended March 31, 2021 compared to the prior periods,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fully realize anticipated transaction synergies from our acquisition of a 51% interest in CarOffer, or if the CarOffer business fails to grow at the rate we expect, our revenue and business would be harmed.</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January 2021, we completed our acquisition of a 51% interest in CarOffer, which adds wholesale vehicle acquisition and selling capabilities to our portfolio of dealer offerings. Achievement of our anticipated transaction synergies and our ability to grow the CarOffer business depends on a number of factors, including, but not limited to, our ability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If our anticipated transaction synergies do not fully materialize and/or the CarOffer business fails to grow at the rate we expect, our revenue and business would be harmed.</w:t>
      </w:r>
    </w:p>
    <w:p>
      <w:pPr>
        <w:spacing w:after="0" w:line="17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Inventory challenges in the automotive industry, including for reasons attributable to the COVID-19 pandemic, could also contribute to a decrease in the supply of vehicles coming to the wholesale market and reduce the number of vehicles sold on the CarOffer platform. An inability by CarOffer to retain customers and/or increase or find alternative sources of vehicle supply would adversely impact our revenue and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16"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less successful than our competitors’ internet search engine optimization efforts, our ability to attract a large consumer audience could diminish and traffic to our marketplaces could decline. In addition, internet 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We anticipate that over time we may reach a point when investments in our current products are less productive and the growth of our revenue will require more focus on developing new products for consumers and dealers. These new products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impact of the COVID-19 pandemic and our cost-savings initiatives on our business. These product, technology, and development expenses may include costs of hiring additional personnel, engaging third-party service providers and conducting other research and development activities.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5"/>
          <w:szCs w:val="15"/>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as a result of suppressed dealer inventory and resulting reduced demand for leads by dealers since the onset of the COVID-19 pandemic, we reduced our brand spend and we may decide to continue to suppress our brand spend in the future depending on the continued impact of the COVID-19 pandemic.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17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18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past growth is not indicative of our future growth, and our ability to grow our revenue in the future is uncertain due to the impact of the COVID-19 pandemic.</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revenue decreased to $551.5 million for the year ended December 31, 2020 from $588.9 million for the year ended December 31, 2019, representing a 6% decrease between such periods – which we primarily attribute to the approximately $50 million impact of fee reductions that we provided to our paying dealers during the second quarter of 2020 in response to the COVID-19 pandemic – and increased to $171.4 million for the three months ended March 31, 2021 from $157.7 million for the three months ended March 31, 2020, representing a 9% increase between such periods. Our revenue for the remainder of 2021 and beyond may continue to be impacted by the COVID-19 pandemic.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further or fails to grow, investors’ perceptions of our business may be adversely affected, and the market price of our Class A common stock could decline.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6"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particularly as a result of the COVID-19 pandemic, may also have an adverse effect on our ability to obtain debt financing.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While we ceased operations of our marketplaces in Germany, Italy and Spain and stopped development of emerging marketplaces, we continue to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expect to continue to incur losses in the United Kingdom and Canada, and face various other challenges.</w:t>
      </w:r>
    </w:p>
    <w:p>
      <w:pPr>
        <w:spacing w:after="0" w:line="18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For example, in the United Kingdom and Canada, we were not the first market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1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1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spacing w:after="0" w:line="290" w:lineRule="auto"/>
        <w:rPr>
          <w:sz w:val="20"/>
          <w:szCs w:val="20"/>
          <w:color w:val="auto"/>
        </w:rPr>
      </w:pPr>
      <w:r>
        <w:rPr>
          <w:rFonts w:ascii="Arial" w:cs="Arial" w:eastAsia="Arial" w:hAnsi="Arial"/>
          <w:sz w:val="16"/>
          <w:szCs w:val="16"/>
          <w:color w:val="auto"/>
        </w:rPr>
        <w:t>Qualified individuals are in high demand, and we may incur significant costs to attract and retain them, and we may become less competitive in attracting and retaining employees as a result of our expense reduction efforts due to the COVID-19 pandemic. 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6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January 2021, we announced the promotion of Jason Trevisan from Chief Financial Officer and President, International to the role of Chief Executive Officer, and the transition of Langley Steinert from Chief Executive Officer to Executive Chairman. Additionally, Scot Fredo, our former Senior Vice President, Financial Planning &amp; Analysis, was appointed to succeed Jason Trevisan in the role of Chief Financial Officer. In November 2020, we announced that we had mutually agreed to terms of the separation from the Company of Kyle Lomeli as Chief Technology Officer during 2021. We may face risks related to these and other transitions in our leadership team, including the disruption of our operations and the depletion of our institutional knowledge base.</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marketplaces and could result in legal disputes.</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3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17"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9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platforms enable us, dealers, and users to send and receive text messages and other mobile phone communications. The TCPA, as interpreted and implemented by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19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Other Laws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18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6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adversely affect dealers and car manufacturers and lead to a reduction in other spending by these groups, including targeted incentive programs.</w:t>
      </w:r>
    </w:p>
    <w:p>
      <w:pPr>
        <w:spacing w:after="0" w:line="23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ongoing effects of the COVID-19 pandemic. These factors could have a material adverse effect on our business, revenue, results of operations, and financial condition.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marketplaces may cause us to forgo short-term gains in pursuit of potential but uncertain long-term growth.</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marketplaces, even if such decisions negatively impact our results of operations in the short term. For example, during select monthly service periods in 2020 and 2021 we provided paying dealers with marketplace subscriptions at no cost or at a discount in an effort to help our paying dealers maintain their business health during the COVID-19 pandemic. However, such strategies may not result in the long-term benefits that we expect, in which case our user traffic and engagement, business, and financial results could be harmed.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or electronic break-ins,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78"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United States near each of Boston, Massachusetts and Dallas, Texas, and internationally near each of London, England and Dublin, Ireland. Although we can host our U.S. CarGurus’ marketplace from two alternative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6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18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1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Some functions of our marketplaces involve the storage and transmission of consumers’ information, such as IP addresses, contact information of users who connect with dealers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jc w:val="both"/>
        <w:spacing w:after="0" w:line="288" w:lineRule="auto"/>
        <w:rPr>
          <w:sz w:val="20"/>
          <w:szCs w:val="20"/>
          <w:color w:val="auto"/>
        </w:rPr>
      </w:pPr>
      <w:r>
        <w:rPr>
          <w:rFonts w:ascii="Arial" w:cs="Arial" w:eastAsia="Arial" w:hAnsi="Arial"/>
          <w:sz w:val="16"/>
          <w:szCs w:val="16"/>
          <w:color w:val="auto"/>
        </w:rPr>
        <w:t>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68"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16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curtail or stop use of our marketplaces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1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7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 xml:space="preserve">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and the Virginia Consumer Data Protection Act, or the VCDPA, each of which goes into effect on January 1, 2023. The GDPR and CCPA in particular have already required, and along with the CPRA and VCDPA,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of the Court of Justice of the EU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CPRA or VCDPA requirements.</w:t>
      </w:r>
    </w:p>
    <w:p>
      <w:pPr>
        <w:spacing w:after="0" w:line="18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spacing w:after="0" w:line="375"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CPRA and VCDPA;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16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15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16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our trademarks. We have registered the CARGURUS and CG logos, as well as the word-mark CARGURUS, in the U.S., Canada and the United Kingdom.</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7"/>
          <w:szCs w:val="17"/>
          <w:color w:val="auto"/>
        </w:rPr>
        <w:t>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As consumer automotive purchases slow in the fourth quarter, our rate of marketing spend typically also slows. This seasonality has not been immediately apparent historically due to the overall growth of other operating expenses. In addition, reduction of our marketing spend in response to COVID-19-related expense management and shifts in demand from dealers and consumers could impact the efficiency of our marketing spend. For example, a larger portion of our advertising may run during peak holiday seasonality for retail advertisers, inflating our media costs. As our growth rates moderate or cease, the impact of these seasonality trends and other influences on our results of operations could become more pronounced.</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ind w:firstLine="510"/>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19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COVID-19 pandemic.</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face significant competition from companies that provide listings, car-shopping information, lead generation, marketing, wholesale, and car-buying services designed to help consumers and dealers shop for cars and to enable dealers to reach these consumers. Our competitors include: online automotive marketplaces and websites; internet search engines; peer to peer marketplaces; social media marketplaces; sites operated by automobile dealers; online dealerships; and vehicle auction companies. We compete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19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6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2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Our success depends upon our relationships with third parties, including, among others, our payment processor, our data center hosts, our information technology providers and our data providers for inventory and vehicle information.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6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2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3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5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16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jc w:val="both"/>
        <w:spacing w:after="0" w:line="311" w:lineRule="auto"/>
        <w:rPr>
          <w:sz w:val="20"/>
          <w:szCs w:val="20"/>
          <w:color w:val="auto"/>
        </w:rPr>
      </w:pPr>
      <w:r>
        <w:rPr>
          <w:rFonts w:ascii="Arial" w:cs="Arial" w:eastAsia="Arial" w:hAnsi="Arial"/>
          <w:sz w:val="16"/>
          <w:szCs w:val="16"/>
          <w:color w:val="auto"/>
        </w:rPr>
        <w:t>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revenue and results of operations could vary significantly from period to period and may fail to match expectations as a result of a variety of factors, some of which are outside of our control, including the effects of the COVID-19 pandemic.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17"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 xml:space="preserve">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For example, we are currently under federal employment tax audit for tax years 2016</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2018; and New York State sales and uses tax audit for tax years 2014 – 2020. Any adverse development or outcome in connection with these tax audits, and any other audits or litigation, could materially and adversely impact our effective tax rate, tax payments, results of operations, financial condition and cash flows.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518"/>
        <w:spacing w:after="0" w:line="279" w:lineRule="auto"/>
        <w:tabs>
          <w:tab w:leader="none" w:pos="762"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May 4, 2021, we entered into an Amendment to Separation Agreement with Kyle Lomeli, our Chief Technology Officer, pursuant to which his separation date will be extended from May 14, 2021 to July 1, 2021. As a result, the period during which Mr. Lomeli (i) will receive his cash severance payment and (ii) be eligible to participate in our medical and dental insurance plans at our expense was extended to April 1, 2022. The foregoing summary is qualified in its entirety by reference to the Amendment to Separation Agreement which is filed herewith as 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02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vMerge w:val="restart"/>
          </w:tcPr>
          <w:p>
            <w:pPr>
              <w:spacing w:after="0"/>
              <w:rPr>
                <w:sz w:val="10"/>
                <w:szCs w:val="10"/>
                <w:color w:val="auto"/>
              </w:rPr>
            </w:pP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80" w:type="dxa"/>
            <w:vAlign w:val="bottom"/>
            <w:vMerge w:val="restart"/>
          </w:tcPr>
          <w:p>
            <w:pPr>
              <w:spacing w:after="0"/>
              <w:rPr>
                <w:sz w:val="10"/>
                <w:szCs w:val="10"/>
                <w:color w:val="auto"/>
              </w:rPr>
            </w:pPr>
          </w:p>
        </w:tc>
        <w:tc>
          <w:tcPr>
            <w:tcW w:w="11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File</w:t>
            </w:r>
          </w:p>
        </w:tc>
        <w:tc>
          <w:tcPr>
            <w:tcW w:w="16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Filing</w:t>
            </w: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Exhibit</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5020" w:type="dxa"/>
            <w:vAlign w:val="bottom"/>
            <w:tcBorders>
              <w:bottom w:val="single" w:sz="8" w:color="auto"/>
            </w:tcBorders>
            <w:gridSpan w:val="16"/>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0"/>
        </w:trPr>
        <w:tc>
          <w:tcPr>
            <w:tcW w:w="800" w:type="dxa"/>
            <w:vAlign w:val="bottom"/>
          </w:tcPr>
          <w:p>
            <w:pPr>
              <w:ind w:left="10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4820" w:type="dxa"/>
            <w:vAlign w:val="bottom"/>
            <w:tcBorders>
              <w:bottom w:val="single" w:sz="8" w:color="0000EE"/>
            </w:tcBorders>
            <w:gridSpan w:val="12"/>
          </w:tcPr>
          <w:p>
            <w:pP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Membership Interest Purchase Agreement dated as of December 9,</w:t>
              </w:r>
            </w:hyperlink>
          </w:p>
        </w:tc>
        <w:tc>
          <w:tcPr>
            <w:tcW w:w="240" w:type="dxa"/>
            <w:vAlign w:val="bottom"/>
            <w:gridSpan w:val="5"/>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001-38233</w:t>
            </w:r>
          </w:p>
        </w:tc>
        <w:tc>
          <w:tcPr>
            <w:tcW w:w="60" w:type="dxa"/>
            <w:vAlign w:val="bottom"/>
          </w:tcPr>
          <w:p>
            <w:pPr>
              <w:spacing w:after="0"/>
              <w:rPr>
                <w:sz w:val="24"/>
                <w:szCs w:val="2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February 12, 2021</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2020, as amended, by and among the Registrant, CarOffer, LLC,</w:t>
              </w:r>
            </w:hyperlink>
          </w:p>
        </w:tc>
        <w:tc>
          <w:tcPr>
            <w:tcW w:w="40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CarOffer Investors Holding, LLC (“TopCo”), the Members of TopCo</w:t>
              </w:r>
            </w:hyperlink>
          </w:p>
        </w:tc>
        <w:tc>
          <w:tcPr>
            <w:tcW w:w="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and Bruce T. Thompson</w:t>
              </w:r>
              <w:r>
                <w:rPr>
                  <w:rFonts w:ascii="Arial" w:cs="Arial" w:eastAsia="Arial" w:hAnsi="Arial"/>
                  <w:sz w:val="18"/>
                  <w:szCs w:val="18"/>
                  <w:color w:val="000000"/>
                </w:rPr>
                <w:t>.</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9"/>
              </w:rPr>
            </w:pPr>
            <w:hyperlink r:id="rId83">
              <w:r>
                <w:rPr>
                  <w:rFonts w:ascii="Arial" w:cs="Arial" w:eastAsia="Arial" w:hAnsi="Arial"/>
                  <w:sz w:val="18"/>
                  <w:szCs w:val="18"/>
                  <w:color w:val="0000EE"/>
                  <w:w w:val="99"/>
                </w:rPr>
                <w:t>Form of Executive Nonqualified Stock Option Grant Agreement</w:t>
              </w:r>
            </w:hyperlink>
            <w:r>
              <w:rPr>
                <w:rFonts w:ascii="Arial" w:cs="Arial" w:eastAsia="Arial" w:hAnsi="Arial"/>
                <w:sz w:val="18"/>
                <w:szCs w:val="18"/>
                <w:color w:val="000000"/>
                <w:w w:val="99"/>
              </w:rPr>
              <w:t>.</w:t>
            </w:r>
          </w:p>
        </w:tc>
        <w:tc>
          <w:tcPr>
            <w:tcW w:w="12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10-K</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60" w:type="dxa"/>
            <w:vAlign w:val="bottom"/>
          </w:tcPr>
          <w:p>
            <w:pPr>
              <w:spacing w:after="0"/>
              <w:rPr>
                <w:sz w:val="17"/>
                <w:szCs w:val="17"/>
                <w:color w:val="auto"/>
              </w:rPr>
            </w:pPr>
          </w:p>
        </w:tc>
        <w:tc>
          <w:tcPr>
            <w:tcW w:w="162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February 12, 2021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10.4.1</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464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Form of Executive Performance-Based Restricted Stock Unit</w:t>
              </w:r>
            </w:hyperlink>
          </w:p>
        </w:tc>
        <w:tc>
          <w:tcPr>
            <w:tcW w:w="420" w:type="dxa"/>
            <w:vAlign w:val="bottom"/>
            <w:gridSpan w:val="10"/>
          </w:tcPr>
          <w:p>
            <w:pPr>
              <w:spacing w:after="0"/>
              <w:rPr>
                <w:sz w:val="17"/>
                <w:szCs w:val="17"/>
                <w:color w:val="auto"/>
              </w:rPr>
            </w:pPr>
          </w:p>
        </w:tc>
        <w:tc>
          <w:tcPr>
            <w:tcW w:w="12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10-K</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60" w:type="dxa"/>
            <w:vAlign w:val="bottom"/>
          </w:tcPr>
          <w:p>
            <w:pPr>
              <w:spacing w:after="0"/>
              <w:rPr>
                <w:sz w:val="17"/>
                <w:szCs w:val="17"/>
                <w:color w:val="auto"/>
              </w:rPr>
            </w:pPr>
          </w:p>
        </w:tc>
        <w:tc>
          <w:tcPr>
            <w:tcW w:w="162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February 12, 2021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10.4.3</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Agreement</w:t>
              </w:r>
              <w:r>
                <w:rPr>
                  <w:rFonts w:ascii="Arial" w:cs="Arial" w:eastAsia="Arial" w:hAnsi="Arial"/>
                  <w:sz w:val="18"/>
                  <w:szCs w:val="18"/>
                  <w:color w:val="000000"/>
                </w:rPr>
                <w:t>.</w:t>
              </w:r>
            </w:hyperlink>
          </w:p>
        </w:tc>
        <w:tc>
          <w:tcPr>
            <w:tcW w:w="66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Offer Letter, dated December 4, 2015, by and between the Registrant</w:t>
              </w:r>
            </w:hyperlink>
          </w:p>
        </w:tc>
        <w:tc>
          <w:tcPr>
            <w:tcW w:w="12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10-K</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60" w:type="dxa"/>
            <w:vAlign w:val="bottom"/>
          </w:tcPr>
          <w:p>
            <w:pPr>
              <w:spacing w:after="0"/>
              <w:rPr>
                <w:sz w:val="17"/>
                <w:szCs w:val="17"/>
                <w:color w:val="auto"/>
              </w:rPr>
            </w:pPr>
          </w:p>
        </w:tc>
        <w:tc>
          <w:tcPr>
            <w:tcW w:w="162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89"/>
              </w:rPr>
              <w:t>February 12, 2021</w:t>
            </w: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and Scot Fredo</w:t>
              </w:r>
              <w:r>
                <w:rPr>
                  <w:rFonts w:ascii="Arial" w:cs="Arial" w:eastAsia="Arial" w:hAnsi="Arial"/>
                  <w:sz w:val="18"/>
                  <w:szCs w:val="18"/>
                  <w:color w:val="000000"/>
                </w:rPr>
                <w:t>.</w:t>
              </w:r>
            </w:hyperlink>
          </w:p>
        </w:tc>
        <w:tc>
          <w:tcPr>
            <w:tcW w:w="1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Amendment to Separation Agreement, dated May 4, 2021, by and</w:t>
              </w:r>
            </w:hyperlink>
          </w:p>
        </w:tc>
        <w:tc>
          <w:tcPr>
            <w:tcW w:w="26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between the Registrant and Kyle Lomeli.</w:t>
              </w:r>
            </w:hyperlink>
          </w:p>
        </w:tc>
        <w:tc>
          <w:tcPr>
            <w:tcW w:w="210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Certification of Principal Executive Officer Pursuant to Rules 13a-</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14(a) and 15d-14(a) under the Securities Exchange Act of 1934, as</w:t>
              </w:r>
            </w:hyperlink>
          </w:p>
        </w:tc>
        <w:tc>
          <w:tcPr>
            <w:tcW w:w="2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Adopted Pursuant to Section 302 of the Sarbanes-Oxley Act of 2002.</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Principal Financial Officer Pursuant to Rules 13a-</w:t>
              </w:r>
            </w:hyperlink>
          </w:p>
        </w:tc>
        <w:tc>
          <w:tcPr>
            <w:tcW w:w="180" w:type="dxa"/>
            <w:vAlign w:val="bottom"/>
            <w:tcBorders>
              <w:top w:val="single" w:sz="8" w:color="0000EE"/>
            </w:tcBorders>
            <w:gridSpan w:val="3"/>
          </w:tcPr>
          <w:p>
            <w:pPr>
              <w:spacing w:after="0"/>
              <w:rPr>
                <w:sz w:val="17"/>
                <w:szCs w:val="17"/>
                <w:color w:val="auto"/>
              </w:rPr>
            </w:pPr>
          </w:p>
        </w:tc>
        <w:tc>
          <w:tcPr>
            <w:tcW w:w="8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14(a) and 15d-14(a) under the Securities Exchange Act of 1934, as</w:t>
              </w:r>
            </w:hyperlink>
          </w:p>
        </w:tc>
        <w:tc>
          <w:tcPr>
            <w:tcW w:w="2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Adopted Pursuant to Section 302 of the Sarbanes-Oxley Act of 2002.</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Principal Executive Officer Pursuant to 18 U.S.C.</w:t>
              </w:r>
            </w:hyperlink>
          </w:p>
        </w:tc>
        <w:tc>
          <w:tcPr>
            <w:tcW w:w="240" w:type="dxa"/>
            <w:vAlign w:val="bottom"/>
            <w:tcBorders>
              <w:top w:val="single" w:sz="8" w:color="0000EE"/>
            </w:tcBorders>
            <w:gridSpan w:val="4"/>
          </w:tcPr>
          <w:p>
            <w:pPr>
              <w:spacing w:after="0"/>
              <w:rPr>
                <w:sz w:val="17"/>
                <w:szCs w:val="17"/>
                <w:color w:val="auto"/>
              </w:rPr>
            </w:pPr>
          </w:p>
        </w:tc>
        <w:tc>
          <w:tcPr>
            <w:tcW w:w="8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Section 1350, as Adopted Pursuant to Section 906 of the Sarbanes-</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Oxley Act of 2002.</w:t>
              </w:r>
            </w:hyperlink>
          </w:p>
        </w:tc>
        <w:tc>
          <w:tcPr>
            <w:tcW w:w="2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Certification of Principal Financial Officer Pursuant to 18 U.S.C.</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gridSpan w:val="9"/>
            <w:shd w:val="clear" w:color="auto" w:fill="0000EE"/>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gridSpan w:val="17"/>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Section 1350, as Adopted Pursuant to Section 906 of the Sarbanes-</w:t>
              </w:r>
            </w:hyperlink>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Oxley Act of 2002.</w:t>
              </w:r>
            </w:hyperlink>
          </w:p>
        </w:tc>
        <w:tc>
          <w:tcPr>
            <w:tcW w:w="2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680" w:type="dxa"/>
            <w:vAlign w:val="bottom"/>
            <w:gridSpan w:val="1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w w:val="95"/>
              </w:rPr>
              <w:t>Inline XBRL Instance Document – the instance document does not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embedded with the Inline XBRL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w w:val="97"/>
              </w:rPr>
              <w:t>Inline XBRL Taxonomy Extension Definition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5060" w:type="dxa"/>
            <w:vAlign w:val="bottom"/>
            <w:gridSpan w:val="17"/>
          </w:tcPr>
          <w:p>
            <w:pPr>
              <w:spacing w:after="0"/>
              <w:rPr>
                <w:sz w:val="20"/>
                <w:szCs w:val="20"/>
                <w:color w:val="auto"/>
              </w:rPr>
            </w:pPr>
            <w:r>
              <w:rPr>
                <w:rFonts w:ascii="Arial" w:cs="Arial" w:eastAsia="Arial" w:hAnsi="Arial"/>
                <w:sz w:val="18"/>
                <w:szCs w:val="18"/>
                <w:color w:val="auto"/>
                <w:w w:val="93"/>
              </w:rPr>
              <w:t>The cover page from the Registrant’s Quarterly Report on Form 10-</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5"/>
              </w:rPr>
              <w:t>Q for the quarter ended March 31, 2021, formatted in Inline XBRL.</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 w:lineRule="exact"/>
        <w:rPr>
          <w:sz w:val="20"/>
          <w:szCs w:val="20"/>
          <w:color w:val="auto"/>
        </w:rPr>
      </w:pPr>
    </w:p>
    <w:p>
      <w:pPr>
        <w:jc w:val="both"/>
        <w:ind w:left="380" w:hanging="372"/>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6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440" w:type="dxa"/>
            <w:vAlign w:val="bottom"/>
          </w:tcPr>
          <w:p>
            <w:pPr>
              <w:spacing w:after="0"/>
              <w:rPr>
                <w:sz w:val="20"/>
                <w:szCs w:val="20"/>
                <w:color w:val="auto"/>
              </w:rPr>
            </w:pPr>
            <w:r>
              <w:rPr>
                <w:rFonts w:ascii="Arial" w:cs="Arial" w:eastAsia="Arial" w:hAnsi="Arial"/>
                <w:sz w:val="18"/>
                <w:szCs w:val="18"/>
                <w:color w:val="auto"/>
              </w:rPr>
              <w:t>Date: May 6, 2021</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/s/ Jason Trevisan</w:t>
            </w:r>
          </w:p>
        </w:tc>
      </w:tr>
      <w:tr>
        <w:trPr>
          <w:trHeight w:val="222"/>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440" w:type="dxa"/>
            <w:vAlign w:val="bottom"/>
          </w:tcPr>
          <w:p>
            <w:pPr>
              <w:spacing w:after="0"/>
              <w:rPr>
                <w:sz w:val="20"/>
                <w:szCs w:val="20"/>
                <w:color w:val="auto"/>
              </w:rPr>
            </w:pPr>
            <w:r>
              <w:rPr>
                <w:rFonts w:ascii="Arial" w:cs="Arial" w:eastAsia="Arial" w:hAnsi="Arial"/>
                <w:sz w:val="18"/>
                <w:szCs w:val="18"/>
                <w:color w:val="auto"/>
              </w:rPr>
              <w:t>Date: May 6, 2021</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/s/ Scot Fredo</w:t>
            </w:r>
          </w:p>
        </w:tc>
      </w:tr>
      <w:tr>
        <w:trPr>
          <w:trHeight w:val="222"/>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 Fredo</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75"/>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Separation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Kyle Lomeli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Kyle:</w:t>
      </w:r>
    </w:p>
    <w:p>
      <w:pPr>
        <w:spacing w:after="0" w:line="229" w:lineRule="exact"/>
        <w:rPr>
          <w:sz w:val="20"/>
          <w:szCs w:val="20"/>
          <w:color w:val="auto"/>
        </w:rPr>
      </w:pPr>
    </w:p>
    <w:p>
      <w:pPr>
        <w:ind w:right="20" w:firstLine="864"/>
        <w:spacing w:after="0" w:line="278" w:lineRule="auto"/>
        <w:rPr>
          <w:sz w:val="20"/>
          <w:szCs w:val="20"/>
          <w:color w:val="auto"/>
        </w:rPr>
      </w:pPr>
      <w:r>
        <w:rPr>
          <w:rFonts w:ascii="Arial" w:cs="Arial" w:eastAsia="Arial" w:hAnsi="Arial"/>
          <w:sz w:val="18"/>
          <w:szCs w:val="18"/>
          <w:color w:val="auto"/>
        </w:rPr>
        <w:t xml:space="preserve">On November 13, 2020, you signed the attached “Separation Agreement” of the same date, which provided you with a Transitional Employment Period through the Separation Date of May 14, 2021, and certain Severance Pay, all in exchange for your agreements and covenants also set forth in the Separation Agreement. Unless otherwise indicated, capitalized terms used herein without definition shall have the meanings assigned to them in the Separation Agreement. In further consideration of your continued cooperation with CarGurus, Inc. (the “Company”), the Company has determined to offer you an extension of your Separation Date to </w:t>
      </w:r>
      <w:r>
        <w:rPr>
          <w:rFonts w:ascii="Arial" w:cs="Arial" w:eastAsia="Arial" w:hAnsi="Arial"/>
          <w:sz w:val="18"/>
          <w:szCs w:val="18"/>
          <w:u w:val="single" w:color="auto"/>
          <w:color w:val="auto"/>
        </w:rPr>
        <w:t>July 1, 2021</w:t>
      </w:r>
      <w:r>
        <w:rPr>
          <w:rFonts w:ascii="Arial" w:cs="Arial" w:eastAsia="Arial" w:hAnsi="Arial"/>
          <w:sz w:val="18"/>
          <w:szCs w:val="18"/>
          <w:color w:val="auto"/>
        </w:rPr>
        <w:t>.</w:t>
      </w:r>
    </w:p>
    <w:p>
      <w:pPr>
        <w:spacing w:after="0" w:line="178" w:lineRule="exact"/>
        <w:rPr>
          <w:sz w:val="20"/>
          <w:szCs w:val="20"/>
          <w:color w:val="auto"/>
        </w:rPr>
      </w:pPr>
    </w:p>
    <w:p>
      <w:pPr>
        <w:ind w:right="120" w:firstLine="864"/>
        <w:spacing w:after="0" w:line="260" w:lineRule="auto"/>
        <w:rPr>
          <w:sz w:val="20"/>
          <w:szCs w:val="20"/>
          <w:color w:val="auto"/>
        </w:rPr>
      </w:pPr>
      <w:r>
        <w:rPr>
          <w:rFonts w:ascii="Arial" w:cs="Arial" w:eastAsia="Arial" w:hAnsi="Arial"/>
          <w:sz w:val="19"/>
          <w:szCs w:val="19"/>
          <w:color w:val="auto"/>
        </w:rPr>
        <w:t>This change in your Separation Date will have the effect of shifting the Severance Period referenced in the Separation Agreement to the nine (9) month period ending April 1, 2022, as well as shifting the Company-paid COBRA benefits to the same timeframe. This change will also have the effect of extending your eligibility to vest in additional equity through July 1, 2021. This change in your Separation Date will not be deemed to result in any change in your Consulting Agreement signed by you on November 13, 2021, other than changing the start date of the Consulting Period (as defined in such Consulting Agreement).</w:t>
      </w:r>
    </w:p>
    <w:p>
      <w:pPr>
        <w:spacing w:after="0" w:line="194" w:lineRule="exact"/>
        <w:rPr>
          <w:sz w:val="20"/>
          <w:szCs w:val="20"/>
          <w:color w:val="auto"/>
        </w:rPr>
      </w:pPr>
    </w:p>
    <w:p>
      <w:pPr>
        <w:jc w:val="both"/>
        <w:ind w:right="320" w:firstLine="864"/>
        <w:spacing w:after="0" w:line="291" w:lineRule="auto"/>
        <w:rPr>
          <w:sz w:val="20"/>
          <w:szCs w:val="20"/>
          <w:color w:val="auto"/>
        </w:rPr>
      </w:pPr>
      <w:r>
        <w:rPr>
          <w:rFonts w:ascii="Arial" w:cs="Arial" w:eastAsia="Arial" w:hAnsi="Arial"/>
          <w:sz w:val="18"/>
          <w:szCs w:val="18"/>
          <w:color w:val="auto"/>
        </w:rPr>
        <w:t>By signing this Amendment, you hereby reaffirm in its entirety the provisions of the Separation Agreement including, without limitation, the Release of Claims contained in Section 7 of the Separation Agreement. Further, for the avoidance of doubt, by signing this Amendment, you agree that wherever the term the “Separation Date” is used in the Separation Agreement it will refer to July 1, 2021.</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CARGURUS,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 /s/ Andrea Eldridge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015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Andrea Eldridge</w:t>
      </w:r>
    </w:p>
    <w:p>
      <w:pPr>
        <w:spacing w:after="0"/>
        <w:rPr>
          <w:sz w:val="20"/>
          <w:szCs w:val="20"/>
          <w:color w:val="auto"/>
        </w:rPr>
      </w:pPr>
      <w:r>
        <w:rPr>
          <w:rFonts w:ascii="Arial" w:cs="Arial" w:eastAsia="Arial" w:hAnsi="Arial"/>
          <w:sz w:val="20"/>
          <w:szCs w:val="20"/>
          <w:color w:val="auto"/>
        </w:rPr>
        <w:t>Chief People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Kyle Lomeli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Kyle Lomeli</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Acceptance Date: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0"/>
          <w:szCs w:val="20"/>
          <w:b w:val="1"/>
          <w:bCs w:val="1"/>
          <w:u w:val="single" w:color="auto"/>
          <w:color w:val="auto"/>
        </w:rPr>
        <w:t>Attachment to Amendment to Separation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Separation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November 13, 2020 (the “Agreement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Kyle Lomeli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Kyle: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this Separation Agreement (the “Agreement”) is to set forth the terms of your separation of employment from CarGurus, Inc.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(“CarGurus” or the “Company”), including the following defined terms:</w:t>
      </w:r>
    </w:p>
    <w:p>
      <w:pPr>
        <w:spacing w:after="0" w:line="213" w:lineRule="exact"/>
        <w:rPr>
          <w:sz w:val="20"/>
          <w:szCs w:val="20"/>
          <w:color w:val="auto"/>
        </w:rPr>
      </w:pPr>
    </w:p>
    <w:p>
      <w:pPr>
        <w:ind w:left="880" w:hanging="440"/>
        <w:spacing w:after="0"/>
        <w:tabs>
          <w:tab w:leader="none" w:pos="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Separation Date: May 14, 2021</w:t>
      </w:r>
    </w:p>
    <w:p>
      <w:pPr>
        <w:spacing w:after="0" w:line="20" w:lineRule="exact"/>
        <w:rPr>
          <w:rFonts w:ascii="Arial" w:cs="Arial" w:eastAsia="Arial" w:hAnsi="Arial"/>
          <w:sz w:val="20"/>
          <w:szCs w:val="20"/>
          <w:color w:val="auto"/>
        </w:rPr>
      </w:pPr>
    </w:p>
    <w:p>
      <w:pPr>
        <w:ind w:left="880" w:hanging="440"/>
        <w:spacing w:after="0"/>
        <w:tabs>
          <w:tab w:leader="none" w:pos="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Transitional Employment Period: the period commencing on the Agreement Date and ending on the Separation Date</w:t>
      </w:r>
    </w:p>
    <w:p>
      <w:pPr>
        <w:spacing w:after="0" w:line="13" w:lineRule="exact"/>
        <w:rPr>
          <w:rFonts w:ascii="Arial" w:cs="Arial" w:eastAsia="Arial" w:hAnsi="Arial"/>
          <w:sz w:val="20"/>
          <w:szCs w:val="20"/>
          <w:color w:val="auto"/>
        </w:rPr>
      </w:pPr>
    </w:p>
    <w:p>
      <w:pPr>
        <w:ind w:left="880" w:hanging="440"/>
        <w:spacing w:after="0"/>
        <w:tabs>
          <w:tab w:leader="none" w:pos="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Severance Period: the nine (9) month period following the Separation Date</w:t>
      </w:r>
    </w:p>
    <w:p>
      <w:pPr>
        <w:spacing w:after="0" w:line="13" w:lineRule="exact"/>
        <w:rPr>
          <w:rFonts w:ascii="Arial" w:cs="Arial" w:eastAsia="Arial" w:hAnsi="Arial"/>
          <w:sz w:val="20"/>
          <w:szCs w:val="20"/>
          <w:color w:val="auto"/>
        </w:rPr>
      </w:pPr>
    </w:p>
    <w:p>
      <w:pPr>
        <w:ind w:left="880" w:hanging="440"/>
        <w:spacing w:after="0"/>
        <w:tabs>
          <w:tab w:leader="none" w:pos="8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Severance Pay: $262,500 an amount equal to your current base salary for the duration of the Severance Period</w:t>
      </w:r>
    </w:p>
    <w:p>
      <w:pPr>
        <w:spacing w:after="0" w:line="235"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1.</w:t>
      </w:r>
      <w:r>
        <w:rPr>
          <w:rFonts w:ascii="Arial" w:cs="Arial" w:eastAsia="Arial" w:hAnsi="Arial"/>
          <w:sz w:val="18"/>
          <w:szCs w:val="18"/>
          <w:u w:val="single" w:color="auto"/>
          <w:color w:val="auto"/>
        </w:rPr>
        <w:t>Effect of Agreement</w:t>
      </w:r>
      <w:r>
        <w:rPr>
          <w:rFonts w:ascii="Arial" w:cs="Arial" w:eastAsia="Arial" w:hAnsi="Arial"/>
          <w:sz w:val="18"/>
          <w:szCs w:val="18"/>
          <w:color w:val="auto"/>
        </w:rPr>
        <w:t>. The date that you sign and return to the Company (a) the Agreement, (b) the Consulting</w:t>
      </w:r>
    </w:p>
    <w:p>
      <w:pPr>
        <w:spacing w:after="0" w:line="15" w:lineRule="exact"/>
        <w:rPr>
          <w:rFonts w:ascii="Arial" w:cs="Arial" w:eastAsia="Arial" w:hAnsi="Arial"/>
          <w:sz w:val="20"/>
          <w:szCs w:val="20"/>
          <w:color w:val="auto"/>
        </w:rPr>
      </w:pPr>
    </w:p>
    <w:p>
      <w:pPr>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Agreement and Restricted Stock Unit Agreement provided to you (collectively the “Consulting Agreement”) and (c) the Affirmation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“Affirmation”) is referred to as the “Acceptance Date”. This Agreement shall be effective and binding on the parties on and after the date that is eight business (8) days after the Acceptance Date if you have not revoked this Agreement in accordance with its terms during the preceding seven business (7) day period.</w:t>
      </w:r>
    </w:p>
    <w:p>
      <w:pPr>
        <w:spacing w:after="0" w:line="207" w:lineRule="exact"/>
        <w:rPr>
          <w:rFonts w:ascii="Arial" w:cs="Arial" w:eastAsia="Arial" w:hAnsi="Arial"/>
          <w:sz w:val="20"/>
          <w:szCs w:val="20"/>
          <w:color w:val="auto"/>
        </w:rPr>
      </w:pPr>
    </w:p>
    <w:p>
      <w:pPr>
        <w:ind w:firstLine="8"/>
        <w:spacing w:after="0" w:line="307" w:lineRule="auto"/>
        <w:tabs>
          <w:tab w:leader="none" w:pos="79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Your employment with the Company will terminate on the Separation Date. After the Separation Date, you shall have no authority to represent yourself as an employee or agent of the Company. On the Separation Date, the Company shall pay your accrued but unpaid base salary and any accrued but unused vacation through the Separation Date. During the Transitional Employment Period, you shall perform assigned tasks, complete ongoing projects, and otherwise assist the Company in the transition of work in connection with any duties you have performed at the Company as may be requested by the Company. Your employment status during the Transitional Employment Period will continue to be at will. During the Transitional Employment Period, you shall continue: (i) to receive your base salary, subject to all ordinary payroll taxes and withholdings, in accordance with the Company’s payroll policies and procedures; and (ii) to participate in the Company’s employee benefits programs and employee insurance benefits programs, but only to the extent that you currently participate in such programs and remain eligible under any applicable plan document(s), except that you shall not be eligible to participate in any bonus or commission program during the Transitional Employment Period unless otherwise approved by the Compensation Committee of the Company. You acknowledge and agree that the offer of continuation of your employment during the Transitional Employment Period is provided in further consideration of your covenants and obligations set forth in this Agreement and the Affirmation.</w:t>
      </w:r>
    </w:p>
    <w:p>
      <w:pPr>
        <w:spacing w:after="0" w:line="394" w:lineRule="exact"/>
        <w:rPr>
          <w:rFonts w:ascii="Arial" w:cs="Arial" w:eastAsia="Arial" w:hAnsi="Arial"/>
          <w:sz w:val="16"/>
          <w:szCs w:val="16"/>
          <w:color w:val="auto"/>
        </w:rPr>
      </w:pPr>
    </w:p>
    <w:p>
      <w:pPr>
        <w:ind w:right="400" w:firstLine="8"/>
        <w:spacing w:after="0" w:line="250" w:lineRule="auto"/>
        <w:tabs>
          <w:tab w:leader="none" w:pos="79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Severance Pay</w:t>
      </w:r>
      <w:r>
        <w:rPr>
          <w:rFonts w:ascii="Arial" w:cs="Arial" w:eastAsia="Arial" w:hAnsi="Arial"/>
          <w:sz w:val="20"/>
          <w:szCs w:val="20"/>
          <w:color w:val="auto"/>
        </w:rPr>
        <w:t>. Provided that you have accepted this Agreement and complied with its terms and conditions and you have not revoked this Agreement or the Affirmation, the Company agrees to pay you the Severance Pay. Payment of the Severance Pay will commence after the later of the Separation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0" w:name="page61"/>
    <w:bookmarkEnd w:id="60"/>
    <w:p>
      <w:pPr>
        <w:spacing w:after="0" w:line="250" w:lineRule="auto"/>
        <w:rPr>
          <w:sz w:val="20"/>
          <w:szCs w:val="20"/>
          <w:color w:val="auto"/>
        </w:rPr>
      </w:pPr>
      <w:r>
        <w:rPr>
          <w:rFonts w:ascii="Arial" w:cs="Arial" w:eastAsia="Arial" w:hAnsi="Arial"/>
          <w:sz w:val="20"/>
          <w:szCs w:val="20"/>
          <w:color w:val="auto"/>
        </w:rPr>
        <w:t>the date on which you no longer have any ability to revoke this Agreement or the Affirmation in accordance with their terms and will be paid either in a lump sum or in accordance with the Company’s normal payroll practices as determined by the Company. The Severance Pay is subject to tax withholdings and any other authorized deductions.</w:t>
      </w:r>
    </w:p>
    <w:p>
      <w:pPr>
        <w:spacing w:after="0" w:line="200"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You acknowledge and agree that the Severance Pay is not otherwise due or owing to you under any other agreement, obligation or any Company policy or practice. The Severance Pay is not intended to be, and shall not be construed to constitute, a severance plan, and shall confer no benefit on anyone other than you. You further acknowledge that except for (i) the specific financial consideration set forth in this Agreement, (ii) any unpaid regular wages earned through the Separation Date, (iii) any accrued but unused vacation earned through the Separation Date, (iv) any business expenses incurred by you on behalf of the Company for which you submit a timely reimbursement claim in accordance with Company policy on or prior to the Separation Date, and (v) any vested amount owing to you pursuant to any 401(k) savings plan of the Company, you are not and shall not in the future be entitled to any other compensation, benefit or reimbursement including, without limitation, other wages, commissions, bonuses, incentives, vacation pay, holiday pay, overtime pay, sabbatical pay, any form of equity, any equity vesting or acceleration, or any other form of compensation or benefit.</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Subject to your completion of the appropriate forms, and subject to all the requirements of the Consolidated Omnibus Budget Reconciliation Act of 1985, as amended (“COBRA”), you will be entitled to continue your participation, if any, in the Company’s medical and dental insurance plans, to the same extent that such insurance is provided to persons then employed by the Company and made available to you prior to the date hereof, in accordance with applicable law. Such participation in the Company’s medical and dental insurance plans will be at the Company’s expense through the conclusion of the Severance Period (the “Continuation Period”). If you obtain employment that provides medical and dental insurance during the Continuation Period, you shall notify the Company promptly, and the Company will no longer be obligated to provide payment for your medical and dental benefit continuation. You also have the right to continue your medical and dental insurance coverage after the Continuation Period, subject to the requirements of COBRA, at your own cost. The “qualifying event” under COBRA shall be deemed to have occurred on the Separation Date.</w:t>
      </w:r>
    </w:p>
    <w:p>
      <w:pPr>
        <w:spacing w:after="0" w:line="184" w:lineRule="exact"/>
        <w:rPr>
          <w:sz w:val="20"/>
          <w:szCs w:val="20"/>
          <w:color w:val="auto"/>
        </w:rPr>
      </w:pPr>
    </w:p>
    <w:p>
      <w:pPr>
        <w:ind w:right="40" w:firstLine="8"/>
        <w:spacing w:after="0" w:line="257" w:lineRule="auto"/>
        <w:tabs>
          <w:tab w:leader="none" w:pos="79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Equity Grants</w:t>
      </w:r>
      <w:r>
        <w:rPr>
          <w:rFonts w:ascii="Arial" w:cs="Arial" w:eastAsia="Arial" w:hAnsi="Arial"/>
          <w:sz w:val="19"/>
          <w:szCs w:val="19"/>
          <w:color w:val="auto"/>
        </w:rPr>
        <w:t>. If you have received a grant of equity from the Company, you acknowledge and agree that from and after the Separation Date, all vesting of any equity grant under any equity plan (of whatever name or kind, including, without limitation, any stock option plan or plan relating to restricted stock units) that you participated in or were eligible to participate in during your employment with the Company will terminate, except for the grant of equity issued under the Restricted Stock Unit Agreement between the Company and you dated as of the date of this Agreement, which equity grant will vest as specified in such agreement. If you have received a grant of stock options from the Company, you further acknowledge and agree that you are entitled to exercise only those stock options that have vested as of the Separation Date, and only in accordance with the terms and conditions of the applicable Company plan, including those provisions regarding the time in which you must exercise vested options.</w:t>
      </w:r>
    </w:p>
    <w:p>
      <w:pPr>
        <w:spacing w:after="0" w:line="193" w:lineRule="exact"/>
        <w:rPr>
          <w:rFonts w:ascii="Arial" w:cs="Arial" w:eastAsia="Arial" w:hAnsi="Arial"/>
          <w:sz w:val="19"/>
          <w:szCs w:val="19"/>
          <w:color w:val="auto"/>
        </w:rPr>
      </w:pPr>
    </w:p>
    <w:p>
      <w:pPr>
        <w:ind w:left="800" w:hanging="792"/>
        <w:spacing w:after="0"/>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Confidentiality, Acknowledgements and Other Obligations.</w:t>
      </w:r>
      <w:r>
        <w:rPr>
          <w:rFonts w:ascii="Arial" w:cs="Arial" w:eastAsia="Arial" w:hAnsi="Arial"/>
          <w:sz w:val="20"/>
          <w:szCs w:val="20"/>
          <w:color w:val="auto"/>
        </w:rPr>
        <w:t xml:space="preserve"> You expressly acknowledge and agree to the following:</w:t>
      </w:r>
    </w:p>
    <w:p>
      <w:pPr>
        <w:spacing w:after="0" w:line="229" w:lineRule="exact"/>
        <w:rPr>
          <w:rFonts w:ascii="Arial" w:cs="Arial" w:eastAsia="Arial" w:hAnsi="Arial"/>
          <w:sz w:val="20"/>
          <w:szCs w:val="20"/>
          <w:color w:val="auto"/>
        </w:rPr>
      </w:pPr>
    </w:p>
    <w:p>
      <w:pPr>
        <w:jc w:val="both"/>
        <w:ind w:left="880" w:hanging="8"/>
        <w:spacing w:after="0" w:line="282" w:lineRule="auto"/>
        <w:tabs>
          <w:tab w:leader="none" w:pos="17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You will keep all confidential information and trade secrets of the Company confidential, and not use or disclose any of the same, and you will abide by any and all common law and statutory obligations relating to protection and non-disclosure of the Company’s trade secrets and confidential or proprietary documents and information. In addition, you acknowledge that the Company is providing you with notice of immunity under the Defend Trade Secrets Act of 2016,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1" w:name="page62"/>
    <w:bookmarkEnd w:id="61"/>
    <w:p>
      <w:pPr>
        <w:ind w:left="872" w:right="20" w:hanging="8"/>
        <w:spacing w:after="0" w:line="257" w:lineRule="auto"/>
        <w:tabs>
          <w:tab w:leader="none" w:pos="1811" w:val="left"/>
        </w:tabs>
        <w:numPr>
          <w:ilvl w:val="1"/>
          <w:numId w:val="16"/>
        </w:numPr>
        <w:rPr>
          <w:rFonts w:ascii="Arial" w:cs="Arial" w:eastAsia="Arial" w:hAnsi="Arial"/>
          <w:sz w:val="19"/>
          <w:szCs w:val="19"/>
          <w:color w:val="auto"/>
        </w:rPr>
      </w:pPr>
      <w:r>
        <w:rPr>
          <w:rFonts w:ascii="Arial" w:cs="Arial" w:eastAsia="Arial" w:hAnsi="Arial"/>
          <w:sz w:val="19"/>
          <w:szCs w:val="19"/>
          <w:color w:val="auto"/>
        </w:rPr>
        <w:t>Except as may be set forth in this Agreement, you acknowledge that you remain obligated under, and agree that you will comply with, the provisions of any agreement between you and the Company that protects the confidentiality of the Company’s information and imposes certain restrictions and obligations on you after your employment, including on your ability to use or share confidential information, to solicit employees or customers of the Company or to compete with the Company (each such agreement, collectively, the “NDA”), each of which is incorporated herein by reference. You specifically acknowledge and agree that you have received and are now receiving consideration for any restrictive covenants included in the NDA, and you expressly reaffirm these restrictive covenants.</w:t>
      </w:r>
    </w:p>
    <w:p>
      <w:pPr>
        <w:spacing w:after="0" w:line="198" w:lineRule="exact"/>
        <w:rPr>
          <w:rFonts w:ascii="Arial" w:cs="Arial" w:eastAsia="Arial" w:hAnsi="Arial"/>
          <w:sz w:val="19"/>
          <w:szCs w:val="19"/>
          <w:color w:val="auto"/>
        </w:rPr>
      </w:pPr>
    </w:p>
    <w:p>
      <w:pPr>
        <w:ind w:left="872" w:right="20" w:hanging="8"/>
        <w:spacing w:after="0" w:line="260" w:lineRule="auto"/>
        <w:tabs>
          <w:tab w:leader="none" w:pos="1817" w:val="left"/>
        </w:tabs>
        <w:numPr>
          <w:ilvl w:val="1"/>
          <w:numId w:val="16"/>
        </w:numPr>
        <w:rPr>
          <w:rFonts w:ascii="Arial" w:cs="Arial" w:eastAsia="Arial" w:hAnsi="Arial"/>
          <w:sz w:val="19"/>
          <w:szCs w:val="19"/>
          <w:color w:val="auto"/>
        </w:rPr>
      </w:pPr>
      <w:r>
        <w:rPr>
          <w:rFonts w:ascii="Arial" w:cs="Arial" w:eastAsia="Arial" w:hAnsi="Arial"/>
          <w:sz w:val="19"/>
          <w:szCs w:val="19"/>
          <w:color w:val="auto"/>
        </w:rPr>
        <w:t>You shall keep confidential all information relating in any way to this Agreement, including the terms and amount of financial consideration provided for in this Agreement and the negotiations associated with this Agreement, and shall not disclose such information to any person or entity (other than an immediate family member, legal counsel or financial advisor, provided that you instruct any such individual to whom disclosure is made about these obligations and such individual agrees to be bound by these confidentiality obligations), except as required by law.</w:t>
      </w:r>
    </w:p>
    <w:p>
      <w:pPr>
        <w:spacing w:after="0" w:line="193" w:lineRule="exact"/>
        <w:rPr>
          <w:rFonts w:ascii="Arial" w:cs="Arial" w:eastAsia="Arial" w:hAnsi="Arial"/>
          <w:sz w:val="19"/>
          <w:szCs w:val="19"/>
          <w:color w:val="auto"/>
        </w:rPr>
      </w:pPr>
    </w:p>
    <w:p>
      <w:pPr>
        <w:ind w:left="872" w:right="40" w:hanging="8"/>
        <w:spacing w:after="0" w:line="271" w:lineRule="auto"/>
        <w:tabs>
          <w:tab w:leader="none" w:pos="18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and after the date hereof unless specifically requested by the Company in writing, you will cease using any Company property (including computer equipment) and Company information. Within five (5) business days after request by the Company, you will return to the Company in the manner specified by the Company all Company property and equipment and all Company documents, code, information and data in any form (including financial plans, management reports, customer lists, and other documents and information), in each case without deleting or otherwise damaging or altering the same and without retaining any copies. On or prior to the Separation Date, you will provide the Company with all information necessary to log in to, assume control of, and access any database, system, account or application over which you had control or to which you had access during your employment (including username, password, PIN information and any other access credentials for any devices or accounts). From and after the date hereof unless specifically requested by the Company in writing, you will no longer access any such database, system, account or application. The Company intends to return to you your personal items located at any of the Company’s offices after the reopening of the respective Company offices.</w:t>
      </w:r>
    </w:p>
    <w:p>
      <w:pPr>
        <w:spacing w:after="0" w:line="183" w:lineRule="exact"/>
        <w:rPr>
          <w:rFonts w:ascii="Arial" w:cs="Arial" w:eastAsia="Arial" w:hAnsi="Arial"/>
          <w:sz w:val="18"/>
          <w:szCs w:val="18"/>
          <w:color w:val="auto"/>
        </w:rPr>
      </w:pPr>
    </w:p>
    <w:p>
      <w:pPr>
        <w:ind w:left="872" w:right="40" w:hanging="8"/>
        <w:spacing w:after="0" w:line="244" w:lineRule="auto"/>
        <w:tabs>
          <w:tab w:leader="none" w:pos="1751" w:val="left"/>
        </w:tabs>
        <w:numPr>
          <w:ilvl w:val="1"/>
          <w:numId w:val="16"/>
        </w:numPr>
        <w:rPr>
          <w:rFonts w:ascii="Arial" w:cs="Arial" w:eastAsia="Arial" w:hAnsi="Arial"/>
          <w:sz w:val="20"/>
          <w:szCs w:val="20"/>
          <w:color w:val="auto"/>
        </w:rPr>
      </w:pPr>
      <w:r>
        <w:rPr>
          <w:rFonts w:ascii="Arial" w:cs="Arial" w:eastAsia="Arial" w:hAnsi="Arial"/>
          <w:sz w:val="20"/>
          <w:szCs w:val="20"/>
          <w:color w:val="auto"/>
        </w:rPr>
        <w:t>You will not make any statements that are professionally or personally disparaging about, or adverse to, the interests of the Company (including its officers, directors, and employees) including, but not limited to, any statements that disparage any person, product, service, financial condition, capability or any other aspect of the business of the Company, and you will not engage in any conduct that could reasonably be expected to harm professionally or personally the reputation of the Company (including its officers, directors, and employees).</w:t>
      </w:r>
    </w:p>
    <w:p>
      <w:pPr>
        <w:spacing w:after="0" w:line="207" w:lineRule="exact"/>
        <w:rPr>
          <w:rFonts w:ascii="Arial" w:cs="Arial" w:eastAsia="Arial" w:hAnsi="Arial"/>
          <w:sz w:val="20"/>
          <w:szCs w:val="20"/>
          <w:color w:val="auto"/>
        </w:rPr>
      </w:pPr>
    </w:p>
    <w:p>
      <w:pPr>
        <w:ind w:left="872" w:hanging="8"/>
        <w:spacing w:after="0" w:line="246" w:lineRule="auto"/>
        <w:tabs>
          <w:tab w:leader="none" w:pos="1806" w:val="left"/>
        </w:tabs>
        <w:numPr>
          <w:ilvl w:val="1"/>
          <w:numId w:val="16"/>
        </w:numPr>
        <w:rPr>
          <w:rFonts w:ascii="Arial" w:cs="Arial" w:eastAsia="Arial" w:hAnsi="Arial"/>
          <w:sz w:val="20"/>
          <w:szCs w:val="20"/>
          <w:color w:val="auto"/>
        </w:rPr>
      </w:pPr>
      <w:r>
        <w:rPr>
          <w:rFonts w:ascii="Arial" w:cs="Arial" w:eastAsia="Arial" w:hAnsi="Arial"/>
          <w:sz w:val="20"/>
          <w:szCs w:val="20"/>
          <w:color w:val="auto"/>
        </w:rPr>
        <w:t>You represent to the Company that you have not engaged in any fraudulent or unlawful conduct relating to the Company or your employment, that you have complied with all contractual obligations with the Company, that you have complied with Company policies and procedures, and that you have fully disclosed to the Company all material information relating to the performance of your employment.</w:t>
      </w:r>
    </w:p>
    <w:p>
      <w:pPr>
        <w:spacing w:after="0" w:line="204" w:lineRule="exact"/>
        <w:rPr>
          <w:rFonts w:ascii="Arial" w:cs="Arial" w:eastAsia="Arial" w:hAnsi="Arial"/>
          <w:sz w:val="20"/>
          <w:szCs w:val="20"/>
          <w:color w:val="auto"/>
        </w:rPr>
      </w:pPr>
    </w:p>
    <w:p>
      <w:pPr>
        <w:ind w:left="-8" w:right="20" w:firstLine="8"/>
        <w:spacing w:after="0" w:line="250" w:lineRule="auto"/>
        <w:tabs>
          <w:tab w:leader="none" w:pos="788"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Cooperation.</w:t>
      </w:r>
      <w:r>
        <w:rPr>
          <w:rFonts w:ascii="Arial" w:cs="Arial" w:eastAsia="Arial" w:hAnsi="Arial"/>
          <w:sz w:val="20"/>
          <w:szCs w:val="20"/>
          <w:color w:val="auto"/>
        </w:rPr>
        <w:t xml:space="preserve"> During the Severance Period and thereafter, you will make yourself available to the Company, upon reasonable notice, to assist in any matter relating to the services performed by you during your employment with the Company including, but not limited to, transitioning your duties to others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52" w:right="35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the Company and providing assistance in any legal or regulatory investigation, matter or Claim (as defined below).</w:t>
      </w:r>
    </w:p>
    <w:p>
      <w:pPr>
        <w:spacing w:after="0" w:line="230" w:lineRule="exact"/>
        <w:rPr>
          <w:sz w:val="20"/>
          <w:szCs w:val="20"/>
          <w:color w:val="auto"/>
        </w:rPr>
      </w:pPr>
    </w:p>
    <w:p>
      <w:pPr>
        <w:ind w:right="80" w:firstLine="8"/>
        <w:spacing w:after="0" w:line="257" w:lineRule="auto"/>
        <w:tabs>
          <w:tab w:leader="none" w:pos="79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xml:space="preserve">. You hereby acknowledge and agree that by signing this Agreement and the Affirmation, you (on behalf of yourself and your representatives, agents, estate, heirs, attorneys, insurers, spouse, executors, administrators, successors and assigns) are waiving your right to assert any Claim, and you hereby release the Company from any Claim, arising from acts, omissions, facts, or circumstances that occurred on or before the Acceptance Date, and if you do not revoke the Affirmation prior to the Separation Date, arising from acts, omissions, facts, or circumstances that occurred on or before the Separation Date to the maximum extent permitted by law. You may revoke the Affirmation on or prior to the Separation Date by sending an email to the Company’s Chief People Officer at </w:t>
      </w:r>
      <w:r>
        <w:rPr>
          <w:rFonts w:ascii="Arial" w:cs="Arial" w:eastAsia="Arial" w:hAnsi="Arial"/>
          <w:sz w:val="19"/>
          <w:szCs w:val="19"/>
          <w:u w:val="single" w:color="auto"/>
          <w:color w:val="auto"/>
        </w:rPr>
        <w:t>aeldridge@cargurus.com</w:t>
      </w:r>
      <w:r>
        <w:rPr>
          <w:rFonts w:ascii="Arial" w:cs="Arial" w:eastAsia="Arial" w:hAnsi="Arial"/>
          <w:sz w:val="19"/>
          <w:szCs w:val="19"/>
          <w:color w:val="auto"/>
        </w:rPr>
        <w:t xml:space="preserve"> with a copy to the Company’s Legal Department at </w:t>
      </w:r>
      <w:r>
        <w:rPr>
          <w:rFonts w:ascii="Arial" w:cs="Arial" w:eastAsia="Arial" w:hAnsi="Arial"/>
          <w:sz w:val="19"/>
          <w:szCs w:val="19"/>
          <w:u w:val="single" w:color="auto"/>
          <w:color w:val="auto"/>
        </w:rPr>
        <w:t>legal@cargurus.com</w:t>
      </w:r>
      <w:r>
        <w:rPr>
          <w:rFonts w:ascii="Arial" w:cs="Arial" w:eastAsia="Arial" w:hAnsi="Arial"/>
          <w:sz w:val="19"/>
          <w:szCs w:val="19"/>
          <w:color w:val="auto"/>
        </w:rPr>
        <w:t xml:space="preserve"> that specifically notifies the Company of your revocation of the Affirmation under this Section.</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You agree that your waiver and release bars any form of legal claim, lawsuit, charge, complaint or any other form of action against the Company (each, a “Claim”) seeking money or any other form of relief, including equitable relief (whether declaratory, injunctive or otherwise), damages or any other form of monetary recovery (including back pay, front pay, compensatory damages, overtime pay, emotional distress, punitive damages, attorneys’ fees and any other costs or expenses).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 any other source of law of any state, country and/or locality, including but not limited to the United States, the Commonwealth of Massachusetts, the State of California, the State of Michigan, the state in which you reside, and/or any other state or locality where you worked for the Company (collectively “Laws”).</w:t>
      </w:r>
    </w:p>
    <w:p>
      <w:pPr>
        <w:spacing w:after="0" w:line="18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Without limiting the foregoing waiver and release, except for Claims resulting from the failure of the Company to perform its obligations under this Agreement, you specifically waive and release the Company from:</w:t>
      </w:r>
    </w:p>
    <w:p>
      <w:pPr>
        <w:spacing w:after="0" w:line="190" w:lineRule="exact"/>
        <w:rPr>
          <w:sz w:val="20"/>
          <w:szCs w:val="20"/>
          <w:color w:val="auto"/>
        </w:rPr>
      </w:pPr>
    </w:p>
    <w:p>
      <w:pPr>
        <w:ind w:left="880" w:right="40" w:hanging="8"/>
        <w:spacing w:after="0" w:line="256" w:lineRule="auto"/>
        <w:tabs>
          <w:tab w:leader="none" w:pos="1715" w:val="left"/>
        </w:tabs>
        <w:numPr>
          <w:ilvl w:val="0"/>
          <w:numId w:val="19"/>
        </w:numPr>
        <w:rPr>
          <w:rFonts w:ascii="Arial" w:cs="Arial" w:eastAsia="Arial" w:hAnsi="Arial"/>
          <w:sz w:val="19"/>
          <w:szCs w:val="19"/>
          <w:color w:val="auto"/>
        </w:rPr>
      </w:pPr>
      <w:r>
        <w:rPr>
          <w:rFonts w:ascii="Arial" w:cs="Arial" w:eastAsia="Arial" w:hAnsi="Arial"/>
          <w:sz w:val="19"/>
          <w:szCs w:val="19"/>
          <w:color w:val="auto"/>
        </w:rPr>
        <w:t>Claims under any Law concerning equal pay, civil rights, discrimination, harassment, retaliation and fair employment practices, including the California Fair Employment and Housing Act (Cal. Gov. Code, Title 2, Division 3, Part 2.8), the California Constitution, the Massachusetts Fair Employment Practices Act (M.G.L. c. 151B), the Massachusetts Sexual Harassment Law (M.G.L. c. 214, § 1C), the Massachusetts Equal Pay Act (M.G.L. c. 149, § 105A), the Massachusetts Equal Rights Act (M.G.L. c. 93, §§ 102, 103), the Elliott-Larsen Civil Rights Act (Mich. Comp. Laws § 37.2101 et seq.), the Persons with Disabilities Civil Rights Act (Mich. Comp. Laws § 37.1101 et seq.), the Michigan compensation discrimination law (Mich. Comp. Laws § 408.423), Title VII of the Civil Rights Act of 1964 (42 U.S.C. § 2000e et seq.), 42 U.S.C. § 1981, the Age Discrimination in Employment Act (29 U.S.C. § 621 et seq.) and the Americans with Disabilities Act (42 U.S.C. § 12101 et seq.), each as they may have been amended through the Separation Date.</w:t>
      </w:r>
    </w:p>
    <w:p>
      <w:pPr>
        <w:spacing w:after="0" w:line="197" w:lineRule="exact"/>
        <w:rPr>
          <w:rFonts w:ascii="Arial" w:cs="Arial" w:eastAsia="Arial" w:hAnsi="Arial"/>
          <w:sz w:val="19"/>
          <w:szCs w:val="19"/>
          <w:color w:val="auto"/>
        </w:rPr>
      </w:pPr>
    </w:p>
    <w:p>
      <w:pPr>
        <w:ind w:left="880" w:hanging="8"/>
        <w:spacing w:after="0" w:line="263" w:lineRule="auto"/>
        <w:tabs>
          <w:tab w:leader="none" w:pos="1967" w:val="left"/>
        </w:tabs>
        <w:numPr>
          <w:ilvl w:val="0"/>
          <w:numId w:val="19"/>
        </w:numPr>
        <w:rPr>
          <w:rFonts w:ascii="Arial" w:cs="Arial" w:eastAsia="Arial" w:hAnsi="Arial"/>
          <w:sz w:val="19"/>
          <w:szCs w:val="19"/>
          <w:color w:val="auto"/>
        </w:rPr>
      </w:pPr>
      <w:r>
        <w:rPr>
          <w:rFonts w:ascii="Arial" w:cs="Arial" w:eastAsia="Arial" w:hAnsi="Arial"/>
          <w:sz w:val="19"/>
          <w:szCs w:val="19"/>
          <w:color w:val="auto"/>
        </w:rPr>
        <w:t>Claims under any Law relating to wages, hours, overtime, whistleblowing, leaves of absences or any other terms and conditions of employment, including but not limited to the California Labor Code (including all laws and regulations relating to payment of wages, overtime or any other compensation or benefit), the California Family Rights Act (Cal. Gov. Code §§ 12945.2 and 19702.3, the Family and Medical Leave Act of 1993 (29 U.S.C. § 2601 et seq.),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ind w:left="880" w:right="340"/>
        <w:spacing w:after="0" w:line="316" w:lineRule="auto"/>
        <w:rPr>
          <w:sz w:val="20"/>
          <w:szCs w:val="20"/>
          <w:color w:val="auto"/>
        </w:rPr>
      </w:pPr>
      <w:r>
        <w:rPr>
          <w:rFonts w:ascii="Arial" w:cs="Arial" w:eastAsia="Arial" w:hAnsi="Arial"/>
          <w:sz w:val="16"/>
          <w:szCs w:val="16"/>
          <w:color w:val="auto"/>
        </w:rPr>
        <w:t>Massachusetts Payment of Wages Law (Massachusetts General Laws Chapter 149, §§ 148, 150), Massachusetts General Laws Chapter 149 in its entirety, Massachusetts General Laws Chapter 151 in its entirety (including but not limited to the minimum wage and overtime provisions), the Michigan Workforce Opportunity Wage Act (Mich. Comp. Laws § 408.411 et seq.), the Michigan Payment of Wages and Fringe Benefits Act (Mich. Comp. Laws § 408.471 et seq.), the Michigan Whistleblowers’ Protection Act (Mich. Comp. Laws § 15.361 et seq.), each as they may have been amended through the Separation Date. You specifically acknowledge that you are waiving any Claims for unpaid wages under these and other Laws.</w:t>
      </w:r>
    </w:p>
    <w:p>
      <w:pPr>
        <w:spacing w:after="0" w:line="154" w:lineRule="exact"/>
        <w:rPr>
          <w:sz w:val="20"/>
          <w:szCs w:val="20"/>
          <w:color w:val="auto"/>
        </w:rPr>
      </w:pPr>
    </w:p>
    <w:p>
      <w:pPr>
        <w:ind w:left="880" w:right="220" w:hanging="8"/>
        <w:spacing w:after="0" w:line="260" w:lineRule="auto"/>
        <w:tabs>
          <w:tab w:leader="none" w:pos="1973" w:val="left"/>
        </w:tabs>
        <w:numPr>
          <w:ilvl w:val="0"/>
          <w:numId w:val="20"/>
        </w:numPr>
        <w:rPr>
          <w:rFonts w:ascii="Arial" w:cs="Arial" w:eastAsia="Arial" w:hAnsi="Arial"/>
          <w:sz w:val="20"/>
          <w:szCs w:val="20"/>
          <w:color w:val="auto"/>
        </w:rPr>
      </w:pPr>
      <w:r>
        <w:rPr>
          <w:rFonts w:ascii="Arial" w:cs="Arial" w:eastAsia="Arial" w:hAnsi="Arial"/>
          <w:sz w:val="20"/>
          <w:szCs w:val="20"/>
          <w:color w:val="auto"/>
        </w:rPr>
        <w:t>Claims under any local, state or federal common law theory including, without limitation, any Claim for breach of contract, implied contract, promissory estoppel, quantum meruit, or any Claim sounding in tort.</w:t>
      </w:r>
    </w:p>
    <w:p>
      <w:pPr>
        <w:spacing w:after="0" w:line="190" w:lineRule="exact"/>
        <w:rPr>
          <w:rFonts w:ascii="Arial" w:cs="Arial" w:eastAsia="Arial" w:hAnsi="Arial"/>
          <w:sz w:val="20"/>
          <w:szCs w:val="20"/>
          <w:color w:val="auto"/>
        </w:rPr>
      </w:pPr>
    </w:p>
    <w:p>
      <w:pPr>
        <w:ind w:left="1960" w:hanging="1088"/>
        <w:spacing w:after="0"/>
        <w:tabs>
          <w:tab w:leader="none" w:pos="19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Claims arising under the Company’s policies, equity plans, and benefit plans.</w:t>
      </w:r>
    </w:p>
    <w:p>
      <w:pPr>
        <w:spacing w:after="0" w:line="229" w:lineRule="exact"/>
        <w:rPr>
          <w:rFonts w:ascii="Arial" w:cs="Arial" w:eastAsia="Arial" w:hAnsi="Arial"/>
          <w:sz w:val="20"/>
          <w:szCs w:val="20"/>
          <w:color w:val="auto"/>
        </w:rPr>
      </w:pPr>
    </w:p>
    <w:p>
      <w:pPr>
        <w:ind w:left="1900" w:hanging="1028"/>
        <w:spacing w:after="0"/>
        <w:tabs>
          <w:tab w:leader="none" w:pos="1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Claims arising under any other Law or constitution.</w:t>
      </w:r>
    </w:p>
    <w:p>
      <w:pPr>
        <w:spacing w:after="0" w:line="229"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You acknowledge and agree that your receipt of the Severance Pay is contingent upon your providing the waivers and releases in this Agreement, not revoking this Agreement and not revoking the Affirmation.</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Consistent with the provisions of Laws regarding discrimination (the “Discrimination Laws”), nothing in your waiver and release shall prohibit you from challenging the validity of the release under the Discrimination Laws or from filing a charge or complaint of age or other employment related discrimination with the Equal Employment Opportunity Commission (“EEOC”) or similar state agency, or from participating in any investigation or proceeding conducted by the EEOC or such state agency. However, your release and waiver does prohibit you from seeking or receiving monetary damages or other individual-specific relief in connection with any such charge or complaint of age or other work-related discrimination. Further, nothing in this Agreement shall limit the Company’s right to seek immediate dismissal of such charge or complaint on the basis that your signing of this Agreement constitutes a full release of any individual rights under the Discrimination Laws, or the Company’s right to seek restitution or other legal remedies of the economic benefits provided to you under this Agreement in the event that you successfully challenge the validity of this release and prevail in any claim under the Discrimination Laws.</w:t>
      </w:r>
    </w:p>
    <w:p>
      <w:pPr>
        <w:spacing w:after="0" w:line="184" w:lineRule="exact"/>
        <w:rPr>
          <w:sz w:val="20"/>
          <w:szCs w:val="20"/>
          <w:color w:val="auto"/>
        </w:rPr>
      </w:pPr>
    </w:p>
    <w:p>
      <w:pPr>
        <w:ind w:firstLine="872"/>
        <w:spacing w:after="0" w:line="272" w:lineRule="auto"/>
        <w:tabs>
          <w:tab w:leader="none" w:pos="16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OWBPA</w:t>
      </w:r>
      <w:r>
        <w:rPr>
          <w:rFonts w:ascii="Arial" w:cs="Arial" w:eastAsia="Arial" w:hAnsi="Arial"/>
          <w:sz w:val="18"/>
          <w:szCs w:val="18"/>
          <w:color w:val="auto"/>
        </w:rPr>
        <w:t>. You have specific rights under the federal Age Discrimination in Employment Act (“ADEA”) and Older Workers Benefits Protection Act (“OWBPA”), which prohibit discrimination on the basis of age. The release in Section is intended to release any Claim you may have against the Company alleging discrimination on the basis of age under the ADEA, OWBPA and other</w:t>
      </w:r>
    </w:p>
    <w:p>
      <w:pPr>
        <w:ind w:right="120"/>
        <w:spacing w:after="0" w:line="244" w:lineRule="auto"/>
        <w:rPr>
          <w:rFonts w:ascii="Arial" w:cs="Arial" w:eastAsia="Arial" w:hAnsi="Arial"/>
          <w:sz w:val="18"/>
          <w:szCs w:val="18"/>
          <w:color w:val="auto"/>
        </w:rPr>
      </w:pPr>
      <w:r>
        <w:rPr>
          <w:rFonts w:ascii="Arial" w:cs="Arial" w:eastAsia="Arial" w:hAnsi="Arial"/>
          <w:sz w:val="20"/>
          <w:szCs w:val="20"/>
          <w:color w:val="auto"/>
        </w:rPr>
        <w:t>laws. Notwithstanding anything to the contrary in this Agreement, the release in Section 7 does not cover rights or Claims under the ADEA that arise after the Acceptance Date.</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 xml:space="preserve">The Company desires that you fully understand the provisions and effects of this Agreement. Consistent with the provisions of the OWBPA, you have a period of twenty-one (21) days from the date of delivery of this Agreement to you to consider and accept the provisions of this Agreement. You acknowledge and agree that any changes to this Agreement, whether material or immaterial, do not extend this period. You may revoke this Agreement within seven (7) business days after the Acceptance Date by sending an email to the Company’s Chief People Officer at </w:t>
      </w:r>
      <w:r>
        <w:rPr>
          <w:rFonts w:ascii="Arial" w:cs="Arial" w:eastAsia="Arial" w:hAnsi="Arial"/>
          <w:sz w:val="19"/>
          <w:szCs w:val="19"/>
          <w:u w:val="single" w:color="auto"/>
          <w:color w:val="auto"/>
        </w:rPr>
        <w:t>aeldridge@cargurus.com</w:t>
      </w:r>
      <w:r>
        <w:rPr>
          <w:rFonts w:ascii="Arial" w:cs="Arial" w:eastAsia="Arial" w:hAnsi="Arial"/>
          <w:sz w:val="19"/>
          <w:szCs w:val="19"/>
          <w:color w:val="auto"/>
        </w:rPr>
        <w:t xml:space="preserve"> with a copy to the Company’s Legal Department at </w:t>
      </w:r>
      <w:r>
        <w:rPr>
          <w:rFonts w:ascii="Arial" w:cs="Arial" w:eastAsia="Arial" w:hAnsi="Arial"/>
          <w:sz w:val="19"/>
          <w:szCs w:val="19"/>
          <w:u w:val="single" w:color="auto"/>
          <w:color w:val="auto"/>
        </w:rPr>
        <w:t>legal@cargurus.com</w:t>
      </w:r>
      <w:r>
        <w:rPr>
          <w:rFonts w:ascii="Arial" w:cs="Arial" w:eastAsia="Arial" w:hAnsi="Arial"/>
          <w:sz w:val="19"/>
          <w:szCs w:val="19"/>
          <w:color w:val="auto"/>
        </w:rPr>
        <w:t xml:space="preserve"> that specifically notifies the Company of your revocation of this Agreement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ind w:right="60" w:firstLine="8"/>
        <w:spacing w:after="0" w:line="278" w:lineRule="auto"/>
        <w:tabs>
          <w:tab w:leader="none" w:pos="79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Consequences of Breach or Revocation</w:t>
      </w:r>
      <w:r>
        <w:rPr>
          <w:rFonts w:ascii="Arial" w:cs="Arial" w:eastAsia="Arial" w:hAnsi="Arial"/>
          <w:sz w:val="18"/>
          <w:szCs w:val="18"/>
          <w:color w:val="auto"/>
        </w:rPr>
        <w:t>. In addition to any other remedies set forth in this Agreement or otherwise available to the Company in law or equity, a breach by you of any of your obligations set forth in this Agreement, your failure to execute the Affirmation or your revocation of the Affirmation prior to the Separation Date shall entitle the Company to cease providing any Severance Pay and to recover any Severance Pay already provided to you. Notwithstanding any such breach or failure, your release and waiver set forth in this Agreement will remain in full force and effect to the maximum extent permitted by law.</w:t>
      </w:r>
    </w:p>
    <w:p>
      <w:pPr>
        <w:spacing w:after="0" w:line="178" w:lineRule="exact"/>
        <w:rPr>
          <w:rFonts w:ascii="Arial" w:cs="Arial" w:eastAsia="Arial" w:hAnsi="Arial"/>
          <w:sz w:val="18"/>
          <w:szCs w:val="18"/>
          <w:color w:val="auto"/>
        </w:rPr>
      </w:pPr>
    </w:p>
    <w:p>
      <w:pPr>
        <w:ind w:right="40" w:firstLine="8"/>
        <w:spacing w:after="0" w:line="243" w:lineRule="auto"/>
        <w:tabs>
          <w:tab w:leader="none" w:pos="895"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Unemployment Benefits</w:t>
      </w:r>
      <w:r>
        <w:rPr>
          <w:rFonts w:ascii="Arial" w:cs="Arial" w:eastAsia="Arial" w:hAnsi="Arial"/>
          <w:sz w:val="20"/>
          <w:szCs w:val="20"/>
          <w:color w:val="auto"/>
        </w:rPr>
        <w:t>. You may seek unemployment benefits as a result of the termination of your employment from the Company. Decisions regarding unemployment eligibility, including whether the Severance Pay affects the amount of eligibility, if any, are made by the applicable unemployment agency, not by the Company. The Company agrees to provide any necessary documents to enable you to seek such unemployment benefits promptly after a request in writing by an applicable state unemployment agency. Nothing in this Section shall be construed to require the Company to make, and the Company will not make, untruthful statements to an agency in connection with any claim for unemployment benefits.</w:t>
      </w:r>
    </w:p>
    <w:p>
      <w:pPr>
        <w:spacing w:after="0" w:line="209" w:lineRule="exact"/>
        <w:rPr>
          <w:rFonts w:ascii="Arial" w:cs="Arial" w:eastAsia="Arial" w:hAnsi="Arial"/>
          <w:sz w:val="20"/>
          <w:szCs w:val="20"/>
          <w:color w:val="auto"/>
        </w:rPr>
      </w:pPr>
    </w:p>
    <w:p>
      <w:pPr>
        <w:ind w:left="900" w:hanging="892"/>
        <w:spacing w:after="0"/>
        <w:tabs>
          <w:tab w:leader="none" w:pos="90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Governing Provisions.</w:t>
      </w:r>
    </w:p>
    <w:p>
      <w:pPr>
        <w:spacing w:after="0" w:line="229" w:lineRule="exact"/>
        <w:rPr>
          <w:rFonts w:ascii="Arial" w:cs="Arial" w:eastAsia="Arial" w:hAnsi="Arial"/>
          <w:sz w:val="20"/>
          <w:szCs w:val="20"/>
          <w:color w:val="auto"/>
        </w:rPr>
      </w:pPr>
    </w:p>
    <w:p>
      <w:pPr>
        <w:ind w:left="880" w:right="200" w:hanging="8"/>
        <w:spacing w:after="0" w:line="263" w:lineRule="auto"/>
        <w:tabs>
          <w:tab w:leader="none" w:pos="1715" w:val="left"/>
        </w:tabs>
        <w:numPr>
          <w:ilvl w:val="1"/>
          <w:numId w:val="22"/>
        </w:numPr>
        <w:rPr>
          <w:rFonts w:ascii="Arial" w:cs="Arial" w:eastAsia="Arial" w:hAnsi="Arial"/>
          <w:sz w:val="19"/>
          <w:szCs w:val="19"/>
          <w:color w:val="auto"/>
        </w:rPr>
      </w:pPr>
      <w:r>
        <w:rPr>
          <w:rFonts w:ascii="Arial" w:cs="Arial" w:eastAsia="Arial" w:hAnsi="Arial"/>
          <w:sz w:val="19"/>
          <w:szCs w:val="19"/>
          <w:color w:val="auto"/>
        </w:rPr>
        <w:t>Except as otherwise expressly provided in this Agreement and your continuing obligations under the NDA, this Agreement, together with the Exhibits and the Affirmation, which both constitute a part of this Agreement, supersedes any prior oral or written agreement and sets forth the entire agreement between you and the Company. No variations or modifications to this Agreement shall be valid unless reduced to writing and signed by the parties to this Agreement.</w:t>
      </w:r>
    </w:p>
    <w:p>
      <w:pPr>
        <w:spacing w:after="0" w:line="189" w:lineRule="exact"/>
        <w:rPr>
          <w:rFonts w:ascii="Arial" w:cs="Arial" w:eastAsia="Arial" w:hAnsi="Arial"/>
          <w:sz w:val="19"/>
          <w:szCs w:val="19"/>
          <w:color w:val="auto"/>
        </w:rPr>
      </w:pPr>
    </w:p>
    <w:p>
      <w:pPr>
        <w:ind w:left="880" w:hanging="8"/>
        <w:spacing w:after="0" w:line="259" w:lineRule="auto"/>
        <w:tabs>
          <w:tab w:leader="none" w:pos="177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validity, interpretation and performance of this Agreement shall be governed by, and construed in accordance with, the internal laws of the Commonwealth of Massachusetts, without giving effect to conflict of law principles. Any action, demand, claim or counterclaim relating to the terms and provisions of this Agreement or to its breach, shall be commenced in Massachusetts in a court of competent jurisdiction, and venue for such actions shall lie exclusively in Massachusetts. To the fullest extent permitted by law, any action, demand, claim or counterclaim relating to this Agreement shall be resolved by a judge alone, and both parties hereby waive the right to a trial before a civil jury.</w:t>
      </w:r>
    </w:p>
    <w:p>
      <w:pPr>
        <w:spacing w:after="0" w:line="191" w:lineRule="exact"/>
        <w:rPr>
          <w:rFonts w:ascii="Arial" w:cs="Arial" w:eastAsia="Arial" w:hAnsi="Arial"/>
          <w:sz w:val="19"/>
          <w:szCs w:val="19"/>
          <w:color w:val="auto"/>
        </w:rPr>
      </w:pPr>
    </w:p>
    <w:p>
      <w:pPr>
        <w:ind w:left="880" w:right="220" w:hanging="8"/>
        <w:spacing w:after="0" w:line="260" w:lineRule="auto"/>
        <w:tabs>
          <w:tab w:leader="none" w:pos="1825"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terms of this Agreement are severable, and if for any reason any part hereof shall be found to be unenforceable, the remaining terms and conditions shall be enforced in full.</w:t>
      </w:r>
    </w:p>
    <w:p>
      <w:pPr>
        <w:spacing w:after="0" w:line="190" w:lineRule="exact"/>
        <w:rPr>
          <w:rFonts w:ascii="Arial" w:cs="Arial" w:eastAsia="Arial" w:hAnsi="Arial"/>
          <w:sz w:val="20"/>
          <w:szCs w:val="20"/>
          <w:color w:val="auto"/>
        </w:rPr>
      </w:pPr>
    </w:p>
    <w:p>
      <w:pPr>
        <w:ind w:left="880" w:right="460" w:hanging="8"/>
        <w:spacing w:after="0" w:line="260" w:lineRule="auto"/>
        <w:tabs>
          <w:tab w:leader="none" w:pos="18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This Agreement shall inure to the benefit of the Company and its successors and assigns and shall be enforceable against your heirs, executors and assigns.</w:t>
      </w:r>
    </w:p>
    <w:p>
      <w:pPr>
        <w:spacing w:after="0" w:line="190" w:lineRule="exact"/>
        <w:rPr>
          <w:rFonts w:ascii="Arial" w:cs="Arial" w:eastAsia="Arial" w:hAnsi="Arial"/>
          <w:sz w:val="20"/>
          <w:szCs w:val="20"/>
          <w:color w:val="auto"/>
        </w:rPr>
      </w:pPr>
    </w:p>
    <w:p>
      <w:pPr>
        <w:ind w:left="880" w:right="80" w:hanging="8"/>
        <w:spacing w:after="0" w:line="278" w:lineRule="auto"/>
        <w:tabs>
          <w:tab w:leader="none" w:pos="17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for the Company’s obligations set forth in Section 3 of this Agreement, which shall be the obligations solely of CarGurus, Inc., wherever the term the Company is used in this Agreement, it shall include CarGurus, Inc. and any and all entities corporately related to CarGurus, Inc. (including but not limited to any parents, divisions, affiliates and subsidiaries), and its and their respective partners, officers, directors, employees, agents, representatives, successors, predecessors, and assigns. The parties agree that all of such foregoing entities and persons are intended third party beneficiaries of this Agreement.</w:t>
      </w:r>
    </w:p>
    <w:p>
      <w:pPr>
        <w:spacing w:after="0" w:line="178"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The Company advises you to consult with legal counsel for the purpose of reviewing the terms of this Agreement. By executing this Agreement and the Affirmation, you are acknowledging that you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6" w:right="359" w:bottom="1440" w:gutter="0" w:footer="0" w:header="0"/>
        </w:sectPr>
      </w:pPr>
    </w:p>
    <w:bookmarkStart w:id="65" w:name="page66"/>
    <w:bookmarkEnd w:id="65"/>
    <w:p>
      <w:pPr>
        <w:spacing w:after="0" w:line="270" w:lineRule="auto"/>
        <w:rPr>
          <w:sz w:val="20"/>
          <w:szCs w:val="20"/>
          <w:color w:val="auto"/>
        </w:rPr>
      </w:pPr>
      <w:r>
        <w:rPr>
          <w:rFonts w:ascii="Arial" w:cs="Arial" w:eastAsia="Arial" w:hAnsi="Arial"/>
          <w:sz w:val="19"/>
          <w:szCs w:val="19"/>
          <w:color w:val="auto"/>
        </w:rPr>
        <w:t>afforded sufficient time to understand the terms and effects of this Agreement and to consult with legal counsel, that your agreements and obligations hereunder are made voluntarily, knowingly and without duress, and that neither the Company nor any of its employees, agents or representatives has made any representations inconsistent with the provisions of this Agreement.</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 xml:space="preserve">To accept the terms of this Agreement, you must sign and return this Agreement and the Affirmation to the Company’s Chief People Officer at </w:t>
      </w:r>
      <w:r>
        <w:rPr>
          <w:rFonts w:ascii="Arial" w:cs="Arial" w:eastAsia="Arial" w:hAnsi="Arial"/>
          <w:sz w:val="19"/>
          <w:szCs w:val="19"/>
          <w:u w:val="single" w:color="auto"/>
          <w:color w:val="0563C1"/>
        </w:rPr>
        <w:t>aeldridge@cargurus.com</w:t>
      </w:r>
      <w:r>
        <w:rPr>
          <w:rFonts w:ascii="Arial" w:cs="Arial" w:eastAsia="Arial" w:hAnsi="Arial"/>
          <w:sz w:val="19"/>
          <w:szCs w:val="19"/>
          <w:color w:val="auto"/>
        </w:rPr>
        <w:t xml:space="preserve"> or by electronic signature and transmission within the applicable period specified in Section 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CARGURUS,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Andrea Eldridge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Andrea Eldridge</w:t>
      </w:r>
    </w:p>
    <w:p>
      <w:pPr>
        <w:spacing w:after="0"/>
        <w:rPr>
          <w:sz w:val="20"/>
          <w:szCs w:val="20"/>
          <w:color w:val="auto"/>
        </w:rPr>
      </w:pPr>
      <w:r>
        <w:rPr>
          <w:rFonts w:ascii="Arial" w:cs="Arial" w:eastAsia="Arial" w:hAnsi="Arial"/>
          <w:sz w:val="20"/>
          <w:szCs w:val="20"/>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Kyle Lomeli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Kyle Lomeli</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Acceptance Date: </w:t>
      </w:r>
      <w:r>
        <w:rPr>
          <w:rFonts w:ascii="Arial" w:cs="Arial" w:eastAsia="Arial" w:hAnsi="Arial"/>
          <w:sz w:val="20"/>
          <w:szCs w:val="20"/>
          <w:u w:val="single" w:color="auto"/>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Affirmation</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Unless I revoke this Affirmation in accordance with the terms and conditions of the Separation Agreement between the Company and me on or prior to the Separation Date, I hereby affirm through and as of the Separation Date the provisions of the Separation Agreement in their entirety including, without limitation, the release of all Claims against the Company as of and through the Separation Date (other than Claims under the ADEA that arise after the Acceptance Date) to the maximum extent permitted by law. This Affirmation constitutes a part of the Separation Agreement effective as of the Acceptance Date. Capitalized terms shall have the meanings ascribed to them in the Separation Agreement.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Kyle Lomeli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Kyle Lomeli</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Acceptance Date: </w:t>
      </w:r>
      <w:r>
        <w:rPr>
          <w:rFonts w:ascii="Arial" w:cs="Arial" w:eastAsia="Arial" w:hAnsi="Arial"/>
          <w:sz w:val="20"/>
          <w:szCs w:val="20"/>
          <w:u w:val="single" w:color="auto"/>
          <w:color w:val="auto"/>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3375025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7" w:name="page68"/>
    <w:bookmarkEnd w:id="67"/>
    <w:p>
      <w:pPr>
        <w:ind w:left="5220"/>
        <w:spacing w:after="0"/>
        <w:rPr>
          <w:sz w:val="20"/>
          <w:szCs w:val="20"/>
          <w:color w:val="auto"/>
        </w:rPr>
      </w:pPr>
      <w:r>
        <w:rPr>
          <w:rFonts w:ascii="Arial" w:cs="Arial" w:eastAsia="Arial" w:hAnsi="Arial"/>
          <w:sz w:val="20"/>
          <w:szCs w:val="20"/>
          <w:b w:val="1"/>
          <w:bCs w:val="1"/>
          <w:u w:val="single" w:color="auto"/>
          <w:color w:val="auto"/>
        </w:rPr>
        <w:t>Exhibit B</w:t>
      </w:r>
    </w:p>
    <w:p>
      <w:pPr>
        <w:spacing w:after="0" w:line="175" w:lineRule="exact"/>
        <w:rPr>
          <w:sz w:val="20"/>
          <w:szCs w:val="20"/>
          <w:color w:val="auto"/>
        </w:rPr>
      </w:pPr>
    </w:p>
    <w:p>
      <w:pPr>
        <w:ind w:left="4800"/>
        <w:spacing w:after="0"/>
        <w:rPr>
          <w:sz w:val="20"/>
          <w:szCs w:val="20"/>
          <w:color w:val="auto"/>
        </w:rPr>
      </w:pPr>
      <w:r>
        <w:rPr>
          <w:rFonts w:ascii="Arial" w:cs="Arial" w:eastAsia="Arial" w:hAnsi="Arial"/>
          <w:sz w:val="20"/>
          <w:szCs w:val="20"/>
          <w:b w:val="1"/>
          <w:bCs w:val="1"/>
          <w:u w:val="single" w:color="auto"/>
          <w:color w:val="auto"/>
        </w:rPr>
        <w:t>Notice of Immunity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Consistent with federal law, the Company hereby notifies you of the following provisions of the Defend Trade Secrets Act of 2016.</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MMUNITY FROM</w:t>
      </w:r>
      <w:r>
        <w:rPr>
          <w:rFonts w:ascii="Arial" w:cs="Arial" w:eastAsia="Arial" w:hAnsi="Arial"/>
          <w:sz w:val="20"/>
          <w:szCs w:val="20"/>
          <w:color w:val="auto"/>
        </w:rPr>
        <w:t xml:space="preserve"> L</w:t>
      </w:r>
      <w:r>
        <w:rPr>
          <w:rFonts w:ascii="Arial" w:cs="Arial" w:eastAsia="Arial" w:hAnsi="Arial"/>
          <w:sz w:val="13"/>
          <w:szCs w:val="13"/>
          <w:color w:val="auto"/>
        </w:rPr>
        <w:t>IABILITY FOR</w:t>
      </w:r>
      <w:r>
        <w:rPr>
          <w:rFonts w:ascii="Arial" w:cs="Arial" w:eastAsia="Arial" w:hAnsi="Arial"/>
          <w:sz w:val="20"/>
          <w:szCs w:val="20"/>
          <w:color w:val="auto"/>
        </w:rPr>
        <w:t xml:space="preserve"> C</w:t>
      </w:r>
      <w:r>
        <w:rPr>
          <w:rFonts w:ascii="Arial" w:cs="Arial" w:eastAsia="Arial" w:hAnsi="Arial"/>
          <w:sz w:val="13"/>
          <w:szCs w:val="13"/>
          <w:color w:val="auto"/>
        </w:rPr>
        <w:t>ONFIDENTIAL</w:t>
      </w:r>
      <w:r>
        <w:rPr>
          <w:rFonts w:ascii="Arial" w:cs="Arial" w:eastAsia="Arial" w:hAnsi="Arial"/>
          <w:sz w:val="20"/>
          <w:szCs w:val="20"/>
          <w:color w:val="auto"/>
        </w:rPr>
        <w:t xml:space="preserve"> D</w:t>
      </w:r>
      <w:r>
        <w:rPr>
          <w:rFonts w:ascii="Arial" w:cs="Arial" w:eastAsia="Arial" w:hAnsi="Arial"/>
          <w:sz w:val="13"/>
          <w:szCs w:val="13"/>
          <w:color w:val="auto"/>
        </w:rPr>
        <w:t>ISCLOSURE OF A</w:t>
      </w:r>
      <w:r>
        <w:rPr>
          <w:rFonts w:ascii="Arial" w:cs="Arial" w:eastAsia="Arial" w:hAnsi="Arial"/>
          <w:sz w:val="20"/>
          <w:szCs w:val="20"/>
          <w:color w:val="auto"/>
        </w:rPr>
        <w:t xml:space="preserve"> T</w:t>
      </w:r>
      <w:r>
        <w:rPr>
          <w:rFonts w:ascii="Arial" w:cs="Arial" w:eastAsia="Arial" w:hAnsi="Arial"/>
          <w:sz w:val="13"/>
          <w:szCs w:val="13"/>
          <w:color w:val="auto"/>
        </w:rPr>
        <w:t>RADE</w:t>
      </w:r>
      <w:r>
        <w:rPr>
          <w:rFonts w:ascii="Arial" w:cs="Arial" w:eastAsia="Arial" w:hAnsi="Arial"/>
          <w:sz w:val="20"/>
          <w:szCs w:val="20"/>
          <w:color w:val="auto"/>
        </w:rPr>
        <w:t xml:space="preserve"> S</w:t>
      </w:r>
      <w:r>
        <w:rPr>
          <w:rFonts w:ascii="Arial" w:cs="Arial" w:eastAsia="Arial" w:hAnsi="Arial"/>
          <w:sz w:val="13"/>
          <w:szCs w:val="13"/>
          <w:color w:val="auto"/>
        </w:rPr>
        <w:t>ECRET TO THE</w:t>
      </w:r>
      <w:r>
        <w:rPr>
          <w:rFonts w:ascii="Arial" w:cs="Arial" w:eastAsia="Arial" w:hAnsi="Arial"/>
          <w:sz w:val="20"/>
          <w:szCs w:val="20"/>
          <w:color w:val="auto"/>
        </w:rPr>
        <w:t xml:space="preserve"> G</w:t>
      </w:r>
      <w:r>
        <w:rPr>
          <w:rFonts w:ascii="Arial" w:cs="Arial" w:eastAsia="Arial" w:hAnsi="Arial"/>
          <w:sz w:val="13"/>
          <w:szCs w:val="13"/>
          <w:color w:val="auto"/>
        </w:rPr>
        <w:t>OVERNMENT OR IN A</w:t>
      </w:r>
      <w:r>
        <w:rPr>
          <w:rFonts w:ascii="Arial" w:cs="Arial" w:eastAsia="Arial" w:hAnsi="Arial"/>
          <w:sz w:val="20"/>
          <w:szCs w:val="20"/>
          <w:color w:val="auto"/>
        </w:rPr>
        <w:t xml:space="preserve"> C</w:t>
      </w:r>
      <w:r>
        <w:rPr>
          <w:rFonts w:ascii="Arial" w:cs="Arial" w:eastAsia="Arial" w:hAnsi="Arial"/>
          <w:sz w:val="13"/>
          <w:szCs w:val="13"/>
          <w:color w:val="auto"/>
        </w:rPr>
        <w:t>OURT</w:t>
      </w:r>
      <w:r>
        <w:rPr>
          <w:rFonts w:ascii="Arial" w:cs="Arial" w:eastAsia="Arial" w:hAnsi="Arial"/>
          <w:sz w:val="20"/>
          <w:szCs w:val="20"/>
          <w:color w:val="auto"/>
        </w:rPr>
        <w:t xml:space="preserve"> F</w:t>
      </w:r>
      <w:r>
        <w:rPr>
          <w:rFonts w:ascii="Arial" w:cs="Arial" w:eastAsia="Arial" w:hAnsi="Arial"/>
          <w:sz w:val="13"/>
          <w:szCs w:val="13"/>
          <w:color w:val="auto"/>
        </w:rPr>
        <w:t>ILING</w:t>
      </w:r>
      <w:r>
        <w:rPr>
          <w:rFonts w:ascii="Arial" w:cs="Arial" w:eastAsia="Arial" w:hAnsi="Arial"/>
          <w:sz w:val="20"/>
          <w:szCs w:val="20"/>
          <w:color w:val="auto"/>
        </w:rPr>
        <w:t>—</w:t>
      </w:r>
    </w:p>
    <w:p>
      <w:pPr>
        <w:spacing w:after="0" w:line="175" w:lineRule="exact"/>
        <w:rPr>
          <w:sz w:val="20"/>
          <w:szCs w:val="20"/>
          <w:color w:val="auto"/>
        </w:rPr>
      </w:pPr>
    </w:p>
    <w:p>
      <w:pPr>
        <w:ind w:left="1300" w:right="340" w:hanging="442"/>
        <w:spacing w:after="0" w:line="247"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MMUNITY</w:t>
      </w:r>
      <w:r>
        <w:rPr>
          <w:rFonts w:ascii="Arial" w:cs="Arial" w:eastAsia="Arial" w:hAnsi="Arial"/>
          <w:sz w:val="20"/>
          <w:szCs w:val="20"/>
          <w:color w:val="auto"/>
        </w:rPr>
        <w:t>.—An individual shall not be held criminally or civilly liable under any Federal or State trade secret law for the disclosure of a trade secret that—</w:t>
      </w:r>
    </w:p>
    <w:p>
      <w:pPr>
        <w:spacing w:after="0" w:line="1" w:lineRule="exact"/>
        <w:rPr>
          <w:rFonts w:ascii="Arial" w:cs="Arial" w:eastAsia="Arial" w:hAnsi="Arial"/>
          <w:sz w:val="20"/>
          <w:szCs w:val="20"/>
          <w:color w:val="auto"/>
        </w:rPr>
      </w:pPr>
    </w:p>
    <w:p>
      <w:pPr>
        <w:ind w:left="1740" w:hanging="436"/>
        <w:spacing w:after="0"/>
        <w:tabs>
          <w:tab w:leader="none" w:pos="1740" w:val="left"/>
        </w:tabs>
        <w:numPr>
          <w:ilvl w:val="2"/>
          <w:numId w:val="23"/>
        </w:numPr>
        <w:rPr>
          <w:rFonts w:ascii="Arial" w:cs="Arial" w:eastAsia="Arial" w:hAnsi="Arial"/>
          <w:sz w:val="20"/>
          <w:szCs w:val="20"/>
          <w:color w:val="auto"/>
        </w:rPr>
      </w:pPr>
      <w:r>
        <w:rPr>
          <w:rFonts w:ascii="Arial" w:cs="Arial" w:eastAsia="Arial" w:hAnsi="Arial"/>
          <w:sz w:val="20"/>
          <w:szCs w:val="20"/>
          <w:color w:val="auto"/>
        </w:rPr>
        <w:t>is made –</w:t>
      </w:r>
    </w:p>
    <w:p>
      <w:pPr>
        <w:spacing w:after="0" w:line="4" w:lineRule="exact"/>
        <w:rPr>
          <w:rFonts w:ascii="Arial" w:cs="Arial" w:eastAsia="Arial" w:hAnsi="Arial"/>
          <w:sz w:val="20"/>
          <w:szCs w:val="20"/>
          <w:color w:val="auto"/>
        </w:rPr>
      </w:pPr>
    </w:p>
    <w:p>
      <w:pPr>
        <w:ind w:left="2580" w:right="60" w:hanging="858"/>
        <w:spacing w:after="0" w:line="244" w:lineRule="auto"/>
        <w:tabs>
          <w:tab w:leader="none" w:pos="2580" w:val="left"/>
        </w:tabs>
        <w:numPr>
          <w:ilvl w:val="3"/>
          <w:numId w:val="23"/>
        </w:numPr>
        <w:rPr>
          <w:rFonts w:ascii="Arial" w:cs="Arial" w:eastAsia="Arial" w:hAnsi="Arial"/>
          <w:sz w:val="20"/>
          <w:szCs w:val="20"/>
          <w:color w:val="auto"/>
        </w:rPr>
      </w:pPr>
      <w:r>
        <w:rPr>
          <w:rFonts w:ascii="Arial" w:cs="Arial" w:eastAsia="Arial" w:hAnsi="Arial"/>
          <w:sz w:val="20"/>
          <w:szCs w:val="20"/>
          <w:color w:val="auto"/>
        </w:rPr>
        <w:t>in confidence to a Federal, State, or local government official, either directly or indirectly, or to an attorney; and</w:t>
      </w:r>
    </w:p>
    <w:p>
      <w:pPr>
        <w:ind w:left="2580" w:hanging="858"/>
        <w:spacing w:after="0"/>
        <w:tabs>
          <w:tab w:leader="none" w:pos="2580" w:val="left"/>
        </w:tabs>
        <w:numPr>
          <w:ilvl w:val="3"/>
          <w:numId w:val="23"/>
        </w:numPr>
        <w:rPr>
          <w:rFonts w:ascii="Arial" w:cs="Arial" w:eastAsia="Arial" w:hAnsi="Arial"/>
          <w:sz w:val="20"/>
          <w:szCs w:val="20"/>
          <w:color w:val="auto"/>
        </w:rPr>
      </w:pPr>
      <w:r>
        <w:rPr>
          <w:rFonts w:ascii="Arial" w:cs="Arial" w:eastAsia="Arial" w:hAnsi="Arial"/>
          <w:sz w:val="20"/>
          <w:szCs w:val="20"/>
          <w:color w:val="auto"/>
        </w:rPr>
        <w:t>solely for the purpose of reporting or investigating a suspected violation of law; or</w:t>
      </w:r>
    </w:p>
    <w:p>
      <w:pPr>
        <w:spacing w:after="0" w:line="4" w:lineRule="exact"/>
        <w:rPr>
          <w:rFonts w:ascii="Arial" w:cs="Arial" w:eastAsia="Arial" w:hAnsi="Arial"/>
          <w:sz w:val="20"/>
          <w:szCs w:val="20"/>
          <w:color w:val="auto"/>
        </w:rPr>
      </w:pPr>
    </w:p>
    <w:p>
      <w:pPr>
        <w:ind w:left="1740" w:hanging="436"/>
        <w:spacing w:after="0"/>
        <w:tabs>
          <w:tab w:leader="none" w:pos="1740" w:val="left"/>
        </w:tabs>
        <w:numPr>
          <w:ilvl w:val="2"/>
          <w:numId w:val="23"/>
        </w:numPr>
        <w:rPr>
          <w:rFonts w:ascii="Arial" w:cs="Arial" w:eastAsia="Arial" w:hAnsi="Arial"/>
          <w:sz w:val="19"/>
          <w:szCs w:val="19"/>
          <w:color w:val="auto"/>
        </w:rPr>
      </w:pPr>
      <w:r>
        <w:rPr>
          <w:rFonts w:ascii="Arial" w:cs="Arial" w:eastAsia="Arial" w:hAnsi="Arial"/>
          <w:sz w:val="19"/>
          <w:szCs w:val="19"/>
          <w:color w:val="auto"/>
        </w:rPr>
        <w:t>is made in a complaint or other document filed in a lawsuit or other proceeding, if such filing is made under seal.</w:t>
      </w:r>
    </w:p>
    <w:p>
      <w:pPr>
        <w:spacing w:after="0" w:line="246" w:lineRule="exact"/>
        <w:rPr>
          <w:rFonts w:ascii="Arial" w:cs="Arial" w:eastAsia="Arial" w:hAnsi="Arial"/>
          <w:sz w:val="19"/>
          <w:szCs w:val="19"/>
          <w:color w:val="auto"/>
        </w:rPr>
      </w:pPr>
    </w:p>
    <w:p>
      <w:pPr>
        <w:ind w:left="1300" w:hanging="442"/>
        <w:spacing w:after="0" w:line="245"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w:t>
      </w:r>
      <w:r>
        <w:rPr>
          <w:rFonts w:ascii="Arial" w:cs="Arial" w:eastAsia="Arial" w:hAnsi="Arial"/>
          <w:sz w:val="13"/>
          <w:szCs w:val="13"/>
          <w:color w:val="auto"/>
        </w:rPr>
        <w:t>SE OF</w:t>
      </w:r>
      <w:r>
        <w:rPr>
          <w:rFonts w:ascii="Arial" w:cs="Arial" w:eastAsia="Arial" w:hAnsi="Arial"/>
          <w:sz w:val="20"/>
          <w:szCs w:val="20"/>
          <w:color w:val="auto"/>
        </w:rPr>
        <w:t xml:space="preserve"> T</w:t>
      </w:r>
      <w:r>
        <w:rPr>
          <w:rFonts w:ascii="Arial" w:cs="Arial" w:eastAsia="Arial" w:hAnsi="Arial"/>
          <w:sz w:val="13"/>
          <w:szCs w:val="13"/>
          <w:color w:val="auto"/>
        </w:rPr>
        <w:t>RADE</w:t>
      </w:r>
      <w:r>
        <w:rPr>
          <w:rFonts w:ascii="Arial" w:cs="Arial" w:eastAsia="Arial" w:hAnsi="Arial"/>
          <w:sz w:val="20"/>
          <w:szCs w:val="20"/>
          <w:color w:val="auto"/>
        </w:rPr>
        <w:t xml:space="preserve"> S</w:t>
      </w:r>
      <w:r>
        <w:rPr>
          <w:rFonts w:ascii="Arial" w:cs="Arial" w:eastAsia="Arial" w:hAnsi="Arial"/>
          <w:sz w:val="13"/>
          <w:szCs w:val="13"/>
          <w:color w:val="auto"/>
        </w:rPr>
        <w:t>ECRET</w:t>
      </w:r>
      <w:r>
        <w:rPr>
          <w:rFonts w:ascii="Arial" w:cs="Arial" w:eastAsia="Arial" w:hAnsi="Arial"/>
          <w:sz w:val="20"/>
          <w:szCs w:val="20"/>
          <w:color w:val="auto"/>
        </w:rPr>
        <w:t xml:space="preserve"> I</w:t>
      </w:r>
      <w:r>
        <w:rPr>
          <w:rFonts w:ascii="Arial" w:cs="Arial" w:eastAsia="Arial" w:hAnsi="Arial"/>
          <w:sz w:val="13"/>
          <w:szCs w:val="13"/>
          <w:color w:val="auto"/>
        </w:rPr>
        <w:t>NFORMATION IN</w:t>
      </w:r>
      <w:r>
        <w:rPr>
          <w:rFonts w:ascii="Arial" w:cs="Arial" w:eastAsia="Arial" w:hAnsi="Arial"/>
          <w:sz w:val="20"/>
          <w:szCs w:val="20"/>
          <w:color w:val="auto"/>
        </w:rPr>
        <w:t xml:space="preserve"> A</w:t>
      </w:r>
      <w:r>
        <w:rPr>
          <w:rFonts w:ascii="Arial" w:cs="Arial" w:eastAsia="Arial" w:hAnsi="Arial"/>
          <w:sz w:val="13"/>
          <w:szCs w:val="13"/>
          <w:color w:val="auto"/>
        </w:rPr>
        <w:t>NTI</w:t>
      </w:r>
      <w:r>
        <w:rPr>
          <w:rFonts w:ascii="Arial" w:cs="Arial" w:eastAsia="Arial" w:hAnsi="Arial"/>
          <w:sz w:val="20"/>
          <w:szCs w:val="20"/>
          <w:color w:val="auto"/>
        </w:rPr>
        <w:t>-R</w:t>
      </w:r>
      <w:r>
        <w:rPr>
          <w:rFonts w:ascii="Arial" w:cs="Arial" w:eastAsia="Arial" w:hAnsi="Arial"/>
          <w:sz w:val="13"/>
          <w:szCs w:val="13"/>
          <w:color w:val="auto"/>
        </w:rPr>
        <w:t>ETALIATION</w:t>
      </w:r>
      <w:r>
        <w:rPr>
          <w:rFonts w:ascii="Arial" w:cs="Arial" w:eastAsia="Arial" w:hAnsi="Arial"/>
          <w:sz w:val="20"/>
          <w:szCs w:val="20"/>
          <w:color w:val="auto"/>
        </w:rPr>
        <w:t xml:space="preserve"> L</w:t>
      </w:r>
      <w:r>
        <w:rPr>
          <w:rFonts w:ascii="Arial" w:cs="Arial" w:eastAsia="Arial" w:hAnsi="Arial"/>
          <w:sz w:val="13"/>
          <w:szCs w:val="13"/>
          <w:color w:val="auto"/>
        </w:rPr>
        <w:t>AWSUIT</w:t>
      </w:r>
      <w:r>
        <w:rPr>
          <w:rFonts w:ascii="Arial" w:cs="Arial" w:eastAsia="Arial" w:hAnsi="Arial"/>
          <w:sz w:val="20"/>
          <w:szCs w:val="20"/>
          <w:color w:val="auto"/>
        </w:rPr>
        <w:t>—An individual who files a lawsuit for retaliation by an employer for reporting a suspected violation of law may disclose the trade secret to the attorney of the individual and use the trade secret information in the court proceeding, if the individual—</w:t>
      </w:r>
    </w:p>
    <w:p>
      <w:pPr>
        <w:ind w:left="1640" w:hanging="369"/>
        <w:spacing w:after="0"/>
        <w:tabs>
          <w:tab w:leader="none" w:pos="16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files any document containing the trade secret under seal; and</w:t>
      </w:r>
    </w:p>
    <w:p>
      <w:pPr>
        <w:ind w:left="1660" w:hanging="356"/>
        <w:spacing w:after="0"/>
        <w:tabs>
          <w:tab w:leader="none" w:pos="1660" w:val="left"/>
        </w:tabs>
        <w:numPr>
          <w:ilvl w:val="2"/>
          <w:numId w:val="24"/>
        </w:numPr>
        <w:rPr>
          <w:rFonts w:ascii="Arial" w:cs="Arial" w:eastAsia="Arial" w:hAnsi="Arial"/>
          <w:sz w:val="20"/>
          <w:szCs w:val="20"/>
          <w:color w:val="auto"/>
        </w:rPr>
      </w:pPr>
      <w:r>
        <w:rPr>
          <w:rFonts w:ascii="Arial" w:cs="Arial" w:eastAsia="Arial" w:hAnsi="Arial"/>
          <w:sz w:val="20"/>
          <w:szCs w:val="20"/>
          <w:color w:val="auto"/>
        </w:rPr>
        <w:t>does not disclose the trade secret, except pursuant to court order.</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160"/>
          </w:cols>
          <w:pgMar w:left="320" w:top="360" w:right="4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6, 2021</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Jason Trevisan</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 Fredo, certify that:</w:t>
      </w:r>
    </w:p>
    <w:p>
      <w:pPr>
        <w:spacing w:after="0" w:line="22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6, 2021</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Scot Fredo</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 Fredo</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2021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6, 2021</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Jason Trevisan</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2021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65"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6, 2021</w:t>
            </w: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By: /s/ Scot Fredo</w:t>
            </w:r>
          </w:p>
        </w:tc>
      </w:tr>
      <w:tr>
        <w:trPr>
          <w:trHeight w:val="222"/>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 Fredo</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endash "/>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4"/>
    </w:lvl>
    <w:lvl w:ilvl="1">
      <w:lvlJc w:val="left"/>
      <w:lvlText w:val="(%2)"/>
      <w:numFmt w:val="lowerRoman"/>
      <w:start w:val="1"/>
    </w:lvl>
  </w:abstractNum>
  <w:abstractNum w:abstractNumId="15">
    <w:nsid w:val="721DA317"/>
    <w:multiLevelType w:val="hybridMultilevel"/>
    <w:lvl w:ilvl="0">
      <w:lvlJc w:val="left"/>
      <w:lvlText w:val="%1"/>
      <w:numFmt w:val="decimal"/>
      <w:start w:val="1"/>
    </w:lvl>
    <w:lvl w:ilvl="1">
      <w:lvlJc w:val="left"/>
      <w:lvlText w:val="(%2)"/>
      <w:numFmt w:val="lowerRoman"/>
      <w:start w:val="2"/>
    </w:lvl>
  </w:abstractNum>
  <w:abstractNum w:abstractNumId="16">
    <w:nsid w:val="2443A858"/>
    <w:multiLevelType w:val="hybridMultilevel"/>
    <w:lvl w:ilvl="0">
      <w:lvlJc w:val="left"/>
      <w:lvlText w:val="%1."/>
      <w:numFmt w:val="decimal"/>
      <w:start w:val="6"/>
    </w:lvl>
    <w:lvl w:ilvl="1">
      <w:lvlJc w:val="left"/>
      <w:lvlText w:val="%2"/>
      <w:numFmt w:val="lowerRoman"/>
      <w:start w:val="1"/>
    </w:lvl>
  </w:abstractNum>
  <w:abstractNum w:abstractNumId="17">
    <w:nsid w:val="2D1D5AE9"/>
    <w:multiLevelType w:val="hybridMultilevel"/>
    <w:lvl w:ilvl="0">
      <w:lvlJc w:val="left"/>
      <w:lvlText w:val="%1."/>
      <w:numFmt w:val="decimal"/>
      <w:start w:val="7"/>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1)"/>
      <w:numFmt w:val="lowerRoman"/>
      <w:start w:val="3"/>
    </w:lvl>
  </w:abstractNum>
  <w:abstractNum w:abstractNumId="20">
    <w:nsid w:val="8EDBDAB"/>
    <w:multiLevelType w:val="hybridMultilevel"/>
    <w:lvl w:ilvl="0">
      <w:lvlJc w:val="left"/>
      <w:lvlText w:val="%1."/>
      <w:numFmt w:val="decimal"/>
      <w:start w:val="8"/>
    </w:lvl>
  </w:abstractNum>
  <w:abstractNum w:abstractNumId="21">
    <w:nsid w:val="79838CB2"/>
    <w:multiLevelType w:val="hybridMultilevel"/>
    <w:lvl w:ilvl="0">
      <w:lvlJc w:val="left"/>
      <w:lvlText w:val="%1."/>
      <w:numFmt w:val="decimal"/>
      <w:start w:val="9"/>
    </w:lvl>
    <w:lvl w:ilvl="1">
      <w:lvlJc w:val="left"/>
      <w:lvlText w:val="(%2)"/>
      <w:numFmt w:val="lowerRoman"/>
      <w:start w:val="1"/>
    </w:lvl>
  </w:abstractNum>
  <w:abstractNum w:abstractNumId="22">
    <w:nsid w:val="4353D0CD"/>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23">
    <w:nsid w:val="B03E0C6"/>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lvl w:ilvl="3">
      <w:lvlJc w:val="left"/>
      <w:lvlText w:val="%4"/>
      <w:numFmt w:val="lowerRoman"/>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82" Type="http://schemas.openxmlformats.org/officeDocument/2006/relationships/hyperlink" Target="http://www.sec.gov/Archives/edgar/data/1494259/000156459021005612/carg-ex21_246.htm" TargetMode="External"/><Relationship Id="rId83" Type="http://schemas.openxmlformats.org/officeDocument/2006/relationships/hyperlink" Target="http://www.sec.gov/Archives/edgar/data/1494259/000156459021005612/carg-ex1041_401.htm" TargetMode="External"/><Relationship Id="rId84" Type="http://schemas.openxmlformats.org/officeDocument/2006/relationships/hyperlink" Target="http://www.sec.gov/Archives/edgar/data/1494259/000156459021005612/carg-ex1043_1104.htm" TargetMode="External"/><Relationship Id="rId85" Type="http://schemas.openxmlformats.org/officeDocument/2006/relationships/hyperlink" Target="http://www.sec.gov/Archives/edgar/data/1494259/000156459021005612/carg-ex1010_2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2021-05-07T05:50:18Z</dcterms:created>
  <dcterms:modified xsi:type="dcterms:W3CDTF">2021-05-07T05:50:18Z</dcterms:modified>
</cp:coreProperties>
</file>