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43180</wp:posOffset>
            </wp:positionV>
            <wp:extent cx="15005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55880</wp:posOffset>
            </wp:positionV>
            <wp:extent cx="15005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9" w:lineRule="exact"/>
        <w:rPr>
          <w:sz w:val="24"/>
          <w:szCs w:val="24"/>
          <w:color w:val="auto"/>
        </w:rPr>
      </w:pPr>
    </w:p>
    <w:p>
      <w:pPr>
        <w:ind w:left="4180" w:right="2920" w:hanging="4172"/>
        <w:spacing w:after="0" w:line="299" w:lineRule="auto"/>
        <w:tabs>
          <w:tab w:leader="none" w:pos="55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2018</w:t>
      </w:r>
    </w:p>
    <w:p>
      <w:pPr>
        <w:ind w:left="56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rPr>
      </w:pPr>
    </w:p>
    <w:p>
      <w:pPr>
        <w:ind w:left="5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FROMTO</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40" w:type="dxa"/>
            <w:vAlign w:val="bottom"/>
            <w:gridSpan w:val="5"/>
          </w:tcPr>
          <w:p>
            <w:pPr>
              <w:jc w:val="center"/>
              <w:ind w:right="586"/>
              <w:spacing w:after="0"/>
              <w:rPr>
                <w:sz w:val="20"/>
                <w:szCs w:val="20"/>
                <w:color w:val="auto"/>
              </w:rPr>
            </w:pPr>
            <w:r>
              <w:rPr>
                <w:rFonts w:ascii="Times New Roman" w:cs="Times New Roman" w:eastAsia="Times New Roman" w:hAnsi="Times New Roman"/>
                <w:sz w:val="15"/>
                <w:szCs w:val="15"/>
                <w:b w:val="1"/>
                <w:bCs w:val="1"/>
                <w:color w:val="auto"/>
              </w:rPr>
              <w:t>Commission File Number 001-38233</w:t>
            </w:r>
          </w:p>
        </w:tc>
        <w:tc>
          <w:tcPr>
            <w:tcW w:w="2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4"/>
          </w:tcPr>
          <w:p>
            <w:pPr>
              <w:jc w:val="center"/>
              <w:ind w:right="586"/>
              <w:spacing w:after="0"/>
              <w:rPr>
                <w:sz w:val="20"/>
                <w:szCs w:val="20"/>
                <w:color w:val="auto"/>
              </w:rPr>
            </w:pPr>
            <w:r>
              <w:rPr>
                <w:rFonts w:ascii="Times New Roman" w:cs="Times New Roman" w:eastAsia="Times New Roman" w:hAnsi="Times New Roman"/>
                <w:sz w:val="27"/>
                <w:szCs w:val="27"/>
                <w:b w:val="1"/>
                <w:bCs w:val="1"/>
                <w:color w:val="auto"/>
                <w:w w:val="99"/>
              </w:rPr>
              <w:t>CarGurus, Inc.</w:t>
            </w:r>
          </w:p>
        </w:tc>
        <w:tc>
          <w:tcPr>
            <w:tcW w:w="2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80" w:type="dxa"/>
            <w:vAlign w:val="bottom"/>
            <w:gridSpan w:val="6"/>
          </w:tcPr>
          <w:p>
            <w:pPr>
              <w:jc w:val="center"/>
              <w:ind w:left="303"/>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2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4520" w:type="dxa"/>
            <w:vAlign w:val="bottom"/>
            <w:gridSpan w:val="3"/>
            <w:vMerge w:val="restart"/>
          </w:tcPr>
          <w:p>
            <w:pPr>
              <w:jc w:val="center"/>
              <w:ind w:right="62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0" w:type="dxa"/>
            <w:vAlign w:val="bottom"/>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960" w:type="dxa"/>
            <w:vAlign w:val="bottom"/>
            <w:gridSpan w:val="2"/>
            <w:vMerge w:val="restart"/>
          </w:tcPr>
          <w:p>
            <w:pPr>
              <w:jc w:val="right"/>
              <w:ind w:right="548"/>
              <w:spacing w:after="0"/>
              <w:rPr>
                <w:sz w:val="20"/>
                <w:szCs w:val="20"/>
                <w:color w:val="auto"/>
              </w:rPr>
            </w:pPr>
            <w:r>
              <w:rPr>
                <w:rFonts w:ascii="Times New Roman" w:cs="Times New Roman" w:eastAsia="Times New Roman" w:hAnsi="Times New Roman"/>
                <w:sz w:val="15"/>
                <w:szCs w:val="15"/>
                <w:b w:val="1"/>
                <w:bCs w:val="1"/>
                <w:color w:val="auto"/>
              </w:rPr>
              <w:t>04-3843478</w:t>
            </w:r>
          </w:p>
        </w:tc>
        <w:tc>
          <w:tcPr>
            <w:tcW w:w="0" w:type="dxa"/>
            <w:vAlign w:val="bottom"/>
          </w:tcPr>
          <w:p>
            <w:pPr>
              <w:spacing w:after="0"/>
              <w:rPr>
                <w:sz w:val="1"/>
                <w:szCs w:val="1"/>
                <w:color w:val="auto"/>
              </w:rPr>
            </w:pPr>
          </w:p>
        </w:tc>
      </w:tr>
      <w:tr>
        <w:trPr>
          <w:trHeight w:val="198"/>
        </w:trPr>
        <w:tc>
          <w:tcPr>
            <w:tcW w:w="45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520" w:type="dxa"/>
            <w:vAlign w:val="bottom"/>
            <w:gridSpan w:val="3"/>
          </w:tcPr>
          <w:p>
            <w:pPr>
              <w:jc w:val="center"/>
              <w:ind w:right="60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2"/>
          </w:tcPr>
          <w:p>
            <w:pPr>
              <w:jc w:val="center"/>
              <w:ind w:left="8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20" w:type="dxa"/>
            <w:vAlign w:val="bottom"/>
            <w:gridSpan w:val="3"/>
          </w:tcPr>
          <w:p>
            <w:pPr>
              <w:jc w:val="center"/>
              <w:ind w:right="60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2"/>
          </w:tcPr>
          <w:p>
            <w:pPr>
              <w:jc w:val="center"/>
              <w:ind w:left="885"/>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05"/>
        </w:trPr>
        <w:tc>
          <w:tcPr>
            <w:tcW w:w="4520" w:type="dxa"/>
            <w:vAlign w:val="bottom"/>
            <w:gridSpan w:val="3"/>
          </w:tcPr>
          <w:p>
            <w:pPr>
              <w:jc w:val="center"/>
              <w:ind w:right="623"/>
              <w:spacing w:after="0"/>
              <w:rPr>
                <w:sz w:val="20"/>
                <w:szCs w:val="20"/>
                <w:color w:val="auto"/>
              </w:rPr>
            </w:pPr>
            <w:r>
              <w:rPr>
                <w:rFonts w:ascii="Times New Roman" w:cs="Times New Roman" w:eastAsia="Times New Roman" w:hAnsi="Times New Roman"/>
                <w:sz w:val="15"/>
                <w:szCs w:val="15"/>
                <w:b w:val="1"/>
                <w:bCs w:val="1"/>
                <w:color w:val="auto"/>
              </w:rPr>
              <w:t>2 Canal Park, 4th Floor</w:t>
            </w:r>
          </w:p>
        </w:tc>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520" w:type="dxa"/>
            <w:vAlign w:val="bottom"/>
            <w:gridSpan w:val="3"/>
          </w:tcPr>
          <w:p>
            <w:pPr>
              <w:jc w:val="center"/>
              <w:ind w:right="603"/>
              <w:spacing w:after="0" w:line="159" w:lineRule="exact"/>
              <w:rPr>
                <w:sz w:val="20"/>
                <w:szCs w:val="20"/>
                <w:color w:val="auto"/>
              </w:rPr>
            </w:pPr>
            <w:r>
              <w:rPr>
                <w:rFonts w:ascii="Times New Roman" w:cs="Times New Roman" w:eastAsia="Times New Roman" w:hAnsi="Times New Roman"/>
                <w:sz w:val="15"/>
                <w:szCs w:val="15"/>
                <w:b w:val="1"/>
                <w:bCs w:val="1"/>
                <w:color w:val="auto"/>
              </w:rPr>
              <w:t>Cambridge, Massachusetts</w:t>
            </w:r>
          </w:p>
        </w:tc>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tcPr>
          <w:p>
            <w:pPr>
              <w:jc w:val="right"/>
              <w:ind w:right="85"/>
              <w:spacing w:after="0" w:line="159" w:lineRule="exact"/>
              <w:rPr>
                <w:sz w:val="20"/>
                <w:szCs w:val="20"/>
                <w:color w:val="auto"/>
              </w:rPr>
            </w:pPr>
            <w:r>
              <w:rPr>
                <w:rFonts w:ascii="Times New Roman" w:cs="Times New Roman" w:eastAsia="Times New Roman" w:hAnsi="Times New Roman"/>
                <w:sz w:val="15"/>
                <w:szCs w:val="15"/>
                <w:b w:val="1"/>
                <w:bCs w:val="1"/>
                <w:color w:val="auto"/>
              </w:rPr>
              <w:t>02141</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20" w:type="dxa"/>
            <w:vAlign w:val="bottom"/>
            <w:gridSpan w:val="3"/>
          </w:tcPr>
          <w:p>
            <w:pPr>
              <w:jc w:val="center"/>
              <w:ind w:right="6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2"/>
          </w:tcPr>
          <w:p>
            <w:pPr>
              <w:jc w:val="center"/>
              <w:ind w:left="88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40" w:type="dxa"/>
            <w:vAlign w:val="bottom"/>
            <w:gridSpan w:val="8"/>
          </w:tcPr>
          <w:p>
            <w:pPr>
              <w:jc w:val="center"/>
              <w:ind w:right="2488"/>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(617) 354-0068</w:t>
            </w:r>
          </w:p>
        </w:tc>
        <w:tc>
          <w:tcPr>
            <w:tcW w:w="0" w:type="dxa"/>
            <w:vAlign w:val="bottom"/>
          </w:tcPr>
          <w:p>
            <w:pPr>
              <w:spacing w:after="0"/>
              <w:rPr>
                <w:sz w:val="1"/>
                <w:szCs w:val="1"/>
                <w:color w:val="auto"/>
              </w:rPr>
            </w:pPr>
          </w:p>
        </w:tc>
      </w:tr>
      <w:tr>
        <w:trPr>
          <w:trHeight w:val="35"/>
        </w:trPr>
        <w:tc>
          <w:tcPr>
            <w:tcW w:w="2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3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40" w:type="dxa"/>
            <w:vAlign w:val="bottom"/>
            <w:gridSpan w:val="8"/>
          </w:tcPr>
          <w:p>
            <w:pPr>
              <w:jc w:val="center"/>
              <w:ind w:right="2508"/>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70"/>
        </w:trPr>
        <w:tc>
          <w:tcPr>
            <w:tcW w:w="2260" w:type="dxa"/>
            <w:vAlign w:val="bottom"/>
          </w:tcPr>
          <w:p>
            <w:pPr>
              <w:spacing w:after="0"/>
              <w:rPr>
                <w:sz w:val="14"/>
                <w:szCs w:val="14"/>
                <w:color w:val="auto"/>
              </w:rPr>
            </w:pPr>
          </w:p>
        </w:tc>
        <w:tc>
          <w:tcPr>
            <w:tcW w:w="1220" w:type="dxa"/>
            <w:vAlign w:val="bottom"/>
          </w:tcPr>
          <w:p>
            <w:pPr>
              <w:spacing w:after="0" w:line="170" w:lineRule="exact"/>
              <w:rPr>
                <w:sz w:val="20"/>
                <w:szCs w:val="20"/>
                <w:color w:val="auto"/>
              </w:rPr>
            </w:pPr>
            <w:r>
              <w:rPr>
                <w:rFonts w:ascii="Times New Roman" w:cs="Times New Roman" w:eastAsia="Times New Roman" w:hAnsi="Times New Roman"/>
                <w:sz w:val="15"/>
                <w:szCs w:val="15"/>
                <w:b w:val="1"/>
                <w:bCs w:val="1"/>
                <w:color w:val="auto"/>
                <w:w w:val="99"/>
              </w:rPr>
              <w:t>Title of Each Class</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60" w:type="dxa"/>
            <w:vAlign w:val="bottom"/>
            <w:gridSpan w:val="3"/>
          </w:tcPr>
          <w:p>
            <w:pPr>
              <w:jc w:val="right"/>
              <w:ind w:right="568"/>
              <w:spacing w:after="0" w:line="170" w:lineRule="exact"/>
              <w:rPr>
                <w:sz w:val="20"/>
                <w:szCs w:val="20"/>
                <w:color w:val="auto"/>
              </w:rPr>
            </w:pPr>
            <w:r>
              <w:rPr>
                <w:rFonts w:ascii="Times New Roman" w:cs="Times New Roman" w:eastAsia="Times New Roman" w:hAnsi="Times New Roman"/>
                <w:sz w:val="15"/>
                <w:szCs w:val="15"/>
                <w:b w:val="1"/>
                <w:bCs w:val="1"/>
                <w:color w:val="auto"/>
              </w:rPr>
              <w:t>Name of Exchange on Which Registered</w:t>
            </w:r>
          </w:p>
        </w:tc>
        <w:tc>
          <w:tcPr>
            <w:tcW w:w="0" w:type="dxa"/>
            <w:vAlign w:val="bottom"/>
          </w:tcPr>
          <w:p>
            <w:pPr>
              <w:spacing w:after="0"/>
              <w:rPr>
                <w:sz w:val="1"/>
                <w:szCs w:val="1"/>
                <w:color w:val="auto"/>
              </w:rPr>
            </w:pPr>
          </w:p>
        </w:tc>
      </w:tr>
      <w:tr>
        <w:trPr>
          <w:trHeight w:val="20"/>
        </w:trPr>
        <w:tc>
          <w:tcPr>
            <w:tcW w:w="226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w w:val="90"/>
              </w:rPr>
              <w:t>Class A Common</w:t>
            </w:r>
          </w:p>
        </w:tc>
        <w:tc>
          <w:tcPr>
            <w:tcW w:w="1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3"/>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w w:val="86"/>
              </w:rPr>
              <w:t>The Nasdaq</w:t>
            </w:r>
          </w:p>
        </w:tc>
        <w:tc>
          <w:tcPr>
            <w:tcW w:w="2620" w:type="dxa"/>
            <w:vAlign w:val="bottom"/>
            <w:gridSpan w:val="2"/>
            <w:shd w:val="clear" w:color="auto" w:fill="000000"/>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line="20" w:lineRule="exact"/>
              <w:rPr>
                <w:sz w:val="1"/>
                <w:szCs w:val="1"/>
                <w:color w:val="auto"/>
              </w:rPr>
            </w:pPr>
          </w:p>
        </w:tc>
      </w:tr>
      <w:tr>
        <w:trPr>
          <w:trHeight w:val="161"/>
        </w:trPr>
        <w:tc>
          <w:tcPr>
            <w:tcW w:w="2260" w:type="dxa"/>
            <w:vAlign w:val="bottom"/>
            <w:vMerge w:val="continue"/>
          </w:tcPr>
          <w:p>
            <w:pPr>
              <w:spacing w:after="0"/>
              <w:rPr>
                <w:sz w:val="14"/>
                <w:szCs w:val="14"/>
                <w:color w:val="auto"/>
              </w:rPr>
            </w:pP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 par value $0.001 per share</w:t>
            </w:r>
          </w:p>
        </w:tc>
        <w:tc>
          <w:tcPr>
            <w:tcW w:w="20" w:type="dxa"/>
            <w:vAlign w:val="bottom"/>
          </w:tcPr>
          <w:p>
            <w:pPr>
              <w:spacing w:after="0"/>
              <w:rPr>
                <w:sz w:val="14"/>
                <w:szCs w:val="14"/>
                <w:color w:val="auto"/>
              </w:rPr>
            </w:pPr>
          </w:p>
        </w:tc>
        <w:tc>
          <w:tcPr>
            <w:tcW w:w="2720" w:type="dxa"/>
            <w:vAlign w:val="bottom"/>
            <w:gridSpan w:val="3"/>
            <w:vMerge w:val="continue"/>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 Market LLC (Nasdaq Global Select</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40" w:type="dxa"/>
            <w:vAlign w:val="bottom"/>
            <w:gridSpan w:val="8"/>
          </w:tcPr>
          <w:p>
            <w:pPr>
              <w:jc w:val="center"/>
              <w:ind w:right="2508"/>
              <w:spacing w:after="0"/>
              <w:rPr>
                <w:sz w:val="20"/>
                <w:szCs w:val="20"/>
                <w:color w:val="auto"/>
              </w:rPr>
            </w:pPr>
            <w:r>
              <w:rPr>
                <w:rFonts w:ascii="Times New Roman" w:cs="Times New Roman" w:eastAsia="Times New Roman" w:hAnsi="Times New Roman"/>
                <w:sz w:val="15"/>
                <w:szCs w:val="15"/>
                <w:b w:val="1"/>
                <w:bCs w:val="1"/>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0" w:type="dxa"/>
            <w:vAlign w:val="bottom"/>
          </w:tcPr>
          <w:p>
            <w:pPr>
              <w:spacing w:after="0"/>
              <w:rPr>
                <w:sz w:val="1"/>
                <w:szCs w:val="1"/>
                <w:color w:val="auto"/>
              </w:rPr>
            </w:pPr>
          </w:p>
        </w:tc>
      </w:tr>
      <w:tr>
        <w:trPr>
          <w:trHeight w:val="35"/>
        </w:trPr>
        <w:tc>
          <w:tcPr>
            <w:tcW w:w="2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3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2"/>
            <w:vMerge w:val="restart"/>
          </w:tcPr>
          <w:p>
            <w:pPr>
              <w:jc w:val="right"/>
              <w:ind w:right="2128"/>
              <w:spacing w:after="0" w:line="173"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756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 YES</w:t>
            </w:r>
          </w:p>
        </w:tc>
        <w:tc>
          <w:tcPr>
            <w:tcW w:w="2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560" w:type="dxa"/>
            <w:vAlign w:val="bottom"/>
            <w:gridSpan w:val="8"/>
          </w:tcPr>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2960" w:type="dxa"/>
            <w:vAlign w:val="bottom"/>
            <w:gridSpan w:val="2"/>
          </w:tcPr>
          <w:p>
            <w:pPr>
              <w:jc w:val="right"/>
              <w:ind w:right="2448"/>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20"/>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4"/>
          <w:szCs w:val="14"/>
          <w:color w:val="auto"/>
        </w:rPr>
        <w:t>☐</w:t>
      </w:r>
    </w:p>
    <w:p>
      <w:pPr>
        <w:ind w:right="100"/>
        <w:spacing w:after="0" w:line="182" w:lineRule="exact"/>
        <w:rPr>
          <w:sz w:val="20"/>
          <w:szCs w:val="20"/>
          <w:color w:val="auto"/>
        </w:rPr>
      </w:pPr>
      <w:r>
        <w:rPr>
          <w:rFonts w:ascii="Times New Roman" w:cs="Times New Roman" w:eastAsia="Times New Roman" w:hAnsi="Times New Roman"/>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7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7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Small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24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 w:lineRule="exact"/>
        <w:rPr>
          <w:sz w:val="24"/>
          <w:szCs w:val="24"/>
          <w:color w:val="auto"/>
        </w:rPr>
      </w:pPr>
    </w:p>
    <w:p>
      <w:pPr>
        <w:ind w:right="60"/>
        <w:spacing w:after="0" w:line="18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3" w:lineRule="exact"/>
        <w:tabs>
          <w:tab w:leader="none" w:pos="768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4"/>
          <w:szCs w:val="14"/>
          <w:color w:val="auto"/>
        </w:rPr>
        <w:t>☒</w:t>
      </w:r>
    </w:p>
    <w:p>
      <w:pPr>
        <w:spacing w:after="0" w:line="36" w:lineRule="exact"/>
        <w:rPr>
          <w:sz w:val="24"/>
          <w:szCs w:val="24"/>
          <w:color w:val="auto"/>
        </w:rPr>
      </w:pPr>
    </w:p>
    <w:p>
      <w:pPr>
        <w:spacing w:after="0" w:line="238" w:lineRule="auto"/>
        <w:rPr>
          <w:sz w:val="20"/>
          <w:szCs w:val="20"/>
          <w:color w:val="auto"/>
        </w:rPr>
      </w:pPr>
      <w:r>
        <w:rPr>
          <w:rFonts w:ascii="Times New Roman" w:cs="Times New Roman" w:eastAsia="Times New Roman" w:hAnsi="Times New Roman"/>
          <w:sz w:val="15"/>
          <w:szCs w:val="15"/>
          <w:color w:val="auto"/>
        </w:rPr>
        <w:t>The aggregate market value of the registrant’s Class A common stock par value $0.001 per share held by non-affiliates of the registrant based on the closing price of the registrant’s common stock as reported on the Nasdaq Global Market on June 30, 2018 was $1,590,103,543. Shares of voting and non-voting stock held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February 22, 2019, the registrant had 90,087,775 shares of Class A common stock, and 20,702,084 shares of Class B common stock, par value $0.001 per share, outstanding.</w:t>
      </w:r>
    </w:p>
    <w:p>
      <w:pPr>
        <w:spacing w:after="0" w:line="2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ind w:right="180"/>
        <w:spacing w:after="0" w:line="234" w:lineRule="auto"/>
        <w:rPr>
          <w:sz w:val="20"/>
          <w:szCs w:val="20"/>
          <w:color w:val="auto"/>
        </w:rPr>
      </w:pPr>
      <w:r>
        <w:rPr>
          <w:rFonts w:ascii="Times New Roman" w:cs="Times New Roman" w:eastAsia="Times New Roman" w:hAnsi="Times New Roman"/>
          <w:sz w:val="15"/>
          <w:szCs w:val="15"/>
          <w:color w:val="auto"/>
        </w:rPr>
        <w:t>Portions of the registrant’s definitive Proxy Statement for its 2019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122555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81"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2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vMerge w:val="restart"/>
          </w:tcPr>
          <w:p>
            <w:pPr>
              <w:spacing w:after="0"/>
              <w:rPr>
                <w:rFonts w:ascii="Times New Roman" w:cs="Times New Roman" w:eastAsia="Times New Roman" w:hAnsi="Times New Roman"/>
                <w:sz w:val="18"/>
                <w:szCs w:val="18"/>
                <w:b w:val="1"/>
                <w:bCs w:val="1"/>
                <w:color w:val="0000EE"/>
                <w:w w:val="95"/>
              </w:rPr>
            </w:pPr>
            <w:hyperlink w:anchor="page4">
              <w:r>
                <w:rPr>
                  <w:rFonts w:ascii="Times New Roman" w:cs="Times New Roman" w:eastAsia="Times New Roman" w:hAnsi="Times New Roman"/>
                  <w:sz w:val="18"/>
                  <w:szCs w:val="18"/>
                  <w:b w:val="1"/>
                  <w:bCs w:val="1"/>
                  <w:color w:val="0000EE"/>
                  <w:w w:val="95"/>
                </w:rPr>
                <w:t>PART I</w:t>
              </w:r>
            </w:hyperlink>
          </w:p>
        </w:tc>
        <w:tc>
          <w:tcPr>
            <w:tcW w:w="5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Risk Factors</w:t>
              </w:r>
            </w:hyperlink>
          </w:p>
        </w:tc>
        <w:tc>
          <w:tcPr>
            <w:tcW w:w="854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Unresolved Staff Comments</w:t>
              </w:r>
            </w:hyperlink>
          </w:p>
        </w:tc>
        <w:tc>
          <w:tcPr>
            <w:tcW w:w="740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Properties</w:t>
              </w:r>
            </w:hyperlink>
          </w:p>
        </w:tc>
        <w:tc>
          <w:tcPr>
            <w:tcW w:w="8720" w:type="dxa"/>
            <w:vAlign w:val="bottom"/>
            <w:gridSpan w:val="18"/>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Legal Proceedings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Mine Safety Disclosures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60" w:type="dxa"/>
            <w:vAlign w:val="bottom"/>
            <w:gridSpan w:val="5"/>
          </w:tcPr>
          <w:p>
            <w:pPr>
              <w:spacing w:after="0"/>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EE"/>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7"/>
              </w:rPr>
              <w:t>Item 5.</w:t>
            </w:r>
          </w:p>
        </w:tc>
        <w:tc>
          <w:tcPr>
            <w:tcW w:w="500" w:type="dxa"/>
            <w:vAlign w:val="bottom"/>
            <w:gridSpan w:val="3"/>
          </w:tcPr>
          <w:p>
            <w:pPr>
              <w:spacing w:after="0"/>
              <w:rPr>
                <w:sz w:val="18"/>
                <w:szCs w:val="18"/>
                <w:color w:val="auto"/>
              </w:rPr>
            </w:pP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27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Selected Consolidated Financial Data</w:t>
              </w:r>
            </w:hyperlink>
          </w:p>
        </w:tc>
        <w:tc>
          <w:tcPr>
            <w:tcW w:w="5360" w:type="dxa"/>
            <w:vAlign w:val="bottom"/>
            <w:tcBorders>
              <w:top w:val="single" w:sz="8" w:color="0000EE"/>
            </w:tcBorders>
            <w:gridSpan w:val="10"/>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Quantitative and Qualitative Disclosures About Market Risk</w:t>
              </w:r>
            </w:hyperlink>
          </w:p>
        </w:tc>
        <w:tc>
          <w:tcPr>
            <w:tcW w:w="30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05">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1"/>
          </w:tcPr>
          <w:p>
            <w:pPr>
              <w:spacing w:after="0"/>
              <w:rPr>
                <w:sz w:val="18"/>
                <w:szCs w:val="18"/>
                <w:color w:val="auto"/>
              </w:rPr>
            </w:pPr>
          </w:p>
        </w:tc>
        <w:tc>
          <w:tcPr>
            <w:tcW w:w="298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Other Information</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108">
              <w:r>
                <w:rPr>
                  <w:rFonts w:ascii="Times New Roman" w:cs="Times New Roman" w:eastAsia="Times New Roman" w:hAnsi="Times New Roman"/>
                  <w:sz w:val="18"/>
                  <w:szCs w:val="18"/>
                  <w:b w:val="1"/>
                  <w:bCs w:val="1"/>
                  <w:color w:val="0000EE"/>
                  <w:w w:val="96"/>
                </w:rPr>
                <w:t>PART III</w:t>
              </w:r>
            </w:hyperlink>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Directors, Executive Officers and Corporate Governance</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6"/>
          </w:tcPr>
          <w:p>
            <w:pPr>
              <w:spacing w:after="0"/>
              <w:rPr>
                <w:sz w:val="18"/>
                <w:szCs w:val="18"/>
                <w:color w:val="auto"/>
              </w:rPr>
            </w:pPr>
          </w:p>
        </w:tc>
        <w:tc>
          <w:tcPr>
            <w:tcW w:w="536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730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Certain Relationships and Related Transactions, and Director Independence</w:t>
              </w:r>
            </w:hyperlink>
          </w:p>
        </w:tc>
        <w:tc>
          <w:tcPr>
            <w:tcW w:w="21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Principal Accountant Fees and Services</w:t>
              </w:r>
            </w:hyperlink>
          </w:p>
        </w:tc>
        <w:tc>
          <w:tcPr>
            <w:tcW w:w="40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60" w:type="dxa"/>
            <w:vAlign w:val="bottom"/>
            <w:gridSpan w:val="5"/>
          </w:tcPr>
          <w:p>
            <w:pPr>
              <w:spacing w:after="0"/>
              <w:rPr>
                <w:rFonts w:ascii="Times New Roman" w:cs="Times New Roman" w:eastAsia="Times New Roman" w:hAnsi="Times New Roman"/>
                <w:sz w:val="18"/>
                <w:szCs w:val="18"/>
                <w:b w:val="1"/>
                <w:bCs w:val="1"/>
                <w:color w:val="0000EE"/>
              </w:rPr>
            </w:pPr>
            <w:hyperlink w:anchor="page109">
              <w:r>
                <w:rPr>
                  <w:rFonts w:ascii="Times New Roman" w:cs="Times New Roman" w:eastAsia="Times New Roman" w:hAnsi="Times New Roman"/>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Exhibits, Financial Statement Schedules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Form 10-K Summary</w:t>
              </w:r>
            </w:hyperlink>
          </w:p>
        </w:tc>
        <w:tc>
          <w:tcPr>
            <w:tcW w:w="65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1"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This Annual Report on Form 10-K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federal securities laws, which statements involve substantial risks and uncertainties.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generally relate to future events or our future financial or operating performance. In some cases, you can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2" w:lineRule="exact"/>
        <w:rPr>
          <w:sz w:val="20"/>
          <w:szCs w:val="20"/>
          <w:color w:val="auto"/>
        </w:rPr>
      </w:pPr>
    </w:p>
    <w:p>
      <w:pPr>
        <w:ind w:left="960" w:right="20" w:hanging="398"/>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53"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and growth strategies and our ability to effectively manage that growth;</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build our brand;</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internationally;</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in our industry and innovation by our competitors;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accounting pronouncements;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necessary qualified employees to expand our operations;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new or modified laws and regulations that currently apply or become applicable to our business;</w:t>
      </w:r>
    </w:p>
    <w:p>
      <w:pPr>
        <w:spacing w:after="0" w:line="117" w:lineRule="exact"/>
        <w:rPr>
          <w:rFonts w:ascii="Times New Roman" w:cs="Times New Roman" w:eastAsia="Times New Roman" w:hAnsi="Times New Roman"/>
          <w:sz w:val="18"/>
          <w:szCs w:val="18"/>
          <w:color w:val="auto"/>
        </w:rPr>
      </w:pPr>
    </w:p>
    <w:p>
      <w:pPr>
        <w:ind w:left="960" w:right="20" w:hanging="398"/>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overcome challenges facing the automotive industry ecosystem, including global supply chain challenges, changes to trade policies and other macroeconomic issues;</w:t>
      </w:r>
    </w:p>
    <w:p>
      <w:pPr>
        <w:spacing w:after="0" w:line="53"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 effective system of internal controls necessary to accurately report our financial results and prevent fraud;</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cash generation and the sufficiency of our cash to fund our operations; and</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Class A common stock.</w:t>
      </w:r>
    </w:p>
    <w:p>
      <w:pPr>
        <w:spacing w:after="0" w:line="197" w:lineRule="exact"/>
        <w:rPr>
          <w:sz w:val="20"/>
          <w:szCs w:val="20"/>
          <w:color w:val="auto"/>
        </w:rPr>
      </w:pPr>
    </w:p>
    <w:p>
      <w:pPr>
        <w:jc w:val="both"/>
        <w:ind w:firstLine="555"/>
        <w:spacing w:after="0" w:line="224"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have based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report. Further,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do not reflect the potential impact of any future acquisitions, mergers, dispositions, joint ventures, or investments we may make. We cannot assure you that the results,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and actual results, events, or circumstances could differ materially from those described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151"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CarGurus is a global, online automotive marketplace connecting buyers and sellers of new and used cars. Using proprietary technology, search algorithms, and innovative data analytics, we believe we are building the world’s most trusted and transparent automotive marketplace and creating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validation on pricing and dealer reputation as well as other information that aids them in finding “Great Deals from Top-Rated Dealers.” Our selection of car listings provides the largest number of car listings available on any of the major U.S. online automotive marketplaces. In addition to the United States, we operate online marketplaces in Canada, the United Kingdom, Germany, Italy and Spain.</w:t>
      </w:r>
    </w:p>
    <w:p>
      <w:pPr>
        <w:spacing w:after="0" w:line="198"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A core principle of our marketplace is transparency. For consumers considering used vehicles, we aggregate vehicle inventory from dealers and apply our proprietary analysis to generate a Deal Rating as one of: Great Deal, Good Deal, Fair Deal, High Priced, or Overpriced. Deal Rating illustrates how competitive a listing is compared to similar cars sold in the same region in recent history. We determine Deal Rating principally on the basis of both our proprietary Instant Market Value, or IMV, algorithm, which determines the market value of any given vehicle in a local market, and Dealer Rating, a measure of a dealer’s reputation as determined by reviews of that dealer from our user community. By sorting organic search results based on a used car’s Deal Rating, we enable consumers to find the most relevant car for their needs. For new cars, we help our users understand deal quality by providing price analysis and our Dealer Rating. We also provide our users information historically not widely available, such as Price History, Time on Site, and Vehicle History. We believe this approach brings greater transparency, trust, and efficiency to a consumer’s car research and buying process, leading to higher engagement and a more informed consumer who is better prepared to purchase at the dealership.</w:t>
      </w:r>
    </w:p>
    <w:p>
      <w:pPr>
        <w:spacing w:after="0" w:line="16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Our large, engaged, and predominantly mobile user base presents an attractive audience of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consumers for our dealers. By connecting dealers with more informed consumers, we believe we provide dealers with an efficient customer acquisition channel and attractive returns on their marketing spend with us. Dealers can list their inventory in our marketplace for free with our Basic Listing product or with a paid subscription to our Enhanced and Featured Listing products. Dealers with our Basic Listing product receive anonymized email connections and access to a subset of the tools on our Dealer Dashboard at no cost. Dealers with a paid subscription receive connections with consumers that are not anonymous and can be made through a wider variety of methods, including phone calls, email, managed text and chat, links to the dealers’ website, and map directions to dealerships. Dealers with our Enhanced and Featured Listing products are able to display their dealer name, address, and dealership information on their listings to gain brand recognition, which promotes walk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traffic to the dealer. We also provide paying dealers with full access to our Dealer Dashboard, including inventory pricing tools informed by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market conditions, which helps them more effectively price, merchandise, and sell their cars. Our success with dealers is evidenced by the number of paying dealers in our U.S. marketplace. Our U.S. marketplace had 27,534 paying dealers as of December 31, 2018 compared to 25,122 and 20,349 as of December 31, 2017 and December 31, 2016, respectively.</w:t>
      </w:r>
    </w:p>
    <w:p>
      <w:pPr>
        <w:spacing w:after="0" w:line="174"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Our scaled online marketplace model drives powerful network effects. The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leading inventory selection offered by our dealers attracts a large and engaged consumer audience. The value of robust connections to this audience incentivizes dealers to purchase our Enhanced or Featured Listing products. Having more paying dealers provides consumers with more dealer information and methods to contact them. More consumers and connections drive greater value to paying dealers on our platform. Driven by these network effects, we continue to amass more data, which we use to continuously improve our search algorithms, the accuracy of Deal Ratings, our user experience, and, ultimately, the quality of the connections between consumers and dealers.</w:t>
      </w:r>
    </w:p>
    <w:p>
      <w:pPr>
        <w:spacing w:after="0" w:line="200" w:lineRule="exact"/>
        <w:rPr>
          <w:sz w:val="20"/>
          <w:szCs w:val="20"/>
          <w:color w:val="auto"/>
        </w:rPr>
      </w:pPr>
    </w:p>
    <w:p>
      <w:pPr>
        <w:jc w:val="both"/>
        <w:ind w:firstLine="555"/>
        <w:spacing w:after="0" w:line="219" w:lineRule="exact"/>
        <w:rPr>
          <w:sz w:val="20"/>
          <w:szCs w:val="20"/>
          <w:color w:val="auto"/>
        </w:rPr>
      </w:pPr>
      <w:r>
        <w:rPr>
          <w:rFonts w:ascii="Times New Roman" w:cs="Times New Roman" w:eastAsia="Times New Roman" w:hAnsi="Times New Roman"/>
          <w:sz w:val="18"/>
          <w:szCs w:val="18"/>
          <w:color w:val="auto"/>
        </w:rPr>
        <w:t>We generate marketplace subscription revenue from dealers through subscriptions to our products including our Listing (which includes features and enhancements such as Delivery), Dealer Display, Dealer Search Engine Marketing, Social Media Advertising, and Retargeting products. We also generate advertising and other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Our rapid revenue growth and financial performance over the last several years exemplifies the strength of our marketplace. We generated revenue of $454.1 million in 2018, $316.9 million in 2017, and $198.1 million in 2016, representing year-over-year increases of 43% in 2018 and 60% in 2017. In 2018, we generated net income of $65.2 million and our Adjusted EBITDA, a non-GAAP financial measure, was $49.0 million, compared to net income of $13.2 million and Adjusted EBITDA of $24.1 million in 2017 and net income of $6.5 million and Adjusted EBITDA of $11.0 million in 2016. See “Selected Consolidated Financial Data — Adjusted EBITDA” for more information regarding our use of Adjusted EBITDA and a reconciliation of Adjusted EBITDA to our net income (loss).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Consumer Challenges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determining what type of car to purchase, consumers face many questions:</w:t>
      </w:r>
    </w:p>
    <w:p>
      <w:pPr>
        <w:spacing w:after="0" w:line="117" w:lineRule="exact"/>
        <w:rPr>
          <w:sz w:val="20"/>
          <w:szCs w:val="20"/>
          <w:color w:val="auto"/>
        </w:rPr>
      </w:pPr>
    </w:p>
    <w:p>
      <w:pPr>
        <w:ind w:left="960" w:hanging="39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dealer has a car like this?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a fair price for this particular type of car?</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others had a good experience buying from this dealer?</w:t>
      </w:r>
    </w:p>
    <w:p>
      <w:pPr>
        <w:spacing w:after="0" w:line="225"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In answering these questions, consumers historically had limited access to unbiased information on specific vehicles, car pricing, and dealer reputation. Every used car is unique, and so for consumers searching for used cars, it is difficult to aggregate the relevant inventory of available cars across dealers, a difficulty exacerbated by the lack of consistency in the way that dealers characterize a car’s attributes. Generally, dealers had more information about car prices than consumers did, as consumers had limited resources and tools to determine an appropriate price. Selecting the right dealer was also challenging for consumers as dealer reputations were historically based primarily on word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mouth. The lack of clear, unbiased, transparent information made it difficult for consumers to effectively compare vehicles, find the vehicle that best suited their needs and transact with well-regarded dealers.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 Challenges</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The economics of dealerships depend largely on sales volume, gross margin, and customer acquisition efficiency. To achieve a high return on their marketing investments, dealers must find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consumers; yet because car purchases are infrequent, only a small percentage of consumers are shopping for a car at any given point in time. Traditional marketing channels, including television, radio, and newspaper, can effectively target locally but are inefficient in reaching the small percentage of consumers who are actively in the market to buy a car. In addition, used car pricing is fluid because it is based on rapidly shifting supply and demand dynamics. Dealers need to find ways to manage constantly changing inventory and adjust pricing strategies to adapt to frequently changing market conditions.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competitive advantages are based on the following key strengths:</w:t>
      </w:r>
    </w:p>
    <w:p>
      <w:pPr>
        <w:spacing w:after="0" w:line="22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Trusted Marketplace for Consumers. </w:t>
      </w:r>
      <w:r>
        <w:rPr>
          <w:rFonts w:ascii="Times New Roman" w:cs="Times New Roman" w:eastAsia="Times New Roman" w:hAnsi="Times New Roman"/>
          <w:sz w:val="18"/>
          <w:szCs w:val="18"/>
          <w:color w:val="auto"/>
        </w:rPr>
        <w:t>We provide consumers with unbiased information, intuitive search results, and other tools that empower them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find “Great Deals from Top-Rated Dealers.” We offer the largest online selection of new and used car listings of any major U.S. online automotive marketplace. We aggregate and analyze these listings using proprietary technology and data along with innovative data analytics to create a differentiated automotive search experience for consumers. We believe that providing a transparent consumer experience with unbiased information has instilled greater trust in us among our users, helping us become the most visited online automotive marketplace in the United States according to Comscore. In 2018, we experienced over 91.8 million average monthly sessions in the United States. See “Management’s Discussion and Analysis of Financial Condition and Results of Operations — Key Business Metrics” for how we define average monthly sessions. We believe this user traffic, an indicator of consumer satisfaction and engagement, is critical to our marketplace success and will continue to strengthen our market position.</w:t>
      </w:r>
    </w:p>
    <w:p>
      <w:pPr>
        <w:spacing w:after="0" w:line="161" w:lineRule="exact"/>
        <w:rPr>
          <w:sz w:val="20"/>
          <w:szCs w:val="20"/>
          <w:color w:val="auto"/>
        </w:rPr>
      </w:pPr>
    </w:p>
    <w:p>
      <w:pPr>
        <w:jc w:val="both"/>
        <w:ind w:firstLine="555"/>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Proprietary Search Algorithms and Data</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Driven Approach. </w:t>
      </w:r>
      <w:r>
        <w:rPr>
          <w:rFonts w:ascii="Times New Roman" w:cs="Times New Roman" w:eastAsia="Times New Roman" w:hAnsi="Times New Roman"/>
          <w:sz w:val="18"/>
          <w:szCs w:val="18"/>
          <w:color w:val="auto"/>
        </w:rPr>
        <w:t>We have built an extensive repository of data on cars, prices, dealers,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interactions between consumers and dealers that is the result of over eight years of data aggregation and regression modeling. Our proprietary search algorithms and data analytics allow us to use this valuable data to bring greater transparency to our platform. The primary product of this analysis is our determination of a used car’s IMV, which, in addition to Dealer Rating, drives our Deal Rating. We calculate IMV by applying more than 20 ranking signals and more than 100 normalization rules to millions of data points, including the make, model, trim, features, condition, history, geographic location, and mileage of the car. The growing volume of connections between consumers and dealers on our platform allows us to continually improve the accuracy of our IMV, Dealer Ratings, and used car search results sorted by Deal Rating. We apply the knowledge gained from analyzing this ever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growing data set to build new features for our consumers and products for our dealers and to more efficiently launch marketplaces in new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-1045845</wp:posOffset>
            </wp:positionV>
            <wp:extent cx="6413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 w:name="page6"/>
    <w:bookmarkEnd w:id="5"/>
    <w:p>
      <w:pPr>
        <w:jc w:val="both"/>
        <w:ind w:firstLine="555"/>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Strong Value Proposition to Dealers. </w:t>
      </w:r>
      <w:r>
        <w:rPr>
          <w:rFonts w:ascii="Times New Roman" w:cs="Times New Roman" w:eastAsia="Times New Roman" w:hAnsi="Times New Roman"/>
          <w:sz w:val="18"/>
          <w:szCs w:val="18"/>
          <w:color w:val="auto"/>
        </w:rPr>
        <w:t>We believe that our marketplace offers an efficient customer acquisition channel for dealers, helping them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attractive returns on their marketing spend with us. We provide our dealer base with connections to prospective car buyers; most of these connections have historically been for used cars. We define connections as interactions between consumers and dealers in our marketplace through phone calls, email, managed text and chat, and clicks to access the dealer’s website or map directions to the dealership. We provide all dealers with tools that are informed by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market conditions that help them merchandise and sell their cars, and our paying dealers get access to additional valuable information from our Pricing Tool and Market Analysis tool. Our strong value proposition to the dealer community is evidenced by our 23% growth in average annual revenue per subscribing dealer, or AARSD, in the United States in 2018 compared to 2017.</w:t>
      </w:r>
    </w:p>
    <w:p>
      <w:pPr>
        <w:spacing w:after="0" w:line="195"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Network Effects Driven by Scale. </w:t>
      </w:r>
      <w:r>
        <w:rPr>
          <w:rFonts w:ascii="Times New Roman" w:cs="Times New Roman" w:eastAsia="Times New Roman" w:hAnsi="Times New Roman"/>
          <w:sz w:val="18"/>
          <w:szCs w:val="18"/>
          <w:color w:val="auto"/>
        </w:rPr>
        <w:t>Having engaged with the majority of dealers and built one of the largest consumer audiences among automotive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marketplaces in the United States, we believe that our scale creates powerful network effects that reinforce the competitive strength of our business model. Our large consumer audience increases our appeal to dealers and incentivizes more dealers to subscribe to our Enhanced or Featured Listing products to access the numerous benefits unavailable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paying dealers. Having more paying dealers in our marketplace provides consumers with more dealer information and methods to contact those dealers. More consumers and connections drive greater value and a higher return to paying dealers’ marketing spend on our platform. Driven by these network effects, we continue to amass more data, which we use to further strengthen our search algorithms, the utility of analysis complementing each listing, the quality of our user experience, and the value of connections between consumers and dealers.</w:t>
      </w:r>
    </w:p>
    <w:p>
      <w:pPr>
        <w:spacing w:after="0" w:line="195"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Attractive Financial Model. </w:t>
      </w:r>
      <w:r>
        <w:rPr>
          <w:rFonts w:ascii="Times New Roman" w:cs="Times New Roman" w:eastAsia="Times New Roman" w:hAnsi="Times New Roman"/>
          <w:sz w:val="18"/>
          <w:szCs w:val="18"/>
          <w:color w:val="auto"/>
        </w:rPr>
        <w:t>We have a strong track record of revenue growth, profitability, and capital efficiency. We generated revenue of $454.1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2018, $316.9 million in 2017, and $198.1 million in 2016, representing year-over-year increases of 43% in 2018 and 60% in 2017. A significant portion of our revenue is recurring due to the subscription nature of our products. In 2018, 2017, and 2016, dealer marketplace Listing and Dealer Display advertising subscription revenue, and Search Engine Marketing, Social Media Advertising and Retargeting, which we consider to be recurring revenue, comprised 89%, 89% and 86% of total revenue, respectively. Furthermore, our revenue base is highly diversified due to the fragmented nature of the automotive dealer industry. We also have been able to grow and invest in our future growth while improving profitability due to the operating leverage in our business model. On a consolidated basis, while our revenue grew 43% in 2018 and 60% in 2017, our Adjusted EBITDA margin expanded to 11% in 2018 from 8% in 2017 and from 6% in 2016. In the United States, which is our most developed market, we grew our revenue by 42% in 2018 and 57% in 2017 while increasing our income from operations to $58.4 million in 2018 from $41.6 million in 2017 and $27.5 million in 2016.</w:t>
      </w:r>
    </w:p>
    <w:p>
      <w:pPr>
        <w:spacing w:after="0" w:line="157"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Founder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Led Management Team with Culture of Innovation. </w:t>
      </w:r>
      <w:r>
        <w:rPr>
          <w:rFonts w:ascii="Times New Roman" w:cs="Times New Roman" w:eastAsia="Times New Roman" w:hAnsi="Times New Roman"/>
          <w:sz w:val="18"/>
          <w:szCs w:val="18"/>
          <w:color w:val="auto"/>
        </w:rPr>
        <w:t>Our founder, Chief Executive Officer and Chairman, Langley Steinert,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was previously chairman of TripAdvisor, an online marketplace for travel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content based on the mission of using technology and a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approach to provide transparency for consumers’ travel planning. Led by Mr. Steinert and a management team with extensive experience guiding technology companies in evolving industries, we bring the same commitment to fostering a culture of innovation and delivering data-driven transparency to the automotive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-634365</wp:posOffset>
            </wp:positionV>
            <wp:extent cx="6413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Marketplace</w:t>
      </w:r>
    </w:p>
    <w:p>
      <w:pPr>
        <w:spacing w:after="0" w:line="121"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We provide consumers an online automotive marketplace where they can search for new and used car listings from our dealers, as well as sell their car in our U.S. marketplace. Through our marketplace, we provide consumers with information that helps them find the most relevant car for their needs. A user accesses our U.S. marketplace through our desktop or mobile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optimized website at cargurus.com or by using our mobile applications. Most users specify whether they are searching for used, certified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or new cars and then provide their desired vehicle make and model and their zip code.</w:t>
      </w:r>
    </w:p>
    <w:p>
      <w:pPr>
        <w:spacing w:after="0" w:line="25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Used and Certified Pre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Owned Cars</w:t>
      </w:r>
    </w:p>
    <w:p>
      <w:pPr>
        <w:spacing w:after="0" w:line="146"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Using our proprietary search algorithms, we immediately display the search results, ranked by Deal Rating, on a search results page, or SRP. Nearly every used car listing in our marketplace is assigned one of five Deal Ratings: Great Deal, Good Deal, Fair Deal, High Priced, or Overpriced. Deal Rating illustrates how competitive a listing is compared to similar cars sold in the same region in recent history. A listing’s Deal Rating is based primarily upon the IMV of the vehicle and the Dealer Rating of the dealer.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both"/>
        <w:ind w:firstLine="55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Instant Market Value. </w:t>
      </w:r>
      <w:r>
        <w:rPr>
          <w:rFonts w:ascii="Times New Roman" w:cs="Times New Roman" w:eastAsia="Times New Roman" w:hAnsi="Times New Roman"/>
          <w:sz w:val="18"/>
          <w:szCs w:val="18"/>
          <w:color w:val="auto"/>
        </w:rPr>
        <w:t>IMV is a proprietary algorithm that determines the market value of a used vehicle in a local market and is a key input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a vehicle’s Deal Rating. The IMV algorithm is the product of over eight years of regression modeling utilizing more than seven million used car data points. IMV takes into account a number of factors, including comparable currently listed and previously sold used cars in the local market and vehicle details including make, model, trim, year, mileage, options, and vehicle history. Our algorithm uses more than 20 ranking signals and more than 100 normalization rules that distill unstructured data from hundreds of sources across thousands of dealers.</w:t>
      </w:r>
    </w:p>
    <w:p>
      <w:pPr>
        <w:spacing w:after="0" w:line="153" w:lineRule="exact"/>
        <w:rPr>
          <w:sz w:val="20"/>
          <w:szCs w:val="20"/>
          <w:color w:val="auto"/>
        </w:rPr>
      </w:pPr>
    </w:p>
    <w:p>
      <w:pPr>
        <w:jc w:val="both"/>
        <w:ind w:firstLine="555"/>
        <w:spacing w:after="0" w:line="228" w:lineRule="exact"/>
        <w:rPr>
          <w:sz w:val="20"/>
          <w:szCs w:val="20"/>
          <w:color w:val="auto"/>
        </w:rPr>
      </w:pPr>
      <w:r>
        <w:rPr>
          <w:rFonts w:ascii="Times New Roman" w:cs="Times New Roman" w:eastAsia="Times New Roman" w:hAnsi="Times New Roman"/>
          <w:sz w:val="18"/>
          <w:szCs w:val="18"/>
          <w:i w:val="1"/>
          <w:iCs w:val="1"/>
          <w:color w:val="auto"/>
        </w:rPr>
        <w:t xml:space="preserve">Dealer Ratings. </w:t>
      </w:r>
      <w:r>
        <w:rPr>
          <w:rFonts w:ascii="Times New Roman" w:cs="Times New Roman" w:eastAsia="Times New Roman" w:hAnsi="Times New Roman"/>
          <w:sz w:val="18"/>
          <w:szCs w:val="18"/>
          <w:color w:val="auto"/>
        </w:rPr>
        <w:t>Dealer Ratings are derived from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generated content from our users’ experiences with dealers with whom they have connected.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reviews, we require that a user have interacted with the dealer on our site to submit a review. We believe this requirement, together with additional qualification standards, results in a more valuable Dealer Rating. Dealer Rating is an important component of a listing’s Deal Rating and as a result can impact the organic search position of a listing.</w:t>
      </w:r>
    </w:p>
    <w:p>
      <w:pPr>
        <w:spacing w:after="0" w:line="196" w:lineRule="exact"/>
        <w:rPr>
          <w:sz w:val="20"/>
          <w:szCs w:val="20"/>
          <w:color w:val="auto"/>
        </w:rPr>
      </w:pPr>
    </w:p>
    <w:p>
      <w:pPr>
        <w:jc w:val="both"/>
        <w:ind w:firstLine="555"/>
        <w:spacing w:after="0" w:line="219" w:lineRule="exact"/>
        <w:rPr>
          <w:sz w:val="20"/>
          <w:szCs w:val="20"/>
          <w:color w:val="auto"/>
        </w:rPr>
      </w:pPr>
      <w:r>
        <w:rPr>
          <w:rFonts w:ascii="Times New Roman" w:cs="Times New Roman" w:eastAsia="Times New Roman" w:hAnsi="Times New Roman"/>
          <w:sz w:val="18"/>
          <w:szCs w:val="18"/>
          <w:i w:val="1"/>
          <w:iCs w:val="1"/>
          <w:color w:val="auto"/>
        </w:rPr>
        <w:t>Search Results Page</w:t>
      </w:r>
      <w:r>
        <w:rPr>
          <w:rFonts w:ascii="Times New Roman" w:cs="Times New Roman" w:eastAsia="Times New Roman" w:hAnsi="Times New Roman"/>
          <w:sz w:val="18"/>
          <w:szCs w:val="18"/>
          <w:color w:val="auto"/>
        </w:rPr>
        <w:t>. In addition to each car’s Deal Rating, our SRP provides users with other useful information, including the difference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listing price and the IMV that we have determined for the car, Time on Site, mileage, Dealer Rating, and, for paying dealers, dealer location. We provide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search filters, including price, mileage, trim, color, options, condition, body style, miles per gallon, seating capacity, vehicle ownership and usage history, seller type, and days on market, among others, which we believe deliver the most comprehensive search capability among major U.S. online automotive marketplaces. We also provide our users with additional features to aid their search, including similar vehicle recommendations, side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vehicle comparisons, expert reviews, and user rankings. Our platform also gives users the ability to save searches and receive alerts that keep them informed of relevant developments in the market, including newly available inventory and price changes to cars they are monitoring.</w:t>
      </w:r>
    </w:p>
    <w:p>
      <w:pPr>
        <w:spacing w:after="0" w:line="201" w:lineRule="exact"/>
        <w:rPr>
          <w:sz w:val="20"/>
          <w:szCs w:val="20"/>
          <w:color w:val="auto"/>
        </w:rPr>
      </w:pPr>
    </w:p>
    <w:p>
      <w:pPr>
        <w:jc w:val="both"/>
        <w:ind w:right="20" w:firstLine="555"/>
        <w:spacing w:after="0" w:line="267" w:lineRule="auto"/>
        <w:rPr>
          <w:sz w:val="20"/>
          <w:szCs w:val="20"/>
          <w:color w:val="auto"/>
        </w:rPr>
      </w:pPr>
      <w:r>
        <w:rPr>
          <w:rFonts w:ascii="Times New Roman" w:cs="Times New Roman" w:eastAsia="Times New Roman" w:hAnsi="Times New Roman"/>
          <w:sz w:val="18"/>
          <w:szCs w:val="18"/>
          <w:i w:val="1"/>
          <w:iCs w:val="1"/>
          <w:color w:val="auto"/>
        </w:rPr>
        <w:t>Vehicle Detail Page</w:t>
      </w:r>
      <w:r>
        <w:rPr>
          <w:rFonts w:ascii="Times New Roman" w:cs="Times New Roman" w:eastAsia="Times New Roman" w:hAnsi="Times New Roman"/>
          <w:sz w:val="18"/>
          <w:szCs w:val="18"/>
          <w:color w:val="auto"/>
        </w:rPr>
        <w:t>. If a user clicks on one of the listings on the SRP, the user is taken to that listing’s vehicle detail page, or VDP. VDPs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extensive photos and a comprehensive description of the vehicle, dealer name, address, and dealership information for paying dealers, detailed dealer reviews, methods to contact the dealer for paying dealers, payment calculators, and helpful information about the vehicle, including:</w:t>
      </w:r>
    </w:p>
    <w:p>
      <w:pPr>
        <w:spacing w:after="0" w:line="65" w:lineRule="exact"/>
        <w:rPr>
          <w:sz w:val="20"/>
          <w:szCs w:val="20"/>
          <w:color w:val="auto"/>
        </w:rPr>
      </w:pPr>
    </w:p>
    <w:p>
      <w:pPr>
        <w:ind w:left="960" w:hanging="398"/>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History. </w:t>
      </w:r>
      <w:r>
        <w:rPr>
          <w:rFonts w:ascii="Times New Roman" w:cs="Times New Roman" w:eastAsia="Times New Roman" w:hAnsi="Times New Roman"/>
          <w:sz w:val="18"/>
          <w:szCs w:val="18"/>
          <w:color w:val="auto"/>
        </w:rPr>
        <w:t>Changes to a vehicle’s price on our site. We also offer price change alerts to consumers on searches they have saved, which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to respond quickly to changes in the market.</w:t>
      </w:r>
    </w:p>
    <w:p>
      <w:pPr>
        <w:spacing w:after="0" w:line="50" w:lineRule="exact"/>
        <w:rPr>
          <w:rFonts w:ascii="Times New Roman" w:cs="Times New Roman" w:eastAsia="Times New Roman" w:hAnsi="Times New Roman"/>
          <w:sz w:val="18"/>
          <w:szCs w:val="18"/>
          <w:color w:val="auto"/>
        </w:rPr>
      </w:pPr>
    </w:p>
    <w:p>
      <w:pPr>
        <w:ind w:left="960" w:hanging="398"/>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on Site. </w:t>
      </w:r>
      <w:r>
        <w:rPr>
          <w:rFonts w:ascii="Times New Roman" w:cs="Times New Roman" w:eastAsia="Times New Roman" w:hAnsi="Times New Roman"/>
          <w:sz w:val="18"/>
          <w:szCs w:val="18"/>
          <w:color w:val="auto"/>
        </w:rPr>
        <w:t>Length of time a vehicle has been on our site and how many users have saved the vehicle to their list of favorite listings, indicators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likely demand for the car.</w:t>
      </w:r>
    </w:p>
    <w:p>
      <w:pPr>
        <w:spacing w:after="0" w:line="50" w:lineRule="exact"/>
        <w:rPr>
          <w:rFonts w:ascii="Times New Roman" w:cs="Times New Roman" w:eastAsia="Times New Roman" w:hAnsi="Times New Roman"/>
          <w:sz w:val="18"/>
          <w:szCs w:val="18"/>
          <w:color w:val="auto"/>
        </w:rPr>
      </w:pPr>
    </w:p>
    <w:p>
      <w:pPr>
        <w:ind w:left="960" w:hanging="398"/>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Vehicle History. </w:t>
      </w:r>
      <w:r>
        <w:rPr>
          <w:rFonts w:ascii="Times New Roman" w:cs="Times New Roman" w:eastAsia="Times New Roman" w:hAnsi="Times New Roman"/>
          <w:sz w:val="18"/>
          <w:szCs w:val="18"/>
          <w:color w:val="auto"/>
        </w:rPr>
        <w:t>Title check, accident check, number of owners, and fleet status of the vehicle, giving consumers data that helps them better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 the car’s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Cars</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Search results for new car listings are sorted by price of inventory matching the user’s search, with the lowest priced listings sorted first. Our new car VDPs include our Dealer Rating and many of the other features of our used car listings, such as Price History and Time on Site. Deal Rating is not applicable to new car listings because it utilizes data not relevant to new cars. Instead, we analyze data on manufacturers’ suggested retail prices, or MSRPs, and recent sales of similar new vehicles, accounting for trade-ins, incentives, and other factors that can affect the price of a new car, to provide users with comparative price information.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 My Car</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also allow our consumer users to list their cars for free in our marketplace. Our Sell My Car offering enables individual car owners to easily merchandise their vehicles, determine an appropriate selling price with our proprietary price guidance, and manage their listings and communications with prospective buyers among our audience. We offer services to facilitate securing financing, processing payment, titling, and other aspects of the private-sale transaction. If a car is sold using these transaction-facilitation services, we collect a fee from the selling consumer.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Dealer Marketplace</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marketplace connects dealers to a large audience of informed and engaged consumers. We offer three types of marketplace Listing products to dealers: Basic Listing, which is free, and Enhanced or Featured Listing, each of which requires a paid subscription. We price our Enhanced and Featured Listing products as a monthly, quarterly, semiannual, or annual subscription based on the dealer’s inventory size, region, and our assessment of the return on investment, or ROI, our solution will provide them.</w:t>
      </w:r>
    </w:p>
    <w:p>
      <w:pPr>
        <w:spacing w:after="0" w:line="43" w:lineRule="exact"/>
        <w:rPr>
          <w:sz w:val="20"/>
          <w:szCs w:val="20"/>
          <w:color w:val="auto"/>
        </w:rPr>
      </w:pPr>
    </w:p>
    <w:p>
      <w:pPr>
        <w:jc w:val="both"/>
        <w:ind w:left="960" w:hanging="398"/>
        <w:spacing w:after="0" w:line="232" w:lineRule="exact"/>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Basic Listing. </w:t>
      </w:r>
      <w:r>
        <w:rPr>
          <w:rFonts w:ascii="Times New Roman" w:cs="Times New Roman" w:eastAsia="Times New Roman" w:hAnsi="Times New Roman"/>
          <w:sz w:val="18"/>
          <w:szCs w:val="18"/>
          <w:color w:val="auto"/>
        </w:rPr>
        <w:t>Basic Listing allows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paying dealers to list their inventory in our marketplace anonymously. Consumers can contact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dealers only through an anonymous, CarGurus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branded email address so the dealer does not receive any of the consumer’s personal contact information from our platform. We do not display the name, address, website URL, or phone number of any non-paying dealers on our websites.</w:t>
      </w:r>
    </w:p>
    <w:p>
      <w:pPr>
        <w:spacing w:after="0" w:line="89" w:lineRule="exact"/>
        <w:rPr>
          <w:rFonts w:ascii="Times New Roman" w:cs="Times New Roman" w:eastAsia="Times New Roman" w:hAnsi="Times New Roman"/>
          <w:sz w:val="18"/>
          <w:szCs w:val="18"/>
          <w:color w:val="auto"/>
        </w:rPr>
      </w:pPr>
    </w:p>
    <w:p>
      <w:pPr>
        <w:jc w:val="both"/>
        <w:ind w:left="960" w:hanging="398"/>
        <w:spacing w:after="0" w:line="224" w:lineRule="exact"/>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Listing. </w:t>
      </w:r>
      <w:r>
        <w:rPr>
          <w:rFonts w:ascii="Times New Roman" w:cs="Times New Roman" w:eastAsia="Times New Roman" w:hAnsi="Times New Roman"/>
          <w:sz w:val="18"/>
          <w:szCs w:val="18"/>
          <w:color w:val="auto"/>
        </w:rPr>
        <w:t>Enhanced Listing provides dealers with a higher volume and quality of connections to consumers. Dealers that subscribe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Listing gain the opportunity to connect with consumers directly through email, phone, and managed text and chat. Our platform allows paying dealers to provide a link to their website, dealership branding and information such as name, address, and hours of operation, and map directions to their dealership on VDPs, helping consumers easily contact or visit them, which we believe results in increased local brand awareness and walk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traffic.</w:t>
      </w:r>
    </w:p>
    <w:p>
      <w:pPr>
        <w:spacing w:after="0" w:line="71" w:lineRule="exact"/>
        <w:rPr>
          <w:rFonts w:ascii="Times New Roman" w:cs="Times New Roman" w:eastAsia="Times New Roman" w:hAnsi="Times New Roman"/>
          <w:sz w:val="18"/>
          <w:szCs w:val="18"/>
          <w:color w:val="auto"/>
        </w:rPr>
      </w:pPr>
    </w:p>
    <w:p>
      <w:pPr>
        <w:jc w:val="both"/>
        <w:ind w:left="960" w:hanging="398"/>
        <w:spacing w:after="0" w:line="26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Featured Listing. </w:t>
      </w:r>
      <w:r>
        <w:rPr>
          <w:rFonts w:ascii="Times New Roman" w:cs="Times New Roman" w:eastAsia="Times New Roman" w:hAnsi="Times New Roman"/>
          <w:sz w:val="18"/>
          <w:szCs w:val="18"/>
          <w:color w:val="auto"/>
        </w:rPr>
        <w:t>A dealer that pays the premium subscription rate for our Featured Listing product receives all of the benefits of the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product, as well as promotion of their Great Deal, Good Deal, and Fair Deal inventory in a clearly labeled section at the top of the search results page. This premium placement for Featured listings generates increased connection volume relative to Enhanced Listing.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 Dashboard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Enhanced, and Featured Listing dealers all have access to the following Dealer Dashboard features and tools:</w:t>
      </w:r>
    </w:p>
    <w:p>
      <w:pPr>
        <w:spacing w:after="0" w:line="88" w:lineRule="exact"/>
        <w:rPr>
          <w:sz w:val="20"/>
          <w:szCs w:val="20"/>
          <w:color w:val="auto"/>
        </w:rPr>
      </w:pPr>
    </w:p>
    <w:p>
      <w:pPr>
        <w:jc w:val="both"/>
        <w:ind w:left="960" w:hanging="398"/>
        <w:spacing w:after="0" w:line="232" w:lineRule="exact"/>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Summary. </w:t>
      </w:r>
      <w:r>
        <w:rPr>
          <w:rFonts w:ascii="Times New Roman" w:cs="Times New Roman" w:eastAsia="Times New Roman" w:hAnsi="Times New Roman"/>
          <w:sz w:val="18"/>
          <w:szCs w:val="18"/>
          <w:color w:val="auto"/>
        </w:rPr>
        <w:t>Provides dealers with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and historical data concerning the connections and consumer exposure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in our marketplace and through our digital marketing products. This enables dealers to analyze connections and SRP and VDP views at a granular level to inform the dealer’s sales and merchandising efforts.</w:t>
      </w:r>
    </w:p>
    <w:p>
      <w:pPr>
        <w:spacing w:after="0" w:line="89" w:lineRule="exact"/>
        <w:rPr>
          <w:rFonts w:ascii="Times New Roman" w:cs="Times New Roman" w:eastAsia="Times New Roman" w:hAnsi="Times New Roman"/>
          <w:sz w:val="18"/>
          <w:szCs w:val="18"/>
          <w:color w:val="auto"/>
        </w:rPr>
      </w:pPr>
    </w:p>
    <w:p>
      <w:pPr>
        <w:ind w:left="960" w:right="20" w:hanging="398"/>
        <w:spacing w:after="0" w:line="28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Dealer Insights. </w:t>
      </w:r>
      <w:r>
        <w:rPr>
          <w:rFonts w:ascii="Times New Roman" w:cs="Times New Roman" w:eastAsia="Times New Roman" w:hAnsi="Times New Roman"/>
          <w:sz w:val="18"/>
          <w:szCs w:val="18"/>
          <w:color w:val="auto"/>
        </w:rPr>
        <w:t>Provides pricing analysis of the dealer’s inventory, as well as a summary of a vehicle’s missing information such as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photos, or trim. This information helps dealers better merchandise their vehicles.</w:t>
      </w:r>
    </w:p>
    <w:p>
      <w:pPr>
        <w:spacing w:after="0" w:line="50" w:lineRule="exact"/>
        <w:rPr>
          <w:rFonts w:ascii="Times New Roman" w:cs="Times New Roman" w:eastAsia="Times New Roman" w:hAnsi="Times New Roman"/>
          <w:sz w:val="18"/>
          <w:szCs w:val="18"/>
          <w:color w:val="auto"/>
        </w:rPr>
      </w:pPr>
    </w:p>
    <w:p>
      <w:pPr>
        <w:ind w:left="960" w:hanging="398"/>
        <w:spacing w:after="0" w:line="28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User Review Management. </w:t>
      </w:r>
      <w:r>
        <w:rPr>
          <w:rFonts w:ascii="Times New Roman" w:cs="Times New Roman" w:eastAsia="Times New Roman" w:hAnsi="Times New Roman"/>
          <w:sz w:val="18"/>
          <w:szCs w:val="18"/>
          <w:color w:val="auto"/>
        </w:rPr>
        <w:t>Allows dealers to track and manage their dealership reviews from our users. Dealers can respond to users,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potentially fraudulent reviews, and publish positive reviews to social media platforms for broader exposure.</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Enhanced and Featured Listing dealers also have access to the following additional features and tools:</w:t>
      </w:r>
    </w:p>
    <w:p>
      <w:pPr>
        <w:spacing w:after="0" w:line="115" w:lineRule="exact"/>
        <w:rPr>
          <w:sz w:val="20"/>
          <w:szCs w:val="20"/>
          <w:color w:val="auto"/>
        </w:rPr>
      </w:pPr>
    </w:p>
    <w:p>
      <w:pPr>
        <w:ind w:left="960" w:hanging="398"/>
        <w:spacing w:after="0" w:line="284"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Pricing Tool. </w:t>
      </w:r>
      <w:r>
        <w:rPr>
          <w:rFonts w:ascii="Times New Roman" w:cs="Times New Roman" w:eastAsia="Times New Roman" w:hAnsi="Times New Roman"/>
          <w:sz w:val="18"/>
          <w:szCs w:val="18"/>
          <w:color w:val="auto"/>
        </w:rPr>
        <w:t>Helps dealers evaluate the impact of pricing changes for each used vehicle in their inventory and the resulting impact on the car’s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 Rating, empowering dealers to make informed pricing decisions based on market data in their local area.</w:t>
      </w:r>
    </w:p>
    <w:p>
      <w:pPr>
        <w:spacing w:after="0" w:line="50" w:lineRule="exact"/>
        <w:rPr>
          <w:rFonts w:ascii="Times New Roman" w:cs="Times New Roman" w:eastAsia="Times New Roman" w:hAnsi="Times New Roman"/>
          <w:sz w:val="18"/>
          <w:szCs w:val="18"/>
          <w:color w:val="auto"/>
        </w:rPr>
      </w:pPr>
    </w:p>
    <w:p>
      <w:pPr>
        <w:jc w:val="both"/>
        <w:ind w:left="960" w:hanging="398"/>
        <w:spacing w:after="0" w:line="267"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Analysis. </w:t>
      </w:r>
      <w:r>
        <w:rPr>
          <w:rFonts w:ascii="Times New Roman" w:cs="Times New Roman" w:eastAsia="Times New Roman" w:hAnsi="Times New Roman"/>
          <w:sz w:val="18"/>
          <w:szCs w:val="18"/>
          <w:color w:val="auto"/>
        </w:rPr>
        <w:t>Informs dealers of local market trends in used cars, such as the most searched makes and models in their local market.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helps dealers align with local consumer preferences and inform strategies for increasing inventory turnover and efficient vehicle acquisition.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Dealer Digital Marketing and Customer Acquisition Products</w:t>
      </w:r>
    </w:p>
    <w:p>
      <w:pPr>
        <w:spacing w:after="0" w:line="121" w:lineRule="exact"/>
        <w:rPr>
          <w:sz w:val="20"/>
          <w:szCs w:val="20"/>
          <w:color w:val="auto"/>
        </w:rPr>
      </w:pPr>
    </w:p>
    <w:p>
      <w:pPr>
        <w:jc w:val="both"/>
        <w:ind w:firstLine="555"/>
        <w:spacing w:after="0" w:line="229" w:lineRule="exact"/>
        <w:rPr>
          <w:sz w:val="20"/>
          <w:szCs w:val="20"/>
          <w:color w:val="auto"/>
        </w:rPr>
      </w:pPr>
      <w:r>
        <w:rPr>
          <w:rFonts w:ascii="Times New Roman" w:cs="Times New Roman" w:eastAsia="Times New Roman" w:hAnsi="Times New Roman"/>
          <w:sz w:val="18"/>
          <w:szCs w:val="18"/>
          <w:color w:val="auto"/>
        </w:rPr>
        <w:t>In addition to listing cars in our marketplace through our Listing products, we also provide all dealers with a web widget that allows them to place Deal Rating Badges, which show our Deal Rating for cars that have been rated as a Great Deal, Good Deal, or Fair Deal, on their own website. Our Deal Rating serves as trusted,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validation on their website.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offer Enhanced and Featured Listing dealers the following additional advertising and customer acquisition products and enhancements:</w:t>
      </w:r>
    </w:p>
    <w:p>
      <w:pPr>
        <w:spacing w:after="0" w:line="115" w:lineRule="exact"/>
        <w:rPr>
          <w:sz w:val="20"/>
          <w:szCs w:val="20"/>
          <w:color w:val="auto"/>
        </w:rPr>
      </w:pPr>
    </w:p>
    <w:p>
      <w:pPr>
        <w:jc w:val="both"/>
        <w:ind w:left="960" w:hanging="398"/>
        <w:spacing w:after="0" w:line="267"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Dealer Display. </w:t>
      </w:r>
      <w:r>
        <w:rPr>
          <w:rFonts w:ascii="Times New Roman" w:cs="Times New Roman" w:eastAsia="Times New Roman" w:hAnsi="Times New Roman"/>
          <w:sz w:val="18"/>
          <w:szCs w:val="18"/>
          <w:color w:val="auto"/>
        </w:rPr>
        <w:t>Dealers are able to buy display advertising that appears in our marketplace and on other sites on the internet to build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Advertisements can be targeted by geography, search history, and a number of other targeting factors, allowing dealers to increase their visibility with relevant consumers and drive consumers to the dealer’s own website.</w:t>
      </w:r>
    </w:p>
    <w:p>
      <w:pPr>
        <w:spacing w:after="0" w:line="65" w:lineRule="exact"/>
        <w:rPr>
          <w:rFonts w:ascii="Times New Roman" w:cs="Times New Roman" w:eastAsia="Times New Roman" w:hAnsi="Times New Roman"/>
          <w:sz w:val="18"/>
          <w:szCs w:val="18"/>
          <w:color w:val="auto"/>
        </w:rPr>
      </w:pPr>
    </w:p>
    <w:p>
      <w:pPr>
        <w:jc w:val="both"/>
        <w:ind w:left="960" w:hanging="398"/>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Dealer Search Engine Marketing, Social Media Advertising, and Retargeting. </w:t>
      </w:r>
      <w:r>
        <w:rPr>
          <w:rFonts w:ascii="Times New Roman" w:cs="Times New Roman" w:eastAsia="Times New Roman" w:hAnsi="Times New Roman"/>
          <w:sz w:val="18"/>
          <w:szCs w:val="18"/>
          <w:color w:val="auto"/>
        </w:rPr>
        <w:t>Leveraging the capabilities we have developed for our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algorithmic traffic acquisition, we offer a product that delivers search engine marketing, or SEM, social media advertising, and retargeting to programmatically drive qualified traffic to dealer websites. Utilizing algorithmic bidding strategies and automated keyword list management, we help dealers to optimize traffic acquisition.</w:t>
      </w:r>
    </w:p>
    <w:p>
      <w:pPr>
        <w:spacing w:after="0" w:line="71" w:lineRule="exact"/>
        <w:rPr>
          <w:rFonts w:ascii="Times New Roman" w:cs="Times New Roman" w:eastAsia="Times New Roman" w:hAnsi="Times New Roman"/>
          <w:sz w:val="18"/>
          <w:szCs w:val="18"/>
          <w:color w:val="auto"/>
        </w:rPr>
      </w:pPr>
    </w:p>
    <w:p>
      <w:pPr>
        <w:ind w:left="960" w:hanging="398"/>
        <w:spacing w:after="0" w:line="284"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w:t>
      </w:r>
      <w:r>
        <w:rPr>
          <w:rFonts w:ascii="Times New Roman" w:cs="Times New Roman" w:eastAsia="Times New Roman" w:hAnsi="Times New Roman"/>
          <w:sz w:val="18"/>
          <w:szCs w:val="18"/>
          <w:color w:val="auto"/>
        </w:rPr>
        <w:t>A dealer that pays for our Listings product can add a feature to expand the visibility of its inventory in the search results beyond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market.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 Manufacturer and Other Advertiser Products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offers auto manufacturers and others the ability to purchase display advertising on our site to execute targeted marketing strategies:</w:t>
      </w:r>
    </w:p>
    <w:p>
      <w:pPr>
        <w:spacing w:after="0" w:line="115" w:lineRule="exact"/>
        <w:rPr>
          <w:sz w:val="20"/>
          <w:szCs w:val="20"/>
          <w:color w:val="auto"/>
        </w:rPr>
      </w:pPr>
    </w:p>
    <w:p>
      <w:pPr>
        <w:ind w:left="960" w:hanging="398"/>
        <w:spacing w:after="0" w:line="284"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Brand Reinforcement. </w:t>
      </w:r>
      <w:r>
        <w:rPr>
          <w:rFonts w:ascii="Times New Roman" w:cs="Times New Roman" w:eastAsia="Times New Roman" w:hAnsi="Times New Roman"/>
          <w:sz w:val="18"/>
          <w:szCs w:val="18"/>
          <w:color w:val="auto"/>
        </w:rPr>
        <w:t>We allow auto manufacturers to buy advertising on our site and target consumers based on the make, model, and zip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cars that a specific consumer is searching for, in order to increase exposure to interested consumers.</w:t>
      </w:r>
    </w:p>
    <w:p>
      <w:pPr>
        <w:spacing w:after="0" w:line="50" w:lineRule="exact"/>
        <w:rPr>
          <w:rFonts w:ascii="Times New Roman" w:cs="Times New Roman" w:eastAsia="Times New Roman" w:hAnsi="Times New Roman"/>
          <w:sz w:val="18"/>
          <w:szCs w:val="18"/>
          <w:color w:val="auto"/>
        </w:rPr>
      </w:pPr>
    </w:p>
    <w:p>
      <w:pPr>
        <w:ind w:left="960" w:right="20" w:hanging="398"/>
        <w:spacing w:after="0" w:line="284"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Sponsorship. </w:t>
      </w:r>
      <w:r>
        <w:rPr>
          <w:rFonts w:ascii="Times New Roman" w:cs="Times New Roman" w:eastAsia="Times New Roman" w:hAnsi="Times New Roman"/>
          <w:sz w:val="18"/>
          <w:szCs w:val="18"/>
          <w:color w:val="auto"/>
        </w:rPr>
        <w:t>To address evolving priorities influenced by industry dynamics, seasonality, and other factors, we offer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 exclusively prominent high traffic pages on our site, such as the New Car front page, Used Car front page, and Research Center.</w:t>
      </w:r>
    </w:p>
    <w:p>
      <w:pPr>
        <w:spacing w:after="0" w:line="50" w:lineRule="exact"/>
        <w:rPr>
          <w:rFonts w:ascii="Times New Roman" w:cs="Times New Roman" w:eastAsia="Times New Roman" w:hAnsi="Times New Roman"/>
          <w:sz w:val="18"/>
          <w:szCs w:val="18"/>
          <w:color w:val="auto"/>
        </w:rPr>
      </w:pPr>
    </w:p>
    <w:p>
      <w:pPr>
        <w:ind w:left="960" w:right="20" w:hanging="398"/>
        <w:spacing w:after="0" w:line="284"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Automobile Segment Exclusivity. </w:t>
      </w:r>
      <w:r>
        <w:rPr>
          <w:rFonts w:ascii="Times New Roman" w:cs="Times New Roman" w:eastAsia="Times New Roman" w:hAnsi="Times New Roman"/>
          <w:sz w:val="18"/>
          <w:szCs w:val="18"/>
          <w:color w:val="auto"/>
        </w:rPr>
        <w:t>To support the introduction of new models or the success of existing models, we allow manufacturers to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automobile segments, such as SUV, sedan, hybrid, luxury, truck, and minivan.</w:t>
      </w:r>
    </w:p>
    <w:p>
      <w:pPr>
        <w:spacing w:after="0" w:line="23" w:lineRule="exact"/>
        <w:rPr>
          <w:rFonts w:ascii="Times New Roman" w:cs="Times New Roman" w:eastAsia="Times New Roman" w:hAnsi="Times New Roman"/>
          <w:sz w:val="18"/>
          <w:szCs w:val="18"/>
          <w:color w:val="auto"/>
        </w:rPr>
      </w:pPr>
    </w:p>
    <w:p>
      <w:pPr>
        <w:ind w:left="960" w:hanging="398"/>
        <w:spacing w:after="0" w:line="239" w:lineRule="exact"/>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Consumer Segment Exposure. </w:t>
      </w:r>
      <w:r>
        <w:rPr>
          <w:rFonts w:ascii="Times New Roman" w:cs="Times New Roman" w:eastAsia="Times New Roman" w:hAnsi="Times New Roman"/>
          <w:sz w:val="18"/>
          <w:szCs w:val="18"/>
          <w:color w:val="auto"/>
        </w:rPr>
        <w:t>Through our platform, auto manufacturers can target consumers both on our site and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sites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parameters, including estimated household income and vehicle specifications, such as make or model, and zip codes.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Our marketing initiatives aim to drive brand awareness and engagement among consumers and dealers and to position us as a trusted online automotive marketplace.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Marketing</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have built our audience on the strength of our user experience, and we remain focused on delivering an engaging consumer marketplace. The strength of the consumer experience that we offer is one of our most powerful marketing tools. By providing an intuitive search experience in our marketplace and relevant content, updates, and tools to consumers during their car search, we believe that the users who comprise our large and engaged audience provide informal endorsements to other consumers, more powerful than most marketing messages.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9" w:name="page10"/>
    <w:bookmarkEnd w:id="9"/>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Historically, our consumer marketing efforts have been focused primarily on algorithmic traffic acquisition. We employ a team of engineers and data scientists that optimizes our user acquisition through search engines, social media, and other digital marketing channels and has tested over 1 billion keywords on various search engines. We believe our expertise in this area constitutes a competitive advantage over less sophisticated competitors and those who outsource these capabilities.</w:t>
      </w:r>
    </w:p>
    <w:p>
      <w:pPr>
        <w:spacing w:after="0" w:line="151" w:lineRule="exact"/>
        <w:rPr>
          <w:sz w:val="20"/>
          <w:szCs w:val="20"/>
          <w:color w:val="auto"/>
        </w:rPr>
      </w:pPr>
    </w:p>
    <w:p>
      <w:pPr>
        <w:jc w:val="both"/>
        <w:ind w:firstLine="555"/>
        <w:spacing w:after="0" w:line="228" w:lineRule="exact"/>
        <w:rPr>
          <w:sz w:val="20"/>
          <w:szCs w:val="20"/>
          <w:color w:val="auto"/>
        </w:rPr>
      </w:pPr>
      <w:r>
        <w:rPr>
          <w:rFonts w:ascii="Times New Roman" w:cs="Times New Roman" w:eastAsia="Times New Roman" w:hAnsi="Times New Roman"/>
          <w:sz w:val="18"/>
          <w:szCs w:val="18"/>
          <w:color w:val="auto"/>
        </w:rPr>
        <w:t>We augment our marketing efforts with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building investments in broadcast media, such as television and online video. Our brand awareness is currently lower than many other major U.S. online automotive marketplaces in the United States, despite our large monthly audience and high user engagement. We believe that as a result of our trusted product, audience engagement, and relatively low brand awareness, we are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positioned to strengthen our brand by continuing to invest in broadcast media.</w:t>
      </w:r>
    </w:p>
    <w:p>
      <w:pPr>
        <w:spacing w:after="0" w:line="170"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Our vehicle listing data,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site user behavior, connections between consumers and dealers, and opinion data from our users create significant opportunities for us to develop and publish car shopping insights. We consistently gain earned media coverage in national, regional, and trade press outlets as well as social channels by leveraging our proprietary data to inform newsworthy content.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 Marketing</w:t>
      </w:r>
    </w:p>
    <w:p>
      <w:pPr>
        <w:spacing w:after="0" w:line="92" w:lineRule="exact"/>
        <w:rPr>
          <w:sz w:val="20"/>
          <w:szCs w:val="20"/>
          <w:color w:val="auto"/>
        </w:rPr>
      </w:pPr>
    </w:p>
    <w:p>
      <w:pPr>
        <w:jc w:val="both"/>
        <w:ind w:firstLine="555"/>
        <w:spacing w:after="0" w:line="239" w:lineRule="exact"/>
        <w:rPr>
          <w:sz w:val="20"/>
          <w:szCs w:val="20"/>
          <w:color w:val="auto"/>
        </w:rPr>
      </w:pPr>
      <w:r>
        <w:rPr>
          <w:rFonts w:ascii="Times New Roman" w:cs="Times New Roman" w:eastAsia="Times New Roman" w:hAnsi="Times New Roman"/>
          <w:sz w:val="18"/>
          <w:szCs w:val="18"/>
          <w:color w:val="auto"/>
        </w:rPr>
        <w:t>The primary goals of our dealer marketing initiatives are to acquire dealers not yet in our marketplace, convert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paying dealers into paying dealers, retain our existing paying dealers, and expand annual subscription revenues from our paying dealers. Our dealer marketing efforts aim to:</w:t>
      </w:r>
    </w:p>
    <w:p>
      <w:pPr>
        <w:spacing w:after="0" w:line="62" w:lineRule="exact"/>
        <w:rPr>
          <w:sz w:val="20"/>
          <w:szCs w:val="20"/>
          <w:color w:val="auto"/>
        </w:rPr>
      </w:pPr>
    </w:p>
    <w:p>
      <w:pPr>
        <w:jc w:val="both"/>
        <w:ind w:left="960" w:hanging="398"/>
        <w:spacing w:after="0" w:line="228" w:lineRule="exact"/>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Educate Dealers on the Quality of Our Audience and Attractive ROI. </w:t>
      </w:r>
      <w:r>
        <w:rPr>
          <w:rFonts w:ascii="Times New Roman" w:cs="Times New Roman" w:eastAsia="Times New Roman" w:hAnsi="Times New Roman"/>
          <w:sz w:val="18"/>
          <w:szCs w:val="18"/>
          <w:color w:val="auto"/>
        </w:rPr>
        <w:t>We educate dealers on our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leading monthly visits, our strong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and the large number of connections that we facilitate through our marketplace. We also highlight to dealers how unique features of our platform, such as our intuitive user interface and our proprietary technology and data analytics, yield consumers that we believe are more informed and better prepared to purchase at the dealership, which can lead to a higher ROI for the dealers’ marketing spend.</w:t>
      </w:r>
    </w:p>
    <w:p>
      <w:pPr>
        <w:spacing w:after="0" w:line="88" w:lineRule="exact"/>
        <w:rPr>
          <w:rFonts w:ascii="Times New Roman" w:cs="Times New Roman" w:eastAsia="Times New Roman" w:hAnsi="Times New Roman"/>
          <w:sz w:val="18"/>
          <w:szCs w:val="18"/>
          <w:color w:val="auto"/>
        </w:rPr>
      </w:pPr>
    </w:p>
    <w:p>
      <w:pPr>
        <w:jc w:val="both"/>
        <w:ind w:left="960" w:hanging="398"/>
        <w:spacing w:after="0" w:line="26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Best Practices to Assist Dealers in Becoming Successful in Our Marketplace. </w:t>
      </w:r>
      <w:r>
        <w:rPr>
          <w:rFonts w:ascii="Times New Roman" w:cs="Times New Roman" w:eastAsia="Times New Roman" w:hAnsi="Times New Roman"/>
          <w:sz w:val="18"/>
          <w:szCs w:val="18"/>
          <w:color w:val="auto"/>
        </w:rPr>
        <w:t>We provide ongoing communications through webinars,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white papers, testimonials, and videos, which show dealers how to use our products to position their inventory for success on our platform. We maintain consistent communication with dealers by email and events to ensure awareness of recent product updates and provide custom account management.</w:t>
      </w:r>
    </w:p>
    <w:p>
      <w:pPr>
        <w:spacing w:after="0" w:line="71" w:lineRule="exact"/>
        <w:rPr>
          <w:rFonts w:ascii="Times New Roman" w:cs="Times New Roman" w:eastAsia="Times New Roman" w:hAnsi="Times New Roman"/>
          <w:sz w:val="18"/>
          <w:szCs w:val="18"/>
          <w:color w:val="auto"/>
        </w:rPr>
      </w:pPr>
    </w:p>
    <w:p>
      <w:pPr>
        <w:jc w:val="both"/>
        <w:ind w:left="960" w:hanging="398"/>
        <w:spacing w:after="0" w:line="267"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Thought Leadership that Educates Dealers on Marketplace Trends. </w:t>
      </w:r>
      <w:r>
        <w:rPr>
          <w:rFonts w:ascii="Times New Roman" w:cs="Times New Roman" w:eastAsia="Times New Roman" w:hAnsi="Times New Roman"/>
          <w:sz w:val="18"/>
          <w:szCs w:val="18"/>
          <w:color w:val="auto"/>
        </w:rPr>
        <w:t>We generate insightful content on market trends and best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digital advertising that are shared through webinars, dealer forums, dealer advisory councils, and our participation in industry conferences and events.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92" w:lineRule="exact"/>
        <w:rPr>
          <w:sz w:val="20"/>
          <w:szCs w:val="20"/>
          <w:color w:val="auto"/>
        </w:rPr>
      </w:pPr>
    </w:p>
    <w:p>
      <w:pPr>
        <w:jc w:val="both"/>
        <w:ind w:firstLine="555"/>
        <w:spacing w:after="0" w:line="228" w:lineRule="exact"/>
        <w:rPr>
          <w:sz w:val="20"/>
          <w:szCs w:val="20"/>
          <w:color w:val="auto"/>
        </w:rPr>
      </w:pPr>
      <w:r>
        <w:rPr>
          <w:rFonts w:ascii="Times New Roman" w:cs="Times New Roman" w:eastAsia="Times New Roman" w:hAnsi="Times New Roman"/>
          <w:sz w:val="18"/>
          <w:szCs w:val="18"/>
          <w:color w:val="auto"/>
        </w:rPr>
        <w:t>Our sales team is responsible for bringing dealers onto our marketplace as paying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paying dealers. We have built an efficient inside sales and account management team of over 300 employees worldwide who sell our marketplace products to franchise and independent dealers. We have built a field sales team that works with strategic franchise and national dealership groups in large metropolitan areas. In addition, we have advertising sales employees based in Cambridge, Massachusetts; Detroit, Michigan; Los Angeles, California; and certain foreign locations.</w:t>
      </w:r>
    </w:p>
    <w:p>
      <w:pPr>
        <w:spacing w:after="0" w:line="198"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have a comprehensive dealer account management process to assist dealers in becoming successful in our marketplace. We assign a Customer Success Associate to every new paying dealer to assist with onboarding and integration with any relevant software systems. The designated Customer Success Associate spends time educating dealers on a range of topics, including effectively using the Dealer Dashboard and tracking sales, and measuring ROI for their marketing spend. After the onboarding period, a Dealer Relations Account Manager is designated to assist the dealer in utilizing our tools and maximizing ROI from our offerings, including optimizing inventory acquisition, effectively pricing vehicles, vehicle merchandising, and keeping inventory up to date with complete vehicle information. We believe this active communication with our dealers fosters customer satisfaction and increases dealer and customer retention.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Culture and Employees</w:t>
      </w:r>
    </w:p>
    <w:p>
      <w:pPr>
        <w:spacing w:after="0" w:line="92"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Our company culture has developed out of our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and innovative approach to the automotive market. We leverage data to drive innovation across all facets of our business and continuously optimize our products and processes to serve our consumers, dealers, advertisers, and partners. Our approach emphasizes original thought, impact, and collaboration across our organization, and we recognize and award employees who drive positive impact across these constituencies. We encourage collaboration across our entire workforce and invest in creating a work environment that facilitates partnership among our employees. In that spirit, we have identified our core values as follows:</w:t>
      </w:r>
    </w:p>
    <w:p>
      <w:pPr>
        <w:spacing w:after="0" w:line="88" w:lineRule="exact"/>
        <w:rPr>
          <w:sz w:val="20"/>
          <w:szCs w:val="20"/>
          <w:color w:val="auto"/>
        </w:rPr>
      </w:pPr>
    </w:p>
    <w:p>
      <w:pPr>
        <w:ind w:left="960" w:hanging="398"/>
        <w:spacing w:after="0" w:line="286" w:lineRule="auto"/>
        <w:tabs>
          <w:tab w:leader="none" w:pos="960" w:val="left"/>
        </w:tabs>
        <w:numPr>
          <w:ilvl w:val="0"/>
          <w:numId w:val="1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 xml:space="preserve">We are pioneering. </w:t>
      </w:r>
      <w:r>
        <w:rPr>
          <w:rFonts w:ascii="Times New Roman" w:cs="Times New Roman" w:eastAsia="Times New Roman" w:hAnsi="Times New Roman"/>
          <w:sz w:val="18"/>
          <w:szCs w:val="18"/>
          <w:color w:val="auto"/>
        </w:rPr>
        <w:t>From the beginning, we set out to radically change how people buy and sell cars. We tackle difficult problems head on.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curious. We are risk takers. We embrace change even if it’s uncomfortable.</w:t>
      </w:r>
    </w:p>
    <w:p>
      <w:pPr>
        <w:spacing w:after="0" w:line="46" w:lineRule="exact"/>
        <w:rPr>
          <w:rFonts w:ascii="Times New Roman" w:cs="Times New Roman" w:eastAsia="Times New Roman" w:hAnsi="Times New Roman"/>
          <w:sz w:val="18"/>
          <w:szCs w:val="18"/>
          <w:color w:val="333333"/>
        </w:rPr>
      </w:pPr>
    </w:p>
    <w:p>
      <w:pPr>
        <w:ind w:left="960" w:right="20" w:hanging="398"/>
        <w:spacing w:after="0" w:line="28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transparent. </w:t>
      </w:r>
      <w:r>
        <w:rPr>
          <w:rFonts w:ascii="Times New Roman" w:cs="Times New Roman" w:eastAsia="Times New Roman" w:hAnsi="Times New Roman"/>
          <w:sz w:val="18"/>
          <w:szCs w:val="18"/>
          <w:color w:val="auto"/>
        </w:rPr>
        <w:t>We believe transparency is the foundation of trust and enables better decision making. We communicate clearly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honestly. We deliver unbiased guidance. Our products, services and company culture are built on these principles.</w:t>
      </w:r>
    </w:p>
    <w:p>
      <w:pPr>
        <w:spacing w:after="0" w:line="46" w:lineRule="exact"/>
        <w:rPr>
          <w:rFonts w:ascii="Times New Roman" w:cs="Times New Roman" w:eastAsia="Times New Roman" w:hAnsi="Times New Roman"/>
          <w:sz w:val="18"/>
          <w:szCs w:val="18"/>
          <w:color w:val="auto"/>
        </w:rPr>
      </w:pPr>
    </w:p>
    <w:p>
      <w:pPr>
        <w:ind w:left="960" w:hanging="398"/>
        <w:spacing w:after="0" w:line="286" w:lineRule="auto"/>
        <w:tabs>
          <w:tab w:leader="none" w:pos="960" w:val="left"/>
        </w:tabs>
        <w:numPr>
          <w:ilvl w:val="0"/>
          <w:numId w:val="1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 xml:space="preserve">We are data-driven. </w:t>
      </w:r>
      <w:r>
        <w:rPr>
          <w:rFonts w:ascii="Times New Roman" w:cs="Times New Roman" w:eastAsia="Times New Roman" w:hAnsi="Times New Roman"/>
          <w:sz w:val="18"/>
          <w:szCs w:val="18"/>
          <w:color w:val="auto"/>
        </w:rPr>
        <w:t>We rely on data, not hunches, to make decisions. We listen to our instincts but we validate through rapid testing, learning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optimizing. We translate complex data into actionable insights for our users, our customers and our people.</w:t>
      </w:r>
    </w:p>
    <w:p>
      <w:pPr>
        <w:spacing w:after="0" w:line="46" w:lineRule="exact"/>
        <w:rPr>
          <w:rFonts w:ascii="Times New Roman" w:cs="Times New Roman" w:eastAsia="Times New Roman" w:hAnsi="Times New Roman"/>
          <w:sz w:val="18"/>
          <w:szCs w:val="18"/>
          <w:color w:val="333333"/>
        </w:rPr>
      </w:pPr>
    </w:p>
    <w:p>
      <w:pPr>
        <w:ind w:left="960" w:hanging="398"/>
        <w:spacing w:after="0" w:line="28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collaborative. </w:t>
      </w:r>
      <w:r>
        <w:rPr>
          <w:rFonts w:ascii="Times New Roman" w:cs="Times New Roman" w:eastAsia="Times New Roman" w:hAnsi="Times New Roman"/>
          <w:sz w:val="18"/>
          <w:szCs w:val="18"/>
          <w:color w:val="auto"/>
        </w:rPr>
        <w:t>We celebrate our individual strengths and perspectives but know that our success requires teamwork. We partner,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listen and we leverage feedback from each other, our users and our customers.</w:t>
      </w:r>
    </w:p>
    <w:p>
      <w:pPr>
        <w:spacing w:after="0" w:line="46" w:lineRule="exact"/>
        <w:rPr>
          <w:rFonts w:ascii="Times New Roman" w:cs="Times New Roman" w:eastAsia="Times New Roman" w:hAnsi="Times New Roman"/>
          <w:sz w:val="18"/>
          <w:szCs w:val="18"/>
          <w:color w:val="auto"/>
        </w:rPr>
      </w:pPr>
    </w:p>
    <w:p>
      <w:pPr>
        <w:ind w:left="960" w:hanging="398"/>
        <w:spacing w:after="0" w:line="286" w:lineRule="auto"/>
        <w:tabs>
          <w:tab w:leader="none" w:pos="960" w:val="left"/>
        </w:tabs>
        <w:numPr>
          <w:ilvl w:val="0"/>
          <w:numId w:val="1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 xml:space="preserve">We move quickly. </w:t>
      </w:r>
      <w:r>
        <w:rPr>
          <w:rFonts w:ascii="Times New Roman" w:cs="Times New Roman" w:eastAsia="Times New Roman" w:hAnsi="Times New Roman"/>
          <w:sz w:val="18"/>
          <w:szCs w:val="18"/>
          <w:color w:val="auto"/>
        </w:rPr>
        <w:t>We believe there’s power in speed. We iterate quickly and often, continuously improving as we go. We are not afraid to break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things. If we fail, we do it fast, learn from it and move on.</w:t>
      </w:r>
    </w:p>
    <w:p>
      <w:pPr>
        <w:spacing w:after="0" w:line="46" w:lineRule="exact"/>
        <w:rPr>
          <w:rFonts w:ascii="Times New Roman" w:cs="Times New Roman" w:eastAsia="Times New Roman" w:hAnsi="Times New Roman"/>
          <w:sz w:val="18"/>
          <w:szCs w:val="18"/>
          <w:color w:val="333333"/>
        </w:rPr>
      </w:pPr>
    </w:p>
    <w:p>
      <w:pPr>
        <w:ind w:left="960" w:hanging="398"/>
        <w:spacing w:after="0" w:line="286" w:lineRule="auto"/>
        <w:tabs>
          <w:tab w:leader="none" w:pos="960" w:val="left"/>
        </w:tabs>
        <w:numPr>
          <w:ilvl w:val="0"/>
          <w:numId w:val="1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 xml:space="preserve">We have integrity. </w:t>
      </w:r>
      <w:r>
        <w:rPr>
          <w:rFonts w:ascii="Times New Roman" w:cs="Times New Roman" w:eastAsia="Times New Roman" w:hAnsi="Times New Roman"/>
          <w:sz w:val="18"/>
          <w:szCs w:val="18"/>
          <w:color w:val="auto"/>
        </w:rPr>
        <w:t>We act responsibly and consider the impact of our actions on each other, our partners and the world around us.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empathy, respect and fairness are essential. We set high ethical standards and expect principled leadership from our people.</w:t>
      </w:r>
    </w:p>
    <w:p>
      <w:pPr>
        <w:spacing w:after="0" w:line="157" w:lineRule="exact"/>
        <w:rPr>
          <w:sz w:val="20"/>
          <w:szCs w:val="20"/>
          <w:color w:val="auto"/>
        </w:rPr>
      </w:pPr>
    </w:p>
    <w:p>
      <w:pPr>
        <w:jc w:val="both"/>
        <w:ind w:firstLine="555"/>
        <w:spacing w:after="0" w:line="267" w:lineRule="auto"/>
        <w:rPr>
          <w:sz w:val="20"/>
          <w:szCs w:val="20"/>
          <w:color w:val="auto"/>
        </w:rPr>
      </w:pPr>
      <w:r>
        <w:rPr>
          <w:rFonts w:ascii="Times New Roman" w:cs="Times New Roman" w:eastAsia="Times New Roman" w:hAnsi="Times New Roman"/>
          <w:sz w:val="18"/>
          <w:szCs w:val="18"/>
          <w:color w:val="auto"/>
        </w:rPr>
        <w:t xml:space="preserve">We have won a number of awards recognizing our strong culture, including </w:t>
      </w:r>
      <w:r>
        <w:rPr>
          <w:rFonts w:ascii="Times New Roman" w:cs="Times New Roman" w:eastAsia="Times New Roman" w:hAnsi="Times New Roman"/>
          <w:sz w:val="18"/>
          <w:szCs w:val="18"/>
          <w:i w:val="1"/>
          <w:iCs w:val="1"/>
          <w:color w:val="auto"/>
        </w:rPr>
        <w:t>Boston Business Journal</w:t>
      </w:r>
      <w:r>
        <w:rPr>
          <w:rFonts w:ascii="Times New Roman" w:cs="Times New Roman" w:eastAsia="Times New Roman" w:hAnsi="Times New Roman"/>
          <w:sz w:val="18"/>
          <w:szCs w:val="18"/>
          <w:color w:val="auto"/>
        </w:rPr>
        <w:t xml:space="preserve">’s “Best Places to Work” for four years in a row from 2015 to 2018, </w:t>
      </w:r>
      <w:r>
        <w:rPr>
          <w:rFonts w:ascii="Times New Roman" w:cs="Times New Roman" w:eastAsia="Times New Roman" w:hAnsi="Times New Roman"/>
          <w:sz w:val="18"/>
          <w:szCs w:val="18"/>
          <w:i w:val="1"/>
          <w:iCs w:val="1"/>
          <w:color w:val="auto"/>
        </w:rPr>
        <w:t>Boston Globe</w:t>
      </w:r>
      <w:r>
        <w:rPr>
          <w:rFonts w:ascii="Times New Roman" w:cs="Times New Roman" w:eastAsia="Times New Roman" w:hAnsi="Times New Roman"/>
          <w:sz w:val="18"/>
          <w:szCs w:val="18"/>
          <w:color w:val="auto"/>
        </w:rPr>
        <w:t>’s “Top Place to Work” for four of the past five years in 2014, 2015, 2016 and 2018 and the Mass TLC Company of the Year award in 2018.</w:t>
      </w:r>
    </w:p>
    <w:p>
      <w:pPr>
        <w:spacing w:after="0" w:line="147"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As of December 31, 2018, we had 732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47 of whom were based outside the United States. None of our employees is represented by a labor union or covered by a collective bargaining agreement. We have not experienced any work stoppages, and we consider our relations with our employees to be good.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Product Development</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We are a technology company focused on innovative, actionable data analysis. We design our mobile and web products to create an unbiased, transparent experience for both consumers and dealers. We believe in rapid development and frequent updates and have internal tools and automation that allow us to efficiently evolve our products. Our software is built using a combination of internally developed software,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and services, and open source software.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Search Technology</w:t>
      </w:r>
    </w:p>
    <w:p>
      <w:pPr>
        <w:spacing w:after="0" w:line="92" w:lineRule="exact"/>
        <w:rPr>
          <w:sz w:val="20"/>
          <w:szCs w:val="20"/>
          <w:color w:val="auto"/>
        </w:rPr>
      </w:pPr>
    </w:p>
    <w:p>
      <w:pPr>
        <w:jc w:val="both"/>
        <w:ind w:firstLine="555"/>
        <w:spacing w:after="0" w:line="228" w:lineRule="exact"/>
        <w:rPr>
          <w:sz w:val="20"/>
          <w:szCs w:val="20"/>
          <w:color w:val="auto"/>
        </w:rPr>
      </w:pPr>
      <w:r>
        <w:rPr>
          <w:rFonts w:ascii="Times New Roman" w:cs="Times New Roman" w:eastAsia="Times New Roman" w:hAnsi="Times New Roman"/>
          <w:sz w:val="18"/>
          <w:szCs w:val="18"/>
          <w:color w:val="auto"/>
        </w:rPr>
        <w:t>Our search and ranking technology is served by a proprietary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memory search index solution that is scalable, fast, and extensible, allowing us to expand more easily into new markets, as demonstrated by our international marketplace launches. We have highly flexible interfaces that allow dealers to add their inventory to our index without changing data or formats, enabling us to quickly integrate hundreds of inventory sources with minimal effort and easily support inventory growth.</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Mobile Technology</w:t>
      </w:r>
    </w:p>
    <w:p>
      <w:pPr>
        <w:spacing w:after="0" w:line="92"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We have designed our marketplace to appeal to mobile users by developing our products with a mobile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mindset. All of our search results pages use a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page application type approach to eliminate page reloads and improve responsiveness. We also use techniques, including predictive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fetching and infinite scrolling, to load content onto a user’s mobile device more efficiently.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Integrations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make available several application program interfaces and web widgets that integrate with customer relationship management and inventory management solutions, among other platforms. These integrations allow dealers to incorporate designated data and tools into the fabric of their marketing and customer engagement strategies. For example, our Deal Rating Badges are used on over one thousand websites and allow our Deal Rating feature to be promoted across the internet.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development servers and U.S. website are hosted at third-party data centers near Boston, Massachusetts. Our European websites are hosted on a third-party cloud computing service near London, England. We use third-party content distribution networks to cache and serve many portions of our sites at locations across the globe. We monitor and test at the application, host, network, and full site levels to maintain availability and promote performance. We use third-party cloud computing services for many data processing jobs and backup/recovery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face competition to attract consumers and paying dealers to our marketplace and to attract advertisers to purchase our advertising products and services. Our competitors offer various marketplaces, products, and services that compete with us. Some of these competitors include:</w:t>
      </w:r>
    </w:p>
    <w:p>
      <w:pPr>
        <w:spacing w:after="0" w:line="54" w:lineRule="exact"/>
        <w:rPr>
          <w:sz w:val="20"/>
          <w:szCs w:val="20"/>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U.S. online automotive marketplaces: AutoTrader.com, Cars.com, and TrueCar.com;</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online automotive content publishers, such as Edmunds.com, KBB.com and Carfax.com;</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automotive marketplaces and websites in international markets;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search engines;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marketing providers;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to peer marketplaces; and</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operated by individual automobile dealers.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Consumers and Dealers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compete for consumer visits with other online automotive marketplaces, free listing services, general search engines, and dealers’ websites. We compete for consumers primarily on the basis of the quality of the consumer experience. We believe we compete favorably on user experience due to the number of our vehicle listings, the unbiased transparency of the information we provide on cars, prices, and dealers, the intuitive nature of our user interface, and our leading mobile user experience, among other factors.</w:t>
      </w:r>
    </w:p>
    <w:p>
      <w:pPr>
        <w:spacing w:after="0" w:line="180"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We compete for dealers’ marketing spend with offline customer acquisition channels, other online automotive marketplaces, dealers’ own customer acquisition efforts on search engines, and other internet sites that attract consumers searching for vehicles. We compete primarily on the basis of the ROI that our marketplace provides. We believe we compete favorably due to our large user audience, high user engagement, and the volume and quality of connections we provide to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informed consumers, which results in an attractive ROI for dealers.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Advertisers</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compete for a share of advertisers’ total marketing budgets against media sites, websites dedicated to helping consumers shop for cars, major internet portals, search engines, and social media sites, among others. We also compete for a share of advertisers’ overall marketing budgets with traditional media, such as television, radio, magazines, newspapers, automotive guide publications, billboards, and other offline advertising channels. We compete for advertising spend based on the marketing ROI that our marketplace provides. We believe we compete favorably due to our large user audience size, high user engagement, and the effectiveness and relevance of our advertising products.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patents, copyrights, trademarks, service marks, domain names, trade secret protections, confidentiality procedures, and contractual restrictions.</w:t>
      </w:r>
    </w:p>
    <w:p>
      <w:pPr>
        <w:spacing w:after="0" w:line="162"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have three pending U.S. patent applications. These applications cover proprietary technology that relates to various functionalities on our platform, generally in connection with pricing, ranking and detecting fraud in online listings. We intend to pursue additional patent protection to the extent we believe it would be beneficial to our competitive position.</w:t>
      </w:r>
    </w:p>
    <w:p>
      <w:pPr>
        <w:spacing w:after="0" w:line="17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have a number of registered and unregistered trademarks. We registered “CarGurus,” the CarGurus logo, the CG logo, and related marks, as trademarks in the United States and certain other jurisdictions. We pursue additional trademark registrations to the extent we believe doing so would be beneficial to our competitive position.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the registered holder of several domestic and international domain names that include “CarGurus” and variations of our name.</w:t>
      </w:r>
    </w:p>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In addition to the protection provided by our intellectual property rights, we enter into confidentiality and proprietary rights agreements with our employees and relevant consultants, contractors, and business partners. We control the use of our proprietary technology and intellectual property through provisions in contracts with our customers and partners and our general and product-specific terms of use on our websites.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Various aspects of our business are, may become, or may be viewed by regulators from time to time as subject, directly or indirectly, to U.S. federal, state, local and foreign laws and regulations. In particular, the advertising and sale of new or used motor vehicles is highly regulated by the states and jurisdictions in which we do business. Although we do not sell motor vehicles and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advertising laws and regulations, which often originated decades before the emergence of the internet, are frequently subject to multiple interpretations, are not uniform across jurisdictions, sometimes impose inconsistent requirements with respect to new or used motor vehicles, and the manner in which they should be applied to our business model is not always clear. Regulators or other third parties could take, and on some occasions have taken, the position that our marketplace or related products violate applicable brokering, bird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dog, consumer protection, or advertising laws or regulations.</w:t>
      </w:r>
    </w:p>
    <w:p>
      <w:pPr>
        <w:spacing w:after="0" w:line="182"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In order to operate in this regulated environment, we develop our products and services with a view toward appropriately managing the risk that our regulatory compliance, or the regulatory compliance of the dealers whose inventory is listed on our websites, could be challenged.</w:t>
      </w:r>
    </w:p>
    <w:p>
      <w:pPr>
        <w:spacing w:after="0" w:line="162"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consider applicable advertising and consumer protection laws and regulations in designing our products and services. With respect to paid advertising, other than display advertising and Featured Listings, we believe that most of the content displayed on the websites we operate does not constitute paid advertising for the sale of motor vehicles. Nevertheless, we endeavor to design the content in a manner that would comply with relevant advertising regulations and consumer protection laws if, and to the extent that, the content is considered to be vehicle sales advertising.</w:t>
      </w:r>
    </w:p>
    <w:p>
      <w:pPr>
        <w:spacing w:after="0" w:line="180" w:lineRule="exact"/>
        <w:rPr>
          <w:sz w:val="20"/>
          <w:szCs w:val="20"/>
          <w:color w:val="auto"/>
        </w:rPr>
      </w:pPr>
    </w:p>
    <w:p>
      <w:pPr>
        <w:jc w:val="both"/>
        <w:ind w:firstLine="555"/>
        <w:spacing w:after="0" w:line="259" w:lineRule="auto"/>
        <w:rPr>
          <w:sz w:val="20"/>
          <w:szCs w:val="20"/>
          <w:color w:val="auto"/>
        </w:rPr>
      </w:pPr>
      <w:r>
        <w:rPr>
          <w:rFonts w:ascii="Times New Roman" w:cs="Times New Roman" w:eastAsia="Times New Roman" w:hAnsi="Times New Roman"/>
          <w:sz w:val="18"/>
          <w:szCs w:val="18"/>
          <w:color w:val="auto"/>
        </w:rPr>
        <w:t>Our websites and mobile applications enable us, dealers, and users to send and receive text messages and other mobile phone communications, which requires us to comply with the Telephone Consumer Protection Act, or TCPA, in the U.S. The TCPA, as interpreted and implemented by the Federal Communications Commission and federal and state courts, imposes significant restrictions on utilization of telephone calls and text messages to residential and mobile telephone numbers as a means of communication, particularly when the prior express consent of the person being contacted has not been obtained.</w:t>
      </w:r>
    </w:p>
    <w:p>
      <w:pPr>
        <w:spacing w:after="0" w:line="200" w:lineRule="exact"/>
        <w:rPr>
          <w:sz w:val="20"/>
          <w:szCs w:val="20"/>
          <w:color w:val="auto"/>
        </w:rPr>
      </w:pPr>
    </w:p>
    <w:p>
      <w:pPr>
        <w:spacing w:after="0" w:line="203"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In addition, we are subject to numerous federal, national, state, and local laws and regulations in the United States and around the world regarding privacy and the collection, processing, storage, sharing, disclosure, use, cross-border transfer, and protection of personal information and other data. While the scope of these laws and regulations is changing and remains subject to differing interpretations, we seek to comply with industry standards and all applicable laws, policies, legal obligations, and industry codes of conduct relating to privacy and data protection. We are also subject to the terms of our privacy policies and privacy-related obligations to third parties.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were originally organized on November 10, 2005 as a Massachusetts limited liability company under the name “Nimalex LLC.” Effective July 15, 2006, we changed our name to “CarGurus LLC.” On June 26, 2015, we converted into a Delaware corporation and changed our name to “CarGurus, Inc.”</w:t>
      </w:r>
    </w:p>
    <w:p>
      <w:pPr>
        <w:spacing w:after="0" w:line="162"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 Canal Park, 4th Floor, Cambridge, Massachusetts 02141, and our telephone number is (617) 354-0068. Our U.S. website is www.cargurus.com. Information that is contained on, or that can be accessed through, our websites is not incorporated by reference into this Annual Report on Form 10-K, and you should not consider information on our websites to be part of this Annual Report on Form 10-K.</w:t>
      </w:r>
    </w:p>
    <w:p>
      <w:pPr>
        <w:spacing w:after="0" w:line="176"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CarGurus, the CarGurus logo, and other trademarks or service marks of CarGurus appearing in this Annual Report on Form 10-K are the property of CarGurus, Inc. Trade names, trademarks, and service marks of other companies appearing in this Annual Report on Form 10-K are the property of their respective holders. We have omitted the ® and ™ designations, as applicable, for the trademarks used in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The following filings are available on our investor relations website after we file them with the Securities and Exchange Commission, or the SEC: Annual Reports on Form 10-K, Quarterly Reports on Form 10-Q and Proxy Statements for our annual meetings of stockholders. These filings are also available for download free of charge on our investor relations website. Our investor relations website is located at http://investors.cargurus.com. You may obtain copies of these documents by mail from the Public Reference Section of the SEC, 100 F Street, N.E., Room 1580, Washington, D.C. 20549. The SEC also maintains a website that contains reports, proxy statements and other information about issuers, like us, that file electronically with the SEC. The address of that website is https://www.sec.gov.</w:t>
      </w:r>
    </w:p>
    <w:p>
      <w:pPr>
        <w:spacing w:after="0" w:line="188"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webcast our earnings calls and certain events that we participate in or host with members of the investment community on our investor relations website. Additionally, we provide news and announcements regarding our financial performance, including SEC filings, investor events, press and earnings releases, on our investor relations website. Corporate governance information, including our policies concerning business conduct and ethics, is also available on our investor relations website under the heading “Governance.” No content from any of our websites is intended to be incorporated by reference into this Annual Report on Form 10-K or in any other report or document we file with the SEC, and any reference to our websites is intended to be an inactive textual reference only.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55"/>
        <w:spacing w:after="0" w:line="224" w:lineRule="exact"/>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carefully the risks and uncertainties described below, together with all of the other information contained in this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67"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at the end of the committed term. While we are transitioning many of these dealers to contracts with one-year committed terms, the majority of our contracts with dealers currently provide for one-month committed terms. The contracts do not contain contractual obligations requiring a dealer to maintain its relationship with us beyond the committed term. Accordingly, these dealers may cancel their subscriptions with us in accordance with the terms of their subscription agreements. If a significant number of our paying dealers terminate their subscriptions with us, our business and financial results would be materially and adversely affected.</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harmed.</w:t>
      </w:r>
    </w:p>
    <w:p>
      <w:pPr>
        <w:spacing w:after="0" w:line="5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If paying dealers do not experience the volume of consumer connections that they expect during their subscription period, or do not experience the level of car sales they expect from those connections, they may terminate their subscriptions at the conclusion of the committed term or may only be willing to renew their subscriptions at a lower level of fees. Even if dealers do experience increased consumer connections or sales, they may not attribute such increases to our marketplace. If we fail to expand our base of paying dealers or fail to maintain or increase the level of fees that we receive from them, our business and financial results would be materially and adversely affected.</w:t>
      </w:r>
    </w:p>
    <w:p>
      <w:pPr>
        <w:spacing w:after="0" w:line="184"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allow dealers to list their inventory in our marketplace for free; however, dealer identity and contact information are not permitted in such free listings and these dealers do not receive access to the paid features of our marketplace. Many dealers start with us on a non-paying basis and then become paying customers in order to take advantage of the features of our Enhanced or Featured Listing products. If dealers do not subscribe to our paid offerings at the rates we expect, or if a greater than expected number of our paying dealers elect to terminate their subscriptions, our business and financial results would be harmed.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dealers or other advertisers reduce their advertising spend with us and we are unable to attract new advertisers, our business would be harmed.</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A significant amount of our revenue is derived from advertising revenues generated primarily through advertising sales, including for display advertising and retargeting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72" w:lineRule="exact"/>
        <w:rPr>
          <w:sz w:val="20"/>
          <w:szCs w:val="20"/>
          <w:color w:val="auto"/>
        </w:rPr>
      </w:pPr>
    </w:p>
    <w:p>
      <w:pPr>
        <w:ind w:left="960" w:hanging="39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number of consumers using our marketplace;</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for advertising spending with other online automotive marketplaces;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our advertising products;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changes in technology and the practices and offerings of our competitors; and</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an attractive ROI to our advertisers for their advertising spend with us.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Our other advertising contracts, including those with auto manufacturers, are typically for a defined period of time and do not have ongoing commitments to advertise on our websites beyond the committed term. We may not succeed in capturing a greater share of our advertisers’ spending if we are unable to convince advertisers of the effectiveness or superiority of our advertising services as compared to alternative channels. If current advertisers reduce or end their advertising spending with us and we are unable to attract new advertisers, our advertising revenue and business and financial results would be harmed.</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If we fail to continue to provide a compelling vehicle search experience to consumers, the number of connections between consumers and dealers through our marketplace could decline, which in turn could lead dealers to stop listing their inventory in our marketplace, cancel their subscriptions, or reduce their advertising spend with us. If dealers stop listing their inventory in our marketplace, we may not be able to maintain and grow our consumer traffic, which may cause other dealers to stop using our marketplace. This reduction in the number of dealers using our marketplace would likely adversely affect our marketplace and our business and financial results. As consumers increasingly use their mobile devices to access the internet and our marketplace, our success will depend,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81" w:lineRule="exact"/>
        <w:rPr>
          <w:sz w:val="20"/>
          <w:szCs w:val="20"/>
          <w:color w:val="auto"/>
        </w:rPr>
      </w:pPr>
    </w:p>
    <w:p>
      <w:pPr>
        <w:ind w:left="960" w:hanging="39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attractive marketplace for consumers and dealers, including on mobile platforms;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introduce products for our marketplace on mobile platforms;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products that are effective and have a high degree of consumer engagement;</w:t>
      </w:r>
    </w:p>
    <w:p>
      <w:pPr>
        <w:spacing w:after="0" w:line="117"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compatibility of our mobile applications with operating systems, such as iOS and Android, and with popular mobile devices running such operating systems; and</w:t>
      </w:r>
    </w:p>
    <w:p>
      <w:pPr>
        <w:spacing w:after="0" w:line="53" w:lineRule="exact"/>
        <w:rPr>
          <w:rFonts w:ascii="Times New Roman" w:cs="Times New Roman" w:eastAsia="Times New Roman" w:hAnsi="Times New Roman"/>
          <w:sz w:val="18"/>
          <w:szCs w:val="18"/>
          <w:color w:val="auto"/>
        </w:rPr>
      </w:pPr>
    </w:p>
    <w:p>
      <w:pPr>
        <w:ind w:left="960" w:right="20" w:hanging="398"/>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and analyze a sufficient amount of data to enable us to provide relevant information to consumers, including pricing information and accurate vehicle details.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use of our marketplace, particularly on mobile devices, does not continue to grow, our business and operating results would be harmed.</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51"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We depend, in part, on internet search engines such as Google, Bing, and Yahoo! to drive traffic to our websites.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search algorithms in ways that are detrimental to us, or if our competitors’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Search engines may also adopt a more aggressive auction-pricing system for keywords that would cause us to incur higher advertising costs or reduce our market visibility to prospective users. Our websites have experienced fluctuations in search result rankings in the past, and we anticipate fluctuations in the future. Any reduction in the number of consumers directed to our websites through internet search engines could harm our business and operating results.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51"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Our success depends on our continued innovation to provide products and services that make our marketplace, websites, and mobile applications useful for consumers and dealers or that otherwise provide value to consumers and dealers. These new products must be widely adopted by consumers and dealers in order for us to continue to attract consumers to our marketplace and dealers to our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These product, technology, and development expenses may include costs of hiring additional personnel, engaging third-party service providers and other research and development activities. In addition, revenue relating to new products is typically unpredictable and our new products may have lower gross margins and higher marketing and sales costs than our existing products. We may also change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harm our business and financial results.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51"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or other vehicle information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 could be negatively affected if any current provider terminates its relationship with us or our service from any provider is interrupted.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materially and adversely affect our business and financial results.</w:t>
      </w:r>
    </w:p>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build and maintain our brand would harm our ability to grow our audience and to expand the use of our marketplace by consumers and dealers.</w:t>
      </w:r>
    </w:p>
    <w:p>
      <w:pPr>
        <w:spacing w:after="0" w:line="5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If consumers were to believe that we are not focused on providing them with a better automobile shopping experience, our reputation and the strength of our brand may be adversely affected.</w:t>
      </w:r>
    </w:p>
    <w:p>
      <w:pPr>
        <w:spacing w:after="0" w:line="176"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Complaints or negative publicity about our business practices,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8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Portions of our websites enable consumers and dealers using our sites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historically focused our marketing efforts on internet and mobile channels, we have implemented brand-focused campaigns using television, social media and online video and these efforts may not be successful.</w:t>
      </w:r>
    </w:p>
    <w:p>
      <w:pPr>
        <w:spacing w:after="0" w:line="5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As a consumer brand, it is important for us to increase the visibility of our brand with potential users of our marketplace. While we historically focused our marketing efforts on internet and mobile channels, we now advertise through television, social media, online video, and other channels, with the goal of driving greater brand recognition, trust, and loyalty from a broader consumer audience. If our brand-focused campaigns are not successful and we are unable to recover our marketing costs through increases in user traffic and increased subscription and advertising revenue, or if we discontinue our brand marketing campaigns, it could have a material adverse effect on our business and financial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rapid growth is not indicative of our future growth, and our revenue growth rate will continue to decline in the future.</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Our revenue increased to $454.1 million for the year ended December 31, 2018 from $316.9 million for the year ended December 31, 2017, representing a 43% increase between such periods, and increased to $316.9 million for the year ended December 31, 2017 from $198.1 million for the year ended December 31, 2016, representing a 60% increase between such periods. In the future, our revenue growth rates will continue to decline as we achieve higher market penetration rates, as our revenue increases to higher levels, and as we experience increased competition. As our revenue growth rates decline, investors’ perceptions of our business may be adversely affected and the market price of our Class A common stock could decline. In addition, we will not be able to grow as expected, or at all, if we do not accomplish the following:</w:t>
      </w:r>
    </w:p>
    <w:p>
      <w:pPr>
        <w:spacing w:after="0" w:line="80" w:lineRule="exact"/>
        <w:rPr>
          <w:sz w:val="20"/>
          <w:szCs w:val="20"/>
          <w:color w:val="auto"/>
        </w:rPr>
      </w:pPr>
    </w:p>
    <w:p>
      <w:pPr>
        <w:ind w:left="960" w:hanging="39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consumers using our marketplace;</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number of dealers that subscribe to our marketplace and maintain and increase the fees that they are paying;</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advertisers placing advertisements in our marketplace;</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improve the quality of our marketplace, and introduce high quality new products; and</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connections between consumers and dealers using our marketplace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both domestically and abroad, our revenue, business, and financial results will be harmed.</w:t>
      </w:r>
    </w:p>
    <w:p>
      <w:pPr>
        <w:spacing w:after="0" w:line="12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intend to continue to expand our operations to target new markets, both domestically and abroad, and there can be no assurance our expansion into these new markets will be successful. Our expansion into new markets places us in unfamiliar competitive environments and involves various risks, including the need to invest significant resources and the likelihood that returns on such investments will not be achieved for several years, or possibly at all. In attempting to establish a presence in new markets, we expect, as we have in the past, to incur significant losses in those markets and face various other challenges, such as obtaining and maintaining access to inventory data, competition for consumers and dealers using our marketplace, monetizing dealers, new regulatory environments and laws, different consumer shopping habits than those we are familiar with, and our ability to expand the number of our account managers to cover those new markets. Our current and any future expansion plans will require significant resources and management attention. Furthermore, expansion into international markets may not yield results similar to those we have achieved in the United States.</w:t>
      </w:r>
    </w:p>
    <w:p>
      <w:pPr>
        <w:spacing w:after="0" w:line="2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risks that are different from, or in addition to, the risks we may experience as a result of our domestic operations, and our exposure to these risks will increase as we expand internationally.</w:t>
      </w:r>
    </w:p>
    <w:p>
      <w:pPr>
        <w:spacing w:after="0" w:line="5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expect to expand our international operations significantly by continuing to enter new markets and expanding our offerings in new languages. In most international markets, we would not be the first entrant, and our competitors may be more established or otherwise better positioned than we are to succeed. Our competitors may offer services to dealers that make dealers dependent on them, such as hosting dealers’ webpages and providing inventory feeds for dealers, which would make it difficult to attract dealers to our marketplace. Dealers may also be parties to agreements with other dealers and syndicates that prevent them from being able to access our marketplace. In addition, we may also face litigation from competitors in new markets. Any of these barriers could impede our expansion into international markets, which could affect our business and potential growth.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In addition to English, we have made portions of our platform available in French, German, Italian, and Spanish, and we will need to make all or portions of our platform available in additional languages as we launch in new countries. We may have difficulty modifying our technology and content for use in non-English speaking markets or fostering new communities in non-English speaking markets.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resolution systems, and commercial infrastructures. Expanding internationally may subject us to new risks or increase our exposure in connection with current risks, including risks associated with:</w:t>
      </w:r>
    </w:p>
    <w:p>
      <w:pPr>
        <w:spacing w:after="0" w:line="81" w:lineRule="exact"/>
        <w:rPr>
          <w:sz w:val="20"/>
          <w:szCs w:val="20"/>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qualified, multilingual employees, including sales personnel;</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our websites to conform to local automobile shopping expectations;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local websites and periodicals and potential preferences by local populations for local providers;</w:t>
      </w:r>
    </w:p>
    <w:p>
      <w:pPr>
        <w:spacing w:after="0" w:line="117"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laws and regulations, including different privacy, censorship, and liability standards and regulations, and different intellectual property laws;</w:t>
      </w:r>
    </w:p>
    <w:p>
      <w:pPr>
        <w:spacing w:after="0" w:line="53"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solutions in different languages and for different cultures, which may require that we modify our solutions and features so they are culturally relevant in different countries;</w:t>
      </w:r>
    </w:p>
    <w:p>
      <w:pPr>
        <w:spacing w:after="0" w:line="53"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enforceability of our intellectual property rights;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and higher levels of payment fraud;</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compliance with the Foreign Corrupt Practices Act and the U.K. Bribery Act;</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prevent us from repatriating cash earned outside the United States;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 some countries;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trade relationships among foreign countries and/or between the United States and such countries;</w:t>
      </w:r>
    </w:p>
    <w:p>
      <w:pPr>
        <w:spacing w:after="0" w:line="117"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 and</w:t>
      </w:r>
    </w:p>
    <w:p>
      <w:pPr>
        <w:spacing w:after="0" w:line="53"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 highly competitive market, and pressure from existing and new companies may adversely affect our business and operating results.</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face significant competition from companies that provide listings, information, lead generation, and car-buying services designed to help consumers shop for cars and to enable dealers to reach these consumers. Our competitors offer various marketplaces, products, and services that compete with us. Some of these competitors include:</w:t>
      </w:r>
    </w:p>
    <w:p>
      <w:pPr>
        <w:spacing w:after="0" w:line="68" w:lineRule="exact"/>
        <w:rPr>
          <w:sz w:val="20"/>
          <w:szCs w:val="20"/>
          <w:color w:val="auto"/>
        </w:rPr>
      </w:pPr>
    </w:p>
    <w:p>
      <w:pPr>
        <w:ind w:left="960" w:hanging="39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U.S. online automotive marketplaces: AutoTrader.com, Cars.com, and TrueCar.com;</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U.S. automotive websites, such as Edmunds.com, KBB.com, and Carfax.com;</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automotive marketplaces and websites in international markets;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search engines;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marketing providers;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to peer marketplaces; and</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operated by individual automobile dealers.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compete with these and other companies for a share of dealers’ overall marketing budget for online and offline media marketing spend. To the extent that dealers view alternative marketing and media strategies to be superior to our marketplace, we may not be able to maintain or grow the number of dealers subscribing to, and advertising on, our marketplace, and our business and financial results may be harmed.</w:t>
      </w:r>
    </w:p>
    <w:p>
      <w:pPr>
        <w:spacing w:after="0" w:line="176"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We also expect that new competitors will continue to enter the online automotive retail industry with competing marketplaces, products, and services, which could have an adverse effect on our business and financial results.</w:t>
      </w:r>
    </w:p>
    <w:p>
      <w:pPr>
        <w:spacing w:after="0" w:line="162"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competitors could significantly impede our ability to expand the number of dealers using our marketplace. Our competitors may also develop and market new technologies that render our existing or future marketplace and associated products less competitive, unmarketable, or obsolete. In addition, if our competitors develop marketplaces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84"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Our existing and potential competitors may have significantly more financial, technical, marketing, and other resources than we have, and the ability to devote greater resources to the development, promotion, and support of their marketplaces, products, and services. They may also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Additionally,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89" w:lineRule="exact"/>
        <w:rPr>
          <w:sz w:val="20"/>
          <w:szCs w:val="20"/>
          <w:color w:val="auto"/>
        </w:rPr>
      </w:pPr>
    </w:p>
    <w:p>
      <w:pPr>
        <w:jc w:val="both"/>
        <w:ind w:firstLine="555"/>
        <w:spacing w:after="0" w:line="259"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dealer associations or auto manufacturers were to discourage or otherwise deter dealers from subscribing to our marketplace.</w:t>
      </w:r>
    </w:p>
    <w:p>
      <w:pPr>
        <w:spacing w:after="0" w:line="5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Although the dealership industry is highly fragmented, a small number of interested parties have significant influence over the industry. These parties include state and national dealership associations, state regulators, automotive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80"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Furthermore, auto manufacturers may provide their franchise dealers with financial or other marketing support conditioned upon such dealers’ adherence to certain marketing guidelines. Auto manufacturers may determine that the manner in which certain of their franchise dealers use our marketplace is inconsistent with the terms of such marketing guidelines, which determination could result in potential or actual loss of the manufacturers’ financial or other marketing support to the dealers whose use of our marketplace is deemed objectionable. The potential or actual loss of such marketing support may cause such dealers to cease paying for our paid features, which may adversely affect our ability to maintain or grow the number of our paying dealers.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 closures or consolidations could reduce demand for our products, which may decrease our revenue.</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In the past, the number of United States dealers has declined due to dealership closures and consolidations as a result of factors such as global economic downturns.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and strategic partners for many aspects of our business, and any failure to maintain these relationships could harm our business.</w:t>
      </w:r>
    </w:p>
    <w:p>
      <w:pPr>
        <w:spacing w:after="0" w:line="51"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Our success will depend upon our relationships with third parties, including our payment processor, our data center hosts, our information technology providers, our data providers for dealer inventory and vehicle information, our human resources information system provider, our billing subscription software provider, our customer relationship management software provider, our financial planning and analysis software provider, our information integration platform providers, our marketing platform providers, our business intelligence and data analytics providers, our search engine and social media advertising providers, our invoice and expense provider, our equity administrator provider, and our general ledger provider, as well as our other strategic partners, including consumer and commercial lenders. If these third parties experience difficulty meeting our requirements or standards, have adverse audit results, violate the terms of our relationship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continue to grow rapidly, we may not be able to manage our growth effectively.</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have experienced rapid growth in our headcount and operations, which places substantial demand on management and our operational infrastructure. In addition, with further growth and expansion, our employee base will continue to spread outside of our headquarters in Cambridge, Massachusetts.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brand, results of operations, and overall business.</w:t>
      </w:r>
    </w:p>
    <w:p>
      <w:pPr>
        <w:spacing w:after="0" w:line="2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executive officers or key employees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respond to changes in the market, our business could be harmed.</w:t>
      </w:r>
    </w:p>
    <w:p>
      <w:pPr>
        <w:spacing w:after="0" w:line="12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While our business has grown rapidly as consumers and dealers have increasingly accessed our marketplace, we expect that our business will evolve in ways which may be difficult to predict. For example, we anticipate that over time we may reach a point when investments in new user traffic are less productive and the continued growth of our revenue will require more focus on developing new products for consumers and dealers, expanding our marketplaces into new international markets to attract new consumers and dealers, and increasing our fees for our products. It is also possible that consumers and dealers could broadly determine that they no longer believe in the value of our marketplace. Our continued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disputes regarding the accuracy of Instant Market Value, Deal Rating, Dealer Rating, New Car Price Guidance and other features of our marketplace.</w:t>
      </w:r>
    </w:p>
    <w:p>
      <w:pPr>
        <w:spacing w:after="0" w:line="5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provide consumers using our marketplace with our proprietary Instant Market Value, or IMV, Deal Rating, and Dealer Rating, as well as other features to help them evaluate vehicle listings, including price guidance for new car listings, or New Car Price Guidance. Revisions to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 and could result in legal disputes.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acquire other companies or technologies, such activities could divert our management’s attention, result in additional dilution to our stockholders, and otherwise disrupt our operations and harm our operating results.</w:t>
      </w:r>
    </w:p>
    <w:p>
      <w:pPr>
        <w:spacing w:after="0" w:line="5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the demands of consumers, dealers, and other constituents within the automotive industry as well as competitive pressures. In some circumstances, we will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31" w:lineRule="exact"/>
        <w:rPr>
          <w:sz w:val="20"/>
          <w:szCs w:val="20"/>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76"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technology, product, research, and development, and sales and marketing functions;</w:t>
      </w:r>
    </w:p>
    <w:p>
      <w:pPr>
        <w:spacing w:after="0" w:line="76"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the acquired company’s consumers and data to our marketplace and products;</w:t>
      </w:r>
    </w:p>
    <w:p>
      <w:pPr>
        <w:spacing w:after="0" w:line="76"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76"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76"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systems;</w:t>
      </w:r>
    </w:p>
    <w:p>
      <w:pPr>
        <w:spacing w:after="0" w:line="76"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13"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intangibles or other assets acquired in such transactions that may have an adverse effect on our operating results in a given period;</w:t>
      </w:r>
    </w:p>
    <w:p>
      <w:pPr>
        <w:spacing w:after="0" w:line="13"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13"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consumers, former stockholders, and other third parties.</w:t>
      </w:r>
    </w:p>
    <w:p>
      <w:pPr>
        <w:spacing w:after="0" w:line="18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future acquisitions and investments could cause us to fail to realize the anticipated benefits of these acquisitions or investments, cause us to incur unanticipated liabilities, cause us to be reluctant to engage in future transactions, and harm our business generally. Acquisitions could result in dilutive issuances of our equity securities, the incurrence of debt, contingent liabilities, amortization expense, and impairment charges associated with acquired intangible assets or goodwill, any of which could harm our financial condition. Also, the anticipated benefits of any acquisitions may not materialize.</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5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Various aspects of our business are, may become, or may be viewed by regulators from time to time as subject, directly or indirectly, to U.S. federal, state and local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State Motor Vehicle Sales, Advertising and Brokering, and Consumer Protection Laws</w:t>
      </w:r>
    </w:p>
    <w:p>
      <w:pPr>
        <w:spacing w:after="0" w:line="119"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The advertising and sale of new and used motor vehicles is highly regulated by the states in which we do business. Although we do not sell motor vehicles, and although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state to state,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8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If state regulators or other third parties take the position in the future that our marketplace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states, or could require us to make adjustments to our marketplace and related products or the manner in which we derive revenue from dealers using our marketplace, any or all of which could result in substantial adverse publicity, termination of subscriptions by dealers, decreased revenues, distraction for our employees, increased expenses, and decreased profitability.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Laws and Regulations</w:t>
      </w:r>
    </w:p>
    <w:p>
      <w:pPr>
        <w:spacing w:after="0" w:line="11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The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88"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Our platform enables us, dealers, and users to send and receive text messages and other mobile phone communications.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8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consumers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Antitrust Laws</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U.S. federal antitrust laws prohibit, among other things, any joint conduct among competitors that would lessen competition in the marketplace. We believe that we are in compliance with the legal requirements imposed by such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Claims could be made against us under both U.S. and foreign laws, including claims for defamation, libel, invasion of privacy, copyright or trademark infringement, or claims based on other theories related to the nature and content of the materials disseminated by users of our marketplace and portions of our websites.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88"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The foregoing description of laws and regulations to which we are or may be subject is not exhaustive, and the regulatory framework governing our operations is subject to continuous change. As we expand our operations internationally,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related to the larger automotive industry ecosystem, including consumer demand, global supply chain challenges, and other macroeconomic issues.</w:t>
      </w:r>
    </w:p>
    <w:p>
      <w:pPr>
        <w:spacing w:after="0" w:line="5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rising interest rates, which may reduce the demand for consumer credit due to the higher cost of borrowing; reductions in business and consumer confidence; stock market volatility; increased unemployment; and changing trade barriers, including increased tariff rates or custom duties.</w:t>
      </w:r>
    </w:p>
    <w:p>
      <w:pPr>
        <w:spacing w:after="0" w:line="18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80"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In addition, our business may be negatively affected by challenges to the larger automotive industry ecosystem, including global supply chain challenges, changes to trade policies, and other macroeconomic issues. For example, the United Kingdom’s referendum to exit the European Union, or the EU, commonly referred to as “Brexit”, could adversely affect European and global economic or market conditions, contribute to instability in global financial markets, and cause disruptions to and create uncertainty surrounding our business and operations in the United Kingdom. These factors could have a material adverse effect on our business, results of operations, and financial condition.</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Making decisions that we believe are in the best interests of our marketplace may cause us to forgo short-term gains in pursuit of potential but uncertain long-term growth.</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In the past, we have forgone, and we will in the future continue to forgo, certain expansion or short-term revenue opportunities that we do not believe are in the long-term best interests of our marketplace, even if such decisions negatively impact our results of operations in the short term. For example, we manage the text-chat feature of our websites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 marketplace and its users. However, this strategy may not result in the long-term benefits that we expect, in which case our user traffic and engagement, business, and financial results could be harmed.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in service on our websites could damage our reputation and result in a loss of consumers, which could harm our business, brand, operating results, and financial condition.</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Our brand, reputation, and ability to attract consumers, dealers, and advertisers depend on the reliable performance of our technology infrastructure and content delivery. We may experience significant interruptions with our systems in the future. Interruptions in these systems, whether due to system failures, computer viruses, ransomware, or physical or electronic break-ins, could affect the security or availability of our marketplace on our websites, and prevent or inhibit the ability of dealers and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8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Substantially all of the communications, network, and computer hardware used to operate our platform is located in the United States near Boston, Massachusetts, and in Europe near London, England. Although we have two locations in the United States and we believe our systems are redundant, there may be exceptions for certain hardware or software. In addition, we do not own or control the operation of these facilities. We also use third-party hosting services to back up some data.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8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Problems faced by our third-party web hosting providers could adversely affect the experience consumers have while using our marketplace. Our third-party web hosting providers could close their facilities without adequate notice. Any financial difficulties, up to and including bankruptcy, faced by our third-party web hosting providers or any of the service providers whose services they use may have negative effects on our business, the nature and extent of which are difficult to predict. If our third-party web hosting providers are unable to keep up with our growing capacity needs, our business could be harmed.</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76"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Although we carry business interruption insurance, it may not be sufficient to compensate us for the potentially significant losses, including the potential harm to the future growth of our business, that may result from interruptions in our service as a result of system failures.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 and harm our business and operating results.</w:t>
      </w:r>
    </w:p>
    <w:p>
      <w:pPr>
        <w:spacing w:after="0" w:line="51" w:lineRule="exact"/>
        <w:rPr>
          <w:sz w:val="20"/>
          <w:szCs w:val="20"/>
          <w:color w:val="auto"/>
        </w:rPr>
      </w:pPr>
    </w:p>
    <w:p>
      <w:pPr>
        <w:jc w:val="both"/>
        <w:ind w:firstLine="555"/>
        <w:spacing w:after="0" w:line="252" w:lineRule="auto"/>
        <w:rPr>
          <w:sz w:val="20"/>
          <w:szCs w:val="20"/>
          <w:color w:val="auto"/>
        </w:rPr>
      </w:pPr>
      <w:r>
        <w:rPr>
          <w:rFonts w:ascii="Times New Roman" w:cs="Times New Roman" w:eastAsia="Times New Roman" w:hAnsi="Times New Roman"/>
          <w:sz w:val="18"/>
          <w:szCs w:val="18"/>
          <w:color w:val="auto"/>
        </w:rPr>
        <w:t>Use of some functions of our marketplace involves the storage and transmission of consumers’ information, such as IP addresses and contact information of users who connect with dealers and profile information of users who create accounts on our marketplace, and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5" w:name="page26"/>
    <w:bookmarkEnd w:id="25"/>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Further, outside parties have attempted and will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8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Any or all of the issues above could negatively impact our ability to attract new consumers and increase engagement by existing consumers, cause existing consumers to curtail or stop use of our marketplace or close their accounts, cause existing dealers and advertisers to cancel their contracts, cause employees to terminate their employment, cause employment candidates to be unwilling to accept employment offers, and or subject us to governmental or third-party lawsuits, investigations, regulatory fines, or other actions or liability, thereby harming our business, results of operations, and financial condition.</w:t>
      </w:r>
    </w:p>
    <w:p>
      <w:pPr>
        <w:spacing w:after="0" w:line="18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180" w:lineRule="exact"/>
        <w:rPr>
          <w:sz w:val="20"/>
          <w:szCs w:val="20"/>
          <w:color w:val="auto"/>
        </w:rPr>
      </w:pPr>
    </w:p>
    <w:p>
      <w:pPr>
        <w:jc w:val="both"/>
        <w:ind w:firstLine="555"/>
        <w:spacing w:after="0" w:line="252" w:lineRule="auto"/>
        <w:rPr>
          <w:sz w:val="20"/>
          <w:szCs w:val="20"/>
          <w:color w:val="auto"/>
        </w:rPr>
      </w:pPr>
      <w:r>
        <w:rPr>
          <w:rFonts w:ascii="Times New Roman" w:cs="Times New Roman" w:eastAsia="Times New Roman" w:hAnsi="Times New Roman"/>
          <w:sz w:val="18"/>
          <w:szCs w:val="18"/>
          <w:color w:val="auto"/>
        </w:rPr>
        <w:t>We seek to comply with industry standards and are subject to the terms of our privacy policies and privacy-related obligations to third parties. We strive to comply with all applicable laws, policies, legal obligations, and industry codes of conduct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and the new California Consumer Privacy Act, which is expected to become effective in January 2020. The GDPR in particular has already required, and may further require, us to change our policies and procedures and, if we are not in compliance, may seriously harm our business. Similarly, Brexit may further require us to change our policies and procedures and, if we are not in compliance, may seriously harm our business. 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or public statements against us by consumer advocacy groups or others, and could cause consumers and dealers to lose trust in us, which could have an adverse effect on our business. Additionally, if any third party that we share information with experiences a security breach or fails to comply with its privacy-related legal obligations or commitments to us, such matters may put consumer or dealer information at risk and could in turn expose us to claims for damages or regulatory fines or penalties and harm our reputation, business, and operating results.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be subject to intellectual property disputes, which are costly to defend and could harm our business and operating results.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may from time to time face allegations that we have infringed the trademarks, copyrights, patents, and other intellectual property rights of third parties, including from our competitors or non-practicing entities, or may learn of possible infringement to our trademarks, copyrights, patents, and other intellectual property. We could also be subject to lawsuits where consumers and dealers posting content on our websites disseminate materials that infringe the intellectual property rights of third parties. We have encountered lawsuits in the past containing allegations of intellectual property infringement.</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Patent and other intellectual property litigation may be protracted and expensive, and the results are difficult to predict and may require us to stop offering some features, purchase licenses, or modify our marketplace and features while we develop non-infringing substitutes or may result in significant settlement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84"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our intellectual property could harm our business and operating results.</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websites features, software, and functionality or obtain and use information that we consider proprietary.</w:t>
      </w:r>
    </w:p>
    <w:p>
      <w:pPr>
        <w:spacing w:after="0" w:line="188" w:lineRule="exact"/>
        <w:rPr>
          <w:sz w:val="20"/>
          <w:szCs w:val="20"/>
          <w:color w:val="auto"/>
        </w:rPr>
      </w:pPr>
    </w:p>
    <w:p>
      <w:pPr>
        <w:jc w:val="both"/>
        <w:ind w:firstLine="555"/>
        <w:spacing w:after="0" w:line="259" w:lineRule="auto"/>
        <w:rPr>
          <w:sz w:val="20"/>
          <w:szCs w:val="20"/>
          <w:color w:val="auto"/>
        </w:rPr>
      </w:pPr>
      <w:r>
        <w:rPr>
          <w:rFonts w:ascii="Times New Roman" w:cs="Times New Roman" w:eastAsia="Times New Roman" w:hAnsi="Times New Roman"/>
          <w:sz w:val="18"/>
          <w:szCs w:val="18"/>
          <w:color w:val="auto"/>
        </w:rPr>
        <w:t>Competitors may adopt service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the term “CarGurus.” If we are restricted in any way in registering our CARGURUS mark in international markets, it could impact our ability to establish and grow our business in Europe and other countries. Also, while we have registered the CARGURUS and CG logos in the EU and the United Kingdom, as well as the word-mark CARGURUS in the United Kingdom and Spain, we are not able to register the word-mark CARGURUS in the EU as the mark was deemed to be non-distinctive, and thus unregisterable. We may be unable to register CARGURUS, the word-mark, in certain other countries in the EU. If we are unable to register the CARGURUS word-mark in any country, it may limit our ability to challenge unauthorized users of marks that are the same as or similar to CARGURUS.</w:t>
      </w:r>
    </w:p>
    <w:p>
      <w:pPr>
        <w:spacing w:after="0" w:line="185"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 In addition, third parties may create copycat or squatter domains to deceive consumers, which could harm our brand, interfere with our ability to register domain names, and result in additional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121"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Others may also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halt the operations of websites that aggregate or misappropriate our data.</w:t>
      </w:r>
    </w:p>
    <w:p>
      <w:pPr>
        <w:spacing w:after="0" w:line="121"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websites.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 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 and business could be harmed.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operating losses in the past and we may generate losses in the future.</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have incurred net operating losses in the past. Although we have experienced significant growth in revenue, our revenue growth rate is likely to continue to decline in the future as a result of a variety of factors. Our international expansion and new product launches may cause our costs to increase in future periods as we continue to expend substantial financial resources to enter into those markets and promote the new products, as applicable. Our costs may also increase due to general administrative expenses, such as legal and accounting expenses related to being a public company. If we fail to increase our revenue or manage these additional costs, we may incur losses in the future.</w:t>
      </w:r>
    </w:p>
    <w:p>
      <w:pPr>
        <w:spacing w:after="0" w:line="3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the laws and regulations affecting public companies has increased and will continue to increase our costs and the demands on management and could harm our operating results.</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As a public company, we are incurring significant legal, accounting, and other expenses that we did not incur as a private company and these expenses are increasing as we are no longer an “emerging growth company,” as defined in the Jumpstart Our Business Startups Act of 2012, or the JOBS Act, as of December 31, 2018. In addition, the Sarbanes-Oxley Act of 2002, or the Sarbanes-Oxley Act, and rules subsequently implemented by the SEC and the Nasdaq Stock Market, or Nasdaq, impose various requirements on public companies, including requiring certain corporate governance practices. Our management and other personnel expect to devote a substantial amount of time to these compliance initiatives. Moreover, these rules and regulations have increased and will continue to increase our legal, accounting, and financial compliance costs and have made and will continue to make some activities more time consuming and costly. These rules and regulations could also make it more difficult for us to attract and retain qualified persons to serve on our board of directors or our board committees or as executive officers.</w:t>
      </w:r>
    </w:p>
    <w:p>
      <w:pPr>
        <w:spacing w:after="0" w:line="185"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In addition, the Sarbanes-Oxley Act requires, among other things, that we assess the effectiveness of our internal control over financial reporting annually and the effectiveness of our disclosure controls and procedures quarterly. In particular, as we are now a large accelerated filer, our independent registered public accounting firm is required to attest to the effectiveness of our internal control over financial reporting, pursuant to Section 404 of the Sarbanes-Oxley Act, or Section 404, and the cost of our compliance with Section 404 has correspondingly increased. Our compliance with applicable provisions of Section 404 requires that we incur substantial accounting expense and expend significant management time on compliance-related issues as we implement additional corporate governance practices and comply with reporting requirements.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proper and effective internal controls over financial reporting and any failure to maintain the adequacy of these internal controls may adversely affect investor confidence in our company and, as a result, the value of our Class A common stock could decline.</w:t>
      </w:r>
    </w:p>
    <w:p>
      <w:pPr>
        <w:spacing w:after="0" w:line="5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any required remediation in a timely fashion. We are also required to disclose significant changes made to our internal control procedures on a quarterly basis. Our compliance with Section 404 will require that we incur substantial accounting expense and expend significant management efforts.</w:t>
      </w:r>
    </w:p>
    <w:p>
      <w:pPr>
        <w:spacing w:after="0" w:line="184"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operating results.</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Across the retail automotive industry, consumer purchases typically increase through the first three quarters of each year, due in part to the introduction of new vehicle models from manufacturers, and our consumer-marketing spend generally grows accordingly. As consumer purchases slow in the fourth quarter, our rate of marketing spend typically also slows. This seasonality has not been immediately apparent historically due to the overall growth of other operating expenses. As our growth rates begin to moderate, the impact of these seasonality trends on our results of operations could become more pronounced.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results of operations to fluctuate on a quarterly and annual basis.</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revenue and results of operations could vary significantly from period to period and may fail to match expectations as a result of a variety of factors, some of which are outside of our control.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our stock price.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21" w:lineRule="exact"/>
        <w:rPr>
          <w:sz w:val="20"/>
          <w:szCs w:val="20"/>
          <w:color w:val="auto"/>
        </w:rPr>
      </w:pPr>
    </w:p>
    <w:p>
      <w:pPr>
        <w:jc w:val="both"/>
        <w:ind w:firstLine="555"/>
        <w:spacing w:after="0" w:line="224" w:lineRule="exact"/>
        <w:rPr>
          <w:sz w:val="20"/>
          <w:szCs w:val="20"/>
          <w:color w:val="auto"/>
        </w:rPr>
      </w:pPr>
      <w:r>
        <w:rPr>
          <w:rFonts w:ascii="Times New Roman" w:cs="Times New Roman" w:eastAsia="Times New Roman" w:hAnsi="Times New Roman"/>
          <w:sz w:val="18"/>
          <w:szCs w:val="18"/>
          <w:color w:val="auto"/>
        </w:rPr>
        <w:t>Members of our management team have limited experience managing a publicly traded company, interacting with public company investors, and complying with the increasingly complex laws pertaining to public companies. Our management team may not successfully or efficiently manage a public company that is subject to significant regulatory oversight and reporting obligations under the federal securities laws and the scrutiny of securities analysts and investors. These obligations and constituents require significant attention from our management team and may divert their attention away from the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management of our business, which could materially adversely affect our business, financial condition and operating results.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pursue our business objectives and respond to business opportunities, challenges, or unforeseen circumstances. If capital is not available to us, our business, operating results, and financial condition may be harmed.</w:t>
      </w:r>
    </w:p>
    <w:p>
      <w:pPr>
        <w:spacing w:after="0" w:line="5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intend to continue to make investments to support our growth and may require additional capital to pursue our business objectives and respond to business opportunities, challenges, or unforeseen circumstances, including to increase our marketing expenditures to improve our brand awareness, develop new products, further improve our marketplace and existing products, enhance our operating infrastructure, expand internationally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may also have an adverse effect on our ability to obtain debt financing.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applicable tax law could negatively affect our business, results of operations and financial condition.</w:t>
      </w:r>
    </w:p>
    <w:p>
      <w:pPr>
        <w:spacing w:after="0" w:line="133" w:lineRule="exact"/>
        <w:rPr>
          <w:sz w:val="20"/>
          <w:szCs w:val="20"/>
          <w:color w:val="auto"/>
        </w:rPr>
      </w:pPr>
    </w:p>
    <w:p>
      <w:pPr>
        <w:jc w:val="both"/>
        <w:ind w:firstLine="555"/>
        <w:spacing w:after="0" w:line="259" w:lineRule="auto"/>
        <w:rPr>
          <w:sz w:val="20"/>
          <w:szCs w:val="20"/>
          <w:color w:val="auto"/>
        </w:rPr>
      </w:pPr>
      <w:r>
        <w:rPr>
          <w:rFonts w:ascii="Times New Roman" w:cs="Times New Roman" w:eastAsia="Times New Roman" w:hAnsi="Times New Roman"/>
          <w:sz w:val="18"/>
          <w:szCs w:val="18"/>
          <w:color w:val="auto"/>
        </w:rPr>
        <w:t xml:space="preserve">We are subject to taxation in the United States. On June 21, 2018, the United States Supreme Court issued its decision in </w:t>
      </w:r>
      <w:r>
        <w:rPr>
          <w:rFonts w:ascii="Times New Roman" w:cs="Times New Roman" w:eastAsia="Times New Roman" w:hAnsi="Times New Roman"/>
          <w:sz w:val="18"/>
          <w:szCs w:val="18"/>
          <w:i w:val="1"/>
          <w:iCs w:val="1"/>
          <w:color w:val="auto"/>
        </w:rPr>
        <w:t>South Dakota v. Wayfair,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w:t>
      </w:r>
      <w:r>
        <w:rPr>
          <w:rFonts w:ascii="Times New Roman" w:cs="Times New Roman" w:eastAsia="Times New Roman" w:hAnsi="Times New Roman"/>
          <w:sz w:val="18"/>
          <w:szCs w:val="18"/>
          <w:color w:val="auto"/>
        </w:rPr>
        <w:t>, the Wayfair Decision. The Wayfair Decision overturned prior case law that held that out-of-state merchants were not required to collect sales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they had a physical presence in the buyer’s state. Although we currently believe that the Wayfair Decision is unlikely to have a material effect on our business, it has created uncertainty over sales tax liability, and could precipitate reactions by legislators, regulators and courts that could adversely increase our tax administrative costs and tax risk, and negatively affect our overall business, results of operations and financial condition.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51" w:lineRule="exact"/>
        <w:rPr>
          <w:sz w:val="20"/>
          <w:szCs w:val="20"/>
          <w:color w:val="auto"/>
        </w:rPr>
      </w:pPr>
    </w:p>
    <w:p>
      <w:pPr>
        <w:jc w:val="both"/>
        <w:ind w:firstLine="555"/>
        <w:spacing w:after="0" w:line="268" w:lineRule="auto"/>
        <w:rPr>
          <w:sz w:val="20"/>
          <w:szCs w:val="20"/>
          <w:color w:val="auto"/>
        </w:rPr>
      </w:pPr>
      <w:r>
        <w:rPr>
          <w:rFonts w:ascii="Times New Roman" w:cs="Times New Roman" w:eastAsia="Times New Roman" w:hAnsi="Times New Roman"/>
          <w:sz w:val="17"/>
          <w:szCs w:val="17"/>
          <w:color w:val="auto"/>
        </w:rPr>
        <w:t>Primarily by virtue of his holdings in shares of our Class B common stock, which has a ten-to-one voting ratio compared to our Class A common stock, Langley Steinert, our founder, Chief Executive Officer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 of our company as a result of his positions as our Chief Executive Officer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8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5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Stockholders who hold shares of Class B common stock, including certain of our executive officers, employees, and directors and their affiliates, together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stockholders to influence corporate matters for the foreseeable future.</w:t>
      </w:r>
    </w:p>
    <w:p>
      <w:pPr>
        <w:spacing w:after="0" w:line="188"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been and may continue to be volatile and the value of our stockholders’ investment in our stock could decline.</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68" w:lineRule="exact"/>
        <w:rPr>
          <w:sz w:val="20"/>
          <w:szCs w:val="20"/>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any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operating results or fluctuations in our operating results;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automobile industry; and</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exclusion of our Class A common stock from major stock indexes could adversely affect the trading market and price of our Class A common stock.</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5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68" w:lineRule="exact"/>
        <w:rPr>
          <w:sz w:val="20"/>
          <w:szCs w:val="20"/>
          <w:color w:val="auto"/>
        </w:rPr>
      </w:pPr>
    </w:p>
    <w:p>
      <w:pPr>
        <w:ind w:left="960" w:hanging="39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jc w:val="both"/>
        <w:ind w:left="960" w:hanging="398"/>
        <w:spacing w:after="0" w:line="261"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Mr. Steinert represent less than a majority of the aggregate votes applicable to all shares of the outstanding Class A common stock and Class B common stock, could be issued by our board of directors without stockholder approval;</w:t>
      </w:r>
    </w:p>
    <w:p>
      <w:pPr>
        <w:spacing w:after="0" w:line="7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117"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53"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from and after the threshold date, of stockholders to amend our amended and restated certificate of incorporation;</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from and after the threshold date, of stockholders to fill vacant directorships and remove directors; and</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by stockholders.</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7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51"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have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amended and restated certificate of incorporation, a court could rule that such a provision is inapplicable or unenforceable.</w:t>
      </w:r>
    </w:p>
    <w:p>
      <w:pPr>
        <w:spacing w:after="0" w:line="2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5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may publish about us, our business, our market, and our competitors. If any of the analysts that covers us changes its recommendation regarding our stock adversely, or provides more favorable relative recommendations about our competitors, our stock 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our stockholders may only receive a return on their investment in our Class A common stock if the trading price of their shares increases.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 “controlled company” could make our Class A common stock less attractive to some investors or otherwise harm our stock price.</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More than 50% of our voting power is held by Mr.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68" w:lineRule="exact"/>
        <w:rPr>
          <w:sz w:val="20"/>
          <w:szCs w:val="20"/>
          <w:color w:val="auto"/>
        </w:rPr>
      </w:pPr>
    </w:p>
    <w:p>
      <w:pPr>
        <w:ind w:left="960" w:hanging="39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 as defined under the rules of Nasdaq;</w:t>
      </w:r>
    </w:p>
    <w:p>
      <w:pPr>
        <w:spacing w:after="0" w:line="117" w:lineRule="exact"/>
        <w:rPr>
          <w:rFonts w:ascii="Times New Roman" w:cs="Times New Roman" w:eastAsia="Times New Roman" w:hAnsi="Times New Roman"/>
          <w:sz w:val="18"/>
          <w:szCs w:val="18"/>
          <w:color w:val="auto"/>
        </w:rPr>
      </w:pPr>
    </w:p>
    <w:p>
      <w:pPr>
        <w:ind w:left="960" w:right="20" w:hanging="398"/>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53" w:lineRule="exact"/>
        <w:rPr>
          <w:rFonts w:ascii="Times New Roman" w:cs="Times New Roman" w:eastAsia="Times New Roman" w:hAnsi="Times New Roman"/>
          <w:sz w:val="18"/>
          <w:szCs w:val="18"/>
          <w:color w:val="auto"/>
        </w:rPr>
      </w:pPr>
    </w:p>
    <w:p>
      <w:pPr>
        <w:ind w:left="960" w:right="20" w:hanging="398"/>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53" w:lineRule="exact"/>
        <w:rPr>
          <w:rFonts w:ascii="Times New Roman" w:cs="Times New Roman" w:eastAsia="Times New Roman" w:hAnsi="Times New Roman"/>
          <w:sz w:val="18"/>
          <w:szCs w:val="18"/>
          <w:color w:val="auto"/>
        </w:rPr>
      </w:pPr>
    </w:p>
    <w:p>
      <w:pPr>
        <w:jc w:val="both"/>
        <w:ind w:left="960" w:hanging="398"/>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of December 31, 2018, we are no longer an emerging growth company and, as a result, we have incurred and expect to continue to incur significant additional legal and financial compliance costs by preparing to comply, and complying with, increased disclosure and governance requirements.</w:t>
      </w:r>
    </w:p>
    <w:p>
      <w:pPr>
        <w:spacing w:after="0" w:line="5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As of December 31, 2018, as a result of our market capitalization as of June 29, 2018 (and our having been public for at least 12 months as of December 31, 2018 and our having filed our 2017 Annual Report with the SEC), we are a large accelerated filer and ceased being an emerging growth company. Therefore, we are subject to certain requirements that apply to other public companies but did not previously apply to us due to our status as an emerging growth company. These requirements include:</w:t>
      </w:r>
    </w:p>
    <w:p>
      <w:pPr>
        <w:spacing w:after="0" w:line="58" w:lineRule="exact"/>
        <w:rPr>
          <w:sz w:val="20"/>
          <w:szCs w:val="20"/>
          <w:color w:val="auto"/>
        </w:rPr>
      </w:pPr>
    </w:p>
    <w:p>
      <w:pPr>
        <w:ind w:left="960" w:right="20" w:hanging="398"/>
        <w:spacing w:after="0" w:line="251"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404 requiring that our independent registered public accounting firm provide an attestation report on the effectiveness of our internal control over financial reporting;</w:t>
      </w:r>
    </w:p>
    <w:p>
      <w:pPr>
        <w:spacing w:after="0" w:line="66"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provide detailed compensation discussion and analysis in proxy statements and reports filed under the Exchange Act; and</w:t>
      </w:r>
    </w:p>
    <w:p>
      <w:pPr>
        <w:spacing w:after="0" w:line="27" w:lineRule="exact"/>
        <w:rPr>
          <w:rFonts w:ascii="Times New Roman" w:cs="Times New Roman" w:eastAsia="Times New Roman" w:hAnsi="Times New Roman"/>
          <w:sz w:val="18"/>
          <w:szCs w:val="18"/>
          <w:color w:val="auto"/>
        </w:rPr>
      </w:pPr>
    </w:p>
    <w:p>
      <w:pPr>
        <w:jc w:val="both"/>
        <w:ind w:left="960" w:hanging="398"/>
        <w:spacing w:after="0" w:line="254"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Consumer Protection Act, or the Dodd-Frank Act, and some of the disclosure requirements of the Dodd-Frank Act relating to compensation of our Chief Executive Officer.</w:t>
      </w:r>
    </w:p>
    <w:p>
      <w:pPr>
        <w:spacing w:after="0" w:line="18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have already begun incurring significant additional legal and financial compliance costs in connection with our loss of emerging growth company status. We expect that our compliance with these additional requirements, including the provisions of Section 404, will continue to substantially increase our legal and financial compliance costs and make some activities more time consuming and costly.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do not own any real property. Our principal executive offices are located in Cambridge, Massachusetts where we lease a total of approximately 148,375 square feet of space in three buildings under leases that expire in November 2022, January 2024, and October 2033. We also lease office space in Dublin, Ireland for our European operations, and in Detroit, Michigan, for additional space for our advertising sales employees.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individually, or taken together, would reasonably be expected to have a material adverse effect on our business or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100"/>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 for Common Stock</w:t>
      </w:r>
    </w:p>
    <w:p>
      <w:pPr>
        <w:spacing w:after="0" w:line="2"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Select Market under the symbol “CARG” since October 12, 2017. Prior to that date, there was no public trading market for our Class A common stock. Our initial public offering, or IPO, was priced at $16.00 per share on October 11, 2017.</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27, 2019, the last reported sale price of our Class A common stock on the Nasdaq Global Select Market was $42.65 per share.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 of February 22, 2019, we had 28 holders of record of our Class A common stock. The actual number of stockholders is greater than this number of record holders, and includes stockholders who are beneficial owners but whose shares are held in street name by brokers and other nominees. The number of holders of record does not include stockholders whose shares may be held in trust by other entities.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to fund development and growth of our business, and we do not anticipate paying cash dividends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19" w:lineRule="exact"/>
        <w:rPr>
          <w:sz w:val="20"/>
          <w:szCs w:val="20"/>
          <w:color w:val="auto"/>
        </w:rPr>
      </w:pPr>
    </w:p>
    <w:p>
      <w:pPr>
        <w:jc w:val="both"/>
        <w:ind w:firstLine="555"/>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Securities and Exchange Commission for purposes of Section 18 of the Securities Exchange Act of 1934, as amended, or the Exchange Act, or otherwise be subject to the liabilities under that section, and shall not be deemed to be incorporated by reference into any filing of CarGurus, Inc. under the Exchange Act or the Securities Act of 1933, as amended.</w:t>
      </w:r>
    </w:p>
    <w:p>
      <w:pPr>
        <w:spacing w:after="0" w:line="392"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October 12, 2017 (the date our Class A common stock commenced trading on the Nasdaq Global Select Market) through December 31, 2018 of the cumulative total return for our Class A common stock, the Nasdaq Composite Index and the S&amp;P 500 Index. All values assume a $100 initial cash investment and data for the Nasdaq Composite Index and the S&amp;P 500 Index assume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262890</wp:posOffset>
            </wp:positionV>
            <wp:extent cx="4656455" cy="2040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5645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4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Selected Consolidated Financial Data.</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“Management’s Discussion and Analysis of Financial Condition and Results of Operations”, the consolidated financial statements and related notes, and other financial information included in this Annual Report on Form 10-K.</w:t>
      </w:r>
    </w:p>
    <w:p>
      <w:pPr>
        <w:spacing w:after="0" w:line="176"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derived the consolidated statements of operations data for the years ended December 31, 2018, 2017, and 2016 and the consolidated balance sheet data as of December 31, 2018 and 2017 from our audited consolidated financial statements, which are included elsewhere in this Annual Report on Form 10-K. We derived the consolidated statement of operations data for the year ended December 31, 2015 and the consolidated balance sheet data as of December 31, 2016 and 2015 from our audited consolidated financial statements, which are not included in this Annual Report on Form 10-K. Historical results are not necessarily indicative of the results to be expected in future periods.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80" w:type="dxa"/>
            <w:vAlign w:val="bottom"/>
            <w:gridSpan w:val="11"/>
          </w:tcPr>
          <w:p>
            <w:pPr>
              <w:jc w:val="center"/>
              <w:ind w:right="3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Marketplace subscription</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405,780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171,302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Advertising and other</w:t>
            </w:r>
          </w:p>
        </w:tc>
        <w:tc>
          <w:tcPr>
            <w:tcW w:w="14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15"/>
                <w:szCs w:val="15"/>
                <w:color w:val="auto"/>
              </w:rPr>
              <w:t>(1)</w:t>
            </w:r>
          </w:p>
        </w:tc>
        <w:tc>
          <w:tcPr>
            <w:tcW w:w="14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429,275</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299,252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315,939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236,165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406,084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283,978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(39,686)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 basic and diluted:</w:t>
            </w:r>
            <w:r>
              <w:rPr>
                <w:rFonts w:ascii="Times New Roman" w:cs="Times New Roman" w:eastAsia="Times New Roman" w:hAnsi="Times New Roman"/>
                <w:sz w:val="15"/>
                <w:szCs w:val="15"/>
                <w:color w:val="auto"/>
              </w:rPr>
              <w:t>(2)</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gridSpan w:val="2"/>
            <w:vMerge w:val="continue"/>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to compute net income</w:t>
            </w:r>
          </w:p>
        </w:tc>
        <w:tc>
          <w:tcPr>
            <w:tcW w:w="14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per share attributable to common</w:t>
            </w: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15"/>
                <w:szCs w:val="15"/>
                <w:color w:val="auto"/>
              </w:rPr>
              <w:t>(2)</w:t>
            </w: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108,833,028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55,835,265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44,138,922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43,141,236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113,364,712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60,637,584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44,138,922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43,141,236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49,014</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60" w:hanging="552"/>
        <w:spacing w:after="0" w:line="282" w:lineRule="auto"/>
        <w:tabs>
          <w:tab w:leader="none" w:pos="5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and amortization expense for the years ended December 31, 2018, 2017, 2016, and 2015 of $2,225, $1,140, $438, and $153,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jc w:val="both"/>
        <w:ind w:left="560" w:hanging="552"/>
        <w:spacing w:after="0" w:line="216" w:lineRule="auto"/>
        <w:tabs>
          <w:tab w:leader="none" w:pos="560" w:val="left"/>
        </w:tabs>
        <w:numPr>
          <w:ilvl w:val="0"/>
          <w:numId w:val="25"/>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For years ended December 31, 2018, 2017 and 2016, see Note 9 of the notes to our consolidated financial statements included elsewhere in this Annual Report on Form 10-K for an explanation of the calculations of our net income (loss) per share attributable to common stockholders. For year ended December 31, 2015, see our Annual Report on Form 10-K for the year ended December 31, 2017 for an explanation of the calculations of our net income (loss) per share attributable to common stockholders.</w:t>
      </w:r>
    </w:p>
    <w:p>
      <w:pPr>
        <w:spacing w:after="0" w:line="92" w:lineRule="exact"/>
        <w:rPr>
          <w:rFonts w:ascii="Times New Roman" w:cs="Times New Roman" w:eastAsia="Times New Roman" w:hAnsi="Times New Roman"/>
          <w:sz w:val="31"/>
          <w:szCs w:val="31"/>
          <w:color w:val="auto"/>
          <w:vertAlign w:val="superscript"/>
        </w:rPr>
      </w:pPr>
    </w:p>
    <w:p>
      <w:pPr>
        <w:ind w:left="560" w:hanging="552"/>
        <w:spacing w:after="0" w:line="282" w:lineRule="auto"/>
        <w:tabs>
          <w:tab w:leader="none" w:pos="5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 Adjusted EBITDA” below for more information and for a reconciliation of Adjusted EBITDA to net income (loss), the most directly comparable financial measure calculated and presented in accordance with GAAP.</w:t>
      </w:r>
    </w:p>
    <w:p>
      <w:pPr>
        <w:spacing w:after="0" w:line="53" w:lineRule="exact"/>
        <w:rPr>
          <w:rFonts w:ascii="Times New Roman" w:cs="Times New Roman" w:eastAsia="Times New Roman" w:hAnsi="Times New Roman"/>
          <w:sz w:val="15"/>
          <w:szCs w:val="15"/>
          <w:color w:val="auto"/>
        </w:rPr>
      </w:pPr>
    </w:p>
    <w:p>
      <w:pPr>
        <w:ind w:left="560" w:hanging="552"/>
        <w:spacing w:after="0" w:line="282" w:lineRule="auto"/>
        <w:tabs>
          <w:tab w:leader="none" w:pos="5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Note 2 of the notes to our consolidated financial statements included elsewhere in this Annual Report on Form 10-K for an explanation of the impact of adoption of ASC 606.</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15"/>
                <w:szCs w:val="15"/>
                <w:color w:val="auto"/>
              </w:rPr>
              <w:t>(1)</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gridSpan w:val="3"/>
          </w:tcPr>
          <w:p>
            <w:pPr>
              <w:jc w:val="right"/>
              <w:ind w:right="65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157,687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137,709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74,250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24,269</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16,563</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12,780</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131,355</w:t>
            </w:r>
          </w:p>
        </w:tc>
        <w:tc>
          <w:tcPr>
            <w:tcW w:w="30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114,238</w:t>
            </w:r>
          </w:p>
        </w:tc>
        <w:tc>
          <w:tcPr>
            <w:tcW w:w="42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56,457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268,290</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176,594</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100,331</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77,781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74,179</w:t>
            </w:r>
          </w:p>
        </w:tc>
        <w:tc>
          <w:tcPr>
            <w:tcW w:w="30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49,569</w:t>
            </w:r>
          </w:p>
        </w:tc>
        <w:tc>
          <w:tcPr>
            <w:tcW w:w="42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35,605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132,698</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73,378</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194,111</w:t>
            </w:r>
          </w:p>
        </w:tc>
        <w:tc>
          <w:tcPr>
            <w:tcW w:w="30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127,025</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(67,972)</w:t>
            </w:r>
          </w:p>
        </w:tc>
        <w:tc>
          <w:tcPr>
            <w:tcW w:w="2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(16,131)</w:t>
            </w:r>
          </w:p>
        </w:tc>
      </w:tr>
    </w:tbl>
    <w:p>
      <w:pPr>
        <w:spacing w:after="0" w:line="85" w:lineRule="exact"/>
        <w:rPr>
          <w:sz w:val="20"/>
          <w:szCs w:val="20"/>
          <w:color w:val="auto"/>
        </w:rPr>
      </w:pPr>
    </w:p>
    <w:p>
      <w:pPr>
        <w:ind w:left="560" w:hanging="552"/>
        <w:spacing w:after="0" w:line="282" w:lineRule="auto"/>
        <w:tabs>
          <w:tab w:leader="none" w:pos="5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Note 2 of the notes to our consolidated financial statements included elsewhere in this Annual Report on Form 10-K for an explanation of the impact of adoption of ASC 606.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monitor and have presented within this Annual Report on Form 10-K Adjusted EBITDA, which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This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is not based on any standardized methodology prescribed by U.S. generally accepted accounting principles, or GAAP, and is not necessarily comparable to similarly titled measures presented by other companies.</w:t>
      </w:r>
    </w:p>
    <w:p>
      <w:pPr>
        <w:spacing w:after="0" w:line="172" w:lineRule="exact"/>
        <w:rPr>
          <w:sz w:val="20"/>
          <w:szCs w:val="20"/>
          <w:color w:val="auto"/>
        </w:rPr>
      </w:pPr>
    </w:p>
    <w:p>
      <w:pPr>
        <w:jc w:val="both"/>
        <w:ind w:firstLine="555"/>
        <w:spacing w:after="0" w:line="230" w:lineRule="exact"/>
        <w:rPr>
          <w:sz w:val="20"/>
          <w:szCs w:val="20"/>
          <w:color w:val="auto"/>
        </w:rPr>
      </w:pPr>
      <w:r>
        <w:rPr>
          <w:rFonts w:ascii="Times New Roman" w:cs="Times New Roman" w:eastAsia="Times New Roman" w:hAnsi="Times New Roman"/>
          <w:sz w:val="18"/>
          <w:szCs w:val="18"/>
          <w:color w:val="auto"/>
        </w:rPr>
        <w:t>We define Adjusted EBITDA as net income (loss), adjusted to exclude: depreciation and amortization,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other (income) expense, net, the (benefit from) provision for income taxes, and certain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items, if and when applicable. We have presented Adjusted EBITDA in this Annual Report on Form 10-K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of our business.</w:t>
      </w:r>
    </w:p>
    <w:p>
      <w:pPr>
        <w:spacing w:after="0" w:line="178"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In addition, we evaluate our Adjusted EBITDA in relation to our revenue. We refer to this as Adjusted EBITDA margin and define it as Adjusted EBITDA divided by total revenue.</w:t>
      </w:r>
    </w:p>
    <w:p>
      <w:pPr>
        <w:spacing w:after="0" w:line="198"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spacing w:after="0" w:line="39" w:lineRule="exact"/>
        <w:rPr>
          <w:sz w:val="20"/>
          <w:szCs w:val="20"/>
          <w:color w:val="auto"/>
        </w:rPr>
      </w:pPr>
    </w:p>
    <w:p>
      <w:pPr>
        <w:ind w:left="960" w:hanging="398"/>
        <w:spacing w:after="0" w:line="239" w:lineRule="exact"/>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which will be, for the foreseeable future, a significant recurring expense for our business and an important part of our compensation strategy;</w:t>
      </w:r>
    </w:p>
    <w:p>
      <w:pPr>
        <w:spacing w:after="0" w:line="62" w:lineRule="exact"/>
        <w:rPr>
          <w:rFonts w:ascii="Times New Roman" w:cs="Times New Roman" w:eastAsia="Times New Roman" w:hAnsi="Times New Roman"/>
          <w:sz w:val="18"/>
          <w:szCs w:val="18"/>
          <w:color w:val="auto"/>
        </w:rPr>
      </w:pPr>
    </w:p>
    <w:p>
      <w:pPr>
        <w:ind w:left="960" w:hanging="398"/>
        <w:spacing w:after="0" w:line="239" w:lineRule="exact"/>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expenses, the assets being depreciated may have to be replaced in the future;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960" w:hanging="39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other income, net which primarily includes interest income;</w:t>
      </w:r>
    </w:p>
    <w:p>
      <w:pPr>
        <w:spacing w:after="0" w:line="11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or tax benefits that reduce cash available to us; and</w:t>
      </w:r>
    </w:p>
    <w:p>
      <w:pPr>
        <w:spacing w:after="0" w:line="117" w:lineRule="exact"/>
        <w:rPr>
          <w:rFonts w:ascii="Times New Roman" w:cs="Times New Roman" w:eastAsia="Times New Roman" w:hAnsi="Times New Roman"/>
          <w:sz w:val="18"/>
          <w:szCs w:val="18"/>
          <w:color w:val="auto"/>
        </w:rPr>
      </w:pPr>
    </w:p>
    <w:p>
      <w:pPr>
        <w:ind w:left="960" w:right="20" w:hanging="398"/>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together with other operating and financial performance measures presented in accordance with GAAP.</w:t>
      </w:r>
    </w:p>
    <w:p>
      <w:pPr>
        <w:spacing w:after="0" w:line="162"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measure calculated in accordance with GAAP, for each of the periods presented.</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6"/>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4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20" w:type="dxa"/>
            <w:vAlign w:val="bottom"/>
          </w:tcPr>
          <w:p>
            <w:pPr>
              <w:spacing w:after="0"/>
              <w:rPr>
                <w:sz w:val="19"/>
                <w:szCs w:val="19"/>
                <w:color w:val="auto"/>
              </w:rPr>
            </w:pP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20" w:type="dxa"/>
            <w:vAlign w:val="bottom"/>
          </w:tcPr>
          <w:p>
            <w:pPr>
              <w:spacing w:after="0"/>
              <w:rPr>
                <w:sz w:val="19"/>
                <w:szCs w:val="19"/>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(2,293)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ind w:left="560" w:hanging="552"/>
        <w:spacing w:after="0" w:line="282" w:lineRule="auto"/>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of the notes to our consolidated financial statements included elsewhere in this Annual Report on Form 10-K for an explanation of the impact of adoption of ASC 606 on net income and benefit from taxes for the year ended December 31, 2018.</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55"/>
        <w:spacing w:after="0" w:line="218"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report. Some of the information contained in this discussion and analysis or elsewhere in this report, including information with respect to our plans and strategy for our business and our performance and future success, includes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risks and uncertainties. See “Special Note Regarding Forward-Looking Statements.” You should review the “Risk Factors” section of this Annual Report on Form 10-K for a discussion of important factors that could cause actual results to differ materially from the results described in or implied by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contained in the following discussion and analysis. In this discussion, we use financial measures that are considered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GAAP financial measures under Securities and Exchange Commission rules. These rules regarding non-GAAP financial measures require supplemental explanation and reconciliation, which is included elsewhere in this Annual Report on Form 10-K. Investors should not consider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GAAP financial measures in isolation from or in substitution for, financial information presented in compliance with U.S. generally accepted accounting principles, or GAAP.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validation on pricing and dealer reputation as well as other information that aids them in finding “Great Deals from Top-Rated Dealers.” In addition to the United States, we operate online marketplaces in Canada, the United Kingdom, Germany, Italy, and Spain.</w:t>
      </w:r>
    </w:p>
    <w:p>
      <w:pPr>
        <w:spacing w:after="0" w:line="201" w:lineRule="exact"/>
        <w:rPr>
          <w:sz w:val="20"/>
          <w:szCs w:val="20"/>
          <w:color w:val="auto"/>
        </w:rPr>
      </w:pPr>
    </w:p>
    <w:p>
      <w:pPr>
        <w:jc w:val="both"/>
        <w:ind w:firstLine="555"/>
        <w:spacing w:after="0" w:line="222" w:lineRule="exact"/>
        <w:rPr>
          <w:sz w:val="20"/>
          <w:szCs w:val="20"/>
          <w:color w:val="auto"/>
        </w:rPr>
      </w:pPr>
      <w:r>
        <w:rPr>
          <w:rFonts w:ascii="Times New Roman" w:cs="Times New Roman" w:eastAsia="Times New Roman" w:hAnsi="Times New Roman"/>
          <w:sz w:val="18"/>
          <w:szCs w:val="18"/>
          <w:color w:val="auto"/>
        </w:rPr>
        <w:t>We generate marketplace subscription revenue from dealers through Listing and Dealer Display subscriptions, and advertising revenue from automobile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We generated revenue of $454.1 million in 2018, $316.9 million in 2017, and $198.1 million in 2016, representing year-over-year increases of 43% in 2018 and 60% in 2017.</w:t>
      </w:r>
    </w:p>
    <w:p>
      <w:pPr>
        <w:spacing w:after="0" w:line="19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 2018, we generated net income of $65.2 million and our Adjusted EBITDA was $49.0 million, compared to a net income of $13.2 million and Adjusted EBITDA of $24.1 million in 2017, and a net income of $6.5 million and Adjusted EBITDA of $11.0 million in 2016. See “Selected Consolidated Financial Data — Adjusted EBITDA” for more information regarding our use of Adjusted EBITDA, a non-GAAP financial measure, and a reconciliation of Adjusted EBITDA to our net income.</w:t>
      </w:r>
    </w:p>
    <w:p>
      <w:pPr>
        <w:spacing w:after="0" w:line="180"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have two reportable segments, United States and International. See Note 11 of our Consolidated Financial Statements included in Item 8 of this Annual Report on Form 10-K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advertising services, and other revenues from customers outside of the United States. International markets perform differently from the United States market due to a variety of factors, including our operating history in the market, our rate of investment, market size, market maturity, and other dynamics unique to each country.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Unique Users</w:t>
      </w:r>
    </w:p>
    <w:p>
      <w:pPr>
        <w:spacing w:after="0" w:line="121" w:lineRule="exact"/>
        <w:rPr>
          <w:sz w:val="20"/>
          <w:szCs w:val="20"/>
          <w:color w:val="auto"/>
        </w:rPr>
      </w:pPr>
    </w:p>
    <w:p>
      <w:pPr>
        <w:jc w:val="both"/>
        <w:ind w:right="20" w:firstLine="555"/>
        <w:spacing w:after="0" w:line="254" w:lineRule="auto"/>
        <w:rPr>
          <w:sz w:val="20"/>
          <w:szCs w:val="20"/>
          <w:color w:val="auto"/>
        </w:rPr>
      </w:pPr>
      <w:r>
        <w:rPr>
          <w:rFonts w:ascii="Times New Roman" w:cs="Times New Roman" w:eastAsia="Times New Roman" w:hAnsi="Times New Roman"/>
          <w:sz w:val="18"/>
          <w:szCs w:val="18"/>
          <w:color w:val="auto"/>
        </w:rPr>
        <w:t>For each of our websites, we define a monthly unique user as an individual who visited such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one of our websites during a calendar month. If an individual accesses one of our websites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Monthly Unique Users</w:t>
            </w: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gridSpan w:val="3"/>
            <w:vMerge w:val="continue"/>
          </w:tcPr>
          <w:p>
            <w:pPr>
              <w:spacing w:after="0"/>
              <w:rPr>
                <w:sz w:val="13"/>
                <w:szCs w:val="13"/>
                <w:color w:val="auto"/>
              </w:rPr>
            </w:pPr>
          </w:p>
        </w:tc>
        <w:tc>
          <w:tcPr>
            <w:tcW w:w="108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3"/>
                <w:szCs w:val="13"/>
                <w:color w:val="auto"/>
              </w:rPr>
            </w:pPr>
          </w:p>
        </w:tc>
        <w:tc>
          <w:tcPr>
            <w:tcW w:w="1100" w:type="dxa"/>
            <w:vAlign w:val="bottom"/>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10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34,275</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24,469</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Sessions</w:t>
      </w:r>
    </w:p>
    <w:p>
      <w:pPr>
        <w:spacing w:after="0" w:line="121" w:lineRule="exact"/>
        <w:rPr>
          <w:sz w:val="20"/>
          <w:szCs w:val="20"/>
          <w:color w:val="auto"/>
        </w:rPr>
      </w:pPr>
    </w:p>
    <w:p>
      <w:pPr>
        <w:jc w:val="both"/>
        <w:ind w:right="20" w:firstLine="555"/>
        <w:spacing w:after="0" w:line="256" w:lineRule="auto"/>
        <w:rPr>
          <w:sz w:val="20"/>
          <w:szCs w:val="20"/>
          <w:color w:val="auto"/>
        </w:rPr>
      </w:pPr>
      <w:r>
        <w:rPr>
          <w:rFonts w:ascii="Times New Roman" w:cs="Times New Roman" w:eastAsia="Times New Roman" w:hAnsi="Times New Roman"/>
          <w:sz w:val="18"/>
          <w:szCs w:val="18"/>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at midnight Eastern Time each night. A session can be made up of multiple page views and visitor actions, such as performing a search, visiting vehicle detail pages, and connecting with a dealer. We believe the volume of sessions in a time period, when considered in conjunction with the number of unique users in that time period, is an indicator of consumer satisfaction and engagement with our marketplace.</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Monthly Sessions</w:t>
            </w: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gridSpan w:val="3"/>
            <w:vMerge w:val="continue"/>
          </w:tcPr>
          <w:p>
            <w:pPr>
              <w:spacing w:after="0"/>
              <w:rPr>
                <w:sz w:val="13"/>
                <w:szCs w:val="13"/>
                <w:color w:val="auto"/>
              </w:rPr>
            </w:pPr>
          </w:p>
        </w:tc>
        <w:tc>
          <w:tcPr>
            <w:tcW w:w="108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3"/>
                <w:szCs w:val="13"/>
                <w:color w:val="auto"/>
              </w:rPr>
            </w:pPr>
          </w:p>
        </w:tc>
        <w:tc>
          <w:tcPr>
            <w:tcW w:w="1100" w:type="dxa"/>
            <w:vAlign w:val="bottom"/>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10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91,798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64,758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101,671</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70,123</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Paying Dealers</w:t>
      </w:r>
    </w:p>
    <w:p>
      <w:pPr>
        <w:spacing w:after="0" w:line="121"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A paying dealer is a dealer, based on a distinct associated inventory feed, that subscribes to our Enhanced or Featured Listing product at the end of a defined period. We believe that the number of paying dealers is indicative of the value proposition of our Listing products, and our sales and marketing success, including our ability to retain paying dealers and develop new dealer relationships.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Number of Paying Dealers</w:t>
            </w: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gridSpan w:val="2"/>
            <w:vMerge w:val="continue"/>
          </w:tcPr>
          <w:p>
            <w:pPr>
              <w:spacing w:after="0"/>
              <w:rPr>
                <w:sz w:val="13"/>
                <w:szCs w:val="13"/>
                <w:color w:val="auto"/>
              </w:rPr>
            </w:pPr>
          </w:p>
        </w:tc>
        <w:tc>
          <w:tcPr>
            <w:tcW w:w="2300" w:type="dxa"/>
            <w:vAlign w:val="bottom"/>
            <w:gridSpan w:val="2"/>
          </w:tcPr>
          <w:p>
            <w:pPr>
              <w:spacing w:after="0"/>
              <w:rPr>
                <w:sz w:val="13"/>
                <w:szCs w:val="13"/>
                <w:color w:val="auto"/>
              </w:rPr>
            </w:pPr>
          </w:p>
        </w:tc>
        <w:tc>
          <w:tcPr>
            <w:tcW w:w="108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3"/>
                <w:szCs w:val="13"/>
                <w:color w:val="auto"/>
              </w:rPr>
            </w:pPr>
          </w:p>
        </w:tc>
        <w:tc>
          <w:tcPr>
            <w:tcW w:w="1100" w:type="dxa"/>
            <w:vAlign w:val="bottom"/>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10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27,534</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20,349</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27,670</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Annual Revenue per Subscribing Dealer (AARSD)</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measure the average annual revenue we receive from each paying dealer. We define AARSD, which is measured at the end of a defined period, as the total marketplace subscription revenue during the trailing 12 months divided by the average number of paying dealers during the same trailing 12-month period. We believe that our ability to grow AARSD is an indicator of the value proposition of our products and the return on investment, or ROI, our paying dealers realize from our products. Increases in AARSD, which we believe reflect the value of exposure to our engaged audience in relation to subscription cost, are driven by our ability to grow the volume of connections to our users and the quality of those connections, which result in increased opportunity to upsell package levels and cross-sell additional products to our paying dealers.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Annual Revenue per Subscribing Dealer (AARSD)</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4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92" w:lineRule="exact"/>
        <w:rPr>
          <w:sz w:val="20"/>
          <w:szCs w:val="20"/>
          <w:color w:val="auto"/>
        </w:rPr>
      </w:pPr>
    </w:p>
    <w:p>
      <w:pPr>
        <w:jc w:val="both"/>
        <w:ind w:firstLine="555"/>
        <w:spacing w:after="0" w:line="223" w:lineRule="exact"/>
        <w:rPr>
          <w:sz w:val="20"/>
          <w:szCs w:val="20"/>
          <w:color w:val="auto"/>
        </w:rPr>
      </w:pPr>
      <w:r>
        <w:rPr>
          <w:rFonts w:ascii="Times New Roman" w:cs="Times New Roman" w:eastAsia="Times New Roman" w:hAnsi="Times New Roman"/>
          <w:sz w:val="18"/>
          <w:szCs w:val="18"/>
          <w:color w:val="auto"/>
        </w:rPr>
        <w:t>We define Adjusted EBITDA as net income (loss), adjusted to exclude: depreciation and amortization,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other (income) expense, net, the (benefit from) provision for income taxes, and certain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items, if and when applicable. We monitor and have presented Adjusted EBITDA in this Annual Report on Form 10-K as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to supplement the financial information we present on a GAAP basis to provide investors with additional information regarding our financial results. Adjusted EBITDA, as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should not be considered in isolation from, or as an alternative to, measures prepared in accordance with GAAP. We consider, and you should consider, Adjusted EBITDA together with other operating and financial performance measures presented in accordance with GAAP. Also,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 may not necessarily be comparable to similarly titled measures presented by other companies.</w:t>
      </w:r>
    </w:p>
    <w:p>
      <w:pPr>
        <w:spacing w:after="0" w:line="20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believe that Adjusted EBITDA is a key indicator of our operating results. For further explanation of the uses and limitations of this measure and a reconciliation of our Adjusted EBITDA to the most directly comparable GAAP measure, net income, please see “Selected Consolidated Financial Data — Adjusted EBITDA.”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revenue is derived from two primary sources: (i) marketplace subscription revenue and (ii) advertising and other revenue, as described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We offer three types of marketplace Listing products to dealers: Basic Listing, which is free; and Enhanced or Featured Listing, which require a paid subscription under a monthly, quarterly, semiannual, or annual subscription basis. Contractual subscriptions for customers generally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renew on a monthly basis and are cancellable by dealers with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days’ advance notice. We also offer Listing dealers access to the Dealer Dashboard, which includes a performance summary, Dealer Insights tool, user review management platform, Pricing Tool, and Market Analysis tool. The Pricing Tool and Market Analysis tool are available only to paying dealers.</w:t>
      </w:r>
    </w:p>
    <w:p>
      <w:pPr>
        <w:spacing w:after="0" w:line="20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 addition to listing inventory in the marketplace and providing access to the Dealer Dashboard, we offer Enhanced and Featured Listing dealers other subscription advertising and customer acquisition products, including display advertising that appears in our marketplace and on other sites on the internet. This advertising can be targeted by geography, search history, and a number of other factors, and dealer search engine marketing, which helps dealers more effectively acquire customers through paid search, social media, and retargeted advertising.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description of our revenue accounting policies, see “— Critical Accounting Policies and Significant Estimates.”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Cost of revenue primarily consists of costs related to supporting and hosting our product offerings. These costs include salaries, benefits, incentive compensation,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the customer support team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 costs such as data center and networking expenses, allocated overhead, depreciation and amortization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Sales and marketing expenses consist primarily of personnel and related expenses for our sales and marketing staff, including salaries, benefits, incentive compensation, commissions,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travel costs; costs associated with consumer marketing, such as traffic acquisition, brand building, and public relations activities; costs associated with dealer marketing, such as content marketing, customer and promotional events, and industry events; and allocated overhead. We expect sales and marketing expenses to increase as we grow our audience and attempt to strengthen our brand awareness and, as informed by trends in our business and the competitive landscape of our market, fluctuate from quarter to quarter, which will impact our quarterly results of operations.</w:t>
      </w: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Product, Technology, and Development</w:t>
      </w:r>
    </w:p>
    <w:p>
      <w:pPr>
        <w:spacing w:after="0" w:line="119"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Product, technology, and development expenses, which include research and development costs, consist primarily of personnel costs of our development team, including payroll, benefits,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allocated overhead costs. Other than website development costs and other costs that qualify for capitalization, research and development costs are expensed as incurred. We expect product, technology, and development expenses to increase as we develop new products and make improvements to our existing platform.</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General and administrative expenses consist of personnel costs and related expenses for executive, finance, legal, human resources, and administrative personnel, including salaries, benefits, incentive compensation,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addition to the costs associated with professional fees for external legal, accounting and other consulting services, insurance premiums, payment processing and billing costs, and allocated overhead costs. We expect general and administrative expenses to increase as we continue to incur the costs of compliance associated with being a publicly traded company, including legal, audit, and consulting fees.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expenses consist of depreciation on property and equipment and leasehold improvements.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earned on our cash, cash equivalents, and investments, interest expense on lease obligations, and net foreign exchange gains and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121" w:lineRule="exact"/>
        <w:rPr>
          <w:sz w:val="20"/>
          <w:szCs w:val="20"/>
          <w:color w:val="auto"/>
        </w:rPr>
      </w:pPr>
    </w:p>
    <w:p>
      <w:pPr>
        <w:jc w:val="both"/>
        <w:ind w:right="20" w:firstLine="555"/>
        <w:spacing w:after="0" w:line="256"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have recognized a benefit from income taxes for the period ended December 31, 2018 as a result of stock-based compensation benefits recorded. We have recorded a provision for income taxes for the periods ended December 31, 2017 and 2016 as a result of our consolidated taxable income position.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We have not provided a valuation allowance against our net deferred tax assets at December 31, 2018 or 2017.</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jc w:val="both"/>
        <w:ind w:right="20" w:firstLine="555"/>
        <w:spacing w:after="0" w:line="239" w:lineRule="exact"/>
        <w:rPr>
          <w:sz w:val="20"/>
          <w:szCs w:val="20"/>
          <w:color w:val="auto"/>
        </w:rPr>
      </w:pPr>
      <w:r>
        <w:rPr>
          <w:rFonts w:ascii="Times New Roman" w:cs="Times New Roman" w:eastAsia="Times New Roman" w:hAnsi="Times New Roman"/>
          <w:sz w:val="18"/>
          <w:szCs w:val="18"/>
          <w:color w:val="auto"/>
        </w:rPr>
        <w:t>The following table sets forth our selected consolidated statements of operations data for each of the periods indicated. The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 of financial results is not necessarily indicative of future results.</w:t>
      </w:r>
    </w:p>
    <w:p>
      <w:pPr>
        <w:spacing w:after="0" w:line="220"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Marketplace subscription</w:t>
            </w:r>
          </w:p>
        </w:tc>
        <w:tc>
          <w:tcPr>
            <w:tcW w:w="18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405,780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282,664</w:t>
            </w:r>
          </w:p>
        </w:tc>
        <w:tc>
          <w:tcPr>
            <w:tcW w:w="120" w:type="dxa"/>
            <w:vAlign w:val="bottom"/>
          </w:tcPr>
          <w:p>
            <w:pPr>
              <w:spacing w:after="0"/>
              <w:rPr>
                <w:sz w:val="19"/>
                <w:szCs w:val="19"/>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Advertising and other</w:t>
            </w:r>
          </w:p>
        </w:tc>
        <w:tc>
          <w:tcPr>
            <w:tcW w:w="1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revenue</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198,141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154,125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(39,686)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45" w:name="page46"/>
    <w:bookmarkEnd w:id="45"/>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Additional Financial Data</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437,166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307,472</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316,861</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198,141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41,586</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selected consolidated statements of operations data as a percentage of revenue for each of the periods indicated.</w:t>
      </w:r>
    </w:p>
    <w:p>
      <w:pPr>
        <w:spacing w:after="0" w:line="246"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6320" w:type="dxa"/>
            <w:vAlign w:val="bottom"/>
            <w:gridSpan w:val="2"/>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Marketplace subscription</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Advertising and other</w:t>
            </w: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1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20" w:type="dxa"/>
            <w:vAlign w:val="bottom"/>
            <w:gridSpan w:val="2"/>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320" w:type="dxa"/>
            <w:vAlign w:val="bottom"/>
          </w:tcPr>
          <w:p>
            <w:pPr>
              <w:spacing w:after="0"/>
              <w:rPr>
                <w:sz w:val="13"/>
                <w:szCs w:val="13"/>
                <w:color w:val="auto"/>
              </w:rPr>
            </w:pPr>
          </w:p>
        </w:tc>
        <w:tc>
          <w:tcPr>
            <w:tcW w:w="104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Additional Financial Data</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72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516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160" w:type="dxa"/>
            <w:vAlign w:val="bottom"/>
            <w:tcBorders>
              <w:top w:val="single" w:sz="8" w:color="CFF0FC"/>
              <w:bottom w:val="single" w:sz="8" w:color="CFF0FC"/>
            </w:tcBorders>
            <w:vMerge w:val="restart"/>
          </w:tcPr>
          <w:p>
            <w:pPr>
              <w:ind w:left="446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160" w:type="dxa"/>
            <w:vAlign w:val="bottom"/>
            <w:vMerge w:val="continue"/>
          </w:tcPr>
          <w:p>
            <w:pPr>
              <w:spacing w:after="0"/>
              <w:rPr>
                <w:sz w:val="24"/>
                <w:szCs w:val="24"/>
                <w:color w:val="auto"/>
              </w:rPr>
            </w:pPr>
          </w:p>
        </w:tc>
        <w:tc>
          <w:tcPr>
            <w:tcW w:w="51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Year Ended December 31, 2018 Compared to Year Ended December 31,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Source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7"/>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Marketplace subscription</w:t>
            </w:r>
          </w:p>
        </w:tc>
        <w:tc>
          <w:tcPr>
            <w:tcW w:w="17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405,780</w:t>
            </w:r>
          </w:p>
        </w:tc>
        <w:tc>
          <w:tcPr>
            <w:tcW w:w="220" w:type="dxa"/>
            <w:vAlign w:val="bottom"/>
          </w:tcPr>
          <w:p>
            <w:pPr>
              <w:spacing w:after="0"/>
              <w:rPr>
                <w:sz w:val="19"/>
                <w:szCs w:val="19"/>
                <w:color w:val="auto"/>
              </w:rPr>
            </w:pP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282,664</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123,116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and other</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22"/>
                <w:szCs w:val="22"/>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Marketplace subscription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and other</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Overall revenue increased $137.2 million, or 43%, in the year ended December 31, 2018 compared to the year ended December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Marketplace subscription revenue increased by 44% while advertising and other revenue grew by 41%.</w:t>
      </w:r>
    </w:p>
    <w:p>
      <w:pPr>
        <w:spacing w:after="0" w:line="274"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Marketplace subscription revenue increased $123.1 million in the year ended December 31, 2018 compared to the year ended December 31, 2017, and represented 89% of total revenue in both 2018 and 2017. This increase in marketplace subscription revenue was attributable primarily to a 14% growth in the number of United States and International paying dealers, to 31,472 as of December 31, 2018 from 27,670 as of December 31, 2017, and to a 23% growth in our AARSD for United States dealers to $14,819 as of December 31, 2018 from $12,055 as of December 31, 2017. The increase in paying dealers was driven by the efforts of our sales and marketing teams to subscribe dealers to our Enhanced and Featured Listing paid products. The increase in our AARSD for United States dealers was driven by the investments made in building our brand and growing our audience which resulted in growth in volume of connections.</w:t>
      </w:r>
    </w:p>
    <w:p>
      <w:pPr>
        <w:spacing w:after="0" w:line="257"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Advertising and other revenue increased $14.1 million in the year ended December 31, 2018 compared to the year ended December 31, 2017, and represented 11% of total revenue in 2018 and 2017. The increase in advertising and other revenue was due primarily to a 70% increase in the number of impressions, which was partially offset by a 17% decrease in the average price per thousand impressions, in 2018 compared to 2017.</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Segment</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7"/>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437,166</w:t>
            </w:r>
          </w:p>
        </w:tc>
        <w:tc>
          <w:tcPr>
            <w:tcW w:w="220" w:type="dxa"/>
            <w:vAlign w:val="bottom"/>
          </w:tcPr>
          <w:p>
            <w:pPr>
              <w:spacing w:after="0"/>
              <w:rPr>
                <w:sz w:val="19"/>
                <w:szCs w:val="19"/>
                <w:color w:val="auto"/>
              </w:rPr>
            </w:pP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307,472</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80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22"/>
                <w:szCs w:val="22"/>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United States revenue increased $129.7 million, or 42%, in the year ended December 31, 2018 compared to the year ended December 31, 2017, due primarily to a 10% increase in the number of United States paying dealers and a 23% increase in AARSD for United States dealers.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47" w:name="page48"/>
    <w:bookmarkEnd w:id="47"/>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International revenue increased $7.5 million, or 80%, in the year ended December 31, 2018 compared to the year ended December 31, 2017, due primarily to a 55% increase in the number of International paying dealers. International paying dealers grew to 3,938 at December 31, 2018 from 2,548 at December 31,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24,811</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7,202</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5 %</w:t>
            </w:r>
          </w:p>
        </w:tc>
        <w:tc>
          <w:tcPr>
            <w:tcW w:w="4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Cost of revenue increased $7.2 million, or 41%, in the year ended December 31, 2018 compared to the year ended December 31, 2017. The increase was due primarily to a $2.7 million increase in costs related to connecting consumers with dealers through a variety of methods, including phone calls, email, and managed text and chat, a $1.7 million increase in fees related to provisioning advertising campaigns on our websites, a $1.4 million increase in data center and hosting costs, and a $1.2 million increase in amortization and depreciation.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315,939</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236,165</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79,774</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 xml:space="preserve">Sales and marketing expenses increased $79.8 million, or 34%, in the year ended December 31, 2018 compared to the year ended December 31, 2017. The increase was due primarily to an increase in advertising costs of $65.5 million as well as an increase of $8.1 million in salaries and employee-related costs (excluding commission expense) resulting from a 25% increase in headcount and payroll taxes of $0.9 million driven by the employer portion of FICA taxes on the exercise of stock awards and vesting of restricted stock units, or RSUs. This increase for the year ended December 31, 2018 was also due in part to a $3.2 million increase in stock-based compensation expense related to RSUs resulting from the increase in headcount, a $1.7 million increase in marketing events and market research due to efforts to increase brand awareness, a $0.8 million increase in rent due to a new office building in Cambridge and rent increase in Ireland, and a $0.8 million increase in software subscriptions. These increases were partially offset by a $2.7 million decrease in commission expense driven by our adoption of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during the year ended December 31, 2018.</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Technology, and Development Expenses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47,866</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25,396</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Product, technology, and development expenses increased $25.4 million, or 113%, in the year ended December 31, 2018 compared to the year ended December 31, 2017. The increase was due primarily to a $13.8 million increase in salaries and employee-related costs resulting from a 59% increase in headcount and payroll taxes of $1.2 million driven by the employer portion of FICA taxes on the exercise of stock awards and vesting of RSUs. This increase for the year ended December 31, 2018 was also due in part to an $8.1 million increase in stock-based compensation expense related to RSUs resulting from the increase in headcount, $0.8 million increase in rent due to a new office building in Cambridge, a $0.5 million increase in software subscriptions and a $0.5 million increase in consulting fees.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39,475</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16,787</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$16.8 million, or 74%, in the year ended December 31, 2018 compared to the year ended December 31, 2017. The increase was due primarily to an increase of $4.7 million of insurance, legal, consulting and external reporting fees driven by costs incurred to comply with public company requirements as well as an increase of $4.4 million in salaries and employee-related costs resulting from a 45% increase in headcount and payroll taxes of $0.3 million driven by the employer portion of FICA taxes on the exercise of stock awards and vesting of RSUs. This increase for the year ended December 31, 2018 was also due in part to a $4.1 million increase in stock-based compensation expense related to RSUs due to the increase in headcount, a $1.8 million increase in payment processing and billing costs due to increased customer transactions with higher billings resulting from revenue growth and a $0.6 million increase in bad debt expense.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2,804</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149</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$0.1 million, or 6%, in the year ended December 31, 2018 compared to the year ended December 31,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7"/>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20" w:type="dxa"/>
            <w:vAlign w:val="bottom"/>
          </w:tcPr>
          <w:p>
            <w:pPr>
              <w:spacing w:after="0"/>
              <w:rPr>
                <w:sz w:val="19"/>
                <w:szCs w:val="19"/>
                <w:color w:val="auto"/>
              </w:rPr>
            </w:pP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Pr>
          <w:p>
            <w:pPr>
              <w:spacing w:after="0"/>
              <w:rPr>
                <w:sz w:val="19"/>
                <w:szCs w:val="19"/>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15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2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0"/>
        </w:trPr>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1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Other income, net increased $1.7 million, or 307%, in the year ended December 31, 2018 compared to the year ended December 31, 2017. The $1.4 million increase in interest income is primarily due to the investment of cash in certificates of deposit, money market funds arising from our increased cash from operations, and an increase in interest rates. The $0.3 million increase in other income (expense) is primarily due the Euro strengthening against the U.S. Dollar in 2017 and remaining relatively flat in 2018.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4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40" w:type="dxa"/>
            <w:vAlign w:val="bottom"/>
            <w:gridSpan w:val="5"/>
          </w:tcPr>
          <w:p>
            <w:pPr>
              <w:jc w:val="right"/>
              <w:ind w:right="102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(39,686)</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8"/>
                <w:szCs w:val="18"/>
                <w:color w:val="auto"/>
              </w:rPr>
              <w:t>(42,324)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4922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benefit from income taxes recorded during the year ended December 31, 2018, as compared to the provision for income taxes recorded during the year ended December 31, 2017, was principally due to $40.8 million in stock-based compensation benefits recorded during the year ended December 31, 2018, as well as an increase in federal and state research and development tax credits and a lower federal statutory tax rate due to The Tax Cuts and Jobs Act, or the TCJA, as compared to year ended December 31,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 by Segment</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7"/>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58,387</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41,586</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(8,884)</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shd w:val="clear" w:color="auto" w:fill="CFF0FC"/>
          </w:tcPr>
          <w:p>
            <w:pPr>
              <w:spacing w:after="0"/>
              <w:rPr>
                <w:sz w:val="19"/>
                <w:szCs w:val="19"/>
                <w:color w:val="auto"/>
              </w:rPr>
            </w:pPr>
          </w:p>
        </w:tc>
        <w:tc>
          <w:tcPr>
            <w:tcW w:w="13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22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segment revenue:</w:t>
            </w:r>
          </w:p>
        </w:tc>
        <w:tc>
          <w:tcPr>
            <w:tcW w:w="1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4922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United States income from operations increased $16.8 million, or 40%, in the year ended December 31, 2018 compared to the year ended December 31, 2017. This increase was due to an increase in revenue of $129.7 million, offset in part by the increases in cost of revenue of $6.8 million and operating expenses of $106.1 million.</w:t>
      </w:r>
    </w:p>
    <w:p>
      <w:pPr>
        <w:spacing w:after="0" w:line="244"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International loss from operations increased $8.9 million, or 34% in the year ended December 31, 2018 compared to the year ended December 31, 2017. The increase in International loss from operations reflects our continued investment into international markets and expansion into new countries.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Year Ended December 31, 2017 Compared to Year Ended December 31,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Source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7"/>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Marketplace subscription</w:t>
            </w:r>
          </w:p>
        </w:tc>
        <w:tc>
          <w:tcPr>
            <w:tcW w:w="17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282,664</w:t>
            </w:r>
          </w:p>
        </w:tc>
        <w:tc>
          <w:tcPr>
            <w:tcW w:w="220" w:type="dxa"/>
            <w:vAlign w:val="bottom"/>
          </w:tcPr>
          <w:p>
            <w:pPr>
              <w:spacing w:after="0"/>
              <w:rPr>
                <w:sz w:val="19"/>
                <w:szCs w:val="19"/>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171,302</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111,362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5"/>
              </w:rPr>
              <w:t>65 %</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and other</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27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316,861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198,141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118,720</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Marketplace subscription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and other</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Overall revenue increased $118.7 million, or 60%, in the year ended December 31, 2017 compared to the year ended December 31,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Marketplace subscription revenue increased by 65% while advertising and other revenue grew by 27%.</w:t>
      </w:r>
    </w:p>
    <w:p>
      <w:pPr>
        <w:spacing w:after="0" w:line="274"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Marketplace subscription revenue increased $111.4 million in the year ended December 31, 2017 compared to the year ended December 31, 2016, and represented 89% of total revenue in 2017 compared to 86% of total revenue in 2016. This increase in marketplace subscription revenue was attributable primarily to a 30% growth in the number of U.S. and International paying dealers, to 27,670 as of December 31, 2017 from 21,301 as of December 31, 2016, and to a 16% growth in our AARSD for U.S. dealers to $12,055 in the year ended December 31, 2017 from $10,383 in the year ended December 31, 2016. We believe that this increase in paying dealers was driven by the overall growth in the number of unique users to our websites and mobile applications and the efforts of our sales and marketing teams to subscribe dealers to our Enhanced and Featured Listing paid products.</w:t>
      </w:r>
    </w:p>
    <w:p>
      <w:pPr>
        <w:spacing w:after="0" w:line="255"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Advertising and other revenue increased $7.4 million in the year ended December 31, 2017 compared to the year ended December 31, 2016, and represented 11% of total revenue in 2017 compared to 14% of total revenue in 2016. The increase in advertising and other revenue was due primarily to a 16% increase in the number of impressions delivered in 2017 and a 28% increase in the average price per thousand impressions in 2017 compared to 2016. The increase was also partially offset by a reduction in other advertising revenue.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Segment</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7"/>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307,472</w:t>
            </w:r>
          </w:p>
        </w:tc>
        <w:tc>
          <w:tcPr>
            <w:tcW w:w="220" w:type="dxa"/>
            <w:vAlign w:val="bottom"/>
          </w:tcPr>
          <w:p>
            <w:pPr>
              <w:spacing w:after="0"/>
              <w:rPr>
                <w:sz w:val="19"/>
                <w:szCs w:val="19"/>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195,824</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22"/>
                <w:szCs w:val="22"/>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198,141</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118,720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4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U.S. revenue increased $111.6 million, or 57%, in the year ended December 31, 2017 compared to the year ended December 31, 2016, due primarily to a 23% increase in the number of U.S. paying dealers and a 16% increase in AARSD for U.S. dealers.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51" w:name="page52"/>
    <w:bookmarkEnd w:id="51"/>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International revenue increased $7.1 million in the year ended December 31, 2017 compared to the year ended December 31, 2016, due primarily to an increase in the number of International paying dealers. International paying dealers grew to 2,548 at December 31, 2017 from 952 at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17,609</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8,034</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6 %</w:t>
            </w:r>
          </w:p>
        </w:tc>
        <w:tc>
          <w:tcPr>
            <w:tcW w:w="4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0" w:firstLine="555"/>
        <w:spacing w:after="0" w:line="258" w:lineRule="auto"/>
        <w:rPr>
          <w:sz w:val="20"/>
          <w:szCs w:val="20"/>
          <w:color w:val="auto"/>
        </w:rPr>
      </w:pPr>
      <w:r>
        <w:rPr>
          <w:rFonts w:ascii="Times New Roman" w:cs="Times New Roman" w:eastAsia="Times New Roman" w:hAnsi="Times New Roman"/>
          <w:sz w:val="18"/>
          <w:szCs w:val="18"/>
          <w:color w:val="auto"/>
        </w:rPr>
        <w:t>Cost of revenue increased $8.0 million, or 84%, in the year ended December 31, 2017 compared to the year ended December 31, 2016. The increase was due primarily to a $2.4 million increase in employee-related costs for our customer support team to support the growth in customers, a $1.9 million increase in fees related to provisioning advertising campaigns on our websites, a $1.3 million increase in costs related to connecting consumers with dealers through a variety of methods, including phone calls, email, and managed text and chat, a $0.9 million increase in costs to improve the content on our websites, a $0.8 million increase for data center and hosting costs, and a $0.5 million increase in amortization of website development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236,165</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154,125</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82,040</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74 %</w:t>
            </w:r>
          </w:p>
        </w:tc>
        <w:tc>
          <w:tcPr>
            <w:tcW w:w="4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firstLine="555"/>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$82.0 million, or 53%, in the year ended December 31, 2017 compared to the year ended December 31, 2016. This increase was due primarily to an increase in advertising costs of $61.0 million, a $12.8 million increase in salaries, commissions, and related expenses due to our increased revenue and a 21% increase in headcount, a $2.0 million increase in expenses related to marketing events and activities, a $1.7 million increase in consulting fees, a $1.0 million increase in rent due to the expansion of our office space, and a $0.8 million increase in software subscriptions. The increase for the year ended December 31, 2017 was also due to a $1.7 million increase in stock-based compensation expense primarily due to the recognition of expense related to RSUs with a performance condition satisfied on the effectiveness of the registration statement for our IPO. Although the performance-based vesting condition was satisfied, under the terms of the awards, the settlement of such vested RSUs and the issuance of common stock with respect to such vested RSUs will occur on April 10, 2018, one hundred eighty-one days after the satisfaction of the performance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Technology, and Development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22,470</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11,017</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2" w:right="219" w:bottom="1440" w:gutter="0" w:footer="0" w:header="0"/>
        </w:sectPr>
      </w:pPr>
    </w:p>
    <w:bookmarkStart w:id="52" w:name="page53"/>
    <w:bookmarkEnd w:id="52"/>
    <w:p>
      <w:pPr>
        <w:jc w:val="both"/>
        <w:ind w:right="20" w:firstLine="555"/>
        <w:spacing w:after="0" w:line="258" w:lineRule="auto"/>
        <w:rPr>
          <w:sz w:val="20"/>
          <w:szCs w:val="20"/>
          <w:color w:val="auto"/>
        </w:rPr>
      </w:pPr>
      <w:r>
        <w:rPr>
          <w:rFonts w:ascii="Times New Roman" w:cs="Times New Roman" w:eastAsia="Times New Roman" w:hAnsi="Times New Roman"/>
          <w:sz w:val="18"/>
          <w:szCs w:val="18"/>
          <w:color w:val="auto"/>
        </w:rPr>
        <w:t>Product, technology, and development expenses increased $11.0 million, or 96%, in the year ended December 31, 2017 compared to the year ended December 31, 2016. The increase was due primarily to an increase in salaries and related employment expenses due to a 68% increase in headcount to support our growth and product innovations. The increase for the year ended December 31, 2017 was also due to a $1.7 million increase in stock-based compensation expense primarily due to the recognition of expense related to RSUs with a performance condition satisfied on the effectiveness of the registration statement for our IPO.</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22,688</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9,905</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0" w:firstLine="555"/>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$9.9 million, or 77%, in the year ended December 31, 2017 compared to the year ended December 31, 2016. The change primarily reflected an increase of $5.0 million of salaries and employee-related costs as a result of our 81% increase in headcount as we continued to grow our business and require additional personnel to support our expanded operations, a $1.4 million increase in payment processing and billing costs due to increased customer transactions with higher billings, a $1.1 million increase in external consulting and insurance fees driven by costs incurred to comply with public company requirements, and a $0.6 million increase in bad debt expense. The increase for the year ended December 31, 2017 was also due to a $1.3 million increase in stock-based compensation expense primarily due to the recognition of expense related to RSUs with a performance condition satisfied on the effectiveness of the registration statement for our IPO.</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2,655</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1,021</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1 %</w:t>
            </w:r>
          </w:p>
        </w:tc>
        <w:tc>
          <w:tcPr>
            <w:tcW w:w="4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40" w:firstLine="55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$1.0 million, or 62%, in the year ended December 31, 2017 compared to the year ended December 31, 2016, due primarily to increased depreciation of additional leasehold improvements.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7"/>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Pr>
          <w:p>
            <w:pPr>
              <w:spacing w:after="0"/>
              <w:rPr>
                <w:sz w:val="19"/>
                <w:szCs w:val="19"/>
                <w:color w:val="auto"/>
              </w:rPr>
            </w:pP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9"/>
                <w:szCs w:val="19"/>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15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3600" w:type="dxa"/>
            <w:vAlign w:val="bottom"/>
            <w:vMerge w:val="continue"/>
          </w:tcPr>
          <w:p>
            <w:pPr>
              <w:spacing w:after="0"/>
              <w:rPr>
                <w:sz w:val="22"/>
                <w:szCs w:val="22"/>
                <w:color w:val="auto"/>
              </w:rPr>
            </w:pPr>
          </w:p>
        </w:tc>
        <w:tc>
          <w:tcPr>
            <w:tcW w:w="1520" w:type="dxa"/>
            <w:vAlign w:val="bottom"/>
            <w:vMerge w:val="continue"/>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5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2" w:right="219" w:bottom="1440" w:gutter="0" w:footer="0" w:header="0"/>
        </w:sectPr>
      </w:pPr>
    </w:p>
    <w:bookmarkStart w:id="53" w:name="page54"/>
    <w:bookmarkEnd w:id="53"/>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Other income, net increased $0.2 million, or 51%, in the year ended December 31, 2017 compared to the year ended December 31, 2016. The $0.5 million increase in interest income is primarily due to the investment of cash in certificates of deposit and money market funds arising from our increased cash from operations and the funds raised in our IPO. The $0.3 million decrease in other income (expense) is primarily due to losses on foreign currency transactions, primarily a result of the U.S. Dollar weakening against the Euro.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2,638</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190</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provision for income taxes increased $0.2 million, or 8%, in the year ended December 31, 2017 compared to the year ended December 31, 2016. In 2017, we recorded a tax provision on earnings with an effective tax rate of 16.7% compared to 27.4% in 2016. Our lower effective tax rate during 2017 is primarily the result of discrete items recorded including IPO deductible costs and higher excess tax deductions relating to stock-based compensation awards. Our lower effective tax rate during 2017 was also driven by higher R&amp;D tax credits.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 by Segment</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7"/>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41,586</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(7,422)</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shd w:val="clear" w:color="auto" w:fill="CFF0FC"/>
          </w:tcPr>
          <w:p>
            <w:pPr>
              <w:spacing w:after="0"/>
              <w:rPr>
                <w:sz w:val="19"/>
                <w:szCs w:val="19"/>
                <w:color w:val="auto"/>
              </w:rPr>
            </w:pPr>
          </w:p>
        </w:tc>
        <w:tc>
          <w:tcPr>
            <w:tcW w:w="13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22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segment revenue:</w:t>
            </w:r>
          </w:p>
        </w:tc>
        <w:tc>
          <w:tcPr>
            <w:tcW w:w="1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4922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U.S. income from operations increased $14.1 million, or 51%, in the year ended December 31, 2017 compared to the year ended December 31, 2016. This increase was due to an increase in revenue of $111.6 million, offset in part by the increases in cost of revenue of $6.5 million and operating expenses of $91.0 million.</w:t>
      </w:r>
    </w:p>
    <w:p>
      <w:pPr>
        <w:spacing w:after="0" w:line="244"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International loss from operations increased $7.4 million in the year ended December 31, 2017 compared to the year ended December 31, 2016. The increase in International loss from operations reflects our continued investment into international markets and expansion into new countries.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At December 31, 2018 and 2017, our principal sources of liquidity were cash and cash equivalents of $34.9 million and $87.7 million, respectively and investments in certificates of deposit with terms of greater than 90 days but less than one year of $122.8 million and $50.0 million, respectively.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consolidated statements of cash flows, are summarized in the following table:</w:t>
      </w:r>
    </w:p>
    <w:p>
      <w:pPr>
        <w:spacing w:after="0" w:line="18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(80,278)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(51,992)</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(23,395)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on cash</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05"/>
        </w:trPr>
        <w:tc>
          <w:tcPr>
            <w:tcW w:w="20" w:type="dxa"/>
            <w:vAlign w:val="bottom"/>
          </w:tcPr>
          <w:p>
            <w:pPr>
              <w:spacing w:after="0"/>
              <w:rPr>
                <w:sz w:val="17"/>
                <w:szCs w:val="17"/>
                <w:color w:val="auto"/>
              </w:rPr>
            </w:pPr>
          </w:p>
        </w:tc>
        <w:tc>
          <w:tcPr>
            <w:tcW w:w="45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(decrease) increase in cash, cash equivalents, and</w:t>
            </w: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(51,994)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58,032</w:t>
            </w: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(31,343)</w:t>
            </w: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operations have been financed primarily from operating activities, sales of preferred stock and our IPO. We generated cash from operating activities of $51.7 million during 2018, $25.7 million during 2017 and $20.0 million during 2016, and we expect to generate cash from operations for the foreseeable future.</w:t>
      </w:r>
    </w:p>
    <w:p>
      <w:pPr>
        <w:spacing w:after="0" w:line="230"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believe that our existing sources of liquidity will be sufficient to fund our operations for at least the next 12 months from the date of the filing of this Annual Report on Form 10-K. However, our future capital requirements will depend on many factors, including our rate of revenue growth, the expansion of our sales and marketing activities, the support of our product, technology, and development efforts, and the timing and extent of our investment in international markets. To the extent that existing cash, cash equivalents, and investments and cash from operations are insufficient to fund our future activities, we may need to raise additional funds through public or private equity or debt financing. Additional funds may not be available on terms favorable to us, or at all.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during 2018 was $51.7 million, due primarily to net income of $65.2 million, adjusted for non-cash items including $20.8 million of stock-based compensation expense, $5.0 million of depreciation and amortization and $3.7 of amortization of deferred contract costs due to the adoption of ASC 606, partially offset by $39.0 million of deferred taxes. Cash provided by operating activities was also attributable to a $9.3 million increase in accounts payable, a $4.5 million increase in deferred revenue and a $4.3 million increase in deferred rent, partially offset by a $13.0 million increase in deferred contract costs resulting from the adoption of ASC 606, and an $11.8 million increase prepaid expenses, prepaid income taxes, and other assets.</w:t>
      </w:r>
    </w:p>
    <w:p>
      <w:pPr>
        <w:spacing w:after="0" w:line="18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during 2017 was $25.7 million, due primarily to net income of $13.2 million, non-cash items including $5.0 million of stock-based compensation expense and $3.8 million of depreciation and amortization, a $6.2 million increase in accounts payable, and a $5.2 million increase in accrued expenses. These increases were partially offset by a $7.0 million increase in accounts receivable and a $2.3 million increase in prepaid expenses and other assets.</w:t>
      </w:r>
    </w:p>
    <w:p>
      <w:pPr>
        <w:spacing w:after="0" w:line="180"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during 2016 was $20.0 million. This was due primarily to net income of $6.5 million, an increase in accounts payable of $5.8 million, primarily related to higher marketing costs, an increase in accrued expenses of $4.1 million due to higher accrued bonuses and commissions, an increase of $1.9 million in deferred revenue related to customer prepayments, and an increase in deferred rent of $1.9 million related to new office space. These increases were partially offset by a $2.2 million increase in prepaid expenses primarily related to income tax payments and a $1.4 million increase in accounts receivable due to revenue growth.</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2"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Our investing activities consist primarily of purchases of property and equipment, capitalized website development costs,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55" w:name="page56"/>
    <w:bookmarkEnd w:id="55"/>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$80.3 million during 2018 was due to $212.8 million of investments in certificates of deposit, net of maturities of $140.0 million, $6.0 million of investments in furniture, computer equipment, and leasehold improvements, and $1.5 million related to the capitalization of website development costs.</w:t>
      </w:r>
    </w:p>
    <w:p>
      <w:pPr>
        <w:spacing w:after="0" w:line="17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$12.6 million during 2017 was due to $50.0 million of investments in certificates of deposit, net of maturities of $44.8 million, $5.2 million of investments in furniture, computer equipment, and leasehold improvements, and $2.2 million related to the capitalization of website development costs.</w:t>
      </w:r>
    </w:p>
    <w:p>
      <w:pPr>
        <w:spacing w:after="0" w:line="17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$52.0 million during 2016 was due to $59.8 million of investments in certificates of deposit, net of maturities of $15.0 million, $5.8 million of investments in furniture, computer equipment, and leasehold improvements, and $1.4 million related to the capitalization of website development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$23.4 million during 2018 reflects $25.9 million of payment of withholding taxes on net share settlements of equity awards, and a $1.1 million payment of IPO costs, partially offset by $3.6 million related to the proceeds from the exercise of stock options.</w:t>
      </w:r>
    </w:p>
    <w:p>
      <w:pPr>
        <w:spacing w:after="0" w:line="162"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$44.8 million during 2017 primarily reflects $44.4 million of IPO proceeds, net of offering costs and $0.4 million related to the proceeds from the exercise of stock options.</w:t>
      </w:r>
    </w:p>
    <w:p>
      <w:pPr>
        <w:spacing w:after="0" w:line="162"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of $0.7 million during 2016 primarily reflects $59.7 million of proceeds from the issuance of Series E Preferred Stock, net of issuance costs, and a tax benefit of $0.8 million related to the exercise of stock options, which was partially offset by $60.0 million used for the repurchase of previously issued preferred stock, common stock, vested options, and restricted stock units.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Known Future Cash Requirements</w:t>
      </w:r>
    </w:p>
    <w:p>
      <w:pPr>
        <w:spacing w:after="0" w:line="121" w:lineRule="exact"/>
        <w:rPr>
          <w:sz w:val="20"/>
          <w:szCs w:val="20"/>
          <w:color w:val="auto"/>
        </w:rPr>
      </w:pPr>
    </w:p>
    <w:p>
      <w:pPr>
        <w:jc w:val="both"/>
        <w:ind w:firstLine="555"/>
        <w:spacing w:after="0" w:line="224" w:lineRule="exact"/>
        <w:rPr>
          <w:sz w:val="20"/>
          <w:szCs w:val="20"/>
          <w:color w:val="auto"/>
        </w:rPr>
      </w:pPr>
      <w:r>
        <w:rPr>
          <w:rFonts w:ascii="Times New Roman" w:cs="Times New Roman" w:eastAsia="Times New Roman" w:hAnsi="Times New Roman"/>
          <w:sz w:val="18"/>
          <w:szCs w:val="18"/>
          <w:color w:val="auto"/>
        </w:rPr>
        <w:t>Our lease obligations consist of various leases for office space in Cambridge, Massachusetts; Detroit, Michigan; and Dublin, Ireland with various lease terms through October 2033. The terms of our Massachusetts lease agreements provide for rental payments that increase on an annual basis. We recognize rent expense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period. We do not have any debt or material capital lease obligations as of December 31, 2018 and all of our property, equipment, and software have been purchased with cash, with the exception of $5.3 million of unpaid property and equipment costs at December 31, 2018. We have no material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purchase obligations outstanding with any vendors or third parties.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information concerning our known contractual obligations at December 31, 2018 that are fixed and determinable.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80" w:type="dxa"/>
            <w:vAlign w:val="bottom"/>
          </w:tcPr>
          <w:p>
            <w:pPr>
              <w:spacing w:after="0"/>
              <w:rPr>
                <w:sz w:val="13"/>
                <w:szCs w:val="13"/>
                <w:color w:val="auto"/>
              </w:rPr>
            </w:pPr>
          </w:p>
        </w:tc>
        <w:tc>
          <w:tcPr>
            <w:tcW w:w="10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87,975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87,975</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 further described in Note 14 of our Consolidated Financial Statements included in Item 8 of this Annual Report on Form 10-K, on January 8, 2019 we completed an acquisition pursuant to which we paid an aggregate of 15.0 million GBP, or approximately $19.1 million, which amount is inclusive of 1.0 million GBP, or approximately $1.3 million, that will be held in escrow to secure post-closing claims.</w:t>
      </w:r>
    </w:p>
    <w:p>
      <w:pPr>
        <w:spacing w:after="0" w:line="31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117"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As of December 31, 2018 and 2017, we did not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except for operating leases entered into in the normal course of business, that have or are reasonably likely to have a current or future material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in accordance with GAAP, we are required to make estimates and assumptions that affect the amounts of assets, liabilities, revenue, costs and expenses, and disclosure of contingent assets and liabilities that are reported in the consolidated financial statements and accompanying disclosures. We evaluate our estimates and assumptions on an ongoing basis. Our actual results may differ from these estimates.</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2 to the notes to our consolidated financial statements included elsewhere in this Annual Report on Form 10-K, the following accounting policies involve a greater degree of judgment and complexity. Accordingly, these are the policies we believe are the most critical to aid in fully understanding and evaluating our consolidated financial condition and results of our operations.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55"/>
        <w:spacing w:after="0" w:line="229" w:lineRule="exact"/>
        <w:rPr>
          <w:sz w:val="20"/>
          <w:szCs w:val="20"/>
          <w:color w:val="auto"/>
        </w:rPr>
      </w:pPr>
      <w:r>
        <w:rPr>
          <w:rFonts w:ascii="Times New Roman" w:cs="Times New Roman" w:eastAsia="Times New Roman" w:hAnsi="Times New Roman"/>
          <w:sz w:val="18"/>
          <w:szCs w:val="18"/>
          <w:color w:val="auto"/>
        </w:rPr>
        <w:t>We derive revenue from two primary sources: (1) marketplace subscription revenue, which consists of listing subscriptions, display advertising subscriptions with dealers and dealer search engine marketing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We offer three types of marketplace Listing products to dealers: Basic Listing, which is free; and Enhanced or Featured Listing, which require a paid subscription under a monthly, quarterly, semiannual, or annual subscription basis. Contractual subscriptions for customers generally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renew on a monthly basis and are cancellable by dealers with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days’ advance notice. We also offer Listing dealers access to the Dealer Dashboard, which includes a performance summary, Dealer Insights tool, user review management platform, Pricing Tool, and Market Analysis tool. The Pricing Tool and Market Analysis tool are available only to paying dealers. Subscription pricing is determined based on a dealer’s inventory size, region, and our assessment of the connections and ROI the platform will provide them.</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Customers do not have the right to take possession of our software.</w:t>
      </w:r>
    </w:p>
    <w:p>
      <w:pPr>
        <w:spacing w:after="0" w:line="225"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 addition to listing inventory in the marketplace and providing access to the Dealer Dashboard, we offer Enhanced and Featured Listing dealers other subscription advertising and customer acquisition products, including display advertising that appears in our marketplace and on other sites on the internet. This advertising can be targeted by geography, search history, and a number of other factors, and dealer search engine marketing, which helps dealers more effectively acquire customers through paid search, social media, and retargeted advertising.</w:t>
      </w:r>
    </w:p>
    <w:p>
      <w:pPr>
        <w:spacing w:after="0" w:line="180"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Payment is typically due on first day of each calendar month and is recorded as accounts receivable or short-term deferred revenue when payment is received in advance of services being delivered to the customers.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Pricing is primarily based on advertisement size and position on our websites and mobile applications, and fees are billed monthly in arrears. Unbilled accounts receivables relate to services rendered in the current period, but not invoiced until the subsequent period.</w:t>
      </w:r>
    </w:p>
    <w:p>
      <w:pPr>
        <w:spacing w:after="0" w:line="18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sell advertising directly to auto manufacturers and other auto related brand advertisers, as well as indirectly through revenue sharing arrangements with advertising exchange partners. Company-sold advertising is not subject to revenue sharing arrangements. Company-sold advertising revenue is recognized based on the gross amount charged to the advertiser. Partner-sold advertising revenue is recognized based on the net amount of revenue received from the content partners.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7" w:name="page58"/>
    <w:bookmarkEnd w:id="57"/>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Revenue from advertising sold directly by us is recorded on a gross basis because we are the principal in the arrangement, control the ad placement and timing of the campaign, and establish the selling price. We enter into contractual arrangements directly with advertisers and are directly responsible for the fulfillment of the contractual terms including any remedy for issues with such fulfillment.</w:t>
      </w:r>
    </w:p>
    <w:p>
      <w:pPr>
        <w:spacing w:after="0" w:line="176"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Advertising revenue subject to revenue sharing agreements between us and advertising exchange partners is recognized based on the net amount of revenue received from the partner. The advertising partner is responsible for fulfillment, including the acceptability of the services delivered. In partner-sold advertising arrangements, the advertising partner has a direct contractual relationship with the advertiser. There is no contractual relationship between us and the advertiser for partner sold transactions. When an advertising exchange partner sells advertisements, the partner is responsible for fulfilling the advertisements, and accordingly, we have determined the advertising partner is the principal in the arrangement. Additionally, for auction-based partner agreements, we have latitude in establishing the floor price, but the final price is established by the exchange server are market rates.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Customers are billed monthly in arrears and payment terms are generally thirty to sixty days from the date invoiced.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to adoption of ASC 606</w:t>
      </w:r>
    </w:p>
    <w:p>
      <w:pPr>
        <w:spacing w:after="0" w:line="117"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recognize revenue when all of the following conditions are satisfied: (1) there is persuasive evidence of an arrangement; (2) the service has been provided to the customer; (3) the collection of fees is reasonably assured; and (4) the amount of fees to be paid by the customer is fixed or determinable.</w:t>
      </w:r>
    </w:p>
    <w:p>
      <w:pPr>
        <w:spacing w:after="0" w:line="162"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recognize marketplace subscription revenue on a monthly basis as revenue is earned and advertising and other revenue as impressions are delivered. Revenue is presented net of any taxes collected from customers.</w:t>
      </w:r>
    </w:p>
    <w:p>
      <w:pPr>
        <w:spacing w:after="0" w:line="133" w:lineRule="exact"/>
        <w:rPr>
          <w:sz w:val="20"/>
          <w:szCs w:val="20"/>
          <w:color w:val="auto"/>
        </w:rPr>
      </w:pPr>
    </w:p>
    <w:p>
      <w:pPr>
        <w:jc w:val="both"/>
        <w:ind w:firstLine="555"/>
        <w:spacing w:after="0" w:line="223" w:lineRule="exact"/>
        <w:rPr>
          <w:sz w:val="20"/>
          <w:szCs w:val="20"/>
          <w:color w:val="auto"/>
        </w:rPr>
      </w:pPr>
      <w:r>
        <w:rPr>
          <w:rFonts w:ascii="Times New Roman" w:cs="Times New Roman" w:eastAsia="Times New Roman" w:hAnsi="Times New Roman"/>
          <w:sz w:val="18"/>
          <w:szCs w:val="18"/>
          <w:color w:val="auto"/>
        </w:rPr>
        <w:t>We assess arrangements with multiple deliverables under ASU No. 2009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Revenue Recognition (Topic 605), </w:t>
      </w:r>
      <w:r>
        <w:rPr>
          <w:rFonts w:ascii="Times New Roman" w:cs="Times New Roman" w:eastAsia="Times New Roman" w:hAnsi="Times New Roman"/>
          <w:sz w:val="18"/>
          <w:szCs w:val="18"/>
          <w:i w:val="1"/>
          <w:iCs w:val="1"/>
          <w:color w:val="auto"/>
        </w:rPr>
        <w:t>Multiple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Deliverable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 a Consensus of the FASB Emerging Issues Task Force</w:t>
      </w:r>
      <w:r>
        <w:rPr>
          <w:rFonts w:ascii="Times New Roman" w:cs="Times New Roman" w:eastAsia="Times New Roman" w:hAnsi="Times New Roman"/>
          <w:sz w:val="18"/>
          <w:szCs w:val="18"/>
          <w:color w:val="auto"/>
        </w:rPr>
        <w:t>. Pursuant to ASU 2009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in order to treat deliverables in a multiple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as separate units of accounting, the deliverables must have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value upon delivery. If the deliverables have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value upon delivery, we account for each deliverable separately. We have concluded that each element in the arrangement has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value as the individual services can be sold separately. In addition, there is no right of refund once a service has been delivered. Therefore, we have concluded each element of the arrangement is a separate unit of accounting. While these arrangements are considered multiple element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arrangements, the recognition of the units of accounting follow a consistent ratable recognition given the pattern over which services are provided.</w:t>
      </w:r>
    </w:p>
    <w:p>
      <w:pPr>
        <w:spacing w:after="0" w:line="200"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establish sales allowances at the time of revenue recognition based on our history of adjustments and credits provided to our customers. Sales allowances relate primarily to credits issued for service interruption. In assessing the adequacy of the sales allowance, we evaluate our history of adjustments and credits made through the date of the issuance of the financial statements. Estimated sales adjustments and credits and ultimate losses may vary from actual results which could be material to the financial statements; however, to date, actual sales allowances have been materially consistent with our estimates. Sales allowances are recorded as a reduction to revenue in the consolidated statements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 adoption of ASC 606</w:t>
      </w:r>
    </w:p>
    <w:p>
      <w:pPr>
        <w:spacing w:after="0" w:line="115"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or FASB, issued ASU No. 2014-09, </w:t>
      </w:r>
      <w:r>
        <w:rPr>
          <w:rFonts w:ascii="Times New Roman" w:cs="Times New Roman" w:eastAsia="Times New Roman" w:hAnsi="Times New Roman"/>
          <w:sz w:val="18"/>
          <w:szCs w:val="18"/>
          <w:i w:val="1"/>
          <w:iCs w:val="1"/>
          <w:color w:val="auto"/>
        </w:rPr>
        <w:t>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which modifies how all entities recognize revenue, and consolidates revenue recognition guidance into one ASC Topic (ASC Topic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Since we ceased to be an emerging growth company as of December 31, 2018, we adopted the standard during the fourth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2018 and applied the modified retrospective method of adoption with a cumulative catch-up adjustment to the opening balance of retained earnings at January 1, 2018. Under this method, we applied the revised guidance for the year of adoption and applied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or ASC 605, in the prior years. As a result, we applied ASC 606 only to contracts that were not yet completed as of January 1, 2018. We recognized a cumulative catch-up adjustment to the opening balance of retained earnings at the effective date for contracts that still required performance by us on January 1, 2018. For contracts that were modified before the effective date, we exercised the use of the practical expedient and reflected the aggregate effect of all modifications when identifying performance obligations, determining the transaction price and allocating transaction price, which did not have a material effect on the adjustment to retained earnings.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ASC 606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To achieve this core principle, we apply the following five steps:</w:t>
      </w:r>
    </w:p>
    <w:p>
      <w:pPr>
        <w:spacing w:after="0" w:line="66" w:lineRule="exact"/>
        <w:rPr>
          <w:sz w:val="20"/>
          <w:szCs w:val="20"/>
          <w:color w:val="auto"/>
        </w:rPr>
      </w:pPr>
    </w:p>
    <w:p>
      <w:pPr>
        <w:ind w:left="960" w:hanging="398"/>
        <w:spacing w:after="0"/>
        <w:tabs>
          <w:tab w:leader="none" w:pos="9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contract with a customer</w:t>
      </w:r>
    </w:p>
    <w:p>
      <w:pPr>
        <w:spacing w:after="0" w:line="117" w:lineRule="exact"/>
        <w:rPr>
          <w:rFonts w:ascii="Times New Roman" w:cs="Times New Roman" w:eastAsia="Times New Roman" w:hAnsi="Times New Roman"/>
          <w:sz w:val="18"/>
          <w:szCs w:val="18"/>
          <w:i w:val="1"/>
          <w:iCs w:val="1"/>
          <w:color w:val="auto"/>
        </w:rPr>
      </w:pPr>
    </w:p>
    <w:p>
      <w:pPr>
        <w:ind w:left="960" w:hanging="398"/>
        <w:spacing w:after="0"/>
        <w:tabs>
          <w:tab w:leader="none" w:pos="9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performance obligations in the contract</w:t>
      </w:r>
    </w:p>
    <w:p>
      <w:pPr>
        <w:spacing w:after="0" w:line="117" w:lineRule="exact"/>
        <w:rPr>
          <w:rFonts w:ascii="Times New Roman" w:cs="Times New Roman" w:eastAsia="Times New Roman" w:hAnsi="Times New Roman"/>
          <w:sz w:val="18"/>
          <w:szCs w:val="18"/>
          <w:i w:val="1"/>
          <w:iCs w:val="1"/>
          <w:color w:val="auto"/>
        </w:rPr>
      </w:pPr>
    </w:p>
    <w:p>
      <w:pPr>
        <w:ind w:left="960" w:hanging="398"/>
        <w:spacing w:after="0"/>
        <w:tabs>
          <w:tab w:leader="none" w:pos="9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Determine the transaction price</w:t>
      </w:r>
    </w:p>
    <w:p>
      <w:pPr>
        <w:spacing w:after="0" w:line="117" w:lineRule="exact"/>
        <w:rPr>
          <w:rFonts w:ascii="Times New Roman" w:cs="Times New Roman" w:eastAsia="Times New Roman" w:hAnsi="Times New Roman"/>
          <w:sz w:val="18"/>
          <w:szCs w:val="18"/>
          <w:i w:val="1"/>
          <w:iCs w:val="1"/>
          <w:color w:val="auto"/>
        </w:rPr>
      </w:pPr>
    </w:p>
    <w:p>
      <w:pPr>
        <w:ind w:left="960" w:hanging="398"/>
        <w:spacing w:after="0"/>
        <w:tabs>
          <w:tab w:leader="none" w:pos="9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Allocate the transaction price to performance obligations in the contract</w:t>
      </w:r>
    </w:p>
    <w:p>
      <w:pPr>
        <w:spacing w:after="0" w:line="117" w:lineRule="exact"/>
        <w:rPr>
          <w:rFonts w:ascii="Times New Roman" w:cs="Times New Roman" w:eastAsia="Times New Roman" w:hAnsi="Times New Roman"/>
          <w:sz w:val="18"/>
          <w:szCs w:val="18"/>
          <w:i w:val="1"/>
          <w:iCs w:val="1"/>
          <w:color w:val="auto"/>
        </w:rPr>
      </w:pPr>
    </w:p>
    <w:p>
      <w:pPr>
        <w:ind w:left="960" w:hanging="398"/>
        <w:spacing w:after="0"/>
        <w:tabs>
          <w:tab w:leader="none" w:pos="9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we satisfy a performance obligation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revenue from contracts with customers by revenue source for the year ended December 31, 2018.</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Revenue by Revenue Stream</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Marketplace subscription revenue</w:t>
      </w:r>
    </w:p>
    <w:p>
      <w:pPr>
        <w:spacing w:after="0" w:line="2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Advertising and other revenue</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2660" w:type="dxa"/>
            <w:vAlign w:val="bottom"/>
          </w:tcPr>
          <w:p>
            <w:pPr>
              <w:jc w:val="right"/>
              <w:ind w:right="115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448"/>
        </w:trPr>
        <w:tc>
          <w:tcPr>
            <w:tcW w:w="5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405,780</w:t>
            </w:r>
          </w:p>
        </w:tc>
      </w:tr>
      <w:tr>
        <w:trPr>
          <w:trHeight w:val="234"/>
        </w:trPr>
        <w:tc>
          <w:tcPr>
            <w:tcW w:w="5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48,306</w:t>
            </w:r>
          </w:p>
        </w:tc>
      </w:tr>
      <w:tr>
        <w:trPr>
          <w:trHeight w:val="223"/>
        </w:trPr>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454,086</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-625475</wp:posOffset>
            </wp:positionV>
            <wp:extent cx="506857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68570" cy="154305"/>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-325120</wp:posOffset>
            </wp:positionV>
            <wp:extent cx="506857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980"/>
          </w:cols>
          <w:pgMar w:left="240" w:top="337" w:right="239" w:bottom="1440" w:gutter="0" w:footer="0" w:header="0"/>
          <w:type w:val="continuous"/>
        </w:sectPr>
      </w:pPr>
    </w:p>
    <w:p>
      <w:pPr>
        <w:spacing w:after="0" w:line="52"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provide disaggregation of revenue based on the marketplace subscription versus advertising and other revenue classification in the table above and based on geographic region (see Note 11) as we believe these categories best depict how the nature, amount, timing and uncertainty of revenue and cash flows are affected by economic factors.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For dealer listings, we provide a single similar service each day for a period of time. Each time increment (i.e. day), rather than the underlying activities, is distinct and substantially the same and therefore our performance obligation is to provide a series of daily activities over the contract term. Similar to the dealer listings, the display advertising is considered a promise to provide a single similar service each day. Each time increment is distinct and substantially the same and therefore our performance obligation is to provide a series of daily activities over the contract term.</w:t>
      </w:r>
    </w:p>
    <w:p>
      <w:pPr>
        <w:spacing w:after="0" w:line="180"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Total consideration for marketplace subscription revenue is stated within the contracts. There are no contractual cash refund rights, but credits may be issued to a customer at our sole discretion. At an individual contract level, there is also no variable consideration, such as sales allowance, that needs to be included in the transaction price. However, at a portfolio level, we recognize that there are times when there is a customer satisfaction issue or other circumstance that will lead to a credit. Due to the known possibility of future credits, a monthly sales allowance review is performed to defer revenue at a portfolio level for such future adjustments in the period of incurrence. We establish sales allowances at the time of revenue recognition based on our history of adjustments and credits provided to our customers. In assessing the adequacy of the sales allowance, we evaluate our history of adjustments and credits made through the date of the issuance of the financial statements. Estimated sales adjustments, credits and losses may vary from actual results which could lead to material adjustments to the financial statements. To date, actual sales allowances have been materially consistent with our estimates. Sales allowances are recorded as a reduction to revenue in the consolidated statements of operations.</w:t>
      </w:r>
    </w:p>
    <w:p>
      <w:pPr>
        <w:spacing w:after="0" w:line="18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Performance obligations are satisfied over time as the customer simultaneously receives and consumes the benefit of the service. Revenue is recognized ratably over the subscription period beginning on the date our online products are made available to the customers. Revenue is presented net of any taxes collected from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advertising revenue, the performance obligation is to publish the agreed upon campaign on our websites and load the related impressions.</w:t>
      </w:r>
    </w:p>
    <w:p>
      <w:pPr>
        <w:spacing w:after="0" w:line="225"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Advertising contracts state the transaction price within the agreement with payment being based on the number of clicks or impressions delivered on our websites. Total consideration is based on output and deemed variable consideration constrained by an agreed upon delivery schedule. Additionally, there are generally no contractual cash refund rights. Certain contracts do contain the right for credits in situations in which impressions are not displayed in compliance with contractual specifications. At an individual contract level, we may give a credit for a customer satisfaction issue or other circumstance. Due to the known possibility of future credits, a monthly review is performed to defer revenue at an individual contract level for such future adjustments in the period of incurrence.</w:t>
      </w:r>
    </w:p>
    <w:p>
      <w:pPr>
        <w:spacing w:after="0" w:line="188"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As consideration is driven by the number of impressions delivered on the CarGurus websites, the consideration for each period is allocated to the period in which the service was rendered.</w:t>
      </w:r>
    </w:p>
    <w:p>
      <w:pPr>
        <w:spacing w:after="0" w:line="162"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Performance obligations for company-sold advertising revenue and partner-sold advertising revenue are satisfied over time as impressions are delivered. Revenue is recognized based on the total number of impressions delivered within the specified period. Revenue from advertising sold directly by us is recognized based on the gross amount charged to the advertiser and advertising revenue sold by partners is recognized based on the net amount of revenue received from the content partners. Revenue is presented net of any taxes collected from customers.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other revenue, performance obligations are satisfied over time as services are rendered and revenue is recognized as it is earned.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periodically enter into arrangements that include Dealer Listing and Display within marketplace subscription revenue. These contracts include multiple promises that we evaluate to determine if the promises are separate performance obligations. Performance obligations are identified based on services to be transferred to a customer that are distinct within the context of the contractual terms. Once the performance obligations have been identified, we determine the transaction price, which includes estimating the amount of variable consideration to be included in the transaction price, if any. If required, the transaction price is allocated to each performance obligation in the contract based on a relative SSP method as the performance obligation is being satisfied. For our arrangements that include Dealer Listing and Display, the performance obligations were satisfied over a consistent period of time and therefore the allocations did not impact the revenue recognized.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Commissions paid to sales representatives and payroll taxes are considered costs to obtain a contract. Under the new guidance, the costs to obtain a contract require capitalization and amortization of those costs over the period of benefit. Although the new guidance specifies the accounting for an individual contract with a customer, as a practical expedient, we have opted to apply the guidance to a portfolio of contracts with similar characteristics. We have opted to apply another practical expedient to immediately expense the incremental cost of obtaining a contract when the underlying related asset would have been amortized over one year or less. As such, we applied this practical expedient to advertising contracts as the term is one year or less and these contracts do not renew automatically. The practical expedient is not applicable to marketplace subscription contracts as the period of benefit including renewals is anticipated to be greater than one year as commissions paid on contract renewals are not commensurate with the commissions paid on the initial contract. The assets are periodically assessed for impairment.</w:t>
      </w:r>
    </w:p>
    <w:p>
      <w:pPr>
        <w:spacing w:after="0" w:line="185"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For marketplace subscription customers, the commissions paid on contracts with new customers, in addition to any commission amount related to incremental sales, are capitalized and amortized over the estimated benefit period of the customer relationship taking into account factors such as peer estimates of technology lives and customer lives as well as our own historical data. Commissions paid that are not directly related to obtaining a new contract are expensed as incurred.</w:t>
      </w:r>
    </w:p>
    <w:p>
      <w:pPr>
        <w:spacing w:after="0" w:line="180"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Additionally, we allocate employer payroll tax expense to the commission expense in proportion to the overall payroll taxes paid during the respective period. As such, capitalized payroll taxes are amortized in the same manner as the underlying capitalized commissions.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Website and Software Development Costs</w:t>
      </w:r>
    </w:p>
    <w:p>
      <w:pPr>
        <w:spacing w:after="0" w:line="92" w:lineRule="exact"/>
        <w:rPr>
          <w:sz w:val="20"/>
          <w:szCs w:val="20"/>
          <w:color w:val="auto"/>
        </w:rPr>
      </w:pPr>
    </w:p>
    <w:p>
      <w:pPr>
        <w:jc w:val="both"/>
        <w:ind w:firstLine="555"/>
        <w:spacing w:after="0" w:line="225" w:lineRule="exact"/>
        <w:rPr>
          <w:sz w:val="20"/>
          <w:szCs w:val="20"/>
          <w:color w:val="auto"/>
        </w:rPr>
      </w:pPr>
      <w:r>
        <w:rPr>
          <w:rFonts w:ascii="Times New Roman" w:cs="Times New Roman" w:eastAsia="Times New Roman" w:hAnsi="Times New Roman"/>
          <w:sz w:val="18"/>
          <w:szCs w:val="18"/>
          <w:color w:val="auto"/>
        </w:rPr>
        <w:t>We capitalize certain costs associated with the development of our websites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products after the preliminary project stage is complete and until the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software project with the required authority, it is probable the project will be completed, the software will be used to perform the functions intended and certain functional and quality standards have been met. Qualified costs incurred during the operating stage of our software applications relating to upgrades and enhancements are capitalized to the extent it is probable that they will result in added functionality, while costs that cannot be separated between maintenance of, and minor upgrades and enhancements to,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are expensed as incurred.</w:t>
      </w:r>
    </w:p>
    <w:p>
      <w:pPr>
        <w:spacing w:after="0" w:line="151"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Capitalized website and software development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estimated useful life of three years beginning with the time when it is ready for intended use. Management evaluates the useful lives of these assets on an annual basis and tests for impairment whenever events or changes in circumstances occur that could impact the recoverability of these assets.</w:t>
      </w:r>
    </w:p>
    <w:p>
      <w:pPr>
        <w:spacing w:after="0" w:line="20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2018 and 2017, we capitalized $2.0 million and $2.2 million of website development costs, respectively. We recorded amortization expense associated with our capitalized website development costs of $1.5 million, $0.8 million and $0.3 million for the years ended December 31, 2018, 2017, and 2016,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account for income taxes in accordance with the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51" w:lineRule="exact"/>
        <w:rPr>
          <w:sz w:val="20"/>
          <w:szCs w:val="20"/>
          <w:color w:val="auto"/>
        </w:rPr>
      </w:pPr>
    </w:p>
    <w:p>
      <w:pPr>
        <w:jc w:val="both"/>
        <w:ind w:firstLine="555"/>
        <w:spacing w:after="0" w:line="228" w:lineRule="exact"/>
        <w:rPr>
          <w:sz w:val="20"/>
          <w:szCs w:val="20"/>
          <w:color w:val="auto"/>
        </w:rPr>
      </w:pPr>
      <w:r>
        <w:rPr>
          <w:rFonts w:ascii="Times New Roman" w:cs="Times New Roman" w:eastAsia="Times New Roman" w:hAnsi="Times New Roman"/>
          <w:sz w:val="18"/>
          <w:szCs w:val="18"/>
          <w:color w:val="auto"/>
        </w:rPr>
        <w:t>We account for uncertain tax positions recognized in the consolidated financial statements by prescribing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threshold for financial statement recognition and measurement of a tax position taken or expected to be taken in a tax return. Interest and penalties, if applicable, related to uncertain tax positions would be recognized as a component of income tax expense. We have no recorded liabilities for uncertain tax positions as of December 31, 2018 or 2017.</w:t>
      </w:r>
    </w:p>
    <w:p>
      <w:pPr>
        <w:spacing w:after="0" w:line="27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-51435</wp:posOffset>
            </wp:positionV>
            <wp:extent cx="6413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7" w:lineRule="exact"/>
        <w:rPr>
          <w:sz w:val="20"/>
          <w:szCs w:val="20"/>
          <w:color w:val="auto"/>
        </w:rPr>
      </w:pPr>
    </w:p>
    <w:p>
      <w:pPr>
        <w:jc w:val="both"/>
        <w:ind w:firstLine="555"/>
        <w:spacing w:after="0" w:line="224" w:lineRule="exact"/>
        <w:rPr>
          <w:sz w:val="20"/>
          <w:szCs w:val="20"/>
          <w:color w:val="auto"/>
        </w:rPr>
      </w:pPr>
      <w:r>
        <w:rPr>
          <w:rFonts w:ascii="Times New Roman" w:cs="Times New Roman" w:eastAsia="Times New Roman" w:hAnsi="Times New Roman"/>
          <w:sz w:val="18"/>
          <w:szCs w:val="18"/>
          <w:color w:val="auto"/>
        </w:rPr>
        <w:t>We recognize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including stock options and RSUs, based on the estimated fair value of the awards. Through the period ended December 31, 2016, we applied an estimated forfeiture rate in determining the 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to record for the period. On January 1, 2017, we adopted ASU 2016-09 and elected to account for forfeitures when they occur, on a modified retrospective basis. The cumulative effect adjustment related to this accounting policy change for forfeitures was not material. We recognize compensation expense for service-based awards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72" w:lineRule="exact"/>
        <w:rPr>
          <w:sz w:val="20"/>
          <w:szCs w:val="20"/>
          <w:color w:val="auto"/>
        </w:rPr>
      </w:pPr>
    </w:p>
    <w:p>
      <w:pPr>
        <w:jc w:val="both"/>
        <w:ind w:firstLine="555"/>
        <w:spacing w:after="0" w:line="230" w:lineRule="exact"/>
        <w:rPr>
          <w:sz w:val="20"/>
          <w:szCs w:val="20"/>
          <w:color w:val="auto"/>
        </w:rPr>
      </w:pPr>
      <w:r>
        <w:rPr>
          <w:rFonts w:ascii="Times New Roman" w:cs="Times New Roman" w:eastAsia="Times New Roman" w:hAnsi="Times New Roman"/>
          <w:sz w:val="18"/>
          <w:szCs w:val="18"/>
          <w:color w:val="auto"/>
        </w:rPr>
        <w:t>For RSUs issued under our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plans, the fair value of each grant is calculated based on the estimated fair value of our common stock on the date of grant. We estimate the fair value of most stock option awards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Certain stock option awards that have an exercise price that is materially above the current estimated fair market value of our common stock are considered to be “deeply out of the money,” and are valued at the date of grant using a binomial lattice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The fair value of each option grant issued under our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plans that is not considered “deeply out of the money” was estimated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1" w:name="page62"/>
    <w:bookmarkEnd w:id="61"/>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RSUs granted prior to our IPO were subject to both a service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and a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condition achieved upon a liquidity event, defined as either a change of control or an initial public offering of our common stock. Prior to October 11, 2017, we had not recognized compensation cost related to stock-based awards with these performance conditions as the liquidity event had not occurred. The Securities and Exchange Commission’s declaration of effectiveness of our registration statement on Form S-1 on October 11, 2017 satisfied the liquidity event performance condition. The cumulative unrecognized stock-based compensation expense related to these awards was $2.5 million through October 11, 2017.</w:t>
      </w:r>
    </w:p>
    <w:p>
      <w:pPr>
        <w:spacing w:after="0" w:line="171" w:lineRule="exact"/>
        <w:rPr>
          <w:sz w:val="20"/>
          <w:szCs w:val="20"/>
          <w:color w:val="auto"/>
        </w:rPr>
      </w:pPr>
    </w:p>
    <w:p>
      <w:pPr>
        <w:jc w:val="both"/>
        <w:ind w:right="20" w:firstLine="555"/>
        <w:spacing w:after="0" w:line="239" w:lineRule="exact"/>
        <w:rPr>
          <w:sz w:val="20"/>
          <w:szCs w:val="20"/>
          <w:color w:val="auto"/>
        </w:rPr>
      </w:pPr>
      <w:r>
        <w:rPr>
          <w:rFonts w:ascii="Times New Roman" w:cs="Times New Roman" w:eastAsia="Times New Roman" w:hAnsi="Times New Roman"/>
          <w:sz w:val="18"/>
          <w:szCs w:val="18"/>
          <w:color w:val="auto"/>
        </w:rPr>
        <w:t>We determined the assumptions for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as discussed below. Each of these inputs is subjective and generally requires significant judgment to determine.</w:t>
      </w:r>
    </w:p>
    <w:p>
      <w:pPr>
        <w:spacing w:after="0" w:line="89" w:lineRule="exact"/>
        <w:rPr>
          <w:sz w:val="20"/>
          <w:szCs w:val="20"/>
          <w:color w:val="auto"/>
        </w:rPr>
      </w:pPr>
    </w:p>
    <w:p>
      <w:pPr>
        <w:jc w:val="both"/>
        <w:ind w:left="960" w:hanging="398"/>
        <w:spacing w:after="0" w:line="267"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Our Common Stock. </w:t>
      </w:r>
      <w:r>
        <w:rPr>
          <w:rFonts w:ascii="Times New Roman" w:cs="Times New Roman" w:eastAsia="Times New Roman" w:hAnsi="Times New Roman"/>
          <w:sz w:val="18"/>
          <w:szCs w:val="18"/>
          <w:color w:val="auto"/>
        </w:rPr>
        <w:t>Prior to our IPO, our stock was not publicly traded, and therefore we estimated the fair value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through obtaining contemporaneous third-party valuations. Subsequent to the IPO, we determine the fair value of our common stock based on the closing share price on the date of grant.</w:t>
      </w:r>
    </w:p>
    <w:p>
      <w:pPr>
        <w:spacing w:after="0" w:line="38" w:lineRule="exact"/>
        <w:rPr>
          <w:rFonts w:ascii="Times New Roman" w:cs="Times New Roman" w:eastAsia="Times New Roman" w:hAnsi="Times New Roman"/>
          <w:sz w:val="18"/>
          <w:szCs w:val="18"/>
          <w:color w:val="auto"/>
        </w:rPr>
      </w:pPr>
    </w:p>
    <w:p>
      <w:pPr>
        <w:ind w:left="960" w:hanging="398"/>
        <w:spacing w:after="0" w:line="239" w:lineRule="exact"/>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are expected to be outstanding. The expected term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granted has been determined using the simplified method, which uses the midpoint between the vesting date and the contractual term.</w:t>
      </w:r>
    </w:p>
    <w:p>
      <w:pPr>
        <w:spacing w:after="0" w:line="62" w:lineRule="exact"/>
        <w:rPr>
          <w:rFonts w:ascii="Times New Roman" w:cs="Times New Roman" w:eastAsia="Times New Roman" w:hAnsi="Times New Roman"/>
          <w:sz w:val="18"/>
          <w:szCs w:val="18"/>
          <w:color w:val="auto"/>
        </w:rPr>
      </w:pPr>
    </w:p>
    <w:p>
      <w:pPr>
        <w:ind w:left="960" w:hanging="398"/>
        <w:spacing w:after="0" w:line="250" w:lineRule="exact"/>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Free Interest Rate. </w:t>
      </w:r>
      <w:r>
        <w:rPr>
          <w:rFonts w:ascii="Times New Roman" w:cs="Times New Roman" w:eastAsia="Times New Roman" w:hAnsi="Times New Roman"/>
          <w:sz w:val="18"/>
          <w:szCs w:val="18"/>
          <w:color w:val="auto"/>
        </w:rPr>
        <w:t>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on the U.S. Treasury yield curve in effect at the date of grant for zero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constant maturity notes with terms approximately equal to the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expected term.</w:t>
      </w:r>
    </w:p>
    <w:p>
      <w:pPr>
        <w:spacing w:after="0" w:line="68" w:lineRule="exact"/>
        <w:rPr>
          <w:rFonts w:ascii="Times New Roman" w:cs="Times New Roman" w:eastAsia="Times New Roman" w:hAnsi="Times New Roman"/>
          <w:sz w:val="18"/>
          <w:szCs w:val="18"/>
          <w:color w:val="auto"/>
        </w:rPr>
      </w:pPr>
    </w:p>
    <w:p>
      <w:pPr>
        <w:jc w:val="both"/>
        <w:ind w:left="960" w:hanging="398"/>
        <w:spacing w:after="0" w:line="230" w:lineRule="exact"/>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Because we did not have a trading history of our common stock prior to our IPO, the expected volatility was derived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historical stock volatilities of several public companies within our industry that we consider to be comparable to our business over a period equivalent to the expected term of the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w:t>
      </w:r>
    </w:p>
    <w:p>
      <w:pPr>
        <w:spacing w:after="0" w:line="68"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expected dividend is zero as we have not paid and do not anticipate paying any dividends in the foreseeable future.</w:t>
      </w:r>
    </w:p>
    <w:p>
      <w:pPr>
        <w:spacing w:after="0" w:line="199" w:lineRule="exact"/>
        <w:rPr>
          <w:sz w:val="20"/>
          <w:szCs w:val="20"/>
          <w:color w:val="auto"/>
        </w:rPr>
      </w:pPr>
    </w:p>
    <w:p>
      <w:pPr>
        <w:jc w:val="both"/>
        <w:ind w:firstLine="555"/>
        <w:spacing w:after="0" w:line="239" w:lineRule="exact"/>
        <w:rPr>
          <w:sz w:val="20"/>
          <w:szCs w:val="20"/>
          <w:color w:val="auto"/>
        </w:rPr>
      </w:pPr>
      <w:r>
        <w:rPr>
          <w:rFonts w:ascii="Times New Roman" w:cs="Times New Roman" w:eastAsia="Times New Roman" w:hAnsi="Times New Roman"/>
          <w:sz w:val="18"/>
          <w:szCs w:val="18"/>
          <w:color w:val="auto"/>
        </w:rPr>
        <w:t>If any of the assumptions used in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model change significantly,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future awards may differ materially compared with the awards granted previously.</w:t>
      </w:r>
    </w:p>
    <w:p>
      <w:pPr>
        <w:spacing w:after="0" w:line="19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No options were granted during the years ended December 31, 2018 and 2017. The weighted average fair values of options granted during the year ended December 31, 2016 was $0.90. The weighted average assumptions utilized to determine the fair value of options granted are presented in the following table:</w:t>
      </w: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648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Pr>
          <w:p>
            <w:pPr>
              <w:spacing w:after="0"/>
              <w:rPr>
                <w:sz w:val="20"/>
                <w:szCs w:val="20"/>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Information concerning recently issued accounting pronouncements may be found in Note 2 to our consolidated financial statements appearing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affect our financial position due to adverse changes in financial market prices and rates. We are exposed to market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2"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We did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 as of December 31, 2018 or 2017.</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9" w:right="239" w:bottom="1440" w:gutter="0" w:footer="0" w:header="0"/>
        </w:sectPr>
      </w:pPr>
    </w:p>
    <w:bookmarkStart w:id="62" w:name="page63"/>
    <w:bookmarkEnd w:id="62"/>
    <w:p>
      <w:pPr>
        <w:jc w:val="both"/>
        <w:ind w:firstLine="555"/>
        <w:spacing w:after="0" w:line="222" w:lineRule="exact"/>
        <w:rPr>
          <w:sz w:val="20"/>
          <w:szCs w:val="20"/>
          <w:color w:val="auto"/>
        </w:rPr>
      </w:pPr>
      <w:r>
        <w:rPr>
          <w:rFonts w:ascii="Times New Roman" w:cs="Times New Roman" w:eastAsia="Times New Roman" w:hAnsi="Times New Roman"/>
          <w:sz w:val="18"/>
          <w:szCs w:val="18"/>
          <w:color w:val="auto"/>
        </w:rPr>
        <w:t>We had cash, cash equivalents, and investments of $157.7 million and $137.7 million at December 31, 2018 and 2017, respectively, which consist of bank deposits, money market funds and certificates of deposit with maturity dates ranging from six to nine months. Such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instruments carry a degree of interest rate risk.</w:t>
      </w:r>
    </w:p>
    <w:p>
      <w:pPr>
        <w:spacing w:after="0" w:line="199"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Historically, because our operations and sales have been primarily in the United States, we have not faced any significant foreign currency risk. As of December 31, 2018 and December 31, 2017, we have foreign currency exposures in the British pound, the Euro and the Canadian dollar, although such exposure is not significant.</w:t>
      </w:r>
    </w:p>
    <w:p>
      <w:pPr>
        <w:spacing w:after="0" w:line="176" w:lineRule="exact"/>
        <w:rPr>
          <w:sz w:val="20"/>
          <w:szCs w:val="20"/>
          <w:color w:val="auto"/>
        </w:rPr>
      </w:pPr>
    </w:p>
    <w:p>
      <w:pPr>
        <w:jc w:val="both"/>
        <w:ind w:firstLine="555"/>
        <w:spacing w:after="0" w:line="222" w:lineRule="exact"/>
        <w:rPr>
          <w:sz w:val="20"/>
          <w:szCs w:val="20"/>
          <w:color w:val="auto"/>
        </w:rPr>
      </w:pPr>
      <w:r>
        <w:rPr>
          <w:rFonts w:ascii="Times New Roman" w:cs="Times New Roman" w:eastAsia="Times New Roman" w:hAnsi="Times New Roman"/>
          <w:sz w:val="18"/>
          <w:szCs w:val="18"/>
          <w:color w:val="auto"/>
        </w:rPr>
        <w:t>Our foreign subsidiaries have intercompany accounts that are eliminated upon consolidation, and these accounts expose us to foreign currency exchange rate fluctuations. Exchange rate fluctuations on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intercompany accounts are recorded in our consolidated statements of operations under the heading other income (expense).</w:t>
      </w:r>
    </w:p>
    <w:p>
      <w:pPr>
        <w:spacing w:after="0" w:line="19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As we expand internationally, our risks associated with fluctuation in currency rates will become greater, and we will continue to reassess our approach to managing these risks.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0" w:type="dxa"/>
            <w:vAlign w:val="bottom"/>
            <w:gridSpan w:val="10"/>
            <w:vMerge w:val="restart"/>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Report of Independent Registered Public Accounting Firm</w:t>
              </w:r>
            </w:hyperlink>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800" w:type="dxa"/>
            <w:vAlign w:val="bottom"/>
            <w:gridSpan w:val="10"/>
            <w:vMerge w:val="continue"/>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Consolidated Balance Sheets as of December 31, 2018 and 2017</w:t>
              </w:r>
            </w:hyperlink>
          </w:p>
        </w:tc>
        <w:tc>
          <w:tcPr>
            <w:tcW w:w="614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0800" w:type="dxa"/>
            <w:vAlign w:val="bottom"/>
            <w:gridSpan w:val="10"/>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Operations for the Years Ended December 31, 2018, 2017, and</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94"/>
              </w:rPr>
            </w:pPr>
            <w:hyperlink w:anchor="page67">
              <w:r>
                <w:rPr>
                  <w:rFonts w:ascii="Times New Roman" w:cs="Times New Roman" w:eastAsia="Times New Roman" w:hAnsi="Times New Roman"/>
                  <w:sz w:val="18"/>
                  <w:szCs w:val="18"/>
                  <w:color w:val="0000EE"/>
                  <w:w w:val="94"/>
                </w:rPr>
                <w:t>2016</w:t>
              </w:r>
            </w:hyperlink>
          </w:p>
        </w:tc>
        <w:tc>
          <w:tcPr>
            <w:tcW w:w="25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0800" w:type="dxa"/>
            <w:vAlign w:val="bottom"/>
            <w:gridSpan w:val="10"/>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Consolidated Statements of Comprehensive Income for the Years Ended December 31, 2018, 2017, and 2016</w:t>
              </w:r>
            </w:hyperlink>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10"/>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Convertible Preferred Stock and Stockholders’ Equity (Deficit) for the Years Ended December 31, 2018, 2017, and</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94"/>
              </w:rPr>
            </w:pPr>
            <w:hyperlink w:anchor="page69">
              <w:r>
                <w:rPr>
                  <w:rFonts w:ascii="Times New Roman" w:cs="Times New Roman" w:eastAsia="Times New Roman" w:hAnsi="Times New Roman"/>
                  <w:sz w:val="18"/>
                  <w:szCs w:val="18"/>
                  <w:color w:val="0000EE"/>
                  <w:w w:val="94"/>
                </w:rPr>
                <w:t>2016</w:t>
              </w:r>
            </w:hyperlink>
          </w:p>
        </w:tc>
        <w:tc>
          <w:tcPr>
            <w:tcW w:w="25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Consolidated Statements of Cash Flows for the Years Ended December 31, 2018, 2017, and 2016</w:t>
              </w:r>
            </w:hyperlink>
          </w:p>
        </w:tc>
        <w:tc>
          <w:tcPr>
            <w:tcW w:w="378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Notes to Consolidated Financial Statements</w:t>
              </w:r>
            </w:hyperlink>
          </w:p>
        </w:tc>
        <w:tc>
          <w:tcPr>
            <w:tcW w:w="764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709"/>
        </w:trPr>
        <w:tc>
          <w:tcPr>
            <w:tcW w:w="6600" w:type="dxa"/>
            <w:vAlign w:val="bottom"/>
            <w:gridSpan w:val="6"/>
          </w:tcPr>
          <w:p>
            <w:pPr>
              <w:ind w:left="562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64" w:name="page65"/>
    <w:bookmarkEnd w:id="64"/>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CarGurus,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CarGurus, Inc. (the Company) as of December 31, 2018 and 2017, the related consolidated statements of operations, comprehensive income, convertible preferred stock and stockholders' equity (deficit)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8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28, 2019 expressed an unqualified opinion thereon.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ASU No. 2014-09</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accounting for revenue and the capitalization and amortization of certain contract acquisition costs in 2018 due to the adoption of Accounting Standards Update (ASU) No. 2014-09, Revenue from Contracts with Customers (Topic 606), and the related amendments.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8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3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6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87,709</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r>
      <w:tr>
        <w:trPr>
          <w:trHeight w:val="211"/>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$479 and</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$494, respectively</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13,614</w:t>
            </w: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shd w:val="clear" w:color="auto" w:fill="CFF0FC"/>
          </w:tcPr>
          <w:p>
            <w:pPr>
              <w:spacing w:after="0"/>
              <w:rPr>
                <w:sz w:val="20"/>
                <w:szCs w:val="20"/>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prepaid income taxes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contract costs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194,858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157,204</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38,886</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 net of current portion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9"/>
                <w:szCs w:val="19"/>
                <w:color w:val="auto"/>
              </w:rPr>
            </w:pPr>
          </w:p>
        </w:tc>
      </w:tr>
      <w:tr>
        <w:trPr>
          <w:trHeight w:val="263"/>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268,290</w:t>
            </w:r>
          </w:p>
        </w:tc>
        <w:tc>
          <w:tcPr>
            <w:tcW w:w="3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176,594</w:t>
            </w:r>
          </w:p>
        </w:tc>
        <w:tc>
          <w:tcPr>
            <w:tcW w:w="100" w:type="dxa"/>
            <w:vAlign w:val="bottom"/>
            <w:tcBorders>
              <w:bottom w:val="single" w:sz="8" w:color="CFF0FC"/>
            </w:tcBorders>
          </w:tcPr>
          <w:p>
            <w:pPr>
              <w:spacing w:after="0"/>
              <w:rPr>
                <w:sz w:val="22"/>
                <w:szCs w:val="22"/>
                <w:color w:val="auto"/>
              </w:rPr>
            </w:pPr>
          </w:p>
        </w:tc>
      </w:tr>
      <w:tr>
        <w:trPr>
          <w:trHeight w:val="21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34,345</w:t>
            </w:r>
          </w:p>
        </w:tc>
        <w:tc>
          <w:tcPr>
            <w:tcW w:w="3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6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accrued income taxes and other current liabilities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rent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bottom w:val="single" w:sz="8" w:color="CFF0FC"/>
            </w:tcBorders>
          </w:tcPr>
          <w:p>
            <w:pPr>
              <w:spacing w:after="0"/>
              <w:rPr>
                <w:sz w:val="19"/>
                <w:szCs w:val="19"/>
                <w:color w:val="auto"/>
              </w:rPr>
            </w:pPr>
          </w:p>
        </w:tc>
      </w:tr>
      <w:tr>
        <w:trPr>
          <w:trHeight w:val="22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42,966</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49,569</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9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common stock, $0.001 par value; 500,000,000 shares authorized;</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89,728,223 and 77,884,754 shares issued and outstanding at</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2018 and 2017, respectively</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r>
      <w:tr>
        <w:trPr>
          <w:trHeight w:val="211"/>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B common stock, $0.001 par value; 100,000,000 shares authorized;</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20,702,084 and 28,226,104 shares issued and outstanding at</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December 31, 2018 and 2017, respectively</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0"/>
                <w:szCs w:val="20"/>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185,190</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(58,499)</w:t>
            </w:r>
          </w:p>
        </w:tc>
      </w:tr>
      <w:tr>
        <w:trPr>
          <w:trHeight w:val="230"/>
        </w:trPr>
        <w:tc>
          <w:tcPr>
            <w:tcW w:w="7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FF0FC"/>
            </w:tcBorders>
          </w:tcPr>
          <w:p>
            <w:pPr>
              <w:spacing w:after="0"/>
              <w:rPr>
                <w:sz w:val="19"/>
                <w:szCs w:val="19"/>
                <w:color w:val="auto"/>
              </w:rPr>
            </w:pPr>
          </w:p>
        </w:tc>
      </w:tr>
      <w:tr>
        <w:trPr>
          <w:trHeight w:val="22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194,111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127,025</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268,290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176,594</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316,861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15"/>
                <w:szCs w:val="15"/>
                <w:color w:val="auto"/>
              </w:rPr>
              <w:t>(1)</w:t>
            </w:r>
          </w:p>
        </w:tc>
        <w:tc>
          <w:tcPr>
            <w:tcW w:w="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299,252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315,939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236,165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406,084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283,978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9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Reconciliation of net income to net income (loss)</w:t>
            </w: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Deemed dividend to preferred stockholders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(32,087)</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(6,098)</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w:t>
            </w:r>
          </w:p>
        </w:tc>
        <w:tc>
          <w:tcPr>
            <w:tcW w:w="9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Deemed dividend to preferred stockholders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(32,087)</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(5,829)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9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(Note 9)</w:t>
            </w: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3"/>
                <w:szCs w:val="23"/>
                <w:color w:val="auto"/>
              </w:rPr>
            </w:pPr>
          </w:p>
        </w:tc>
        <w:tc>
          <w:tcPr>
            <w:tcW w:w="5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3"/>
                <w:szCs w:val="23"/>
                <w:color w:val="auto"/>
              </w:rPr>
            </w:pPr>
          </w:p>
        </w:tc>
        <w:tc>
          <w:tcPr>
            <w:tcW w:w="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w:t>
            </w: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used in computing net income (loss) per share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108,833,028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55,835,265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44,138,922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113,364,712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60,637,584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44,138,922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840" w:right="320" w:hanging="2832"/>
        <w:spacing w:after="0" w:line="501" w:lineRule="auto"/>
        <w:tabs>
          <w:tab w:leader="none" w:pos="554"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and amortization expense for the years ended December 31, 2018, 2017, and 2016 of $2,225 $1,140, and $438, respectively. The accompanying notes are an integral part of these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90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7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 (Deficit)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120" w:type="dxa"/>
            <w:vAlign w:val="bottom"/>
          </w:tcPr>
          <w:p>
            <w:pPr>
              <w:spacing w:after="0"/>
              <w:rPr>
                <w:sz w:val="7"/>
                <w:szCs w:val="7"/>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Series A</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Series B</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Series C</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Series D</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Series E</w:t>
            </w:r>
          </w:p>
        </w:tc>
        <w:tc>
          <w:tcPr>
            <w:tcW w:w="36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Class A</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Class B</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3"/>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60" w:type="dxa"/>
            <w:vAlign w:val="bottom"/>
          </w:tcPr>
          <w:p>
            <w:pPr>
              <w:spacing w:after="0"/>
              <w:rPr>
                <w:sz w:val="7"/>
                <w:szCs w:val="7"/>
                <w:color w:val="auto"/>
              </w:rPr>
            </w:pPr>
          </w:p>
        </w:tc>
        <w:tc>
          <w:tcPr>
            <w:tcW w:w="520" w:type="dxa"/>
            <w:vAlign w:val="bottom"/>
            <w:vMerge w:val="restart"/>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w w:val="97"/>
              </w:rPr>
              <w:t>Retained</w:t>
            </w:r>
          </w:p>
        </w:tc>
        <w:tc>
          <w:tcPr>
            <w:tcW w:w="80" w:type="dxa"/>
            <w:vAlign w:val="bottom"/>
          </w:tcPr>
          <w:p>
            <w:pPr>
              <w:spacing w:after="0"/>
              <w:rPr>
                <w:sz w:val="7"/>
                <w:szCs w:val="7"/>
                <w:color w:val="auto"/>
              </w:rPr>
            </w:pPr>
          </w:p>
        </w:tc>
        <w:tc>
          <w:tcPr>
            <w:tcW w:w="480" w:type="dxa"/>
            <w:vAlign w:val="bottom"/>
          </w:tcPr>
          <w:p>
            <w:pPr>
              <w:jc w:val="center"/>
              <w:ind w:right="96"/>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tcPr>
          <w:p>
            <w:pPr>
              <w:jc w:val="center"/>
              <w:ind w:right="220"/>
              <w:spacing w:after="0" w:line="81" w:lineRule="exact"/>
              <w:rPr>
                <w:sz w:val="20"/>
                <w:szCs w:val="20"/>
                <w:color w:val="auto"/>
              </w:rPr>
            </w:pPr>
            <w:r>
              <w:rPr>
                <w:rFonts w:ascii="Times New Roman" w:cs="Times New Roman" w:eastAsia="Times New Roman" w:hAnsi="Times New Roman"/>
                <w:sz w:val="8"/>
                <w:szCs w:val="8"/>
                <w:b w:val="1"/>
                <w:bCs w:val="1"/>
                <w:color w:val="auto"/>
              </w:rPr>
              <w:t>Other</w:t>
            </w:r>
          </w:p>
        </w:tc>
        <w:tc>
          <w:tcPr>
            <w:tcW w:w="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560" w:type="dxa"/>
            <w:vAlign w:val="bottom"/>
            <w:gridSpan w:val="2"/>
          </w:tcPr>
          <w:p>
            <w:pPr>
              <w:jc w:val="center"/>
              <w:ind w:right="36"/>
              <w:spacing w:after="0" w:line="81"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100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80" w:type="dxa"/>
            <w:vAlign w:val="bottom"/>
          </w:tcPr>
          <w:p>
            <w:pPr>
              <w:spacing w:after="0"/>
              <w:rPr>
                <w:sz w:val="8"/>
                <w:szCs w:val="8"/>
                <w:color w:val="auto"/>
              </w:rPr>
            </w:pPr>
          </w:p>
        </w:tc>
        <w:tc>
          <w:tcPr>
            <w:tcW w:w="100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00" w:type="dxa"/>
            <w:vAlign w:val="bottom"/>
          </w:tcPr>
          <w:p>
            <w:pPr>
              <w:spacing w:after="0"/>
              <w:rPr>
                <w:sz w:val="8"/>
                <w:szCs w:val="8"/>
                <w:color w:val="auto"/>
              </w:rPr>
            </w:pPr>
          </w:p>
        </w:tc>
        <w:tc>
          <w:tcPr>
            <w:tcW w:w="100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00" w:type="dxa"/>
            <w:vAlign w:val="bottom"/>
          </w:tcPr>
          <w:p>
            <w:pPr>
              <w:spacing w:after="0"/>
              <w:rPr>
                <w:sz w:val="8"/>
                <w:szCs w:val="8"/>
                <w:color w:val="auto"/>
              </w:rPr>
            </w:pPr>
          </w:p>
        </w:tc>
        <w:tc>
          <w:tcPr>
            <w:tcW w:w="102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80" w:type="dxa"/>
            <w:vAlign w:val="bottom"/>
          </w:tcPr>
          <w:p>
            <w:pPr>
              <w:spacing w:after="0"/>
              <w:rPr>
                <w:sz w:val="8"/>
                <w:szCs w:val="8"/>
                <w:color w:val="auto"/>
              </w:rPr>
            </w:pPr>
          </w:p>
        </w:tc>
        <w:tc>
          <w:tcPr>
            <w:tcW w:w="102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00" w:type="dxa"/>
            <w:vAlign w:val="bottom"/>
          </w:tcPr>
          <w:p>
            <w:pPr>
              <w:spacing w:after="0"/>
              <w:rPr>
                <w:sz w:val="8"/>
                <w:szCs w:val="8"/>
                <w:color w:val="auto"/>
              </w:rPr>
            </w:pPr>
          </w:p>
        </w:tc>
        <w:tc>
          <w:tcPr>
            <w:tcW w:w="102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98"/>
              </w:rPr>
              <w:t>Paid–in</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60" w:type="dxa"/>
            <w:vAlign w:val="bottom"/>
          </w:tcPr>
          <w:p>
            <w:pPr>
              <w:spacing w:after="0"/>
              <w:rPr>
                <w:sz w:val="8"/>
                <w:szCs w:val="8"/>
                <w:color w:val="auto"/>
              </w:rPr>
            </w:pPr>
          </w:p>
        </w:tc>
        <w:tc>
          <w:tcPr>
            <w:tcW w:w="5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w w:val="96"/>
              </w:rPr>
              <w:t>Earnings</w:t>
            </w:r>
          </w:p>
        </w:tc>
        <w:tc>
          <w:tcPr>
            <w:tcW w:w="80" w:type="dxa"/>
            <w:vAlign w:val="bottom"/>
          </w:tcPr>
          <w:p>
            <w:pPr>
              <w:spacing w:after="0"/>
              <w:rPr>
                <w:sz w:val="8"/>
                <w:szCs w:val="8"/>
                <w:color w:val="auto"/>
              </w:rPr>
            </w:pPr>
          </w:p>
        </w:tc>
        <w:tc>
          <w:tcPr>
            <w:tcW w:w="48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75"/>
        </w:trPr>
        <w:tc>
          <w:tcPr>
            <w:tcW w:w="1120" w:type="dxa"/>
            <w:vAlign w:val="bottom"/>
          </w:tcPr>
          <w:p>
            <w:pPr>
              <w:spacing w:after="0"/>
              <w:rPr>
                <w:sz w:val="6"/>
                <w:szCs w:val="6"/>
                <w:color w:val="auto"/>
              </w:rPr>
            </w:pPr>
          </w:p>
        </w:tc>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8"/>
                <w:szCs w:val="8"/>
                <w:b w:val="1"/>
                <w:bCs w:val="1"/>
                <w:color w:val="auto"/>
              </w:rPr>
              <w:t>Shares</w:t>
            </w:r>
          </w:p>
        </w:tc>
        <w:tc>
          <w:tcPr>
            <w:tcW w:w="10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vMerge w:val="restart"/>
          </w:tcPr>
          <w:p>
            <w:pPr>
              <w:jc w:val="right"/>
              <w:ind w:right="15"/>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80" w:type="dxa"/>
            <w:vAlign w:val="bottom"/>
            <w:vMerge w:val="restart"/>
          </w:tcPr>
          <w:p>
            <w:pPr>
              <w:spacing w:after="0"/>
              <w:rPr>
                <w:sz w:val="6"/>
                <w:szCs w:val="6"/>
                <w:color w:val="auto"/>
              </w:rPr>
            </w:pPr>
          </w:p>
        </w:tc>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8"/>
                <w:szCs w:val="8"/>
                <w:b w:val="1"/>
                <w:bCs w:val="1"/>
                <w:color w:val="auto"/>
              </w:rPr>
              <w:t>Shares</w:t>
            </w:r>
          </w:p>
        </w:tc>
        <w:tc>
          <w:tcPr>
            <w:tcW w:w="10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restart"/>
          </w:tcPr>
          <w:p>
            <w:pPr>
              <w:jc w:val="right"/>
              <w:ind w:right="15"/>
              <w:spacing w:after="0"/>
              <w:rPr>
                <w:sz w:val="20"/>
                <w:szCs w:val="20"/>
                <w:color w:val="auto"/>
              </w:rPr>
            </w:pPr>
            <w:r>
              <w:rPr>
                <w:rFonts w:ascii="Times New Roman" w:cs="Times New Roman" w:eastAsia="Times New Roman" w:hAnsi="Times New Roman"/>
                <w:sz w:val="8"/>
                <w:szCs w:val="8"/>
                <w:b w:val="1"/>
                <w:bCs w:val="1"/>
                <w:color w:val="auto"/>
                <w:w w:val="92"/>
              </w:rPr>
              <w:t>Amount</w:t>
            </w:r>
          </w:p>
        </w:tc>
        <w:tc>
          <w:tcPr>
            <w:tcW w:w="100" w:type="dxa"/>
            <w:vAlign w:val="bottom"/>
            <w:vMerge w:val="restart"/>
          </w:tcPr>
          <w:p>
            <w:pPr>
              <w:spacing w:after="0"/>
              <w:rPr>
                <w:sz w:val="6"/>
                <w:szCs w:val="6"/>
                <w:color w:val="auto"/>
              </w:rPr>
            </w:pPr>
          </w:p>
        </w:tc>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8"/>
                <w:szCs w:val="8"/>
                <w:b w:val="1"/>
                <w:bCs w:val="1"/>
                <w:color w:val="auto"/>
              </w:rPr>
              <w:t>Shares</w:t>
            </w:r>
          </w:p>
        </w:tc>
        <w:tc>
          <w:tcPr>
            <w:tcW w:w="10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vMerge w:val="restart"/>
          </w:tcPr>
          <w:p>
            <w:pPr>
              <w:jc w:val="right"/>
              <w:ind w:right="15"/>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100" w:type="dxa"/>
            <w:vAlign w:val="bottom"/>
            <w:vMerge w:val="restart"/>
          </w:tcPr>
          <w:p>
            <w:pPr>
              <w:spacing w:after="0"/>
              <w:rPr>
                <w:sz w:val="6"/>
                <w:szCs w:val="6"/>
                <w:color w:val="auto"/>
              </w:rPr>
            </w:pPr>
          </w:p>
        </w:tc>
        <w:tc>
          <w:tcPr>
            <w:tcW w:w="600" w:type="dxa"/>
            <w:vAlign w:val="bottom"/>
            <w:vMerge w:val="restart"/>
          </w:tcPr>
          <w:p>
            <w:pPr>
              <w:jc w:val="right"/>
              <w:ind w:right="196"/>
              <w:spacing w:after="0"/>
              <w:rPr>
                <w:sz w:val="20"/>
                <w:szCs w:val="20"/>
                <w:color w:val="auto"/>
              </w:rPr>
            </w:pPr>
            <w:r>
              <w:rPr>
                <w:rFonts w:ascii="Times New Roman" w:cs="Times New Roman" w:eastAsia="Times New Roman" w:hAnsi="Times New Roman"/>
                <w:sz w:val="8"/>
                <w:szCs w:val="8"/>
                <w:b w:val="1"/>
                <w:bCs w:val="1"/>
                <w:color w:val="auto"/>
              </w:rPr>
              <w:t>Shares</w:t>
            </w:r>
          </w:p>
        </w:tc>
        <w:tc>
          <w:tcPr>
            <w:tcW w:w="40" w:type="dxa"/>
            <w:vAlign w:val="bottom"/>
          </w:tcPr>
          <w:p>
            <w:pPr>
              <w:spacing w:after="0"/>
              <w:rPr>
                <w:sz w:val="6"/>
                <w:szCs w:val="6"/>
                <w:color w:val="auto"/>
              </w:rPr>
            </w:pPr>
          </w:p>
        </w:tc>
        <w:tc>
          <w:tcPr>
            <w:tcW w:w="380" w:type="dxa"/>
            <w:vAlign w:val="bottom"/>
            <w:vMerge w:val="restart"/>
          </w:tcPr>
          <w:p>
            <w:pPr>
              <w:jc w:val="right"/>
              <w:ind w:right="35"/>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80" w:type="dxa"/>
            <w:vAlign w:val="bottom"/>
            <w:vMerge w:val="restart"/>
          </w:tcPr>
          <w:p>
            <w:pPr>
              <w:spacing w:after="0"/>
              <w:rPr>
                <w:sz w:val="6"/>
                <w:szCs w:val="6"/>
                <w:color w:val="auto"/>
              </w:rPr>
            </w:pPr>
          </w:p>
        </w:tc>
        <w:tc>
          <w:tcPr>
            <w:tcW w:w="600" w:type="dxa"/>
            <w:vAlign w:val="bottom"/>
            <w:vMerge w:val="restart"/>
          </w:tcPr>
          <w:p>
            <w:pPr>
              <w:jc w:val="right"/>
              <w:ind w:right="196"/>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tcPr>
          <w:p>
            <w:pPr>
              <w:spacing w:after="0"/>
              <w:rPr>
                <w:sz w:val="6"/>
                <w:szCs w:val="6"/>
                <w:color w:val="auto"/>
              </w:rPr>
            </w:pPr>
          </w:p>
        </w:tc>
        <w:tc>
          <w:tcPr>
            <w:tcW w:w="580" w:type="dxa"/>
            <w:vAlign w:val="bottom"/>
            <w:tcBorders>
              <w:right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8"/>
                <w:szCs w:val="8"/>
                <w:b w:val="1"/>
                <w:bCs w:val="1"/>
                <w:color w:val="auto"/>
                <w:w w:val="92"/>
              </w:rPr>
              <w:t>Amount</w:t>
            </w:r>
          </w:p>
        </w:tc>
        <w:tc>
          <w:tcPr>
            <w:tcW w:w="80" w:type="dxa"/>
            <w:vAlign w:val="bottom"/>
          </w:tcPr>
          <w:p>
            <w:pPr>
              <w:spacing w:after="0"/>
              <w:rPr>
                <w:sz w:val="6"/>
                <w:szCs w:val="6"/>
                <w:color w:val="auto"/>
              </w:rPr>
            </w:pP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8"/>
                <w:szCs w:val="8"/>
                <w:b w:val="1"/>
                <w:bCs w:val="1"/>
                <w:color w:val="auto"/>
              </w:rPr>
              <w:t>Shares</w:t>
            </w:r>
          </w:p>
        </w:tc>
        <w:tc>
          <w:tcPr>
            <w:tcW w:w="10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restart"/>
          </w:tcPr>
          <w:p>
            <w:pPr>
              <w:jc w:val="right"/>
              <w:ind w:right="35"/>
              <w:spacing w:after="0"/>
              <w:rPr>
                <w:sz w:val="20"/>
                <w:szCs w:val="20"/>
                <w:color w:val="auto"/>
              </w:rPr>
            </w:pPr>
            <w:r>
              <w:rPr>
                <w:rFonts w:ascii="Times New Roman" w:cs="Times New Roman" w:eastAsia="Times New Roman" w:hAnsi="Times New Roman"/>
                <w:sz w:val="8"/>
                <w:szCs w:val="8"/>
                <w:b w:val="1"/>
                <w:bCs w:val="1"/>
                <w:color w:val="auto"/>
                <w:w w:val="92"/>
              </w:rPr>
              <w:t>Amount</w:t>
            </w:r>
          </w:p>
        </w:tc>
        <w:tc>
          <w:tcPr>
            <w:tcW w:w="100" w:type="dxa"/>
            <w:vAlign w:val="bottom"/>
            <w:vMerge w:val="restart"/>
          </w:tcPr>
          <w:p>
            <w:pPr>
              <w:spacing w:after="0"/>
              <w:rPr>
                <w:sz w:val="6"/>
                <w:szCs w:val="6"/>
                <w:color w:val="auto"/>
              </w:rPr>
            </w:pPr>
          </w:p>
        </w:tc>
        <w:tc>
          <w:tcPr>
            <w:tcW w:w="620" w:type="dxa"/>
            <w:vAlign w:val="bottom"/>
            <w:vMerge w:val="restart"/>
          </w:tcPr>
          <w:p>
            <w:pPr>
              <w:jc w:val="right"/>
              <w:ind w:right="216"/>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tcPr>
          <w:p>
            <w:pPr>
              <w:spacing w:after="0"/>
              <w:rPr>
                <w:sz w:val="6"/>
                <w:szCs w:val="6"/>
                <w:color w:val="auto"/>
              </w:rPr>
            </w:pPr>
          </w:p>
        </w:tc>
        <w:tc>
          <w:tcPr>
            <w:tcW w:w="340" w:type="dxa"/>
            <w:vAlign w:val="bottom"/>
            <w:vMerge w:val="restart"/>
          </w:tcPr>
          <w:p>
            <w:pPr>
              <w:jc w:val="right"/>
              <w:ind w:right="15"/>
              <w:spacing w:after="0"/>
              <w:rPr>
                <w:sz w:val="20"/>
                <w:szCs w:val="20"/>
                <w:color w:val="auto"/>
              </w:rPr>
            </w:pPr>
            <w:r>
              <w:rPr>
                <w:rFonts w:ascii="Times New Roman" w:cs="Times New Roman" w:eastAsia="Times New Roman" w:hAnsi="Times New Roman"/>
                <w:sz w:val="8"/>
                <w:szCs w:val="8"/>
                <w:b w:val="1"/>
                <w:bCs w:val="1"/>
                <w:color w:val="auto"/>
                <w:w w:val="92"/>
              </w:rPr>
              <w:t>Amount</w:t>
            </w:r>
          </w:p>
        </w:tc>
        <w:tc>
          <w:tcPr>
            <w:tcW w:w="12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restart"/>
          </w:tcPr>
          <w:p>
            <w:pPr>
              <w:jc w:val="right"/>
              <w:ind w:right="55"/>
              <w:spacing w:after="0"/>
              <w:rPr>
                <w:sz w:val="20"/>
                <w:szCs w:val="20"/>
                <w:color w:val="auto"/>
              </w:rPr>
            </w:pPr>
            <w:r>
              <w:rPr>
                <w:rFonts w:ascii="Times New Roman" w:cs="Times New Roman" w:eastAsia="Times New Roman" w:hAnsi="Times New Roman"/>
                <w:sz w:val="8"/>
                <w:szCs w:val="8"/>
                <w:b w:val="1"/>
                <w:bCs w:val="1"/>
                <w:color w:val="auto"/>
                <w:w w:val="94"/>
              </w:rPr>
              <w:t>Capital</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restart"/>
          </w:tcPr>
          <w:p>
            <w:pPr>
              <w:jc w:val="center"/>
              <w:ind w:right="75"/>
              <w:spacing w:after="0"/>
              <w:rPr>
                <w:sz w:val="20"/>
                <w:szCs w:val="20"/>
                <w:color w:val="auto"/>
              </w:rPr>
            </w:pPr>
            <w:r>
              <w:rPr>
                <w:rFonts w:ascii="Times New Roman" w:cs="Times New Roman" w:eastAsia="Times New Roman" w:hAnsi="Times New Roman"/>
                <w:sz w:val="8"/>
                <w:szCs w:val="8"/>
                <w:b w:val="1"/>
                <w:bCs w:val="1"/>
                <w:color w:val="auto"/>
              </w:rPr>
              <w:t>Loss</w:t>
            </w:r>
          </w:p>
        </w:tc>
        <w:tc>
          <w:tcPr>
            <w:tcW w:w="120" w:type="dxa"/>
            <w:vAlign w:val="bottom"/>
            <w:vMerge w:val="restart"/>
          </w:tcPr>
          <w:p>
            <w:pPr>
              <w:spacing w:after="0"/>
              <w:rPr>
                <w:sz w:val="6"/>
                <w:szCs w:val="6"/>
                <w:color w:val="auto"/>
              </w:rPr>
            </w:pPr>
          </w:p>
        </w:tc>
        <w:tc>
          <w:tcPr>
            <w:tcW w:w="580" w:type="dxa"/>
            <w:vAlign w:val="bottom"/>
            <w:gridSpan w:val="2"/>
          </w:tcPr>
          <w:p>
            <w:pPr>
              <w:jc w:val="center"/>
              <w:ind w:right="56"/>
              <w:spacing w:after="0" w:line="75" w:lineRule="exact"/>
              <w:rPr>
                <w:sz w:val="20"/>
                <w:szCs w:val="20"/>
                <w:color w:val="auto"/>
              </w:rPr>
            </w:pPr>
            <w:r>
              <w:rPr>
                <w:rFonts w:ascii="Times New Roman" w:cs="Times New Roman" w:eastAsia="Times New Roman" w:hAnsi="Times New Roman"/>
                <w:sz w:val="8"/>
                <w:szCs w:val="8"/>
                <w:b w:val="1"/>
                <w:bCs w:val="1"/>
                <w:color w:val="auto"/>
                <w:w w:val="99"/>
              </w:rPr>
              <w:t>(Accumulated</w:t>
            </w:r>
          </w:p>
        </w:tc>
        <w:tc>
          <w:tcPr>
            <w:tcW w:w="80" w:type="dxa"/>
            <w:vAlign w:val="bottom"/>
          </w:tcPr>
          <w:p>
            <w:pPr>
              <w:spacing w:after="0"/>
              <w:rPr>
                <w:sz w:val="6"/>
                <w:szCs w:val="6"/>
                <w:color w:val="auto"/>
              </w:rPr>
            </w:pPr>
          </w:p>
        </w:tc>
        <w:tc>
          <w:tcPr>
            <w:tcW w:w="480" w:type="dxa"/>
            <w:vAlign w:val="bottom"/>
            <w:vMerge w:val="restart"/>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w w:val="99"/>
              </w:rPr>
              <w:t>(Deficit)</w:t>
            </w:r>
          </w:p>
        </w:tc>
        <w:tc>
          <w:tcPr>
            <w:tcW w:w="0" w:type="dxa"/>
            <w:vAlign w:val="bottom"/>
          </w:tcPr>
          <w:p>
            <w:pPr>
              <w:spacing w:after="0"/>
              <w:rPr>
                <w:sz w:val="1"/>
                <w:szCs w:val="1"/>
                <w:color w:val="auto"/>
              </w:rPr>
            </w:pPr>
          </w:p>
        </w:tc>
      </w:tr>
      <w:tr>
        <w:trPr>
          <w:trHeight w:val="95"/>
        </w:trPr>
        <w:tc>
          <w:tcPr>
            <w:tcW w:w="1120" w:type="dxa"/>
            <w:vAlign w:val="bottom"/>
            <w:tcBorders>
              <w:bottom w:val="single" w:sz="8" w:color="CFF0FC"/>
            </w:tcBorders>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FF0FC"/>
            </w:tcBorders>
            <w:vMerge w:val="continue"/>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FF0FC"/>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CFF0FC"/>
            </w:tcBorders>
          </w:tcPr>
          <w:p>
            <w:pPr>
              <w:spacing w:after="0"/>
              <w:rPr>
                <w:sz w:val="8"/>
                <w:szCs w:val="8"/>
                <w:color w:val="auto"/>
              </w:rPr>
            </w:pPr>
          </w:p>
        </w:tc>
        <w:tc>
          <w:tcPr>
            <w:tcW w:w="580" w:type="dxa"/>
            <w:vAlign w:val="bottom"/>
            <w:tcBorders>
              <w:bottom w:val="single" w:sz="8" w:color="CFF0FC"/>
              <w:right w:val="single" w:sz="8" w:color="auto"/>
            </w:tcBorders>
            <w:gridSpan w:val="2"/>
            <w:vMerge w:val="continue"/>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FF0FC"/>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FF0FC"/>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2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9"/>
                <w:szCs w:val="9"/>
                <w:color w:val="auto"/>
                <w:w w:val="99"/>
              </w:rPr>
              <w:t>Balance at December 31, 2015</w:t>
            </w:r>
          </w:p>
        </w:tc>
        <w:tc>
          <w:tcPr>
            <w:tcW w:w="5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3,049,606</w:t>
            </w: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1,601</w:t>
            </w: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3,296,054</w:t>
            </w: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3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2,574</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1,567,855</w:t>
            </w: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1,331</w:t>
            </w: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jc w:val="right"/>
              <w:ind w:right="76"/>
              <w:spacing w:after="0" w:line="102" w:lineRule="exact"/>
              <w:rPr>
                <w:sz w:val="20"/>
                <w:szCs w:val="20"/>
                <w:color w:val="auto"/>
              </w:rPr>
            </w:pPr>
            <w:r>
              <w:rPr>
                <w:rFonts w:ascii="Times New Roman" w:cs="Times New Roman" w:eastAsia="Times New Roman" w:hAnsi="Times New Roman"/>
                <w:sz w:val="9"/>
                <w:szCs w:val="9"/>
                <w:color w:val="auto"/>
              </w:rPr>
              <w:t>1,673,105</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3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67,872</w:t>
            </w: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jc w:val="right"/>
              <w:ind w:right="56"/>
              <w:spacing w:after="0" w:line="102"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tcBorders>
              <w:right w:val="single" w:sz="8" w:color="auto"/>
            </w:tcBorders>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14,879,954</w:t>
            </w: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15</w:t>
            </w: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jc w:val="right"/>
              <w:ind w:right="76"/>
              <w:spacing w:after="0" w:line="102" w:lineRule="exact"/>
              <w:rPr>
                <w:sz w:val="20"/>
                <w:szCs w:val="20"/>
                <w:color w:val="auto"/>
              </w:rPr>
            </w:pPr>
            <w:r>
              <w:rPr>
                <w:rFonts w:ascii="Times New Roman" w:cs="Times New Roman" w:eastAsia="Times New Roman" w:hAnsi="Times New Roman"/>
                <w:sz w:val="9"/>
                <w:szCs w:val="9"/>
                <w:color w:val="auto"/>
              </w:rPr>
              <w:t>29,759,908</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3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30</w:t>
            </w: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2,434</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right w:val="single" w:sz="8" w:color="CFF0FC"/>
            </w:tcBorders>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Borders>
              <w:right w:val="single" w:sz="8" w:color="CFF0FC"/>
            </w:tcBorders>
            <w:shd w:val="clear" w:color="auto" w:fill="CFF0FC"/>
          </w:tcPr>
          <w:p>
            <w:pPr>
              <w:jc w:val="right"/>
              <w:ind w:right="36"/>
              <w:spacing w:after="0" w:line="102" w:lineRule="exact"/>
              <w:rPr>
                <w:sz w:val="20"/>
                <w:szCs w:val="20"/>
                <w:color w:val="auto"/>
              </w:rPr>
            </w:pPr>
            <w:r>
              <w:rPr>
                <w:rFonts w:ascii="Times New Roman" w:cs="Times New Roman" w:eastAsia="Times New Roman" w:hAnsi="Times New Roman"/>
                <w:sz w:val="9"/>
                <w:szCs w:val="9"/>
                <w:color w:val="auto"/>
              </w:rPr>
              <w:t>(18,610 )</w:t>
            </w:r>
          </w:p>
        </w:tc>
        <w:tc>
          <w:tcPr>
            <w:tcW w:w="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right w:val="single" w:sz="8" w:color="CFF0FC"/>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(16,131 )</w:t>
            </w:r>
          </w:p>
        </w:tc>
        <w:tc>
          <w:tcPr>
            <w:tcW w:w="0" w:type="dxa"/>
            <w:vAlign w:val="bottom"/>
          </w:tcPr>
          <w:p>
            <w:pPr>
              <w:spacing w:after="0"/>
              <w:rPr>
                <w:sz w:val="1"/>
                <w:szCs w:val="1"/>
                <w:color w:val="auto"/>
              </w:rPr>
            </w:pPr>
          </w:p>
        </w:tc>
      </w:tr>
      <w:tr>
        <w:trPr>
          <w:trHeight w:val="108"/>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Net income</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6,497</w:t>
            </w:r>
          </w:p>
        </w:tc>
        <w:tc>
          <w:tcPr>
            <w:tcW w:w="80" w:type="dxa"/>
            <w:vAlign w:val="bottom"/>
          </w:tcPr>
          <w:p>
            <w:pPr>
              <w:spacing w:after="0"/>
              <w:rPr>
                <w:sz w:val="9"/>
                <w:szCs w:val="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6,497</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rPr>
              <w:t>Stock–based</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compensation expense</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322</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322</w:t>
            </w:r>
          </w:p>
        </w:tc>
        <w:tc>
          <w:tcPr>
            <w:tcW w:w="0" w:type="dxa"/>
            <w:vAlign w:val="bottom"/>
          </w:tcPr>
          <w:p>
            <w:pPr>
              <w:spacing w:after="0"/>
              <w:rPr>
                <w:sz w:val="1"/>
                <w:szCs w:val="1"/>
                <w:color w:val="auto"/>
              </w:rPr>
            </w:pPr>
          </w:p>
        </w:tc>
      </w:tr>
      <w:tr>
        <w:trPr>
          <w:trHeight w:val="99"/>
        </w:trPr>
        <w:tc>
          <w:tcPr>
            <w:tcW w:w="112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Issuance of common</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tcPr>
          <w:p>
            <w:pPr>
              <w:ind w:left="260"/>
              <w:spacing w:after="0" w:line="95" w:lineRule="exact"/>
              <w:rPr>
                <w:sz w:val="20"/>
                <w:szCs w:val="20"/>
                <w:color w:val="auto"/>
              </w:rPr>
            </w:pPr>
            <w:r>
              <w:rPr>
                <w:rFonts w:ascii="Times New Roman" w:cs="Times New Roman" w:eastAsia="Times New Roman" w:hAnsi="Times New Roman"/>
                <w:sz w:val="9"/>
                <w:szCs w:val="9"/>
                <w:color w:val="auto"/>
              </w:rPr>
              <w:t>stock upon exercise of</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stock options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41,224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82,448</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137</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rPr>
              <w:t>Tax benefit related to</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shd w:val="clear" w:color="auto" w:fill="CFF0FC"/>
          </w:tcPr>
          <w:p>
            <w:pPr>
              <w:ind w:left="260"/>
              <w:spacing w:after="0" w:line="95" w:lineRule="exact"/>
              <w:rPr>
                <w:sz w:val="20"/>
                <w:szCs w:val="20"/>
                <w:color w:val="auto"/>
              </w:rPr>
            </w:pPr>
            <w:r>
              <w:rPr>
                <w:rFonts w:ascii="Times New Roman" w:cs="Times New Roman" w:eastAsia="Times New Roman" w:hAnsi="Times New Roman"/>
                <w:sz w:val="9"/>
                <w:szCs w:val="9"/>
                <w:color w:val="auto"/>
              </w:rPr>
              <w:t>exercise of stock</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options</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821</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821</w:t>
            </w:r>
          </w:p>
        </w:tc>
        <w:tc>
          <w:tcPr>
            <w:tcW w:w="0" w:type="dxa"/>
            <w:vAlign w:val="bottom"/>
          </w:tcPr>
          <w:p>
            <w:pPr>
              <w:spacing w:after="0"/>
              <w:rPr>
                <w:sz w:val="1"/>
                <w:szCs w:val="1"/>
                <w:color w:val="auto"/>
              </w:rPr>
            </w:pPr>
          </w:p>
        </w:tc>
      </w:tr>
      <w:tr>
        <w:trPr>
          <w:trHeight w:val="99"/>
        </w:trPr>
        <w:tc>
          <w:tcPr>
            <w:tcW w:w="112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Issuance of Series 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tcPr>
          <w:p>
            <w:pPr>
              <w:ind w:left="260"/>
              <w:spacing w:after="0" w:line="95" w:lineRule="exact"/>
              <w:rPr>
                <w:sz w:val="20"/>
                <w:szCs w:val="20"/>
                <w:color w:val="auto"/>
              </w:rPr>
            </w:pPr>
            <w:r>
              <w:rPr>
                <w:rFonts w:ascii="Times New Roman" w:cs="Times New Roman" w:eastAsia="Times New Roman" w:hAnsi="Times New Roman"/>
                <w:sz w:val="9"/>
                <w:szCs w:val="9"/>
                <w:color w:val="auto"/>
              </w:rPr>
              <w:t>convertible preferred</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tcPr>
          <w:p>
            <w:pPr>
              <w:ind w:left="260"/>
              <w:spacing w:after="0" w:line="95" w:lineRule="exact"/>
              <w:rPr>
                <w:sz w:val="20"/>
                <w:szCs w:val="20"/>
                <w:color w:val="auto"/>
              </w:rPr>
            </w:pPr>
            <w:r>
              <w:rPr>
                <w:rFonts w:ascii="Times New Roman" w:cs="Times New Roman" w:eastAsia="Times New Roman" w:hAnsi="Times New Roman"/>
                <w:sz w:val="9"/>
                <w:szCs w:val="9"/>
                <w:color w:val="auto"/>
              </w:rPr>
              <w:t>stock, net of issuance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costs of $280</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1,107,202</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59,732</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Repurchase of stock</w:t>
            </w:r>
          </w:p>
        </w:tc>
        <w:tc>
          <w:tcPr>
            <w:tcW w:w="6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(224,903 )</w:t>
            </w:r>
          </w:p>
        </w:tc>
        <w:tc>
          <w:tcPr>
            <w:tcW w:w="4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(118 )</w:t>
            </w:r>
          </w:p>
        </w:tc>
        <w:tc>
          <w:tcPr>
            <w:tcW w:w="6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(357,568 )</w:t>
            </w: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(279 )</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(17,243 )</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(15 )</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6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(899,046 )</w:t>
            </w: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(1 )</w:t>
            </w:r>
          </w:p>
        </w:tc>
        <w:tc>
          <w:tcPr>
            <w:tcW w:w="62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(1,798,092 )</w:t>
            </w:r>
          </w:p>
        </w:tc>
        <w:tc>
          <w:tcPr>
            <w:tcW w:w="60" w:type="dxa"/>
            <w:vAlign w:val="bottom"/>
            <w:shd w:val="clear" w:color="auto" w:fill="CFF0FC"/>
          </w:tcPr>
          <w:p>
            <w:pPr>
              <w:spacing w:after="0"/>
              <w:rPr>
                <w:sz w:val="9"/>
                <w:szCs w:val="9"/>
                <w:color w:val="auto"/>
              </w:rPr>
            </w:pP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(2 )</w:t>
            </w: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(59,585 )</w:t>
            </w: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(59,588 )</w:t>
            </w:r>
          </w:p>
        </w:tc>
        <w:tc>
          <w:tcPr>
            <w:tcW w:w="0" w:type="dxa"/>
            <w:vAlign w:val="bottom"/>
          </w:tcPr>
          <w:p>
            <w:pPr>
              <w:spacing w:after="0"/>
              <w:rPr>
                <w:sz w:val="1"/>
                <w:szCs w:val="1"/>
                <w:color w:val="auto"/>
              </w:rPr>
            </w:pPr>
          </w:p>
        </w:tc>
      </w:tr>
      <w:tr>
        <w:trPr>
          <w:trHeight w:val="99"/>
        </w:trPr>
        <w:tc>
          <w:tcPr>
            <w:tcW w:w="112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Foreign currency</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translation adjustment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(30 )</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(30 )</w:t>
            </w:r>
          </w:p>
        </w:tc>
        <w:tc>
          <w:tcPr>
            <w:tcW w:w="0" w:type="dxa"/>
            <w:vAlign w:val="bottom"/>
          </w:tcPr>
          <w:p>
            <w:pPr>
              <w:spacing w:after="0"/>
              <w:rPr>
                <w:sz w:val="1"/>
                <w:szCs w:val="1"/>
                <w:color w:val="auto"/>
              </w:rPr>
            </w:pPr>
          </w:p>
        </w:tc>
      </w:tr>
      <w:tr>
        <w:trPr>
          <w:trHeight w:val="20"/>
        </w:trPr>
        <w:tc>
          <w:tcPr>
            <w:tcW w:w="1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2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9"/>
                <w:szCs w:val="9"/>
                <w:color w:val="auto"/>
                <w:w w:val="99"/>
              </w:rPr>
              <w:t>Balance at December 31, 2016</w:t>
            </w:r>
          </w:p>
        </w:tc>
        <w:tc>
          <w:tcPr>
            <w:tcW w:w="5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2,824,703</w:t>
            </w: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1,483</w:t>
            </w: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2,938,486</w:t>
            </w: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2,295</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1,550,612</w:t>
            </w: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1,316</w:t>
            </w: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jc w:val="right"/>
              <w:ind w:right="76"/>
              <w:spacing w:after="0" w:line="102" w:lineRule="exact"/>
              <w:rPr>
                <w:sz w:val="20"/>
                <w:szCs w:val="20"/>
                <w:color w:val="auto"/>
              </w:rPr>
            </w:pPr>
            <w:r>
              <w:rPr>
                <w:rFonts w:ascii="Times New Roman" w:cs="Times New Roman" w:eastAsia="Times New Roman" w:hAnsi="Times New Roman"/>
                <w:sz w:val="9"/>
                <w:szCs w:val="9"/>
                <w:color w:val="auto"/>
              </w:rPr>
              <w:t>1,673,105</w:t>
            </w: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67,872</w:t>
            </w: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jc w:val="right"/>
              <w:ind w:right="56"/>
              <w:spacing w:after="0" w:line="102" w:lineRule="exact"/>
              <w:rPr>
                <w:sz w:val="20"/>
                <w:szCs w:val="20"/>
                <w:color w:val="auto"/>
              </w:rPr>
            </w:pPr>
            <w:r>
              <w:rPr>
                <w:rFonts w:ascii="Times New Roman" w:cs="Times New Roman" w:eastAsia="Times New Roman" w:hAnsi="Times New Roman"/>
                <w:sz w:val="9"/>
                <w:szCs w:val="9"/>
                <w:color w:val="auto"/>
              </w:rPr>
              <w:t>1,107,202</w:t>
            </w: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59,732</w:t>
            </w: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14,022,132</w:t>
            </w: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14</w:t>
            </w: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jc w:val="right"/>
              <w:ind w:right="76"/>
              <w:spacing w:after="0" w:line="102" w:lineRule="exact"/>
              <w:rPr>
                <w:sz w:val="20"/>
                <w:szCs w:val="20"/>
                <w:color w:val="auto"/>
              </w:rPr>
            </w:pPr>
            <w:r>
              <w:rPr>
                <w:rFonts w:ascii="Times New Roman" w:cs="Times New Roman" w:eastAsia="Times New Roman" w:hAnsi="Times New Roman"/>
                <w:sz w:val="9"/>
                <w:szCs w:val="9"/>
                <w:color w:val="auto"/>
              </w:rPr>
              <w:t>28,044,264</w:t>
            </w: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28</w:t>
            </w: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3,714</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tcBorders>
              <w:right w:val="single" w:sz="8" w:color="CFF0FC"/>
            </w:tcBorders>
            <w:gridSpan w:val="2"/>
            <w:shd w:val="clear" w:color="auto" w:fill="CFF0FC"/>
          </w:tcPr>
          <w:p>
            <w:pPr>
              <w:jc w:val="right"/>
              <w:ind w:right="80"/>
              <w:spacing w:after="0" w:line="102" w:lineRule="exact"/>
              <w:rPr>
                <w:sz w:val="20"/>
                <w:szCs w:val="20"/>
                <w:color w:val="auto"/>
              </w:rPr>
            </w:pPr>
            <w:r>
              <w:rPr>
                <w:rFonts w:ascii="Times New Roman" w:cs="Times New Roman" w:eastAsia="Times New Roman" w:hAnsi="Times New Roman"/>
                <w:sz w:val="9"/>
                <w:szCs w:val="9"/>
                <w:color w:val="auto"/>
              </w:rPr>
              <w:t>(30 )</w:t>
            </w: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jc w:val="right"/>
              <w:ind w:right="36"/>
              <w:spacing w:after="0" w:line="102" w:lineRule="exact"/>
              <w:rPr>
                <w:sz w:val="20"/>
                <w:szCs w:val="20"/>
                <w:color w:val="auto"/>
              </w:rPr>
            </w:pPr>
            <w:r>
              <w:rPr>
                <w:rFonts w:ascii="Times New Roman" w:cs="Times New Roman" w:eastAsia="Times New Roman" w:hAnsi="Times New Roman"/>
                <w:sz w:val="9"/>
                <w:szCs w:val="9"/>
                <w:color w:val="auto"/>
              </w:rPr>
              <w:t>(71,698 )</w:t>
            </w: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(67,972 )</w:t>
            </w:r>
          </w:p>
        </w:tc>
        <w:tc>
          <w:tcPr>
            <w:tcW w:w="0" w:type="dxa"/>
            <w:vAlign w:val="bottom"/>
          </w:tcPr>
          <w:p>
            <w:pPr>
              <w:spacing w:after="0"/>
              <w:rPr>
                <w:sz w:val="1"/>
                <w:szCs w:val="1"/>
                <w:color w:val="auto"/>
              </w:rPr>
            </w:pPr>
          </w:p>
        </w:tc>
      </w:tr>
      <w:tr>
        <w:trPr>
          <w:trHeight w:val="108"/>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Net income</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13,199</w:t>
            </w:r>
          </w:p>
        </w:tc>
        <w:tc>
          <w:tcPr>
            <w:tcW w:w="80" w:type="dxa"/>
            <w:vAlign w:val="bottom"/>
          </w:tcPr>
          <w:p>
            <w:pPr>
              <w:spacing w:after="0"/>
              <w:rPr>
                <w:sz w:val="9"/>
                <w:szCs w:val="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13,199</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rPr>
              <w:t>Stock–based</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compensation expense</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5,204</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5,204</w:t>
            </w:r>
          </w:p>
        </w:tc>
        <w:tc>
          <w:tcPr>
            <w:tcW w:w="0" w:type="dxa"/>
            <w:vAlign w:val="bottom"/>
          </w:tcPr>
          <w:p>
            <w:pPr>
              <w:spacing w:after="0"/>
              <w:rPr>
                <w:sz w:val="1"/>
                <w:szCs w:val="1"/>
                <w:color w:val="auto"/>
              </w:rPr>
            </w:pPr>
          </w:p>
        </w:tc>
      </w:tr>
      <w:tr>
        <w:trPr>
          <w:trHeight w:val="99"/>
        </w:trPr>
        <w:tc>
          <w:tcPr>
            <w:tcW w:w="112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Issuance of common</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tcPr>
          <w:p>
            <w:pPr>
              <w:ind w:left="260"/>
              <w:spacing w:after="0" w:line="95" w:lineRule="exact"/>
              <w:rPr>
                <w:sz w:val="20"/>
                <w:szCs w:val="20"/>
                <w:color w:val="auto"/>
              </w:rPr>
            </w:pPr>
            <w:r>
              <w:rPr>
                <w:rFonts w:ascii="Times New Roman" w:cs="Times New Roman" w:eastAsia="Times New Roman" w:hAnsi="Times New Roman"/>
                <w:sz w:val="9"/>
                <w:szCs w:val="9"/>
                <w:color w:val="auto"/>
              </w:rPr>
              <w:t>stock upon exercise of</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stock options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92,944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181,840</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398</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rPr>
              <w:t>Issuance of common</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shd w:val="clear" w:color="auto" w:fill="CFF0FC"/>
          </w:tcPr>
          <w:p>
            <w:pPr>
              <w:ind w:left="260"/>
              <w:spacing w:after="0" w:line="95" w:lineRule="exact"/>
              <w:rPr>
                <w:sz w:val="20"/>
                <w:szCs w:val="20"/>
                <w:color w:val="auto"/>
              </w:rPr>
            </w:pPr>
            <w:r>
              <w:rPr>
                <w:rFonts w:ascii="Times New Roman" w:cs="Times New Roman" w:eastAsia="Times New Roman" w:hAnsi="Times New Roman"/>
                <w:sz w:val="9"/>
                <w:szCs w:val="9"/>
                <w:color w:val="auto"/>
              </w:rPr>
              <w:t>stock from public</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shd w:val="clear" w:color="auto" w:fill="CFF0FC"/>
          </w:tcPr>
          <w:p>
            <w:pPr>
              <w:ind w:left="260"/>
              <w:spacing w:after="0" w:line="95" w:lineRule="exact"/>
              <w:rPr>
                <w:sz w:val="20"/>
                <w:szCs w:val="20"/>
                <w:color w:val="auto"/>
              </w:rPr>
            </w:pPr>
            <w:r>
              <w:rPr>
                <w:rFonts w:ascii="Times New Roman" w:cs="Times New Roman" w:eastAsia="Times New Roman" w:hAnsi="Times New Roman"/>
                <w:sz w:val="9"/>
                <w:szCs w:val="9"/>
                <w:color w:val="auto"/>
                <w:w w:val="98"/>
              </w:rPr>
              <w:t>offering, net of offering</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costs</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3,205,000</w:t>
            </w:r>
          </w:p>
        </w:tc>
        <w:tc>
          <w:tcPr>
            <w:tcW w:w="1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0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43,237</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43,240</w:t>
            </w:r>
          </w:p>
        </w:tc>
        <w:tc>
          <w:tcPr>
            <w:tcW w:w="0" w:type="dxa"/>
            <w:vAlign w:val="bottom"/>
          </w:tcPr>
          <w:p>
            <w:pPr>
              <w:spacing w:after="0"/>
              <w:rPr>
                <w:sz w:val="1"/>
                <w:szCs w:val="1"/>
                <w:color w:val="auto"/>
              </w:rPr>
            </w:pPr>
          </w:p>
        </w:tc>
      </w:tr>
      <w:tr>
        <w:trPr>
          <w:trHeight w:val="99"/>
        </w:trPr>
        <w:tc>
          <w:tcPr>
            <w:tcW w:w="112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Conversion of</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preferred stock</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(2,824,703 )</w:t>
            </w:r>
          </w:p>
        </w:tc>
        <w:tc>
          <w:tcPr>
            <w:tcW w:w="40" w:type="dxa"/>
            <w:vAlign w:val="bottom"/>
          </w:tcPr>
          <w:p>
            <w:pPr>
              <w:spacing w:after="0"/>
              <w:rPr>
                <w:sz w:val="9"/>
                <w:szCs w:val="9"/>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(1,483 )</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(2,938,486 )</w:t>
            </w:r>
          </w:p>
        </w:tc>
        <w:tc>
          <w:tcPr>
            <w:tcW w:w="60" w:type="dxa"/>
            <w:vAlign w:val="bottom"/>
          </w:tcPr>
          <w:p>
            <w:pPr>
              <w:spacing w:after="0"/>
              <w:rPr>
                <w:sz w:val="9"/>
                <w:szCs w:val="9"/>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(2,295 )</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(1,550,612 )</w:t>
            </w:r>
          </w:p>
        </w:tc>
        <w:tc>
          <w:tcPr>
            <w:tcW w:w="40" w:type="dxa"/>
            <w:vAlign w:val="bottom"/>
          </w:tcPr>
          <w:p>
            <w:pPr>
              <w:spacing w:after="0"/>
              <w:rPr>
                <w:sz w:val="9"/>
                <w:szCs w:val="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(1,316 )</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(1,673,105 )</w:t>
            </w:r>
          </w:p>
        </w:tc>
        <w:tc>
          <w:tcPr>
            <w:tcW w:w="40" w:type="dxa"/>
            <w:vAlign w:val="bottom"/>
          </w:tcPr>
          <w:p>
            <w:pPr>
              <w:spacing w:after="0"/>
              <w:rPr>
                <w:sz w:val="9"/>
                <w:szCs w:val="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(67,872 )</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(1,107,202 )</w:t>
            </w:r>
          </w:p>
        </w:tc>
        <w:tc>
          <w:tcPr>
            <w:tcW w:w="6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(59,732 )</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60,564,678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w:t>
            </w:r>
          </w:p>
        </w:tc>
        <w:tc>
          <w:tcPr>
            <w:tcW w:w="100" w:type="dxa"/>
            <w:vAlign w:val="bottom"/>
          </w:tcPr>
          <w:p>
            <w:pPr>
              <w:spacing w:after="0"/>
              <w:rPr>
                <w:sz w:val="9"/>
                <w:szCs w:val="9"/>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132,637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132,698</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rPr>
              <w:t>Foreign currency</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translation adjustment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right w:val="single" w:sz="8" w:color="CFF0FC"/>
            </w:tcBorders>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right w:val="single" w:sz="8" w:color="CFF0FC"/>
            </w:tcBorders>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600" w:type="dxa"/>
            <w:vAlign w:val="bottom"/>
            <w:tcBorders>
              <w:bottom w:val="single" w:sz="8" w:color="auto"/>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Borders>
              <w:bottom w:val="single" w:sz="8" w:color="auto"/>
            </w:tcBorders>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600" w:type="dxa"/>
            <w:vAlign w:val="bottom"/>
            <w:tcBorders>
              <w:bottom w:val="single" w:sz="8" w:color="auto"/>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FF0FC"/>
          </w:tcPr>
          <w:p>
            <w:pPr>
              <w:spacing w:after="0"/>
              <w:rPr>
                <w:sz w:val="9"/>
                <w:szCs w:val="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right w:val="single" w:sz="8" w:color="CFF0FC"/>
            </w:tcBorders>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620" w:type="dxa"/>
            <w:vAlign w:val="bottom"/>
            <w:tcBorders>
              <w:bottom w:val="single" w:sz="8" w:color="auto"/>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CFF0FC"/>
            </w:tcBorders>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258</w:t>
            </w:r>
          </w:p>
        </w:tc>
        <w:tc>
          <w:tcPr>
            <w:tcW w:w="120" w:type="dxa"/>
            <w:vAlign w:val="bottom"/>
            <w:tcBorders>
              <w:right w:val="single" w:sz="8" w:color="CFF0FC"/>
            </w:tcBorders>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258</w:t>
            </w:r>
          </w:p>
        </w:tc>
        <w:tc>
          <w:tcPr>
            <w:tcW w:w="0" w:type="dxa"/>
            <w:vAlign w:val="bottom"/>
          </w:tcPr>
          <w:p>
            <w:pPr>
              <w:spacing w:after="0"/>
              <w:rPr>
                <w:sz w:val="1"/>
                <w:szCs w:val="1"/>
                <w:color w:val="auto"/>
              </w:rPr>
            </w:pPr>
          </w:p>
        </w:tc>
      </w:tr>
      <w:tr>
        <w:trPr>
          <w:trHeight w:val="102"/>
        </w:trPr>
        <w:tc>
          <w:tcPr>
            <w:tcW w:w="1120" w:type="dxa"/>
            <w:vAlign w:val="bottom"/>
          </w:tcPr>
          <w:p>
            <w:pPr>
              <w:spacing w:after="0" w:line="102" w:lineRule="exact"/>
              <w:rPr>
                <w:sz w:val="20"/>
                <w:szCs w:val="20"/>
                <w:color w:val="auto"/>
              </w:rPr>
            </w:pPr>
            <w:r>
              <w:rPr>
                <w:rFonts w:ascii="Times New Roman" w:cs="Times New Roman" w:eastAsia="Times New Roman" w:hAnsi="Times New Roman"/>
                <w:sz w:val="9"/>
                <w:szCs w:val="9"/>
                <w:color w:val="auto"/>
                <w:w w:val="99"/>
              </w:rPr>
              <w:t>Balance at December 31, 2017</w:t>
            </w:r>
          </w:p>
        </w:tc>
        <w:tc>
          <w:tcPr>
            <w:tcW w:w="600" w:type="dxa"/>
            <w:vAlign w:val="bottom"/>
            <w:gridSpan w:val="2"/>
          </w:tcPr>
          <w:p>
            <w:pPr>
              <w:jc w:val="right"/>
              <w:ind w:right="100"/>
              <w:spacing w:after="0" w:line="102"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440" w:type="dxa"/>
            <w:vAlign w:val="bottom"/>
            <w:gridSpan w:val="2"/>
          </w:tcPr>
          <w:p>
            <w:pPr>
              <w:jc w:val="right"/>
              <w:ind w:right="100"/>
              <w:spacing w:after="0" w:line="102"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line="102"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440" w:type="dxa"/>
            <w:vAlign w:val="bottom"/>
            <w:gridSpan w:val="2"/>
          </w:tcPr>
          <w:p>
            <w:pPr>
              <w:jc w:val="right"/>
              <w:ind w:right="100"/>
              <w:spacing w:after="0" w:line="102"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20"/>
              <w:spacing w:after="0" w:line="102"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460" w:type="dxa"/>
            <w:vAlign w:val="bottom"/>
            <w:gridSpan w:val="2"/>
          </w:tcPr>
          <w:p>
            <w:pPr>
              <w:jc w:val="right"/>
              <w:ind w:right="120"/>
              <w:spacing w:after="0" w:line="102"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76"/>
              <w:spacing w:after="0" w:line="102"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460" w:type="dxa"/>
            <w:vAlign w:val="bottom"/>
            <w:gridSpan w:val="2"/>
          </w:tcPr>
          <w:p>
            <w:pPr>
              <w:jc w:val="right"/>
              <w:ind w:right="100"/>
              <w:spacing w:after="0" w:line="102"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56"/>
              <w:spacing w:after="0" w:line="102"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80" w:type="dxa"/>
            <w:vAlign w:val="bottom"/>
            <w:tcBorders>
              <w:right w:val="single" w:sz="8" w:color="auto"/>
            </w:tcBorders>
            <w:gridSpan w:val="2"/>
          </w:tcPr>
          <w:p>
            <w:pPr>
              <w:jc w:val="right"/>
              <w:ind w:right="240"/>
              <w:spacing w:after="0" w:line="102"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Times New Roman" w:cs="Times New Roman" w:eastAsia="Times New Roman" w:hAnsi="Times New Roman"/>
                <w:sz w:val="9"/>
                <w:szCs w:val="9"/>
                <w:color w:val="auto"/>
              </w:rPr>
              <w:t>77,884,754</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Times New Roman" w:cs="Times New Roman" w:eastAsia="Times New Roman" w:hAnsi="Times New Roman"/>
                <w:sz w:val="9"/>
                <w:szCs w:val="9"/>
                <w:color w:val="auto"/>
              </w:rPr>
              <w:t>78</w:t>
            </w:r>
          </w:p>
        </w:tc>
        <w:tc>
          <w:tcPr>
            <w:tcW w:w="100" w:type="dxa"/>
            <w:vAlign w:val="bottom"/>
          </w:tcPr>
          <w:p>
            <w:pPr>
              <w:spacing w:after="0"/>
              <w:rPr>
                <w:sz w:val="8"/>
                <w:szCs w:val="8"/>
                <w:color w:val="auto"/>
              </w:rPr>
            </w:pPr>
          </w:p>
        </w:tc>
        <w:tc>
          <w:tcPr>
            <w:tcW w:w="620" w:type="dxa"/>
            <w:vAlign w:val="bottom"/>
          </w:tcPr>
          <w:p>
            <w:pPr>
              <w:jc w:val="right"/>
              <w:ind w:right="76"/>
              <w:spacing w:after="0" w:line="102" w:lineRule="exact"/>
              <w:rPr>
                <w:sz w:val="20"/>
                <w:szCs w:val="20"/>
                <w:color w:val="auto"/>
              </w:rPr>
            </w:pPr>
            <w:r>
              <w:rPr>
                <w:rFonts w:ascii="Times New Roman" w:cs="Times New Roman" w:eastAsia="Times New Roman" w:hAnsi="Times New Roman"/>
                <w:sz w:val="9"/>
                <w:szCs w:val="9"/>
                <w:color w:val="auto"/>
              </w:rPr>
              <w:t>28,226,104</w:t>
            </w:r>
          </w:p>
        </w:tc>
        <w:tc>
          <w:tcPr>
            <w:tcW w:w="60" w:type="dxa"/>
            <w:vAlign w:val="bottom"/>
          </w:tcPr>
          <w:p>
            <w:pPr>
              <w:spacing w:after="0"/>
              <w:rPr>
                <w:sz w:val="8"/>
                <w:szCs w:val="8"/>
                <w:color w:val="auto"/>
              </w:rPr>
            </w:pPr>
          </w:p>
        </w:tc>
        <w:tc>
          <w:tcPr>
            <w:tcW w:w="340" w:type="dxa"/>
            <w:vAlign w:val="bottom"/>
          </w:tcPr>
          <w:p>
            <w:pPr>
              <w:jc w:val="right"/>
              <w:spacing w:after="0" w:line="102" w:lineRule="exact"/>
              <w:rPr>
                <w:sz w:val="20"/>
                <w:szCs w:val="20"/>
                <w:color w:val="auto"/>
              </w:rPr>
            </w:pPr>
            <w:r>
              <w:rPr>
                <w:rFonts w:ascii="Times New Roman" w:cs="Times New Roman" w:eastAsia="Times New Roman" w:hAnsi="Times New Roman"/>
                <w:sz w:val="9"/>
                <w:szCs w:val="9"/>
                <w:color w:val="auto"/>
              </w:rPr>
              <w:t>28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Times New Roman" w:cs="Times New Roman" w:eastAsia="Times New Roman" w:hAnsi="Times New Roman"/>
                <w:sz w:val="9"/>
                <w:szCs w:val="9"/>
                <w:color w:val="auto"/>
              </w:rPr>
              <w:t>185,190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Times New Roman" w:cs="Times New Roman" w:eastAsia="Times New Roman" w:hAnsi="Times New Roman"/>
                <w:sz w:val="9"/>
                <w:szCs w:val="9"/>
                <w:color w:val="auto"/>
              </w:rPr>
              <w:t>228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ind w:right="36"/>
              <w:spacing w:after="0" w:line="102" w:lineRule="exact"/>
              <w:rPr>
                <w:sz w:val="20"/>
                <w:szCs w:val="20"/>
                <w:color w:val="auto"/>
              </w:rPr>
            </w:pPr>
            <w:r>
              <w:rPr>
                <w:rFonts w:ascii="Times New Roman" w:cs="Times New Roman" w:eastAsia="Times New Roman" w:hAnsi="Times New Roman"/>
                <w:sz w:val="9"/>
                <w:szCs w:val="9"/>
                <w:color w:val="auto"/>
              </w:rPr>
              <w:t>(58,499 )</w:t>
            </w:r>
          </w:p>
        </w:tc>
        <w:tc>
          <w:tcPr>
            <w:tcW w:w="80" w:type="dxa"/>
            <w:vAlign w:val="bottom"/>
          </w:tcPr>
          <w:p>
            <w:pPr>
              <w:spacing w:after="0"/>
              <w:rPr>
                <w:sz w:val="8"/>
                <w:szCs w:val="8"/>
                <w:color w:val="auto"/>
              </w:rPr>
            </w:pPr>
          </w:p>
        </w:tc>
        <w:tc>
          <w:tcPr>
            <w:tcW w:w="480" w:type="dxa"/>
            <w:vAlign w:val="bottom"/>
          </w:tcPr>
          <w:p>
            <w:pPr>
              <w:jc w:val="right"/>
              <w:ind w:right="36"/>
              <w:spacing w:after="0" w:line="102" w:lineRule="exact"/>
              <w:rPr>
                <w:sz w:val="20"/>
                <w:szCs w:val="20"/>
                <w:color w:val="auto"/>
              </w:rPr>
            </w:pPr>
            <w:r>
              <w:rPr>
                <w:rFonts w:ascii="Times New Roman" w:cs="Times New Roman" w:eastAsia="Times New Roman" w:hAnsi="Times New Roman"/>
                <w:sz w:val="9"/>
                <w:szCs w:val="9"/>
                <w:color w:val="auto"/>
              </w:rPr>
              <w:t>127,025</w:t>
            </w: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Net income</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65,170</w:t>
            </w: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65,170</w:t>
            </w:r>
          </w:p>
        </w:tc>
        <w:tc>
          <w:tcPr>
            <w:tcW w:w="0" w:type="dxa"/>
            <w:vAlign w:val="bottom"/>
          </w:tcPr>
          <w:p>
            <w:pPr>
              <w:spacing w:after="0"/>
              <w:rPr>
                <w:sz w:val="1"/>
                <w:szCs w:val="1"/>
                <w:color w:val="auto"/>
              </w:rPr>
            </w:pPr>
          </w:p>
        </w:tc>
      </w:tr>
      <w:tr>
        <w:trPr>
          <w:trHeight w:val="99"/>
        </w:trPr>
        <w:tc>
          <w:tcPr>
            <w:tcW w:w="112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Stock–based</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compensation expense</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21,284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21,284</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rPr>
              <w:t>Issuance of common</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shd w:val="clear" w:color="auto" w:fill="CFF0FC"/>
          </w:tcPr>
          <w:p>
            <w:pPr>
              <w:ind w:left="260"/>
              <w:spacing w:after="0" w:line="95" w:lineRule="exact"/>
              <w:rPr>
                <w:sz w:val="20"/>
                <w:szCs w:val="20"/>
                <w:color w:val="auto"/>
              </w:rPr>
            </w:pPr>
            <w:r>
              <w:rPr>
                <w:rFonts w:ascii="Times New Roman" w:cs="Times New Roman" w:eastAsia="Times New Roman" w:hAnsi="Times New Roman"/>
                <w:sz w:val="9"/>
                <w:szCs w:val="9"/>
                <w:color w:val="auto"/>
              </w:rPr>
              <w:t>stock upon exercise of</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stock options</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3,186,489</w:t>
            </w:r>
          </w:p>
        </w:tc>
        <w:tc>
          <w:tcPr>
            <w:tcW w:w="1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0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10,690</w:t>
            </w:r>
          </w:p>
        </w:tc>
        <w:tc>
          <w:tcPr>
            <w:tcW w:w="60" w:type="dxa"/>
            <w:vAlign w:val="bottom"/>
            <w:shd w:val="clear" w:color="auto" w:fill="CFF0FC"/>
          </w:tcPr>
          <w:p>
            <w:pPr>
              <w:spacing w:after="0"/>
              <w:rPr>
                <w:sz w:val="9"/>
                <w:szCs w:val="9"/>
                <w:color w:val="auto"/>
              </w:rPr>
            </w:pPr>
          </w:p>
        </w:tc>
        <w:tc>
          <w:tcPr>
            <w:tcW w:w="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3,629</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3,632</w:t>
            </w:r>
          </w:p>
        </w:tc>
        <w:tc>
          <w:tcPr>
            <w:tcW w:w="0" w:type="dxa"/>
            <w:vAlign w:val="bottom"/>
          </w:tcPr>
          <w:p>
            <w:pPr>
              <w:spacing w:after="0"/>
              <w:rPr>
                <w:sz w:val="1"/>
                <w:szCs w:val="1"/>
                <w:color w:val="auto"/>
              </w:rPr>
            </w:pPr>
          </w:p>
        </w:tc>
      </w:tr>
      <w:tr>
        <w:trPr>
          <w:trHeight w:val="99"/>
        </w:trPr>
        <w:tc>
          <w:tcPr>
            <w:tcW w:w="112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Issuance of common</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tcPr>
          <w:p>
            <w:pPr>
              <w:ind w:left="260"/>
              <w:spacing w:after="0" w:line="95" w:lineRule="exact"/>
              <w:rPr>
                <w:sz w:val="20"/>
                <w:szCs w:val="20"/>
                <w:color w:val="auto"/>
              </w:rPr>
            </w:pPr>
            <w:r>
              <w:rPr>
                <w:rFonts w:ascii="Times New Roman" w:cs="Times New Roman" w:eastAsia="Times New Roman" w:hAnsi="Times New Roman"/>
                <w:sz w:val="9"/>
                <w:szCs w:val="9"/>
                <w:color w:val="auto"/>
              </w:rPr>
              <w:t>stock upon vesting of</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restricted stock units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1,781,201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100" w:type="dxa"/>
            <w:vAlign w:val="bottom"/>
          </w:tcPr>
          <w:p>
            <w:pPr>
              <w:spacing w:after="0"/>
              <w:rPr>
                <w:sz w:val="9"/>
                <w:szCs w:val="9"/>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(2 )</w:t>
            </w: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rPr>
              <w:t>Payment of</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shd w:val="clear" w:color="auto" w:fill="CFF0FC"/>
          </w:tcPr>
          <w:p>
            <w:pPr>
              <w:ind w:left="260"/>
              <w:spacing w:after="0" w:line="95" w:lineRule="exact"/>
              <w:rPr>
                <w:sz w:val="20"/>
                <w:szCs w:val="20"/>
                <w:color w:val="auto"/>
              </w:rPr>
            </w:pPr>
            <w:r>
              <w:rPr>
                <w:rFonts w:ascii="Times New Roman" w:cs="Times New Roman" w:eastAsia="Times New Roman" w:hAnsi="Times New Roman"/>
                <w:sz w:val="9"/>
                <w:szCs w:val="9"/>
                <w:color w:val="auto"/>
              </w:rPr>
              <w:t>withholding taxes on</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shd w:val="clear" w:color="auto" w:fill="CFF0FC"/>
          </w:tcPr>
          <w:p>
            <w:pPr>
              <w:ind w:left="260"/>
              <w:spacing w:after="0" w:line="95" w:lineRule="exact"/>
              <w:rPr>
                <w:sz w:val="20"/>
                <w:szCs w:val="20"/>
                <w:color w:val="auto"/>
              </w:rPr>
            </w:pPr>
            <w:r>
              <w:rPr>
                <w:rFonts w:ascii="Times New Roman" w:cs="Times New Roman" w:eastAsia="Times New Roman" w:hAnsi="Times New Roman"/>
                <w:sz w:val="9"/>
                <w:szCs w:val="9"/>
                <w:color w:val="auto"/>
                <w:w w:val="99"/>
              </w:rPr>
              <w:t>net share settlements of</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equity awards</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6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(658,931 )</w:t>
            </w: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(25,885 )</w:t>
            </w:r>
          </w:p>
        </w:tc>
        <w:tc>
          <w:tcPr>
            <w:tcW w:w="100" w:type="dxa"/>
            <w:vAlign w:val="bottom"/>
            <w:shd w:val="clear" w:color="auto" w:fill="CFF0FC"/>
          </w:tcPr>
          <w:p>
            <w:pPr>
              <w:spacing w:after="0"/>
              <w:rPr>
                <w:sz w:val="9"/>
                <w:szCs w:val="9"/>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(25,885 )</w:t>
            </w:r>
          </w:p>
        </w:tc>
        <w:tc>
          <w:tcPr>
            <w:tcW w:w="0" w:type="dxa"/>
            <w:vAlign w:val="bottom"/>
          </w:tcPr>
          <w:p>
            <w:pPr>
              <w:spacing w:after="0"/>
              <w:rPr>
                <w:sz w:val="1"/>
                <w:szCs w:val="1"/>
                <w:color w:val="auto"/>
              </w:rPr>
            </w:pPr>
          </w:p>
        </w:tc>
      </w:tr>
      <w:tr>
        <w:trPr>
          <w:trHeight w:val="99"/>
        </w:trPr>
        <w:tc>
          <w:tcPr>
            <w:tcW w:w="112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Cumulative adjustment</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tcPr>
          <w:p>
            <w:pPr>
              <w:ind w:left="260"/>
              <w:spacing w:after="0" w:line="95" w:lineRule="exact"/>
              <w:rPr>
                <w:sz w:val="20"/>
                <w:szCs w:val="20"/>
                <w:color w:val="auto"/>
              </w:rPr>
            </w:pPr>
            <w:r>
              <w:rPr>
                <w:rFonts w:ascii="Times New Roman" w:cs="Times New Roman" w:eastAsia="Times New Roman" w:hAnsi="Times New Roman"/>
                <w:sz w:val="9"/>
                <w:szCs w:val="9"/>
                <w:color w:val="auto"/>
              </w:rPr>
              <w:t>from adoption of</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20" w:type="dxa"/>
            <w:vAlign w:val="bottom"/>
          </w:tcPr>
          <w:p>
            <w:pPr>
              <w:ind w:left="260"/>
              <w:spacing w:after="0" w:line="95" w:lineRule="exact"/>
              <w:rPr>
                <w:sz w:val="20"/>
                <w:szCs w:val="20"/>
                <w:color w:val="auto"/>
              </w:rPr>
            </w:pPr>
            <w:r>
              <w:rPr>
                <w:rFonts w:ascii="Times New Roman" w:cs="Times New Roman" w:eastAsia="Times New Roman" w:hAnsi="Times New Roman"/>
                <w:sz w:val="9"/>
                <w:szCs w:val="9"/>
                <w:color w:val="auto"/>
              </w:rPr>
              <w:t>revenue recognition</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standard (Note 2)</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3,042</w:t>
            </w:r>
          </w:p>
        </w:tc>
        <w:tc>
          <w:tcPr>
            <w:tcW w:w="80" w:type="dxa"/>
            <w:vAlign w:val="bottom"/>
          </w:tcPr>
          <w:p>
            <w:pPr>
              <w:spacing w:after="0"/>
              <w:rPr>
                <w:sz w:val="9"/>
                <w:szCs w:val="9"/>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3,042</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ind w:left="260"/>
              <w:spacing w:after="0" w:line="99" w:lineRule="exact"/>
              <w:rPr>
                <w:sz w:val="20"/>
                <w:szCs w:val="20"/>
                <w:color w:val="auto"/>
              </w:rPr>
            </w:pPr>
            <w:r>
              <w:rPr>
                <w:rFonts w:ascii="Times New Roman" w:cs="Times New Roman" w:eastAsia="Times New Roman" w:hAnsi="Times New Roman"/>
                <w:sz w:val="9"/>
                <w:szCs w:val="9"/>
                <w:color w:val="auto"/>
                <w:w w:val="98"/>
              </w:rPr>
              <w:t>Conversion of common</w:t>
            </w: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9"/>
                <w:szCs w:val="9"/>
                <w:color w:val="auto"/>
              </w:rPr>
              <w:t>stock</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7,534,710</w:t>
            </w:r>
          </w:p>
        </w:tc>
        <w:tc>
          <w:tcPr>
            <w:tcW w:w="1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10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(7,534,710 )</w:t>
            </w:r>
          </w:p>
        </w:tc>
        <w:tc>
          <w:tcPr>
            <w:tcW w:w="60" w:type="dxa"/>
            <w:vAlign w:val="bottom"/>
            <w:shd w:val="clear" w:color="auto" w:fill="CFF0FC"/>
          </w:tcPr>
          <w:p>
            <w:pPr>
              <w:spacing w:after="0"/>
              <w:rPr>
                <w:sz w:val="9"/>
                <w:szCs w:val="9"/>
                <w:color w:val="auto"/>
              </w:rPr>
            </w:pP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(7 )</w:t>
            </w: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1120" w:type="dxa"/>
            <w:vAlign w:val="bottom"/>
          </w:tcPr>
          <w:p>
            <w:pPr>
              <w:ind w:left="260"/>
              <w:spacing w:after="0" w:line="99" w:lineRule="exact"/>
              <w:rPr>
                <w:sz w:val="20"/>
                <w:szCs w:val="20"/>
                <w:color w:val="auto"/>
              </w:rPr>
            </w:pPr>
            <w:r>
              <w:rPr>
                <w:rFonts w:ascii="Times New Roman" w:cs="Times New Roman" w:eastAsia="Times New Roman" w:hAnsi="Times New Roman"/>
                <w:sz w:val="9"/>
                <w:szCs w:val="9"/>
                <w:color w:val="auto"/>
              </w:rPr>
              <w:t>Foreign currency</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20" w:type="dxa"/>
            <w:vAlign w:val="bottom"/>
          </w:tcPr>
          <w:p>
            <w:pPr>
              <w:ind w:left="260"/>
              <w:spacing w:after="0"/>
              <w:rPr>
                <w:sz w:val="20"/>
                <w:szCs w:val="20"/>
                <w:color w:val="auto"/>
              </w:rPr>
            </w:pPr>
            <w:r>
              <w:rPr>
                <w:rFonts w:ascii="Times New Roman" w:cs="Times New Roman" w:eastAsia="Times New Roman" w:hAnsi="Times New Roman"/>
                <w:sz w:val="9"/>
                <w:szCs w:val="9"/>
                <w:color w:val="auto"/>
              </w:rPr>
              <w:t>translation adjustment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(157 )</w:t>
            </w:r>
          </w:p>
        </w:tc>
        <w:tc>
          <w:tcPr>
            <w:tcW w:w="60" w:type="dxa"/>
            <w:vAlign w:val="bottom"/>
          </w:tcPr>
          <w:p>
            <w:pPr>
              <w:spacing w:after="0"/>
              <w:rPr>
                <w:sz w:val="9"/>
                <w:szCs w:val="9"/>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(157 )</w:t>
            </w:r>
          </w:p>
        </w:tc>
        <w:tc>
          <w:tcPr>
            <w:tcW w:w="0" w:type="dxa"/>
            <w:vAlign w:val="bottom"/>
          </w:tcPr>
          <w:p>
            <w:pPr>
              <w:spacing w:after="0"/>
              <w:rPr>
                <w:sz w:val="1"/>
                <w:szCs w:val="1"/>
                <w:color w:val="auto"/>
              </w:rPr>
            </w:pPr>
          </w:p>
        </w:tc>
      </w:tr>
      <w:tr>
        <w:trPr>
          <w:trHeight w:val="20"/>
        </w:trPr>
        <w:tc>
          <w:tcPr>
            <w:tcW w:w="1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2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9"/>
                <w:szCs w:val="9"/>
                <w:color w:val="auto"/>
                <w:w w:val="99"/>
              </w:rPr>
              <w:t>Balance at December 31, 2018</w:t>
            </w:r>
          </w:p>
        </w:tc>
        <w:tc>
          <w:tcPr>
            <w:tcW w:w="5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3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jc w:val="right"/>
              <w:ind w:right="76"/>
              <w:spacing w:after="0" w:line="102"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gridSpan w:val="2"/>
            <w:shd w:val="clear" w:color="auto" w:fill="CFF0FC"/>
          </w:tcPr>
          <w:p>
            <w:pPr>
              <w:jc w:val="right"/>
              <w:ind w:right="100"/>
              <w:spacing w:after="0" w:line="102"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FF0FC"/>
            </w:tcBorders>
            <w:shd w:val="clear" w:color="auto" w:fill="CFF0FC"/>
          </w:tcPr>
          <w:p>
            <w:pPr>
              <w:jc w:val="right"/>
              <w:ind w:right="56"/>
              <w:spacing w:after="0" w:line="102"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tcBorders>
              <w:right w:val="single" w:sz="8" w:color="auto"/>
            </w:tcBorders>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89,728,223</w:t>
            </w:r>
          </w:p>
        </w:tc>
        <w:tc>
          <w:tcPr>
            <w:tcW w:w="1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90</w:t>
            </w:r>
          </w:p>
        </w:tc>
        <w:tc>
          <w:tcPr>
            <w:tcW w:w="100" w:type="dxa"/>
            <w:vAlign w:val="bottom"/>
            <w:shd w:val="clear" w:color="auto" w:fill="CFF0FC"/>
          </w:tcPr>
          <w:p>
            <w:pPr>
              <w:spacing w:after="0"/>
              <w:rPr>
                <w:sz w:val="8"/>
                <w:szCs w:val="8"/>
                <w:color w:val="auto"/>
              </w:rPr>
            </w:pPr>
          </w:p>
        </w:tc>
        <w:tc>
          <w:tcPr>
            <w:tcW w:w="620" w:type="dxa"/>
            <w:vAlign w:val="bottom"/>
            <w:tcBorders>
              <w:right w:val="single" w:sz="8" w:color="CFF0FC"/>
            </w:tcBorders>
            <w:shd w:val="clear" w:color="auto" w:fill="CFF0FC"/>
          </w:tcPr>
          <w:p>
            <w:pPr>
              <w:jc w:val="right"/>
              <w:ind w:right="76"/>
              <w:spacing w:after="0" w:line="102" w:lineRule="exact"/>
              <w:rPr>
                <w:sz w:val="20"/>
                <w:szCs w:val="20"/>
                <w:color w:val="auto"/>
              </w:rPr>
            </w:pPr>
            <w:r>
              <w:rPr>
                <w:rFonts w:ascii="Times New Roman" w:cs="Times New Roman" w:eastAsia="Times New Roman" w:hAnsi="Times New Roman"/>
                <w:sz w:val="9"/>
                <w:szCs w:val="9"/>
                <w:color w:val="auto"/>
              </w:rPr>
              <w:t>20,702,084</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3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21</w:t>
            </w: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3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184,216</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4"/>
                <w:szCs w:val="4"/>
                <w:color w:val="auto"/>
                <w:w w:val="97"/>
              </w:rPr>
              <w:t>$</w:t>
            </w:r>
          </w:p>
        </w:tc>
        <w:tc>
          <w:tcPr>
            <w:tcW w:w="4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rPr>
              <w:t>71</w:t>
            </w:r>
          </w:p>
        </w:tc>
        <w:tc>
          <w:tcPr>
            <w:tcW w:w="1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Borders>
              <w:right w:val="single" w:sz="8" w:color="CFF0FC"/>
            </w:tcBorders>
            <w:shd w:val="clear" w:color="auto" w:fill="CFF0FC"/>
          </w:tcPr>
          <w:p>
            <w:pPr>
              <w:jc w:val="right"/>
              <w:ind w:right="76"/>
              <w:spacing w:after="0" w:line="102" w:lineRule="exact"/>
              <w:rPr>
                <w:sz w:val="20"/>
                <w:szCs w:val="20"/>
                <w:color w:val="auto"/>
              </w:rPr>
            </w:pPr>
            <w:r>
              <w:rPr>
                <w:rFonts w:ascii="Times New Roman" w:cs="Times New Roman" w:eastAsia="Times New Roman" w:hAnsi="Times New Roman"/>
                <w:sz w:val="9"/>
                <w:szCs w:val="9"/>
                <w:color w:val="auto"/>
              </w:rPr>
              <w:t>9,713</w:t>
            </w:r>
          </w:p>
        </w:tc>
        <w:tc>
          <w:tcPr>
            <w:tcW w:w="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right w:val="single" w:sz="8" w:color="CFF0FC"/>
            </w:tcBorders>
            <w:shd w:val="clear" w:color="auto" w:fill="CFF0FC"/>
          </w:tcPr>
          <w:p>
            <w:pPr>
              <w:jc w:val="right"/>
              <w:ind w:right="36"/>
              <w:spacing w:after="0" w:line="102" w:lineRule="exact"/>
              <w:rPr>
                <w:sz w:val="20"/>
                <w:szCs w:val="20"/>
                <w:color w:val="auto"/>
              </w:rPr>
            </w:pPr>
            <w:r>
              <w:rPr>
                <w:rFonts w:ascii="Times New Roman" w:cs="Times New Roman" w:eastAsia="Times New Roman" w:hAnsi="Times New Roman"/>
                <w:sz w:val="9"/>
                <w:szCs w:val="9"/>
                <w:color w:val="auto"/>
              </w:rPr>
              <w:t>194,111</w:t>
            </w:r>
          </w:p>
        </w:tc>
        <w:tc>
          <w:tcPr>
            <w:tcW w:w="0" w:type="dxa"/>
            <w:vAlign w:val="bottom"/>
          </w:tcPr>
          <w:p>
            <w:pPr>
              <w:spacing w:after="0"/>
              <w:rPr>
                <w:sz w:val="1"/>
                <w:szCs w:val="1"/>
                <w:color w:val="auto"/>
              </w:rPr>
            </w:pPr>
          </w:p>
        </w:tc>
      </w:tr>
      <w:tr>
        <w:trPr>
          <w:trHeight w:val="20"/>
        </w:trPr>
        <w:tc>
          <w:tcPr>
            <w:tcW w:w="1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65,170</w:t>
            </w:r>
          </w:p>
        </w:tc>
        <w:tc>
          <w:tcPr>
            <w:tcW w:w="8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13,199</w:t>
            </w:r>
          </w:p>
        </w:tc>
        <w:tc>
          <w:tcPr>
            <w:tcW w:w="280" w:type="dxa"/>
            <w:vAlign w:val="bottom"/>
          </w:tcPr>
          <w:p>
            <w:pPr>
              <w:spacing w:after="0"/>
              <w:rPr>
                <w:sz w:val="18"/>
                <w:szCs w:val="18"/>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currency (gain) loss on foreign denominated transactions</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taxes</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(39,040)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deferred contract costs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Excess tax benefit related to exercise of stock options</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Prepaid expenses, prepaid income taxes, and other assets</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(11,753)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(2,287)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(2,226)</w:t>
            </w: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contracts costs</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(12,987)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expenses, accrued income taxes and other current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51,723</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25,691</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(5,846)</w:t>
            </w: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Capitalization of website development costs</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(1,522)</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(2,215)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certificates of deposit</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(212,800)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(59,774)</w:t>
            </w: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Maturities of certificates of deposit</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(80,278)</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(12,598)</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(51,992)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Initial public offering proceeds</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(1,142)</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(3,308)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preferred stock</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Excess tax benefit related to exercise of stock options</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repurchase of preferred stock, common stock, and</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vested options</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Payment of withholding taxes on net share settlements of equity awards</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(25,885)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(23,395)</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44,780</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Impact of foreign currency on cash, cash equivalents, and</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(51,994)</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(31,343)</w:t>
            </w:r>
          </w:p>
        </w:tc>
        <w:tc>
          <w:tcPr>
            <w:tcW w:w="0" w:type="dxa"/>
            <w:vAlign w:val="bottom"/>
          </w:tcPr>
          <w:p>
            <w:pPr>
              <w:spacing w:after="0"/>
              <w:rPr>
                <w:sz w:val="1"/>
                <w:szCs w:val="1"/>
                <w:color w:val="auto"/>
              </w:rPr>
            </w:pPr>
          </w:p>
        </w:tc>
      </w:tr>
      <w:tr>
        <w:trPr>
          <w:trHeight w:val="213"/>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89,552</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31,520</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62,863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37,558</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89,552</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280" w:type="dxa"/>
            <w:vAlign w:val="bottom"/>
          </w:tcPr>
          <w:p>
            <w:pPr>
              <w:spacing w:after="0"/>
              <w:rPr>
                <w:sz w:val="22"/>
                <w:szCs w:val="22"/>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Unpaid initial public offering costs</w:t>
            </w: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Capitalized stock-based compensation in website development costs</w:t>
            </w: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unless otherwise noted)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 Description</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8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Company is headquartered in Cambridge, Massachusetts and was incorporated in the State of Delaware on June 26, 2015. Prior to June 26, 2015, the Company operated as CarGurus LLC and was organized on November 10, 2005 as a limited liability company under the laws of the Commonwealth of Massachusetts. The Company operates principally in the United States and has also launched marketplaces in Canada, the United Kingdom, Germany, Italy, and Spain. The Company has wholly owned subsidiaries in the United States, Canada, Ireland, and the United Kingdom.</w:t>
      </w:r>
    </w:p>
    <w:p>
      <w:pPr>
        <w:spacing w:after="0" w:line="180"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On October 16, 2017, the Company completed its initial public offering (“IPO”), in which the Company issued and sold 3,205,000 shares of its Class A common stock, including the full exercise by the underwriters of their option to purchase 705,000 shares of Class A common stock, at a public offering price of $16.00 per share for aggregate gross proceeds of $51.3 million. The Company received $43.2 million in net proceeds after deducting $3.6 million of underwriting discounts and commissions and $4.5 million in offering costs. In addition to shares of Class A common stock issued and sold by the Company, certain selling stockholders sold an aggregate of 7,605,000 shares of Class A common stock, including the full exercise by the underwriters of their option to purchase 705,000 shares of Class A common stock, as part of the IPO. Upon the closing of the IPO, all of the outstanding shares of convertible preferred stock automatically converted into 20,188,226 shares of Class A common stock and 40,376,452 shares of Class B common stock. The 40,376,452 shares of Class B common stock subsequently converted into 40,376,452 shares of Class A common stock resulting in a total conversion of all outstanding shares of convertible preferred stock into 60,564,678 shares of Class A common stock. Subsequent to the closing of the IPO, there were no shares of convertible preferred stock outstanding.</w:t>
      </w:r>
    </w:p>
    <w:p>
      <w:pPr>
        <w:spacing w:after="0" w:line="186"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application of certain significant accounting policies as described below and elsewhere in these notes to the consolidated financial statements. The Company believes that a significant accounting policy is one that is both important to the portrayal of the Company’s financial condition and results, and requires management’s most difficult, subjective, or complex judgments, often as the result of the need to make estimates about the effect of matters that are inherently uncertain.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U.S. generally accepted accounting principles as found in the Accounting Standards Codification (“ASC”) and Accounting Standards Update (“ASU”) of the Financial Accounting Standards Board (“FASB”).</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In the consolidated statements of operations for the years end ended December 31, 2017 and 2016, the Company has separately presented interest income from other income, net to conform to current year presentation due to the increase in amount during the year ended December 31, 2018 as compared to the year ended December 31, 2017 and 2016.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1" w:name="page72"/>
    <w:bookmarkEnd w:id="71"/>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In the consolidated balance sheet as of December 31, 2017, the Company has separately presented other current assets from prepaid expenses and prepaid income taxes to conform to current year presentation due to the increase in the balance at December 31, 2018 as compared to December 31,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76"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Significant estimates relied upon in preparing these consolidated financial statements include revenue recognition and revenue reserves, contingent liabilities, allowances for doubtful accounts, expected future cash flows used to evaluate the recoverability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the expensing and capitalization of product, technology, and development costs for website development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the determination of the fair value of stock awards issued prior to the IPO,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the recoverability of the Company’s net deferred tax assets.</w:t>
      </w:r>
    </w:p>
    <w:p>
      <w:pPr>
        <w:spacing w:after="0" w:line="18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 Considerations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 other than those disclosed in this Annual Report on Form 10-K.</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55"/>
        <w:spacing w:after="0" w:line="229" w:lineRule="exact"/>
        <w:rPr>
          <w:sz w:val="20"/>
          <w:szCs w:val="20"/>
          <w:color w:val="auto"/>
        </w:rPr>
      </w:pPr>
      <w:r>
        <w:rPr>
          <w:rFonts w:ascii="Times New Roman" w:cs="Times New Roman" w:eastAsia="Times New Roman" w:hAnsi="Times New Roman"/>
          <w:sz w:val="18"/>
          <w:szCs w:val="18"/>
          <w:color w:val="auto"/>
        </w:rPr>
        <w:t>The Company derives its revenue from two primary sources: (1) marketplace subscription revenue, which consists of listing subscriptions, display advertising subscriptions with dealers and dealer search engine marketing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The Company offers three types of marketplace Listing products to dealers: Basic Listing, which is free; and Enhanced or Featured Listing, which require a paid subscription under a monthly, quarterly, semiannual, or annual subscription basis. Contractual subscriptions for customers generally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renew on a monthly basis and are cancellable by dealers with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days’ advance notice. The Company also offers Listing dealers access to the Dealer Dashboard, which includes a performance summary, Dealer Insights tool, user review management platform, Pricing Tool, and Market Analysis tool. The Pricing Tool and Market Analysis tool are available only to paying dealers. Subscription pricing is determined based on a dealer’s inventory size, region, and the Company’s assessment of the connections and Return on Investment (“ROI”) the platform will provide them.</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Customers do not have the right to take possession of the Company’s software.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2" w:name="page73"/>
    <w:bookmarkEnd w:id="72"/>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 addition to listing inventory in the marketplace and providing access to the Dealer Dashboard, the Company offers Enhanced and Featured Listing dealers other subscription advertising and customer acquisition products, including display advertising that appears in the Company’s marketplace and on other sites on the internet. This advertising can be targeted by geography, search history, and a number of other factors, and dealer search engine marketing, which helps dealers more effectively acquire customers through paid search, social media, and retargeted advertising.</w:t>
      </w:r>
    </w:p>
    <w:p>
      <w:pPr>
        <w:spacing w:after="0" w:line="180"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Payment is typically due on first day of each calendar month and is recorded as accounts receivable or short-term deferred revenue when payment is received in advance of services being delivered to the customers.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Advertising and other revenue consists primarily of non-dealer display advertising revenue from auto manufacturers and other auto-related brand advertisers sold on a cost per thousand impressions (“CPM”) basis. An impression is an advertisement loaded on a web page. In addition to advertising sold on a CPM basis, the Company also has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The Company does not provide minimum impression guarantees or other types of minimum guarantees in its contracts with customers. Pricing is primarily based on advertisement size and position on the Company’s websites and mobile applications, and fees are billed monthly in arrears. Unbilled accounts receivables relate to services rendered in the current period, but not invoiced until the subsequent period.</w:t>
      </w:r>
    </w:p>
    <w:p>
      <w:pPr>
        <w:spacing w:after="0" w:line="185"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Company sells advertising directly to auto manufacturers and other auto related brand advertisers, as well as indirectly through revenue sharing arrangements with advertising exchange partners. Company-sold advertising is not subject to revenue sharing arrangements. Company-sold advertising revenue is recognized based on the gross amount charged to the advertiser. Partner-sold advertising revenue is recognized based on the net amount of revenue received from the content partners.</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Revenue from advertising sold directly by the Company is recorded on a gross basis because the Company is the principal in the arrangement, controls the ad placement and timing of the campaign, and establishes the selling price. The Company enters into contractual arrangements directly with advertisers and is directly responsible for the fulfillment of the contractual terms including any remedy for issues with such fulfillment.</w:t>
      </w:r>
    </w:p>
    <w:p>
      <w:pPr>
        <w:spacing w:after="0" w:line="176"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Advertising revenue subject to revenue sharing agreements between the Company and advertising exchange partners is recognized based on the net amount of revenue received from the partner. The advertising partner is responsible for fulfillment, including the acceptability of the services delivered. In partner-sold advertising arrangements, the advertising partner has a direct contractual relationship with the advertiser. There is no contractual relationship between the Company and the advertiser for partner sold transactions. When an advertising exchange partner sells advertisements, the partner is responsible for fulfilling the advertisements, and accordingly, the Company has determined the advertising partner is the principal in the arrangement. Additionally, for auction-based partner agreements, the Company has latitude in establishing the floor price, but the final price is established by the exchange server are market rates.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Customers are billed monthly in arrears and payment terms are generally thirty to sixty days from the date invoiced.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to adoption of ASC 606</w:t>
      </w:r>
    </w:p>
    <w:p>
      <w:pPr>
        <w:spacing w:after="0" w:line="117"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all of the following conditions are satisfied: (1) there is persuasive evidence of an arrangement; (2) the service has been provided to the customer; (3) the collection of fees is reasonably assured; and (4) the amount of fees to be paid by the customer is fixed or determinable.</w:t>
      </w:r>
    </w:p>
    <w:p>
      <w:pPr>
        <w:spacing w:after="0" w:line="176"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Company recognizes marketplace subscription revenue on a monthly basis as revenue is earned and advertising and other revenue as impressions are delivered. Revenue is presented net of any taxes collected from customers.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3" w:name="page74"/>
    <w:bookmarkEnd w:id="73"/>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The Company assesses arrangements with multiple deliverables under ASU No. 2009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Revenue Recognition (Topic 605), </w:t>
      </w:r>
      <w:r>
        <w:rPr>
          <w:rFonts w:ascii="Times New Roman" w:cs="Times New Roman" w:eastAsia="Times New Roman" w:hAnsi="Times New Roman"/>
          <w:sz w:val="18"/>
          <w:szCs w:val="18"/>
          <w:i w:val="1"/>
          <w:iCs w:val="1"/>
          <w:color w:val="auto"/>
        </w:rPr>
        <w:t>Multiple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Deliverable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Arrangements — a Consensus of the FASB Emerging Issues Task Force</w:t>
      </w:r>
      <w:r>
        <w:rPr>
          <w:rFonts w:ascii="Times New Roman" w:cs="Times New Roman" w:eastAsia="Times New Roman" w:hAnsi="Times New Roman"/>
          <w:sz w:val="18"/>
          <w:szCs w:val="18"/>
          <w:color w:val="auto"/>
        </w:rPr>
        <w:t>. Pursuant to ASU 2009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in order to treat deliverables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element arrangement as separate units of accounting, the deliverables must have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value upon delivery. If the deliverables have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value upon delivery, the Company accounts for each deliverable separately. The Company has concluded that each element in the arrangement has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value as the individual services can be sold separately. In addition, there is no right of refund once a service has been delivered. Therefore, the Company has concluded each element of the arrangement is a separate unit of accounting. While these arrangements are considered multiple element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arrangements, the recognition of the units of accounting follow a consistent ratable recognition given the pattern over which services are provided.</w:t>
      </w:r>
    </w:p>
    <w:p>
      <w:pPr>
        <w:spacing w:after="0" w:line="182"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Company establishes sales allowances at the time of revenue recognition based on its history of adjustments and credits provided to its customers. Sales allowances relate primarily to credits issued for service interruption. In assessing the adequacy of the sales allowance, the Company evaluates its history of adjustments and credits made through the date of the issuance of the financial statements. Estimated sales adjustments and credits and ultimate losses may vary from actual results which could be material to the financial statements; however, to date, actual sales allowances have been materially consistent with the Company’s estimates. Sales allowances are recorded as a reduction to revenue in the consolidated statements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 adoption of ASC 606</w:t>
      </w:r>
    </w:p>
    <w:p>
      <w:pPr>
        <w:spacing w:after="0" w:line="115"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No. 2014-09, </w:t>
      </w:r>
      <w:r>
        <w:rPr>
          <w:rFonts w:ascii="Times New Roman" w:cs="Times New Roman" w:eastAsia="Times New Roman" w:hAnsi="Times New Roman"/>
          <w:sz w:val="18"/>
          <w:szCs w:val="18"/>
          <w:i w:val="1"/>
          <w:iCs w:val="1"/>
          <w:color w:val="auto"/>
        </w:rPr>
        <w:t>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which modifies how all entities recognize revenue, and consolidates revenue recognition guidance into one ASC Topic (ASC Topic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(“ASC 606”). Since the Company ceased to be an emerging growth company as of December 31, 2018, the Company adopted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 during the fourth quarter of 2018 and applied the modified retrospective method of adoption with a cumulative catch-up adjustment to the opening balance of retained earnings at January 1, 2018. Under this method, the Company applied the revised guidance for the year of adoption and applied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605”), in the prior years. As a result, the Company applied ASC 606 only to contracts that were not yet completed as of January 1, 2018. The Company recognized a cumulative catch-up adjustment to the opening balance of retained earnings at the effective date for contracts that still required performance by the Company at January 1, 2018. For contracts that were modified before the effective date, the Company exercised the use of the practical expedient and reflected the aggregate effect of all modifications when identifying performance obligations, determining the transaction price and allocating transaction price, which did not have a material effect on the adjustment to retained earnings.</w:t>
      </w:r>
    </w:p>
    <w:p>
      <w:pPr>
        <w:spacing w:after="0" w:line="188"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ASC 606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To achieve this core principle, the Company applies the following five steps:</w:t>
      </w:r>
    </w:p>
    <w:p>
      <w:pPr>
        <w:spacing w:after="0" w:line="66" w:lineRule="exact"/>
        <w:rPr>
          <w:sz w:val="20"/>
          <w:szCs w:val="20"/>
          <w:color w:val="auto"/>
        </w:rPr>
      </w:pPr>
    </w:p>
    <w:p>
      <w:pPr>
        <w:ind w:left="960" w:hanging="398"/>
        <w:spacing w:after="0"/>
        <w:tabs>
          <w:tab w:leader="none" w:pos="9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contract with a customer</w:t>
      </w:r>
    </w:p>
    <w:p>
      <w:pPr>
        <w:spacing w:after="0" w:line="117" w:lineRule="exact"/>
        <w:rPr>
          <w:rFonts w:ascii="Times New Roman" w:cs="Times New Roman" w:eastAsia="Times New Roman" w:hAnsi="Times New Roman"/>
          <w:sz w:val="18"/>
          <w:szCs w:val="18"/>
          <w:i w:val="1"/>
          <w:iCs w:val="1"/>
          <w:color w:val="auto"/>
        </w:rPr>
      </w:pPr>
    </w:p>
    <w:p>
      <w:pPr>
        <w:ind w:left="960" w:hanging="398"/>
        <w:spacing w:after="0"/>
        <w:tabs>
          <w:tab w:leader="none" w:pos="9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performance obligations in the contract</w:t>
      </w:r>
    </w:p>
    <w:p>
      <w:pPr>
        <w:spacing w:after="0" w:line="117" w:lineRule="exact"/>
        <w:rPr>
          <w:rFonts w:ascii="Times New Roman" w:cs="Times New Roman" w:eastAsia="Times New Roman" w:hAnsi="Times New Roman"/>
          <w:sz w:val="18"/>
          <w:szCs w:val="18"/>
          <w:i w:val="1"/>
          <w:iCs w:val="1"/>
          <w:color w:val="auto"/>
        </w:rPr>
      </w:pPr>
    </w:p>
    <w:p>
      <w:pPr>
        <w:ind w:left="960" w:hanging="398"/>
        <w:spacing w:after="0"/>
        <w:tabs>
          <w:tab w:leader="none" w:pos="9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Determine the transaction price</w:t>
      </w:r>
    </w:p>
    <w:p>
      <w:pPr>
        <w:spacing w:after="0" w:line="117" w:lineRule="exact"/>
        <w:rPr>
          <w:rFonts w:ascii="Times New Roman" w:cs="Times New Roman" w:eastAsia="Times New Roman" w:hAnsi="Times New Roman"/>
          <w:sz w:val="18"/>
          <w:szCs w:val="18"/>
          <w:i w:val="1"/>
          <w:iCs w:val="1"/>
          <w:color w:val="auto"/>
        </w:rPr>
      </w:pPr>
    </w:p>
    <w:p>
      <w:pPr>
        <w:ind w:left="960" w:hanging="398"/>
        <w:spacing w:after="0"/>
        <w:tabs>
          <w:tab w:leader="none" w:pos="9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Allocate the transaction price to performance obligations in the contract</w:t>
      </w:r>
    </w:p>
    <w:p>
      <w:pPr>
        <w:spacing w:after="0" w:line="117" w:lineRule="exact"/>
        <w:rPr>
          <w:rFonts w:ascii="Times New Roman" w:cs="Times New Roman" w:eastAsia="Times New Roman" w:hAnsi="Times New Roman"/>
          <w:sz w:val="18"/>
          <w:szCs w:val="18"/>
          <w:i w:val="1"/>
          <w:iCs w:val="1"/>
          <w:color w:val="auto"/>
        </w:rPr>
      </w:pPr>
    </w:p>
    <w:p>
      <w:pPr>
        <w:ind w:left="960" w:hanging="398"/>
        <w:spacing w:after="0"/>
        <w:tabs>
          <w:tab w:leader="none" w:pos="9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revenue from contracts with customers by revenue source for the year ended December 31, 2018.</w:t>
      </w:r>
    </w:p>
    <w:p>
      <w:pPr>
        <w:sectPr>
          <w:pgSz w:w="11900" w:h="16838" w:orient="portrait"/>
          <w:cols w:equalWidth="0" w:num="1">
            <w:col w:w="11420"/>
          </w:cols>
          <w:pgMar w:left="240" w:top="5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Revenue by 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-136525</wp:posOffset>
            </wp:positionV>
            <wp:extent cx="506857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Marketplace subscription revenue</w:t>
      </w:r>
    </w:p>
    <w:p>
      <w:pPr>
        <w:spacing w:after="0" w:line="2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Advertising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Total</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2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448"/>
        </w:trPr>
        <w:tc>
          <w:tcPr>
            <w:tcW w:w="540" w:type="dxa"/>
            <w:vAlign w:val="bottom"/>
            <w:gridSpan w:val="2"/>
          </w:tcPr>
          <w:p>
            <w:pPr>
              <w:jc w:val="right"/>
              <w:ind w:right="405"/>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405,780</w:t>
            </w:r>
          </w:p>
        </w:tc>
      </w:tr>
      <w:tr>
        <w:trPr>
          <w:trHeight w:val="234"/>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48,306</w:t>
            </w:r>
          </w:p>
        </w:tc>
      </w:tr>
      <w:tr>
        <w:trPr>
          <w:trHeight w:val="223"/>
        </w:trPr>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454,086</w:t>
            </w: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800" w:space="680"/>
            <w:col w:w="4940"/>
          </w:cols>
          <w:pgMar w:left="240" w:top="538" w:right="239" w:bottom="1440" w:gutter="0" w:footer="0" w:header="0"/>
          <w:type w:val="continuous"/>
        </w:sectPr>
      </w:pPr>
    </w:p>
    <w:bookmarkStart w:id="74" w:name="page75"/>
    <w:bookmarkEnd w:id="74"/>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Company provides disaggregation of revenue based on the marketplace subscription versus advertising and other revenue classification in the table above and based on geographic region (see Note 11) as it believes these categories best depict how the nature, amount, timing and uncertainty of revenue and cash flows are affected by economic factors.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For dealer listings, the Company provides a single similar service each day for a period of time. Each time increment (i.e. day), rather than the underlying activities, is distinct and substantially the same and therefore the performance obligation of the Company is to provide a series of daily activities over the contract term. Similar to the dealer listings, the display advertising is considered a promise to provide a single similar service each day. Each time increment is distinct and substantially the same and therefore the performance obligation of the Company is to provide a series of daily activities over the contract term.</w:t>
      </w:r>
    </w:p>
    <w:p>
      <w:pPr>
        <w:spacing w:after="0" w:line="184"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Total consideration for marketplace subscription revenue is stated within the contracts. There are no contractual cash refund rights, but credits may be issued to a customer at the sole discretion of the Company. At an individual contract level, there is also no variable consideration, such as sales allowance, that needs to be included in the transaction price. However, at a portfolio level, the Company recognizes that there are times when there is a customer satisfaction issue or other circumstance that will lead to a credit. Due to the known possibility of future credits, a monthly sales allowance review is performed to defer revenue at a portfolio level for such future adjustments in the period of incurrence. The Company establishes sales allowances at the time of revenue recognition based on its history of adjustments and credits provided to its customers. In assessing the adequacy of the sales allowance, the Company evaluates its history of adjustments and credits made through the date of the issuance of the financial statements. Estimated sales adjustments, credits and losses may vary from actual results which could lead to material adjustments to the financial statements. To date, actual sales allowances have been materially consistent with the Company’s estimates. Sales allowances are recorded as a reduction to revenue in the consolidated statements of operations.</w:t>
      </w:r>
    </w:p>
    <w:p>
      <w:pPr>
        <w:spacing w:after="0" w:line="18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Performance obligations are satisfied over time as the customer simultaneously receives and consumes the benefit of the service. Revenue is recognized ratably over the subscription period beginning on the date the Company’s online products are made available to the customers. Revenue is presented net of any taxes collected from customers.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For advertising revenue, the performance obligation is to publish the agreed upon campaign on the Company’s websites and load the related impressions.</w:t>
      </w:r>
    </w:p>
    <w:p>
      <w:pPr>
        <w:spacing w:after="0" w:line="162"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Advertising contracts state the transaction price within the agreement with payment being based on the number of clicks or impressions delivered on the Company’s websites. Total consideration is based on output and deemed variable consideration constrained by an agreed upon delivery schedule. Additionally, there are generally no contractual cash refund rights. Certain contracts do contain the right for credits in situations in which impressions are not displayed in compliance with contractual specifications. At an individual contract level, the Company may give a credit for a customer satisfaction issue or other circumstance. Due to the known possibility of future credits, a monthly review is performed to defer revenue at an individual contract level for such future adjustments in the period of incurrence.</w:t>
      </w:r>
    </w:p>
    <w:p>
      <w:pPr>
        <w:spacing w:after="0" w:line="188"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As consideration is driven by the number of impressions delivered on the CarGurus websites, the consideration for each period is allocated to the period in which the service was rendered.</w:t>
      </w:r>
    </w:p>
    <w:p>
      <w:pPr>
        <w:spacing w:after="0" w:line="162"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Performance obligations for company-sold advertising revenue and partner-sold advertising revenue are satisfied over time as impressions are delivered. Revenue is recognized based on the total number of impressions delivered within the specified period. Revenue from advertising sold directly by the Company is recognized based on the gross amount charged to the advertiser and advertising revenue sold by partners is recognized based on the net amount of revenue received from the content partners. Revenue is presented net of any taxes collected from customers.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other revenue, performance obligations are satisfied over time as services are rendered and revenue is recognized as it is earned.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The Company periodically enters into arrangements that include Dealer Listing and Display within marketplace subscription revenue. These contracts include multiple promises that the Company evaluates to determine if the promises are separate performance obligations. Performance obligations are identified based on services to be transferred to a customer that are distinct within the context of the contractual terms. Once the performance obligations have been identified, the Company determines the transaction price, which includes estimating the amount of variable consideration to be included in the transaction price, if any. If required, the transaction price is allocated to each performance obligation in the contract based on a relative SSP method as the performance obligation is being satisfied. For the Company’s arrangements that include Dealer Listing and Display, the performance obligations were satisfied over a consistent period of time and therefore the allocations did not impact the revenue recognized.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Commissions paid to sales representatives and payroll taxes are considered costs to obtain a contract. Under the new guidance, the costs to obtain a contract require capitalization and amortization of those costs over the period of benefit. Although the new guidance specifies the accounting for an individual contract with a customer, as a practical expedient, the Company has opted to apply the guidance to a portfolio of contracts with similar characteristics. The Company has opted to apply another practical expedient to immediately expense the incremental cost of obtaining a contract when the underlying related asset would have been amortized over one year or less. As such, the Company applied this practical expedient to advertising contracts as the term is one year or less and these contracts do not renew automatically. The practical expedient is not applicable to marketplace subscription contracts as the period of benefit including renewals is anticipated to be greater than one year as commissions paid on contract renewals are not commensurate with the commissions paid on the initial contract. The assets are periodically assessed for impairment.</w:t>
      </w:r>
    </w:p>
    <w:p>
      <w:pPr>
        <w:spacing w:after="0" w:line="185"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For marketplace subscription customers, the commissions paid on contracts with new customers, in addition to any commission amount related to incremental sales, are capitalized and amortized over the estimated benefit period of the customer relationship taking into account factors such as peer estimates of technology lives and customer lives as well as the Company's own historical data. Commissions paid that are not directly related to obtaining a new contract are expensed as incurred.</w:t>
      </w:r>
    </w:p>
    <w:p>
      <w:pPr>
        <w:spacing w:after="0" w:line="180"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Additionally, the Company allocates employer payroll tax expense to the commission expense in proportion to the overall payroll taxes paid during the respective period. As such, capitalized payroll taxes are amortized in the same manner as the underlying capitalized commissions.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3"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Statement Impact of Adopting ASC 606</w:t>
      </w:r>
    </w:p>
    <w:p>
      <w:pPr>
        <w:spacing w:after="0" w:line="119"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The cumulative effect of applying the new guidance to all contracts with customers that were not completed as of January 1, 2018 was recorded as an adjustment to accumulated deficit as of the adoption date. As a result of applying the modified retrospective method to adopt the new revenue guidance, the following adjustments were made on the consolidated balance sheet as of January 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5"/>
            <w:vMerge w:val="restart"/>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Marketplace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Costs to</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Obtain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prepaid income taxes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current assets</w:t>
            </w:r>
          </w:p>
        </w:tc>
        <w:tc>
          <w:tcPr>
            <w:tcW w:w="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159,441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 net of current portion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179,789</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accrued income taxes and other</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rent</w:t>
            </w:r>
          </w:p>
        </w:tc>
        <w:tc>
          <w:tcPr>
            <w:tcW w:w="8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Class A common stock</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common stock</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185,190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185,190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(55,457)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3" w:right="2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Under ASC 606, the Company’s accounting for contracts containing discounts resulted in accelerated revenue recognition. The cumulative impact of this change to the Company’s accounts receivable on January 1, 2018 was $813.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 described above, under the new guidance, the capitalized commission expense is amortized over the estimated customer relationship period. The net impact of this change resulted in a $3,207 reduction to accumulated deficit for contracts that still require performance by the Company at the date of adoption.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The adoption of ASC 606 primarily resulted in an acceleration of revenue and the reduction of expense, which in turn generated additional deferred tax liabilities that ultimately reduced the Company’s net deferred tax asset position. The cumulative impact resulted in a reduction to deferred tax assets of $978 which put the Company in a net deferred tax liability position on January 1, 2018.</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 of New Revenue Guidance on Financial Statement Line Items</w:t>
      </w:r>
    </w:p>
    <w:p>
      <w:pPr>
        <w:spacing w:after="0" w:line="119"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following tables compare the reported consolidated balance sheet, statement of operations and cash flows, as of and for the year ended December 31, 2018, to the pro-forma amounts had the previous guidance been in effect.</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if the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previous</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Marketplace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Costs 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guidance</w:t>
            </w: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Obtain 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was</w:t>
            </w:r>
          </w:p>
        </w:tc>
        <w:tc>
          <w:tcPr>
            <w:tcW w:w="0" w:type="dxa"/>
            <w:vAlign w:val="bottom"/>
          </w:tcPr>
          <w:p>
            <w:pPr>
              <w:spacing w:after="0"/>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effect</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income taxes and prepaid income taxes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38,886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(3,187)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 net of current portion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268,290</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258,260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accrued income taxes and 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Deferred rent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194,111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268,290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Total reported assets were $10,030 greater than the pro-forma balance sheet, which assumes the previous guidance remained in effect as of December 31, 2018. This was largely due to the impact of $12,505 related to costs to obtain a contract.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changes to liabilities as of December 31, 2018 as a result of the adoption of ASC 606.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79" w:name="page80"/>
    <w:bookmarkEnd w:id="79"/>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following summarizes the significant changes on the Company’s consolidated statement of operations for the year ended December 31, 2018 as a result of the adoption of ASC 606 on January 1, 2018 compared to the pro-forma amounts had the Company continued to recognize revenue under ASC 605.</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if the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previous</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Marketplace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Costs to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guidance</w:t>
            </w: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Obtain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was</w:t>
            </w:r>
          </w:p>
        </w:tc>
        <w:tc>
          <w:tcPr>
            <w:tcW w:w="0" w:type="dxa"/>
            <w:vAlign w:val="bottom"/>
          </w:tcPr>
          <w:p>
            <w:pPr>
              <w:spacing w:after="0"/>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effect</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315,939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(42,122)</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The adoption of ASC 606 resulted in an increase to revenue of $126 during the year ended December 31, 2018 due to accelerated revenue recognition for contracts containing discounts. The adoption of ASC 606 also resulted in a $9,298 reduction in sales and marketing expense during the year ended December 31, 2018 as a result of capitalizing a portion of commission expense, which was previously expensed under the previous guidance. During the year ended December 31, 2018, the cumulative impact of these changes was a $9,424 increase in income from operations which resulted in a $2,436 reduction to the benefit from income taxes. Additionally, the adoption of ASC 606 resulted in the Company’s basic and diluted EPS for the year ended December 31, 2018 increasing $0.07 and $0.06, respectively.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0" w:name="page81"/>
    <w:bookmarkEnd w:id="80"/>
    <w:p>
      <w:pPr>
        <w:ind w:firstLine="555"/>
        <w:spacing w:after="0" w:line="282" w:lineRule="auto"/>
        <w:rPr>
          <w:sz w:val="20"/>
          <w:szCs w:val="20"/>
          <w:color w:val="auto"/>
        </w:rPr>
      </w:pPr>
      <w:r>
        <w:rPr>
          <w:rFonts w:ascii="Times New Roman" w:cs="Times New Roman" w:eastAsia="Times New Roman" w:hAnsi="Times New Roman"/>
          <w:sz w:val="18"/>
          <w:szCs w:val="18"/>
          <w:color w:val="auto"/>
        </w:rPr>
        <w:t>The following summarizes the significant changes on the Company’s consolidated statement of cash flows for the year ended December 31, 2018 as a result of the adoption of ASC 606 on January 1, 2018 compared to the pro-forma amounts had the Company continued to recognize revenue under ASC 605.</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if the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previous</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Marketplace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Costs to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guidance</w:t>
            </w: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Cash Flows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Obtain 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was</w:t>
            </w:r>
          </w:p>
        </w:tc>
        <w:tc>
          <w:tcPr>
            <w:tcW w:w="0" w:type="dxa"/>
            <w:vAlign w:val="bottom"/>
          </w:tcPr>
          <w:p>
            <w:pPr>
              <w:spacing w:after="0"/>
              <w:rPr>
                <w:sz w:val="1"/>
                <w:szCs w:val="1"/>
                <w:color w:val="auto"/>
              </w:rPr>
            </w:pPr>
          </w:p>
        </w:tc>
      </w:tr>
      <w:tr>
        <w:trPr>
          <w:trHeight w:val="173"/>
        </w:trPr>
        <w:tc>
          <w:tcPr>
            <w:tcW w:w="4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effect</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currency (gain) loss on foreign</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denominated transactions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(41,476)</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contract costs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11"/>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prepaid income taxes, and 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(11,753)</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contracts costs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(12,987)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(12,987)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 accrued income taxes and other</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adoption of ASC 606 had no impact on the Company’s cash flows from operations. The aforementioned impacts resulted in offsetting shifts in cash flows between net income and various working capital balances.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the opening and closing balances of receivables and contract assets from contracts with customers.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200" w:type="dxa"/>
            <w:vAlign w:val="bottom"/>
          </w:tcPr>
          <w:p>
            <w:pPr>
              <w:spacing w:after="0"/>
              <w:rPr>
                <w:sz w:val="13"/>
                <w:szCs w:val="13"/>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120" w:type="dxa"/>
            <w:vAlign w:val="bottom"/>
          </w:tcPr>
          <w:p>
            <w:pPr>
              <w:spacing w:after="0"/>
              <w:rPr>
                <w:sz w:val="13"/>
                <w:szCs w:val="13"/>
                <w:color w:val="auto"/>
              </w:rPr>
            </w:pPr>
          </w:p>
        </w:tc>
      </w:tr>
      <w:tr>
        <w:trPr>
          <w:trHeight w:val="173"/>
        </w:trPr>
        <w:tc>
          <w:tcPr>
            <w:tcW w:w="1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20" w:type="dxa"/>
            <w:vAlign w:val="bottom"/>
          </w:tcPr>
          <w:p>
            <w:pPr>
              <w:spacing w:after="0"/>
              <w:rPr>
                <w:sz w:val="15"/>
                <w:szCs w:val="15"/>
                <w:color w:val="auto"/>
              </w:rPr>
            </w:pPr>
          </w:p>
        </w:tc>
      </w:tr>
      <w:tr>
        <w:trPr>
          <w:trHeight w:val="223"/>
        </w:trPr>
        <w:tc>
          <w:tcPr>
            <w:tcW w:w="16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Balance at January 1,</w:t>
            </w:r>
          </w:p>
        </w:tc>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5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r>
      <w:tr>
        <w:trPr>
          <w:trHeight w:val="234"/>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December</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31, 2018</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47"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assets recognized for costs to obtain a contract was $3,207 and $12,505 as of January 1, 2018 and December 31, 2018, respectively. Amortization expense recognized during the year ended December 31, 2018 related to costs to obtain a contract were $3,689.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Price Allocated to Future Performance Obligations</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ASC 606 requires that the Company disclose the aggregate amount of transaction price that is allocated to performance obligations that have not yet been satisfied as of December 31, 2018. However, the Company applied the practical expedient to not disclose the amount of transaction price allocated to unsatisfied performance obligations when the performance obligation is part of a contract that has an original expected duration of one year or less.</w:t>
      </w:r>
    </w:p>
    <w:p>
      <w:pPr>
        <w:spacing w:after="0" w:line="176"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Company does not have future obligations associated with marketplace revenue subscriptions or advertising and other services that extend beyond one year. For performance obligations not satisfied as of December 31, 2018, the nature of the performance obligations, the variable consideration and any consideration from contracts with customers not included in the transaction price is consistent with performance obligations satisfied as of December 31, 2018. The remaining duration is less than one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Deferred revenue primarily consists of payments received in advance of revenue recognition from the Company’s marketplace revenue and is recognized as the revenue recognition criteria are met. The Company generally invoices its customers monthly. Accordingly, the deferred revenue balances do not represent the total contract value of annual or multiyear subscription agreements. Deferred revenue that is expected to be recognized during the succeeding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is recorded as current deferred revenue and the remaining portion is recorded as noncurrent in the consolidated balance sheets. All deferred revenue was recorded as current for all periods presented.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Cost of revenue primarily consists of costs related to supporting and hosting the Company’s websites and product offerings. These costs include salaries, benefits, incentive compensation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the customer support team,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 costs such as data center and networking expenses, allocated overhead, depreciation and amortization expense associated with the Company’s property and equipment, and amortization of capitalized website development costs.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2"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The Company has no significant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 The Company maintains its cash, cash equivalents, and investments principally with accredited financial institutions of high credit standing. Although the Company deposits its cash and investments with multiple financial institutions, its deposits, at times, may exceed federally insured limits.</w:t>
      </w:r>
    </w:p>
    <w:p>
      <w:pPr>
        <w:spacing w:after="0" w:line="20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2018, 2017 and 2016, no individual customer accounted for more than 10% of total revenue.</w:t>
      </w:r>
    </w:p>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 of December 31, 2018, two customers accounted for 21% and 14% of net accounts receivable, respectively. As of December 31, 2017, two customers accounted for 29% and 17% of net accounts receivable, respectively. No other individual customer accounted for more than 10% of net accounts receivable at December 31, 2018 or 2017.</w:t>
      </w:r>
    </w:p>
    <w:p>
      <w:pPr>
        <w:spacing w:after="0" w:line="176"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Included in net accounts receivable at December 31, 2018 and 2017, is $5,815 and $1,845 of unbilled accounts receivables related to advertising customers billed within a quarter subsequent to services rendered.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3"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21"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Investments not classified as cash equivalents with maturities less than one year from the balance sheet date are classified as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while investments with maturities in excess of one year from the balance sheet date are classified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Management determines the appropriate classification of investments at the time of purchase, and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evaluates such determination at each balance sheet date.</w:t>
      </w:r>
    </w:p>
    <w:p>
      <w:pPr>
        <w:spacing w:after="0" w:line="151" w:lineRule="exact"/>
        <w:rPr>
          <w:sz w:val="20"/>
          <w:szCs w:val="20"/>
          <w:color w:val="auto"/>
        </w:rPr>
      </w:pPr>
    </w:p>
    <w:p>
      <w:pPr>
        <w:jc w:val="both"/>
        <w:ind w:right="20" w:firstLine="555"/>
        <w:spacing w:after="0" w:line="239" w:lineRule="exact"/>
        <w:rPr>
          <w:sz w:val="20"/>
          <w:szCs w:val="20"/>
          <w:color w:val="auto"/>
        </w:rPr>
      </w:pPr>
      <w:r>
        <w:rPr>
          <w:rFonts w:ascii="Times New Roman" w:cs="Times New Roman" w:eastAsia="Times New Roman" w:hAnsi="Times New Roman"/>
          <w:sz w:val="18"/>
          <w:szCs w:val="18"/>
          <w:color w:val="auto"/>
        </w:rPr>
        <w:t>Cash and cash equivalents primarily consist of cash on deposit with banks, and amounts held in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money market accounts. Cash equivalents are carried at cost, which approximates their fair market value.</w:t>
      </w:r>
    </w:p>
    <w:p>
      <w:pPr>
        <w:spacing w:after="0" w:line="199" w:lineRule="exact"/>
        <w:rPr>
          <w:sz w:val="20"/>
          <w:szCs w:val="20"/>
          <w:color w:val="auto"/>
        </w:rPr>
      </w:pPr>
    </w:p>
    <w:p>
      <w:pPr>
        <w:jc w:val="both"/>
        <w:ind w:firstLine="555"/>
        <w:spacing w:after="0" w:line="229" w:lineRule="exact"/>
        <w:rPr>
          <w:sz w:val="20"/>
          <w:szCs w:val="20"/>
          <w:color w:val="auto"/>
        </w:rPr>
      </w:pPr>
      <w:r>
        <w:rPr>
          <w:rFonts w:ascii="Times New Roman" w:cs="Times New Roman" w:eastAsia="Times New Roman" w:hAnsi="Times New Roman"/>
          <w:sz w:val="18"/>
          <w:szCs w:val="18"/>
          <w:color w:val="auto"/>
        </w:rPr>
        <w:t>The Company’s investment policy, which was approved by the Audit Committee of the Company’s board of directors (the “Board”), permits investments in fixed income securities, including U.S. government and agency securities,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government securities, money market instruments, commercial paper, certificates of deposit, corporate bonds,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w:t>
      </w:r>
    </w:p>
    <w:p>
      <w:pPr>
        <w:spacing w:after="0" w:line="179"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As of December 31, 2018 and 2017, investments consisted of U.S. certificates of deposit (“CDs”) with remaining maturities of less than twelve months. The Company classifies CDs with readily determinable market values as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because it is the Company’s intention to hold such investments until they mature. As such, investments were recorded at amortized cost at December 31, 2018 and 2017. The Company adjusts the cost of investments for amortization of premiums and accretion of discounts to maturity, if any. For the years ended December 31, 2018, 2017 and 2016, the Company did not have any premiums or discounts.</w:t>
      </w:r>
    </w:p>
    <w:p>
      <w:pPr>
        <w:spacing w:after="0" w:line="20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Realized gains and losses from sales of the Company’s investments are included in other income (expense). There were no realized gains or losses on investments for the years ended December 31, 2018, 2017 or 2016.</w:t>
      </w:r>
    </w:p>
    <w:p>
      <w:pPr>
        <w:spacing w:after="0" w:line="133" w:lineRule="exact"/>
        <w:rPr>
          <w:sz w:val="20"/>
          <w:szCs w:val="20"/>
          <w:color w:val="auto"/>
        </w:rPr>
      </w:pPr>
    </w:p>
    <w:p>
      <w:pPr>
        <w:jc w:val="both"/>
        <w:ind w:firstLine="555"/>
        <w:spacing w:after="0" w:line="223" w:lineRule="exact"/>
        <w:rPr>
          <w:sz w:val="20"/>
          <w:szCs w:val="20"/>
          <w:color w:val="auto"/>
        </w:rPr>
      </w:pPr>
      <w:r>
        <w:rPr>
          <w:rFonts w:ascii="Times New Roman" w:cs="Times New Roman" w:eastAsia="Times New Roman" w:hAnsi="Times New Roman"/>
          <w:sz w:val="18"/>
          <w:szCs w:val="18"/>
          <w:color w:val="auto"/>
        </w:rPr>
        <w:t>The Company reviews investments for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impairment whenever the fair value of an investment is less than the amortized cost and evidence indicates that an investment’s carrying amount is not recoverable within a reasonable period of time.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impairments of investments are recognized in the consolidated statements of operations if the Company has experienced a credit loss, has the intent to sell the investment, or if it is more likely than not that the Company will be required to sell the investment before recovery of the amortized cost basis. Evidence considered in this assessment includes reasons for the impairment, compliance with the Company’s investment policy, the severity and duration of the impairment, and changes in value subsequent to the end of the period. As of December 31, 2018 and 2017, the Company determined that no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impairments were required to be recognized in the consolidated statements of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555"/>
        <w:spacing w:after="0" w:line="222" w:lineRule="exact"/>
        <w:rPr>
          <w:sz w:val="20"/>
          <w:szCs w:val="20"/>
          <w:color w:val="auto"/>
        </w:rPr>
      </w:pPr>
      <w:r>
        <w:rPr>
          <w:rFonts w:ascii="Times New Roman" w:cs="Times New Roman" w:eastAsia="Times New Roman" w:hAnsi="Times New Roman"/>
          <w:sz w:val="18"/>
          <w:szCs w:val="18"/>
          <w:color w:val="auto"/>
        </w:rPr>
        <w:t>At December 31, 2018 and 2017, restricted cash was $2,671 and $1,843, respectively, and primarily related to cash held at a financial institution in an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cash account as collateral for three letters of credit in 2018 and two letters of credit in 2017 related to the contractual provisions for the Company’s building lease security deposits.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Accounts receivable are recorded based on the amount due from the customer and do not generally bear interest. The Company offsets gross trade accounts receivable with an allowance for doubtful accounts. The allowance for doubtful accounts is the Company’s best estimate of the amount of probable credit losses in the Company’s existing accounts receivable and is based upon historical loss patterns, the number of days that billings are past due, and an evaluation of the potential risk of loss associated with specific accounts. Account balances are charged against the allowance after all means of collection have been exhausted and the potential for recovery is considered remote. The Company does not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credit exposure related to its customers. Provisions for allowances for doubtful accounts are recorded in general and administrative expense.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Unbilled accounts receivables are recorded for services rendered in the current period, but not invoiced until the subsequent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83" w:name="page84"/>
    <w:bookmarkEnd w:id="83"/>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Company considers current economic trends when evaluating the adequacy of the allowance for doubtful accounts. If circumstances relating to specific customers change, or unanticipated changes occur in the general business environment, particularly as it affects auto dealers, the Company’s estimates of the recoverability of receivables could be further adjusted.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summary of the changes in the Company’s allowance for doubtful accounts for the years ended December 31, 2018, 2017, and 2016:</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2"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Leasehold improvements are amortized over the shorter of the lease term or the estimated useful life of the related asset. The estimated useful lives of the Company’s property and equipment are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3"/>
        </w:trPr>
        <w:tc>
          <w:tcPr>
            <w:tcW w:w="3940" w:type="dxa"/>
            <w:vAlign w:val="bottom"/>
            <w:tcBorders>
              <w:bottom w:val="single" w:sz="8" w:color="CFF0FC"/>
            </w:tcBorders>
          </w:tcPr>
          <w:p>
            <w:pPr>
              <w:spacing w:after="0"/>
              <w:rPr>
                <w:sz w:val="15"/>
                <w:szCs w:val="15"/>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Website development costs</w:t>
            </w: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Lesser of asset life or lease term</w:t>
            </w:r>
          </w:p>
        </w:tc>
      </w:tr>
    </w:tbl>
    <w:p>
      <w:pPr>
        <w:spacing w:after="0" w:line="23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 whereas major betterments are capitalized as additions to property and equipment. The Company reviews its property and equipment whenever events or changes in circumstances indicate that the carrying value of certain assets might not be recoverable. In these instances, the Company recognizes an impairment loss when it is probable that the estimated cash flows are less than the carrying value of the asset.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ind w:firstLine="555"/>
        <w:spacing w:after="0" w:line="219" w:lineRule="exact"/>
        <w:rPr>
          <w:sz w:val="20"/>
          <w:szCs w:val="20"/>
          <w:color w:val="auto"/>
        </w:rPr>
      </w:pPr>
      <w:r>
        <w:rPr>
          <w:rFonts w:ascii="Times New Roman" w:cs="Times New Roman" w:eastAsia="Times New Roman" w:hAnsi="Times New Roman"/>
          <w:sz w:val="18"/>
          <w:szCs w:val="18"/>
          <w:color w:val="auto"/>
        </w:rPr>
        <w:t>The reporting currency of the Company is the U.S. dollar. The functional currency of the Company’s foreign subsidiaries is the local currency of each subsidiary. All assets and liabilities in the balance sheets of entities whose functional currency is a currency other than the U.S. dollar are translated into U.S. dollar equivalents at exchange rates as follows: (1) asset and liability accounts at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rates; (2) income statement accounts at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exchange rates for the period; and (3) stockholders’ equity accounts at historical exchange rates. The resulting translation adjustments are excluded from net income and reflected as a separate component of stockholders’ equity (deficit). Foreign currency transaction gains and losses are included in net income for the period. The Company may periodically have certain intercompany foreign currency transactions that are deemed to be of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 nature; exchange adjustments related to those transactions are made directly to a separate component of stockholders’ equity (deficit).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Website and Software Development Costs</w:t>
      </w:r>
    </w:p>
    <w:p>
      <w:pPr>
        <w:spacing w:after="0" w:line="92" w:lineRule="exact"/>
        <w:rPr>
          <w:sz w:val="20"/>
          <w:szCs w:val="20"/>
          <w:color w:val="auto"/>
        </w:rPr>
      </w:pPr>
    </w:p>
    <w:p>
      <w:pPr>
        <w:jc w:val="both"/>
        <w:ind w:firstLine="555"/>
        <w:spacing w:after="0" w:line="225" w:lineRule="exact"/>
        <w:rPr>
          <w:sz w:val="20"/>
          <w:szCs w:val="20"/>
          <w:color w:val="auto"/>
        </w:rPr>
      </w:pPr>
      <w:r>
        <w:rPr>
          <w:rFonts w:ascii="Times New Roman" w:cs="Times New Roman" w:eastAsia="Times New Roman" w:hAnsi="Times New Roman"/>
          <w:sz w:val="18"/>
          <w:szCs w:val="18"/>
          <w:color w:val="auto"/>
        </w:rPr>
        <w:t>The Company capitalizes certain costs associated with the development of its websites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products after the preliminary project stage is complete, and until the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software project with appropriate authority; it is probable the project will be completed; the software will be used to perform the functions intended; and certain functional and quality standards have been met. Qualified costs incurred during the operating stage of the Company’s software applications relating to upgrades and enhancements are capitalized to the extent it is probable that they will result in added functionality, while costs that cannot be separated between maintenance of, and minor upgrades and enhancements to,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are expensed as incurred.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84" w:name="page85"/>
    <w:bookmarkEnd w:id="84"/>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Capitalized website development costs and software development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estimated useful life of three years beginning with the time when it is ready for intended use. Management evaluates the useful lives of these assets on an annual basis and tests for impairment whenever events or changes in circumstances occur that could impact the recoverability of these assets.</w:t>
      </w:r>
    </w:p>
    <w:p>
      <w:pPr>
        <w:spacing w:after="0" w:line="20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2018 and 2017, the Company capitalized $2,012 and $2,215 of website and software development costs, respectively. The Company recorded amortization expense associated with its capitalized website and software development costs of $1,508, $812, and $343 for the years ended December 31, 2018, 2017, and 2016, respectively.</w:t>
      </w:r>
    </w:p>
    <w:p>
      <w:pPr>
        <w:spacing w:after="0" w:line="25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-51435</wp:posOffset>
            </wp:positionV>
            <wp:extent cx="6413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7" w:lineRule="exact"/>
        <w:rPr>
          <w:sz w:val="20"/>
          <w:szCs w:val="20"/>
          <w:color w:val="auto"/>
        </w:rPr>
      </w:pPr>
    </w:p>
    <w:p>
      <w:pPr>
        <w:jc w:val="both"/>
        <w:ind w:firstLine="555"/>
        <w:spacing w:after="0" w:line="222" w:lineRule="exact"/>
        <w:rPr>
          <w:sz w:val="20"/>
          <w:szCs w:val="20"/>
          <w:color w:val="auto"/>
        </w:rPr>
      </w:pPr>
      <w:r>
        <w:rPr>
          <w:rFonts w:ascii="Times New Roman" w:cs="Times New Roman" w:eastAsia="Times New Roman" w:hAnsi="Times New Roman"/>
          <w:sz w:val="18"/>
          <w:szCs w:val="18"/>
          <w:color w:val="auto"/>
        </w:rPr>
        <w:t>The Company evaluates the recoverability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such as property and equipment, for impairment whenever events or changes in circumstances indicate that the carrying value of an asset may not be recoverable. During this review, the Company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evaluates the significant assumptions used in determining the original cost and estimated lives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based primarily upon whether expected future undiscounted cash flows are sufficient to support the assets’ recovery. Recoverability of these assets is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w:t>
      </w:r>
    </w:p>
    <w:p>
      <w:pPr>
        <w:spacing w:after="0" w:line="172"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For the years ended December 31, 2018, 2017, and 2016, the Company did not identify any impairment of its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in accordance with the asset and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51"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The Company accounts for uncertain tax positions recognized in the consolidated financial statements by prescribing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threshold for financial statement recognition and measurement of a tax position taken or expected to be taken in a tax return. The Company has no recorded liabilities for uncertain tax positions as of December 31, 2018 and 2017.</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Fair Value of Financial Instruments</w:t>
      </w:r>
    </w:p>
    <w:p>
      <w:pPr>
        <w:spacing w:after="0" w:line="121" w:lineRule="exact"/>
        <w:rPr>
          <w:sz w:val="20"/>
          <w:szCs w:val="20"/>
          <w:color w:val="auto"/>
        </w:rPr>
      </w:pPr>
    </w:p>
    <w:p>
      <w:pPr>
        <w:jc w:val="both"/>
        <w:ind w:right="20" w:firstLine="555"/>
        <w:spacing w:after="0" w:line="235" w:lineRule="exact"/>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and cash equivalents, investments, accounts receivable, accounts payable, and accrued expenses, approximated their fair values at December 31, 2018 and 2017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instruments.</w:t>
      </w:r>
    </w:p>
    <w:p>
      <w:pPr>
        <w:spacing w:after="0" w:line="17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Company has evaluated the estimated fair value of financial instruments using available market information. The use of different market assumptions, estimation methodologies, or both, could have a significant effect on the estimated fair value amounts. See Note 3 for further discussion.</w:t>
      </w:r>
    </w:p>
    <w:p>
      <w:pPr>
        <w:spacing w:after="0" w:line="24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-51435</wp:posOffset>
            </wp:positionV>
            <wp:extent cx="6413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7"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issued under the Company’s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plans, which are more fully described in Note 8, the fair value of each award is estimated on the date of grant, and, up through the year ended December 31, 2016, an estimated forfeiture rate was used when calculating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the period. The Company recognizes compensation expense for service-based awards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85" w:name="page86"/>
    <w:bookmarkEnd w:id="85"/>
    <w:p>
      <w:pPr>
        <w:jc w:val="both"/>
        <w:ind w:firstLine="555"/>
        <w:spacing w:after="0" w:line="223" w:lineRule="exact"/>
        <w:rPr>
          <w:sz w:val="20"/>
          <w:szCs w:val="20"/>
          <w:color w:val="auto"/>
        </w:rPr>
      </w:pPr>
      <w:r>
        <w:rPr>
          <w:rFonts w:ascii="Times New Roman" w:cs="Times New Roman" w:eastAsia="Times New Roman" w:hAnsi="Times New Roman"/>
          <w:sz w:val="18"/>
          <w:szCs w:val="18"/>
          <w:color w:val="auto"/>
        </w:rPr>
        <w:t>Certain awards granted by the Company prior to the IPO were subject to service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conditions and a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condition achieved upon a liquidity event, defined as either a change of control or an initial public offering. The Securities and Exchange Commission’s declaration of effectiveness of the Company’s registration statement on Form S-1 on October 11, 2017 satisfied the liquidity event performance condition. Upon the achievement of the liquidity event, the Company recorded previously unrecognized cumulative stock-based compensation expense of $2.5 million related to these awards. Although the performance based vesting condition was satisfied, under the terms of the awards, the settlement of such vested RSUs and the issuance of common stock with respect to such vested RSUs, occurred on April 10, 2018, one hundred eighty-one days after the satisfaction of the performance condition.</w:t>
      </w:r>
    </w:p>
    <w:p>
      <w:pPr>
        <w:spacing w:after="0" w:line="200"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Given the absence of an active market for the Company’s common stock prior to the IPO, the Board, the members of which the Company believes have extensive business, finance, and venture capital experience, was required to estimate the fair value of the Company’s common stock at the time of each grant of a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award. The Company and the Board utilized various valuation methodologies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 Privately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Held Company Equity Securities Issued as Compensation</w:t>
      </w:r>
      <w:r>
        <w:rPr>
          <w:rFonts w:ascii="Times New Roman" w:cs="Times New Roman" w:eastAsia="Times New Roman" w:hAnsi="Times New Roman"/>
          <w:sz w:val="18"/>
          <w:szCs w:val="18"/>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the following factors: (1) prices paid for the Company’s convertible Preferred Stock, which the Company had sold to outside investors in arm’s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length transactions, and the rights, preferences, and privileges of the Company’s convertible Preferred Stock and common stock; (2) valuations performed by an independent valuation specialist; (3) the Company’s stage of development and revenue growth; (4) the fact that the grants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involved illiquid securities in a private company; and (5) the likelihood of achieving a liquidity event for the common stock underlying the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such as an IPO or sale of the Company, given prevailing market conditions.</w:t>
      </w:r>
    </w:p>
    <w:p>
      <w:pPr>
        <w:spacing w:after="0" w:line="183"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The Company believes this methodology was reasonable based upon the Company’s internal peer company analyses, and further supported by arm’s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length transactions involving the Company’s convertible Preferred Stock. As the Company’s common stock was not actively traded, the determination of fair value involved assumptions, judgments, and estimates. If different assumptions had been made,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consolidated net income, and consolidated net income (loss) per share could have been significantly different.</w:t>
      </w:r>
    </w:p>
    <w:p>
      <w:pPr>
        <w:spacing w:after="0" w:line="201"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For RSUs granted subsequent to the IPO, the fair value is determined based on the closing price of the Company’s Class A common stock as reported on the Nasdaq Global Select Market on the date of grant.</w:t>
      </w:r>
    </w:p>
    <w:p>
      <w:pPr>
        <w:spacing w:after="0" w:line="133" w:lineRule="exact"/>
        <w:rPr>
          <w:sz w:val="20"/>
          <w:szCs w:val="20"/>
          <w:color w:val="auto"/>
        </w:rPr>
      </w:pPr>
    </w:p>
    <w:p>
      <w:pPr>
        <w:jc w:val="both"/>
        <w:ind w:firstLine="555"/>
        <w:spacing w:after="0" w:line="230" w:lineRule="exact"/>
        <w:rPr>
          <w:sz w:val="20"/>
          <w:szCs w:val="20"/>
          <w:color w:val="auto"/>
        </w:rPr>
      </w:pPr>
      <w:r>
        <w:rPr>
          <w:rFonts w:ascii="Times New Roman" w:cs="Times New Roman" w:eastAsia="Times New Roman" w:hAnsi="Times New Roman"/>
          <w:sz w:val="18"/>
          <w:szCs w:val="18"/>
          <w:color w:val="auto"/>
        </w:rPr>
        <w:t>For RSUs issued under the Company’s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plans prior to the IPO, the fair value of each grant was calculated based on the estimated fair value of the Company’s common stock on the date of grant. The Company estimated the fair value of most stock option awards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Certain stock option awards that have an exercise price that was materially above the current estimated fair market value of the Company’s stock are considered to be “deeply out of the money,” and are valued at the date of grant using a binomial lattice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w:t>
      </w:r>
    </w:p>
    <w:p>
      <w:pPr>
        <w:spacing w:after="0" w:line="149" w:lineRule="exact"/>
        <w:rPr>
          <w:sz w:val="20"/>
          <w:szCs w:val="20"/>
          <w:color w:val="auto"/>
        </w:rPr>
      </w:pPr>
    </w:p>
    <w:p>
      <w:pPr>
        <w:jc w:val="both"/>
        <w:ind w:firstLine="555"/>
        <w:spacing w:after="0" w:line="221" w:lineRule="exact"/>
        <w:rPr>
          <w:sz w:val="20"/>
          <w:szCs w:val="20"/>
          <w:color w:val="auto"/>
        </w:rPr>
      </w:pPr>
      <w:r>
        <w:rPr>
          <w:rFonts w:ascii="Times New Roman" w:cs="Times New Roman" w:eastAsia="Times New Roman" w:hAnsi="Times New Roman"/>
          <w:sz w:val="18"/>
          <w:szCs w:val="18"/>
          <w:color w:val="auto"/>
        </w:rPr>
        <w:t>The fair value of each option grant issued under the Company’s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plans that was not considered “deeply out of the money,” was estimated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As there was no public market for its common stock prior to the IPO, the Company determined the volatility for options granted based on an analysis of reported data for a peer group of companies that issued options with substantially similar terms. The expected volatility of granted options has been determined using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of the historical volatility measures of this peer group of companies. The expected life of options has been determined utilizing the “simplified method.” The simplified method is based on the average of the vesting tranches and the contractual life of each grant.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on a treasury instrument whose term is consistent with the expected life of the stock options. The Company has not paid, and does not anticipate paying, cash dividends on its common stock; therefore, the expected dividend yield was assumed to be zero. In addition, the Company applied an estimated forfeiture rate of 5% in determining the expense recorded in the accompanying consolidated statements of operations for the year ended December 31, 2016.</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issues shares for stock option exercises and RSUs out of its shares available for issuance.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86" w:name="page87"/>
    <w:bookmarkEnd w:id="86"/>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In March 2016, the FASB issued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w:t>
      </w:r>
      <w:r>
        <w:rPr>
          <w:rFonts w:ascii="Times New Roman" w:cs="Times New Roman" w:eastAsia="Times New Roman" w:hAnsi="Times New Roman"/>
          <w:sz w:val="18"/>
          <w:szCs w:val="18"/>
          <w:i w:val="1"/>
          <w:iCs w:val="1"/>
          <w:color w:val="auto"/>
        </w:rPr>
        <w:t>Compensation — Stock Compensation (Topic 718): Improvements to Employee 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The guidance identifies areas for simplification involving several aspects of accounting for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consequences, classification of awards as either equity or liabilities, an option to make a policy election to recognize gross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 actual forfeitures recognized as they occur, as well as certain classification changes on the statement of cash flows. The Company adopted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on January 1, 2017 and elected to account for forfeitures when they occur, on a modified retrospective basis. The cumulative effect adjustment related to the Company’s accounting policy change for forfeitures was not material. In accordance with the adoption of this guidance, the tax effect of differences between tax deductions related to stock compensation and the corresponding financial statement expense compensation will no longer be recorded to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in the balance sheet. Instead, such amounts will be recorded to tax expense. During 2018 and 2017, the Company recorded tax benefits of $40,765 and $681, respectively, related to differences between tax deductions related to stock compensation and the corresponding financial statement expense compensation. The Company also elected to prospectively apply the change in presentation of excess tax benefits, wherein excess tax benefits recognized on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now classified as an operating activity in the consolidated statements of cash flows. The Company did not adjust the classifications of excess tax benefits in its consolidated statements of cash flows for the years ended December 31, 2016. The adoption did not have any other material impact on the Company’s consolidated financial statements.</w:t>
      </w:r>
    </w:p>
    <w:p>
      <w:pPr>
        <w:spacing w:after="0" w:line="177"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No options were granted during the years ended December 31, 2018 and 2017.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fair value of options granted during the year ended December 31, 2016 was $0.90.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assumptions utilized to determine the fair value of options granted are presented in the following table:</w:t>
      </w:r>
    </w:p>
    <w:p>
      <w:pPr>
        <w:spacing w:after="0" w:line="288"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55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Pr>
          <w:p>
            <w:pPr>
              <w:spacing w:after="0"/>
              <w:rPr>
                <w:sz w:val="20"/>
                <w:szCs w:val="20"/>
                <w:color w:val="auto"/>
              </w:rPr>
            </w:pPr>
          </w:p>
        </w:tc>
      </w:tr>
    </w:tbl>
    <w:p>
      <w:pPr>
        <w:spacing w:after="0" w:line="2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8 for a summary of the stock option and RSU activity for the year ended December 31,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which is included within sales and marketing expense in the consolidated statements of operations, was $238,640, $173,186, and $112,167 for the years ended December 31, 2018, 2017, and 2016,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The Company categorizes leases at their inception as either operating or capital leases. On certain lease arrangements, the Company may receive rent holidays or other incentives. The Company recognizes lease costs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Additionally, incentives received are treated as a reduction of costs over the term of the agreement, as they are considered an inseparable part of the lease agreement.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Comprehensive income is defined as the change in stockholders’ equity of a business enterprise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 Comprehensive income consists of net income and other comprehensive income, which includes certain changes in equity that are excluded from net income. Specifically, cumulative foreign currency translation adjustments are included in accumulated other comprehensive income. As of December 31, 2018, 2017, and 2016, accumulated other comprehensive income is presented separately on the consolidated balance sheets and consists entirely of cumulative foreign currency translation adjustments.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Company has certain contingent liabilities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it discloses the range of such reasonably possible losses.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jc w:val="both"/>
        <w:ind w:firstLine="555"/>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 (“ASU 2016-02”)</w:t>
      </w:r>
      <w:r>
        <w:rPr>
          <w:rFonts w:ascii="Times New Roman" w:cs="Times New Roman" w:eastAsia="Times New Roman" w:hAnsi="Times New Roman"/>
          <w:sz w:val="18"/>
          <w:szCs w:val="18"/>
          <w:color w:val="auto"/>
        </w:rPr>
        <w:t>.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For certain public entities, including the Company, the new standard is effective for interim and annual periods beginning on or after January 1, 2019, with early adoption permitted. The Company will adopt this standard on January 1, 2019.</w:t>
      </w:r>
    </w:p>
    <w:p>
      <w:pPr>
        <w:spacing w:after="0" w:line="210" w:lineRule="exact"/>
        <w:rPr>
          <w:sz w:val="20"/>
          <w:szCs w:val="20"/>
          <w:color w:val="auto"/>
        </w:rPr>
      </w:pPr>
    </w:p>
    <w:p>
      <w:pPr>
        <w:jc w:val="both"/>
        <w:ind w:firstLine="555"/>
        <w:spacing w:after="0" w:line="267" w:lineRule="auto"/>
        <w:rPr>
          <w:sz w:val="20"/>
          <w:szCs w:val="20"/>
          <w:color w:val="auto"/>
        </w:rPr>
      </w:pPr>
      <w:r>
        <w:rPr>
          <w:rFonts w:ascii="Times New Roman" w:cs="Times New Roman" w:eastAsia="Times New Roman" w:hAnsi="Times New Roman"/>
          <w:sz w:val="18"/>
          <w:szCs w:val="18"/>
          <w:color w:val="auto"/>
        </w:rPr>
        <w:t xml:space="preserve">In July 2018, the FASB issued ASU No. 2018-11, </w:t>
      </w:r>
      <w:r>
        <w:rPr>
          <w:rFonts w:ascii="Times New Roman" w:cs="Times New Roman" w:eastAsia="Times New Roman" w:hAnsi="Times New Roman"/>
          <w:sz w:val="18"/>
          <w:szCs w:val="18"/>
          <w:i w:val="1"/>
          <w:iCs w:val="1"/>
          <w:color w:val="auto"/>
        </w:rPr>
        <w:t>Leases (Topic 842): Targeted Improvements (“ASU 2018-11”).</w:t>
      </w:r>
      <w:r>
        <w:rPr>
          <w:rFonts w:ascii="Times New Roman" w:cs="Times New Roman" w:eastAsia="Times New Roman" w:hAnsi="Times New Roman"/>
          <w:sz w:val="18"/>
          <w:szCs w:val="18"/>
          <w:color w:val="auto"/>
        </w:rPr>
        <w:t xml:space="preserve"> ASU 2018-11 provides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w:t>
      </w:r>
    </w:p>
    <w:p>
      <w:pPr>
        <w:spacing w:after="0" w:line="216"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Company plans to adopt ASU 2016-02 using the transition method allowed under ASU 2018-11. Upon adoption, the Company expects to elect the transition relief package, permitted within the standard, pursuant to which the Company will not reassess the classification of existing leases, whether any expired or existing contracts contain a lease, and whether existing leases have any initial direct costs. While the Company is still evaluating the impact that ASU 2016-02 may have on its consolidated financial statements, it anticipates that such guidance will materially impact its balance sheet given the Company’s leasing commitments as of December 31, 2018, as disclosed in Note 6.</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Recent Accounting Pronouncements</w:t>
      </w:r>
    </w:p>
    <w:p>
      <w:pPr>
        <w:spacing w:after="0" w:line="117"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Implementation Costs Incurred in a Cloud Computing Arrangement That Is a Service Contract. </w:t>
      </w:r>
      <w:r>
        <w:rPr>
          <w:rFonts w:ascii="Times New Roman" w:cs="Times New Roman" w:eastAsia="Times New Roman" w:hAnsi="Times New Roman"/>
          <w:sz w:val="18"/>
          <w:szCs w:val="18"/>
          <w:color w:val="auto"/>
        </w:rPr>
        <w:t>This update aligns the requirements for capitalizing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incurred in a hosting arrangement that is a service contract with the requirements for capitalizing implementation costs incurred to develop or obtain internal-use software. This new standard requires customers to expense the capitalized implementation costs over the term of the hosting arrangement. Amounts expensed would be presented through operating expense, rather than depreciation or amortization. Accounting for the service component of a hosting arrangement remains unchanged. The new standard is effective for fiscal years, and interim periods within those fiscal years, beginning after December 15, 2019. Early adoption is permitted and an entity can elect to apply the new guidance on a prospective or retrospective basis. The Company is currently assessing the impact that adopting this guidance will have on its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88" w:name="page89"/>
    <w:bookmarkEnd w:id="88"/>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In June 2018, the FASB issued ASU No. 2018-07</w:t>
      </w:r>
      <w:r>
        <w:rPr>
          <w:rFonts w:ascii="Times New Roman" w:cs="Times New Roman" w:eastAsia="Times New Roman" w:hAnsi="Times New Roman"/>
          <w:sz w:val="18"/>
          <w:szCs w:val="18"/>
          <w:i w:val="1"/>
          <w:iCs w:val="1"/>
          <w:color w:val="auto"/>
        </w:rPr>
        <w:t>, Compensation—Stock Compensation (Topic 718)</w:t>
      </w:r>
      <w:r>
        <w:rPr>
          <w:rFonts w:ascii="Times New Roman" w:cs="Times New Roman" w:eastAsia="Times New Roman" w:hAnsi="Times New Roman"/>
          <w:sz w:val="18"/>
          <w:szCs w:val="18"/>
          <w:color w:val="auto"/>
        </w:rPr>
        <w:t xml:space="preserve"> (“ASU 2018-07”). ASU 2018-07 expands the scope of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to include share-based payment transactions for acquiring goods and services from non-employees. The amendments in this update state that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amendments in this update are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an entity’s adoption date of Topic 606. The Company has assessed the impact of this guidance on its consolidated financial statements and does not deem it to be material. The Company plans to adopt the guidance on January 1, 2019.</w:t>
      </w:r>
    </w:p>
    <w:p>
      <w:pPr>
        <w:spacing w:after="0" w:line="23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The new guidance simplifies the accounting for goodwill impairment by eliminating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standard is effective beginning in January 2020, with early adoption permitted. The Company will evaluate this guidance in connection with the purchase price allocation of the PistonHeads acquisition described in Note 14.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 Including Cash, Cash Equivalents and Investments</w:t>
      </w:r>
    </w:p>
    <w:p>
      <w:pPr>
        <w:spacing w:after="0" w:line="92" w:lineRule="exact"/>
        <w:rPr>
          <w:sz w:val="20"/>
          <w:szCs w:val="20"/>
          <w:color w:val="auto"/>
        </w:rPr>
      </w:pPr>
    </w:p>
    <w:p>
      <w:pPr>
        <w:jc w:val="both"/>
        <w:ind w:firstLine="555"/>
        <w:spacing w:after="0" w:line="226" w:lineRule="exact"/>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valuation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200" w:lineRule="exact"/>
        <w:rPr>
          <w:sz w:val="20"/>
          <w:szCs w:val="20"/>
          <w:color w:val="auto"/>
        </w:rPr>
      </w:pPr>
    </w:p>
    <w:p>
      <w:pPr>
        <w:jc w:val="both"/>
        <w:ind w:firstLine="555"/>
        <w:spacing w:after="0" w:line="220" w:lineRule="exact"/>
        <w:rPr>
          <w:sz w:val="20"/>
          <w:szCs w:val="20"/>
          <w:color w:val="auto"/>
        </w:rPr>
      </w:pPr>
      <w:r>
        <w:rPr>
          <w:rFonts w:ascii="Times New Roman" w:cs="Times New Roman" w:eastAsia="Times New Roman" w:hAnsi="Times New Roman"/>
          <w:sz w:val="17"/>
          <w:szCs w:val="17"/>
          <w:color w:val="auto"/>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 Quoted unadjusted prices for identical instruments in active markets.</w:t>
      </w:r>
    </w:p>
    <w:p>
      <w:pPr>
        <w:spacing w:after="0" w:line="117" w:lineRule="exact"/>
        <w:rPr>
          <w:sz w:val="20"/>
          <w:szCs w:val="20"/>
          <w:color w:val="auto"/>
        </w:rPr>
      </w:pPr>
    </w:p>
    <w:p>
      <w:pPr>
        <w:ind w:left="560"/>
        <w:spacing w:after="0" w:line="235" w:lineRule="exact"/>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valuations in which all observable inputs and significant value drivers are observable in active markets.</w:t>
      </w:r>
    </w:p>
    <w:p>
      <w:pPr>
        <w:spacing w:after="0" w:line="42" w:lineRule="exact"/>
        <w:rPr>
          <w:sz w:val="20"/>
          <w:szCs w:val="20"/>
          <w:color w:val="auto"/>
        </w:rPr>
      </w:pPr>
    </w:p>
    <w:p>
      <w:pPr>
        <w:ind w:left="560"/>
        <w:spacing w:after="0" w:line="239" w:lineRule="exact"/>
        <w:rPr>
          <w:sz w:val="20"/>
          <w:szCs w:val="20"/>
          <w:color w:val="auto"/>
        </w:rPr>
      </w:pPr>
      <w:r>
        <w:rPr>
          <w:rFonts w:ascii="Times New Roman" w:cs="Times New Roman" w:eastAsia="Times New Roman" w:hAnsi="Times New Roman"/>
          <w:sz w:val="18"/>
          <w:szCs w:val="18"/>
          <w:color w:val="auto"/>
        </w:rPr>
        <w:t>Level 3 —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valuations in which one or more significant inputs or significant value drivers are unobservable, including assumptions developed by the Company.</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valuation techniques that may be used to measure fair value are as follows:</w:t>
      </w:r>
    </w:p>
    <w:p>
      <w:pPr>
        <w:spacing w:after="0" w:line="115"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 Approach </w:t>
      </w:r>
      <w:r>
        <w:rPr>
          <w:rFonts w:ascii="Times New Roman" w:cs="Times New Roman" w:eastAsia="Times New Roman" w:hAnsi="Times New Roman"/>
          <w:sz w:val="18"/>
          <w:szCs w:val="18"/>
          <w:color w:val="auto"/>
        </w:rPr>
        <w:t>— Uses prices and other relevant information generated by market transactions involving identical or comparable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50"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Approach </w:t>
      </w:r>
      <w:r>
        <w:rPr>
          <w:rFonts w:ascii="Times New Roman" w:cs="Times New Roman" w:eastAsia="Times New Roman" w:hAnsi="Times New Roman"/>
          <w:sz w:val="18"/>
          <w:szCs w:val="18"/>
          <w:color w:val="auto"/>
        </w:rPr>
        <w:t>— Uses valuation techniques to convert future amounts to a single present amount based on current market expectations about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amounts, including present value techniques, option pricing models, and excess earnings method.</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Cost Approach </w:t>
      </w:r>
      <w:r>
        <w:rPr>
          <w:rFonts w:ascii="Times New Roman" w:cs="Times New Roman" w:eastAsia="Times New Roman" w:hAnsi="Times New Roman"/>
          <w:sz w:val="18"/>
          <w:szCs w:val="18"/>
          <w:color w:val="auto"/>
        </w:rPr>
        <w:t>— Based on the amount that currently would be required to replace the service capacity of an asset (replacement cost).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89" w:name="page90"/>
    <w:bookmarkEnd w:id="89"/>
    <w:p>
      <w:pPr>
        <w:ind w:left="560"/>
        <w:spacing w:after="0"/>
        <w:rPr>
          <w:sz w:val="20"/>
          <w:szCs w:val="20"/>
          <w:color w:val="auto"/>
        </w:rPr>
      </w:pPr>
      <w:r>
        <w:rPr>
          <w:rFonts w:ascii="Times New Roman" w:cs="Times New Roman" w:eastAsia="Times New Roman" w:hAnsi="Times New Roman"/>
          <w:sz w:val="18"/>
          <w:szCs w:val="18"/>
          <w:color w:val="auto"/>
        </w:rPr>
        <w:t>The following tables present, for each of the fair value levels, the Company’s assets that are measured at fair value on a recurring basis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2017:</w:t>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41"/>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22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22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41"/>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22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22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firstLine="555"/>
        <w:spacing w:after="0" w:line="258" w:lineRule="auto"/>
        <w:rPr>
          <w:sz w:val="20"/>
          <w:szCs w:val="20"/>
          <w:color w:val="auto"/>
        </w:rPr>
      </w:pPr>
      <w:r>
        <w:rPr>
          <w:rFonts w:ascii="Times New Roman" w:cs="Times New Roman" w:eastAsia="Times New Roman" w:hAnsi="Times New Roman"/>
          <w:sz w:val="18"/>
          <w:szCs w:val="18"/>
          <w:color w:val="auto"/>
        </w:rPr>
        <w:t>The Company measures eligible assets and liabilities at fair value with changes in value recognized in earnings. There were no liabilities that were measured at fair value for the years ended December 31, 2018 and 2017. Fair value treatment may be elected either upon initial recognition of an eligible asset or liability or, for an existing asset or liability, if an event triggers a new basis of accounting. The Company did not elect to remeasure any of its existing financial assets or liabilities and did not elect the fair value option for any financial assets and liabilities transacted in the years ended December 31, 2018 or 2017.</w:t>
      </w:r>
    </w:p>
    <w:p>
      <w:pPr>
        <w:spacing w:after="0" w:line="2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cash, cash equivalents, and investments as of December 31, 2018 and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due in 90 days or less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Certificates of deposit due in one year or less</w:t>
            </w:r>
          </w:p>
        </w:tc>
        <w:tc>
          <w:tcPr>
            <w:tcW w:w="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8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157,687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157,687</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due in 90 days or less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Certificates of deposit due in one year or less</w:t>
            </w:r>
          </w:p>
        </w:tc>
        <w:tc>
          <w:tcPr>
            <w:tcW w:w="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8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137,709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137,709</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Website development costs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FF0FC"/>
            </w:tcBorders>
          </w:tcPr>
          <w:p>
            <w:pPr>
              <w:spacing w:after="0"/>
              <w:rPr>
                <w:sz w:val="19"/>
                <w:szCs w:val="19"/>
                <w:color w:val="auto"/>
              </w:rPr>
            </w:pPr>
          </w:p>
        </w:tc>
      </w:tr>
      <w:tr>
        <w:trPr>
          <w:trHeight w:val="223"/>
        </w:trPr>
        <w:tc>
          <w:tcPr>
            <w:tcW w:w="5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35,743</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(11,474)</w:t>
            </w:r>
          </w:p>
        </w:tc>
        <w:tc>
          <w:tcPr>
            <w:tcW w:w="4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(7,302)</w:t>
            </w: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which includes amortization expense associated with capitalized website and software development costs, was $5,029, $3,795, and $2,072 for the years ended December 31, 2018, 2017, and 2016, respectively. The increase of $8,925 in construction in progress at December 31, 2018 is primarily due to costs incurred to build out the Company’s new leased facility which was not occupied until subsequent to December 31, 2018.</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accrued income taxes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accrued income taxes and other current liabilities consist of the following:</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bonuses</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60" w:type="dxa"/>
            <w:vAlign w:val="bottom"/>
            <w:shd w:val="clear" w:color="auto" w:fill="CFF0FC"/>
          </w:tcPr>
          <w:p>
            <w:pPr>
              <w:spacing w:after="0"/>
              <w:rPr>
                <w:sz w:val="19"/>
                <w:szCs w:val="19"/>
                <w:color w:val="auto"/>
              </w:rPr>
            </w:pPr>
          </w:p>
        </w:tc>
      </w:tr>
      <w:tr>
        <w:trPr>
          <w:trHeight w:val="211"/>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 accrued income taxes and other</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7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2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60" w:type="dxa"/>
            <w:vAlign w:val="bottom"/>
            <w:tcBorders>
              <w:bottom w:val="single" w:sz="8" w:color="CFF0FC"/>
            </w:tcBorders>
          </w:tcPr>
          <w:p>
            <w:pPr>
              <w:spacing w:after="0"/>
              <w:rPr>
                <w:sz w:val="20"/>
                <w:szCs w:val="20"/>
                <w:color w:val="auto"/>
              </w:rPr>
            </w:pPr>
          </w:p>
        </w:tc>
      </w:tr>
      <w:tr>
        <w:trPr>
          <w:trHeight w:val="223"/>
        </w:trPr>
        <w:tc>
          <w:tcPr>
            <w:tcW w:w="47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92"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The Company leases its facilities under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leases with various expiration dates through October 2033. Rent expense for non-cancelable operating leases with free rental periods or scheduled rent increases is recognized on a straight-line basis over the terms of the leases. The difference between required lease payments and rent expense has been recorded as deferred rent.</w:t>
      </w:r>
    </w:p>
    <w:p>
      <w:pPr>
        <w:spacing w:after="0" w:line="200"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On June 19, 2018, the Company entered into an operating lease in Cambridge, Massachusetts at 121 First St. for the lease of 48,393 square feet of office space with a non-cancellable lease term through 2033 with an option to extend the lease term for two additional periods of five years each.</w:t>
      </w:r>
    </w:p>
    <w:p>
      <w:pPr>
        <w:spacing w:after="0" w:line="162"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On March 11, 2016, the Company entered into an operating lease in Cambridge, Massachusetts at 55 Cambridge Parkway for the lease of 51,923 square feet of office space with a non-cancellable lease term through 2024 with an option to extend the lease term for one additional period of five years.</w:t>
      </w:r>
    </w:p>
    <w:p>
      <w:pPr>
        <w:spacing w:after="0" w:line="162"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On October 8, 2014, the Company entered into an operating lease in Cambridge, Massachusetts at 2 Canal Park for the lease of 48,059 square feet of office space with a non-cancellable lease term through 2022 with an option to extend the lease term for one additional period of five years.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Each of the three leases described above provides for leasehold improvement incentives and annual rent increases through the term of the 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91" w:name="page92"/>
    <w:bookmarkEnd w:id="91"/>
    <w:p>
      <w:pPr>
        <w:jc w:val="both"/>
        <w:ind w:firstLine="555"/>
        <w:spacing w:after="0" w:line="220" w:lineRule="exact"/>
        <w:rPr>
          <w:sz w:val="20"/>
          <w:szCs w:val="20"/>
          <w:color w:val="auto"/>
        </w:rPr>
      </w:pPr>
      <w:r>
        <w:rPr>
          <w:rFonts w:ascii="Times New Roman" w:cs="Times New Roman" w:eastAsia="Times New Roman" w:hAnsi="Times New Roman"/>
          <w:sz w:val="18"/>
          <w:szCs w:val="18"/>
          <w:color w:val="auto"/>
        </w:rPr>
        <w:t>As of December 31, 2018, the Company had deferred rent and rent incentives of $11,088, of which $1,693 and $9,395, respectively, are classified as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and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in the corresponding consolidated balance sheet. As of December 31, 2017, the Company had deferred rent and rent incentives of $6,813, of which $1,165 and $5,648, respectively, are classified as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and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in the corresponding consolidated balance sheet. Rent expense related to the operating leases for the years ended December 31, 2018, 2017, and 2016 was $7,711, $5,994, and $3,678 respectively.</w:t>
      </w: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rental commitments under the Company’s operating leases at December 31, 2018 are as follows: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9"/>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173"/>
        </w:trPr>
        <w:tc>
          <w:tcPr>
            <w:tcW w:w="6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0" w:type="dxa"/>
            <w:vAlign w:val="bottom"/>
          </w:tcPr>
          <w:p>
            <w:pPr>
              <w:spacing w:after="0"/>
              <w:rPr>
                <w:sz w:val="1"/>
                <w:szCs w:val="1"/>
                <w:color w:val="auto"/>
              </w:rPr>
            </w:pPr>
          </w:p>
        </w:tc>
      </w:tr>
      <w:tr>
        <w:trPr>
          <w:trHeight w:val="223"/>
        </w:trPr>
        <w:tc>
          <w:tcPr>
            <w:tcW w:w="6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 and thereafter</w:t>
            </w: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 Obligations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with its customers that include commercial provisions with respect to licensing, infringement, indemnification, and other common provisions. The Company does not, in the ordinary course, agree to indemnification obligations for the Company under its contracts with customers. Based on historical experience and information known at December 31, 2018, 2017, and 2016, the Company has not incurred any costs for guarantees or indemnities.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Preferred Stock and Stockholders’ Equity</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On August 23, 2016, the Company completed a Series E convertible preferred stock, or Series E Preferred Stock, offering in the amount of $59,732, net of issuance costs of approximately $268. In connection with this issuance, the Company used the proceeds received to repurchase and retire certain outstanding shares of Series A, Series B, and Series C Preferred Stock and common stock, as well as certain vested stock options and restricted stock units from existing stockholders. The difference between the amount implicitly paid to repurchase the various classes of Preferred Stock and the corresponding carrying value of the underlying shares, or $32,087, was treated as a deemed dividend and was recorded against retained earnings. As the shares of common stock were repurchased for constructive retirement, the excess purchase price over the corresponding par value was charged directly to retained earnings.</w:t>
      </w:r>
    </w:p>
    <w:p>
      <w:pPr>
        <w:spacing w:after="0" w:line="188"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On June 21, 2017, the Company amended and restated its Certificate of Incorporation pursuant to the Third Amended and Restated Certificate of Incorporation. Under the Third Amended and Restated Certificate of Incorporation, the total number of shares of all classes of stock which the Company had authority to issue was (i) 120,020,700 shares of Class A common stock, par value $0.001 per share, (ii) 80,013,800 shares of Class B common stock, par value $0.001 per share, and (iii) 11,091,782 shares of Preferred Stock, par value $0.001 per share, of which 3,333,000 shares were designated Series A Preferred Stock, 3,329,497 shares were designated Series B Preferred Stock, 1,648,978 shares were designated Series C Preferred Stock, 1,673,105 shares were designated Series D Preferred Stock, and 1,107,202 shares were designated Series E Preferred Stock. The Series A Preferred Stock, Series B Preferred Stock, Series C Preferred Stock, Series D Preferred Stock, and Series E Preferred Stock are referred to collectively as the Preferred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2" w:name="page93"/>
    <w:bookmarkEnd w:id="92"/>
    <w:p>
      <w:pPr>
        <w:jc w:val="both"/>
        <w:ind w:firstLine="555"/>
        <w:spacing w:after="0" w:line="224" w:lineRule="exact"/>
        <w:rPr>
          <w:sz w:val="20"/>
          <w:szCs w:val="20"/>
          <w:color w:val="auto"/>
        </w:rPr>
      </w:pPr>
      <w:r>
        <w:rPr>
          <w:rFonts w:ascii="Times New Roman" w:cs="Times New Roman" w:eastAsia="Times New Roman" w:hAnsi="Times New Roman"/>
          <w:sz w:val="18"/>
          <w:szCs w:val="18"/>
          <w:color w:val="auto"/>
        </w:rPr>
        <w:t>Upon the effectiveness of the Third Amended and Restated Certificate of Incorporation, (i) each share of Class A common stock issued and outstanding was recapitalized, reclassified, and reconstituted into two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shares of outstanding Class A common stock and four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shares of outstanding Class B common stock, and (ii) each share of Class B common stock of the Company issued and outstanding was recapitalized, reclassified, and reconstituted into two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shares of outstanding Class A common stock and four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shares of outstanding Class B common stock.</w:t>
      </w:r>
    </w:p>
    <w:p>
      <w:pPr>
        <w:spacing w:after="0" w:line="180" w:lineRule="exact"/>
        <w:rPr>
          <w:sz w:val="20"/>
          <w:szCs w:val="20"/>
          <w:color w:val="auto"/>
        </w:rPr>
      </w:pPr>
    </w:p>
    <w:p>
      <w:pPr>
        <w:jc w:val="both"/>
        <w:ind w:firstLine="555"/>
        <w:spacing w:after="0" w:line="219" w:lineRule="exact"/>
        <w:rPr>
          <w:sz w:val="20"/>
          <w:szCs w:val="20"/>
          <w:color w:val="auto"/>
        </w:rPr>
      </w:pPr>
      <w:r>
        <w:rPr>
          <w:rFonts w:ascii="Times New Roman" w:cs="Times New Roman" w:eastAsia="Times New Roman" w:hAnsi="Times New Roman"/>
          <w:sz w:val="18"/>
          <w:szCs w:val="18"/>
          <w:color w:val="auto"/>
        </w:rPr>
        <w:t>Further, upon the effectiveness of the Third Amended and Restated Certificate of Incorporation, the number of shares of common stock as to which each outstanding option to purchase common stock was exercisable for and each outstanding RSU was convertible into was adjusted such that upon exercise of outstanding stock options or vesting of outstanding RSUs, each holder would receive two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shares of Class A common stock and four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shares of Class B common stock in respect of each share of common stock previously underlying such option or RSU. The exercise price per share of common stock underlying each outstanding option was adjusted upon the effectiveness of the Third Amended and Restated Certificate of Incorporation to be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sixth of the exercise price per share in effect immediately prior to such adjustment and the fair market value per share of common stock issuable upon settlement of such RSU was adjusted to be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sixth of the fair market value per share in effect immediately prior to the recapitalization.</w:t>
      </w:r>
    </w:p>
    <w:p>
      <w:pPr>
        <w:spacing w:after="0" w:line="19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All share and per share data shown in the accompanying consolidated financial statements and related notes have been retroactively revised to reflect the share recapitalization.</w:t>
      </w:r>
    </w:p>
    <w:p>
      <w:pPr>
        <w:spacing w:after="0" w:line="162"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On October 16, 2017, in connection with the closing of the IPO, all of the outstanding shares of Preferred Stock automatically converted into 20,188,226 shares of Class A common stock and 40,376,452 shares of Class B common stock. The 40,376,452 shares of Class B common stock subsequently converted into 40,376,452 shares of Class A common stock resulting in a total conversion of all outstanding shares of Preferred Stock into 60,564,678 shares of Class A common stock. Subsequent to the closing of the IPO, there were no shares of Preferred Stock outstanding.</w:t>
      </w:r>
    </w:p>
    <w:p>
      <w:pPr>
        <w:spacing w:after="0" w:line="18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Immediately following such conversion, the Company’s Fourth Amended and Restated Certificate of Incorporation became effective. Pursuant to the Fourth Amended and Restated Certificate of Incorporation, the Company is authorized to issue up to 500,000,000 shares of Class A common stock, 100,000,000 shares of Class B common stock, and 10,000,000 shares of Preferred Stock, all with a par value of $0.001 per share. As of December 31, 2018, the Preferred Stock is undesignated and no Preferred Stock is outstanding.</w:t>
      </w:r>
    </w:p>
    <w:p>
      <w:pPr>
        <w:spacing w:after="0" w:line="180"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In addition, pursuant to the Fourth Amended and Restated Certificate of Incorporation, all shares of Class B common stock will automatically convert into shares of Class A common stock, on a share for share basis, upon the date falling after the first to occur of (1) the death of Langley Steinert, the Company’s Chief Executive Officer and Chairman, (2) his voluntary termination of all employment with the Company and service on the Company’s board of directors, or (3) the sum of the number of shares of capital stock held by Langley Steinert, by any Family Member of Langley Steinert, and by any Permitted Entity of Langley Steinert (as such terms are defined in the Fourth Amended and Restated Certificate of Incorporation), assuming the exercise and settlement in full of all outstanding options and convertible securities and calculated on an as-converted to Class A common stock basis, being less than 9,091,484. Shares of Class B common stock will not automatically convert into shares of Class A common stock upon the termination of Mr. Steinert's status as an officer and director, unless such termination is either made voluntarily by Mr. Steinert or due to Mr. Steinert's death. Once converted into Class A common stock, the converted shares of Class B common stock will not be reissued. In addition, if all shares of Class B common stock are converted into Class A common stock, then any outstanding options or convertible securities with the right to purchase or acquire shares of Class B common stock shall become a right to purchase or acquire shares of Class A common stock.</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Each share of Class A common stock entitles the holder to one vote for each share on all matters submitted to a vote of the Company’s stockholders at all meetings of stockholders and written actions in lieu of meetings. Each share of Class B common stock entitles the holder to ten votes for each share on all matters submitted to a vote of the Company’s stockholders at all meetings of stockholders and written actions in lieu of meetings.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common stock are entitled to receive dividends, when and if declared by the Board.</w:t>
      </w:r>
    </w:p>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At December 31, 2018, each share of Class B common stock was convertible into one share of Class A common stock at the option of the holder at any time. Automatic conversion of each share of Class B common stock will occur upon the occurrence of certain events, as described in the Fourth Amended and Restated Certificate of Incorporation.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3" w:name="page94"/>
    <w:bookmarkEnd w:id="93"/>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Upon the effectiveness of the Company’s Fourth Amended and Restated Certificate of Incorporation, additional terms of conversion and transfer were implemented as discussed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Prior to the Company’s IPO, at which time all shares of Preferred Stock were converted into shares of common stock, the Company’s Preferred Stock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40" w:type="dxa"/>
            <w:vAlign w:val="bottom"/>
            <w:gridSpan w:val="2"/>
            <w:vMerge w:val="continue"/>
          </w:tcPr>
          <w:p>
            <w:pPr>
              <w:spacing w:after="0"/>
              <w:rPr>
                <w:sz w:val="12"/>
                <w:szCs w:val="12"/>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0.525053</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3,333,000</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2,824,703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0.780899</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3,329,497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2,938,486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0.849012</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1,648,978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40.642989</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1,673,105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 Preferred Stock</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54.190650</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1,107,202</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1,107,202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11,091,782</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10,094,108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133,094</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The holders of the Company’s Preferred Stock had certain voting and dividend rights, as well as liquidation preferences and conversion privileges. All rights, preferences, and privileges associated with the Preferred Stock were terminated at the time of the Company’s IPO in conjunction with the conversion of all outstanding shares of Preferred Stock into shares of common stock.</w:t>
      </w:r>
    </w:p>
    <w:p>
      <w:pPr>
        <w:spacing w:after="0" w:line="29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8. 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2006 Equity Incentive Plan (the “2006 Plan”) provided for the issuance of non-qualified stock options, restricted stock and stock awards to the Company’s employees, officers, directors and consultants. The 2006 Plan authorized up to an aggregate of 3,444,668 shares of the Company's Class B common stock for such issuances. In conjunction with the effectiveness of the Company’s 2015 Equity Incentive Plan (the “2015 Plan”), the Board voted that no further stock options or other equity-based awards may be granted under the 2006 Plan.</w:t>
      </w:r>
    </w:p>
    <w:p>
      <w:pPr>
        <w:spacing w:after="0" w:line="180"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In 2015, the Board first adopted the 2015 Plan, which became effective on June 26, 2015. The 2015 Plan provided for the issuance of incentive stock options, non-qualified stock options, restricted stock, stock awards and restricted stock units (“RSUs”) to employees, consultants and non-employee directors. As of the effective date of the 2015 Plan, up to 603,436 shares of common stock were authorized for issuance under the 2015 Plan. The 2015 Plan was amended and restated effective August 6, 2015 to permit the granting of RSUs under the 2015 Plan, remove Class B common stock from the pool of shares available for issuance under the 2015 Plan and make certain other desired changes. The 2015 Plan was further amended and restated at October 15, 2015 to add a ten-year term and to make certain other desired changes.</w:t>
      </w:r>
    </w:p>
    <w:p>
      <w:pPr>
        <w:spacing w:after="0" w:line="188" w:lineRule="exact"/>
        <w:rPr>
          <w:sz w:val="20"/>
          <w:szCs w:val="20"/>
          <w:color w:val="auto"/>
        </w:rPr>
      </w:pPr>
    </w:p>
    <w:p>
      <w:pPr>
        <w:jc w:val="both"/>
        <w:ind w:firstLine="555"/>
        <w:spacing w:after="0" w:line="257" w:lineRule="auto"/>
        <w:rPr>
          <w:sz w:val="20"/>
          <w:szCs w:val="20"/>
          <w:color w:val="auto"/>
        </w:rPr>
      </w:pPr>
      <w:r>
        <w:rPr>
          <w:rFonts w:ascii="Times New Roman" w:cs="Times New Roman" w:eastAsia="Times New Roman" w:hAnsi="Times New Roman"/>
          <w:sz w:val="18"/>
          <w:szCs w:val="18"/>
          <w:color w:val="auto"/>
        </w:rPr>
        <w:t>The 2015 Plan was further amended and restated effective August 22, 2016 to merge the 2006 Plan into the 2015 Plan, to increase the number of shares of Class A common stock that may be issued under the 2015 Plan, and to lengthen the term of the 2015 Plan to expire on August 21, 2026. In addition, pursuant to this amendment and restatement of the 2015 Plan, prior to giving effect to the recapitalization that occurred on June 21, 2017, there were</w:t>
      </w:r>
    </w:p>
    <w:p>
      <w:pPr>
        <w:spacing w:after="0" w:line="2" w:lineRule="exact"/>
        <w:rPr>
          <w:sz w:val="20"/>
          <w:szCs w:val="20"/>
          <w:color w:val="auto"/>
        </w:rPr>
      </w:pPr>
    </w:p>
    <w:p>
      <w:pPr>
        <w:ind w:left="240" w:hanging="232"/>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618,691 shares of Class A common stock, plus (ii) 802,562 shares of Class B common stock authorized under the 2015 Plan; provided, however, that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number of shares of Class A common stock was increased, on a share for share basis, by the number of shares of Class B common stock that were</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outstanding options granted under the 2006 Plan that expired, terminated, or were cancelled for any reason without having been exercised,</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surrendered in payment of the exercise price of outstanding options granted under the 2006 Plan or (c) withheld in satisfaction of tax withholding upon exercise of outstanding options granted under the 2006 Plan, and the number of shares of Class B common stock reserved under the amended and restated 2015 Plan was decreased, on a corresponding share for share basis, (2) no new awards of Class B common stock could be granted under the amended and restated 2015 Plan, and (3) except with respect to outstanding options granted under the 2006 Plan that were exercised on or after the date of the amendment and restatement, no Class B common stock could be issued under the 2015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4" w:name="page95"/>
    <w:bookmarkEnd w:id="94"/>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In connection with the recapitalization that occurred on June 21, 2017, the 2015 Plan was further amended and restated to account for each outstanding common stock option being adjusted such that each share of common stock underlying such option became two shares of Class A common stock and four shares of Class B common stock underlying such option, and each outstanding RSU being adjusted such that each share of common stock issuable upon settlement of such RSU became two shares of Class A common stock and four shares of Class B common stock issuable upon settlement of such RSU. Pursuant to the 2015 Plan as further amended in connection with the recapitalization, there were (i) 3,181,740 shares of Class A common stock and (ii) 5,161,644 shares of Class B common stock authorized for issuance under the 2015 Plan.</w:t>
      </w:r>
    </w:p>
    <w:p>
      <w:pPr>
        <w:spacing w:after="0" w:line="242" w:lineRule="exact"/>
        <w:rPr>
          <w:sz w:val="20"/>
          <w:szCs w:val="20"/>
          <w:color w:val="auto"/>
        </w:rPr>
      </w:pPr>
    </w:p>
    <w:p>
      <w:pPr>
        <w:jc w:val="both"/>
        <w:ind w:firstLine="555"/>
        <w:spacing w:after="0" w:line="252" w:lineRule="auto"/>
        <w:rPr>
          <w:sz w:val="20"/>
          <w:szCs w:val="20"/>
          <w:color w:val="auto"/>
        </w:rPr>
      </w:pPr>
      <w:r>
        <w:rPr>
          <w:rFonts w:ascii="Times New Roman" w:cs="Times New Roman" w:eastAsia="Times New Roman" w:hAnsi="Times New Roman"/>
          <w:sz w:val="18"/>
          <w:szCs w:val="18"/>
          <w:color w:val="auto"/>
        </w:rPr>
        <w:t>In connection with the IPO, in October 2017, the Board adopted, and the Company’s stockholders approved, the Omnibus Equity Compensation Plan (the “2017 Plan”) for the purpose of granting incentive stock options, non-qualified stock options, stock awards, stock units, other share-based awards and cash awards to employees, advisors and consultants to the Company and its subsidiaries and non-employee members of the Company’s board of directors. The 2017 Plan is the successor to the 2015 Plan. The 2017 Plan authorizes the issuance or transfer of the sum of: (i) 7,800,000 shares of the Company’s Class A common stock, plus (ii) the number of shares of our Class A common stock (up to 4,500,000 shares) equal to the sum of (x) the number of shares of Class A common stock and Class B common stock of the Company subject to outstanding awards under the 2015 Plan as of October 10, 2017 that terminate, expire or are cancelled, forfeited, exchanged, or surrendered on or after October 10, 2017 without having been exercised, vested, or paid prior to October 10, 2017, including shares tendered or withheld to satisfy tax withholding obligations with respect to outstanding grants under the Prior 2015 Plan, plus (y) the number of shares of Class A common stock reserved for issuance under the 2015 Plan that remain available for grant under the 2015 Plan as of the October 10, 2017. The aggregate number of shares of Class A common stock that may be issued or transferred under the 2017 Plan pursuant to incentive stock options will not exceed 12,300,000 shares of Class A common stock. Unless determined otherwise by the Compensation Committee of the Board, as of the first trading day of January of each calendar year during the term of the 2017 Plan (excluding any extensions), eligible beginning with calendar year 2019, an additional number of shares of Class A common stock will be added to the number of shares of the Company’s Class A common stock authorized to be issued or transferred under the 2017 Plan and the number of shares authorized to be issued or transferred pursuant to incentive stock options, equal to 4% of the total number of shares of our Class A common stock outstanding on the last trading day in December of the immediately preceding calendar year, or 6,000,000 shares, whichever is less, or such lesser amount as determined by the Board (the “Evergreen Increase”). The Compensation Committee of the Board determined to not effectuate the Evergreen Increase that was otherwise scheduled to have occurred on January 2, 2019. In conjunction with the adoption of the 2017 Plan, options and RSUs outstanding under the 2015 Plan will remain outstanding but no additional grants will be made from the 2015 Plan.</w:t>
      </w:r>
    </w:p>
    <w:p>
      <w:pPr>
        <w:spacing w:after="0" w:line="200" w:lineRule="exact"/>
        <w:rPr>
          <w:sz w:val="20"/>
          <w:szCs w:val="20"/>
          <w:color w:val="auto"/>
        </w:rPr>
      </w:pP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December 31, 2018, 6,839,584 shares of Class A common stock were available for issuance under the 2017 Plan.</w:t>
      </w:r>
    </w:p>
    <w:p>
      <w:pPr>
        <w:spacing w:after="0" w:line="197"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The following is a summary of the stock option activity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plans during the year ended December 31, 2018:</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40" w:type="dxa"/>
            <w:vAlign w:val="bottom"/>
            <w:gridSpan w:val="2"/>
          </w:tcPr>
          <w:p>
            <w:pPr>
              <w:jc w:val="center"/>
              <w:ind w:left="76"/>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for Equity</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2017</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5,041,540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143,059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(3,197,179)</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 and cancelled</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1,807,515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2018</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48,928</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1,522,101</w:t>
            </w:r>
          </w:p>
        </w:tc>
        <w:tc>
          <w:tcPr>
            <w:tcW w:w="1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hanging="552"/>
        <w:spacing w:after="0" w:line="282" w:lineRule="auto"/>
        <w:tabs>
          <w:tab w:leader="none" w:pos="5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aggregate intrinsic value was calculated based on the positive difference, if any, between the estimated fair value of our common stock on December 31, 2018, 2017, and 2016 respectively, or the date of exercise, as appropriate, and the exercise price of the underlying options.</w:t>
      </w:r>
    </w:p>
    <w:p>
      <w:pPr>
        <w:spacing w:after="0" w:line="175"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There were no options granted in the years ended December 31, 2018 and 2017. The weighted-average grant-date fair value of options granted was $0.90 per share in 2016.</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aggregate intrinsic value for options exercised during the years ended December 31, 2017 and 2016 was $2,238 and $2,021,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5" w:name="page96"/>
    <w:bookmarkEnd w:id="95"/>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RSU activity during the year ended December 31, 2018:</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2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outstanding, December 31,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2,372,380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71,124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1,917,043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(1,087,279)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(229,142)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outstanding, December 31,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2,973,002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weighted-average grant-date fair value of RSUs granted was $16.99 and $3.89 per share in 2017 and 2016, respectively.</w:t>
      </w:r>
    </w:p>
    <w:p>
      <w:pPr>
        <w:spacing w:after="0" w:line="225"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RSUs that vested and settled during the year ended December 31, 2018 totaled 1,781,201, which included 1,087,279 and 693,922 RSUs that vested in 2018 and 2017, respectively. RSUs that vested prior to April 10, 2018 did not settle until the expiration of shareholder lock-up agreements on such date.</w:t>
      </w:r>
    </w:p>
    <w:p>
      <w:pPr>
        <w:spacing w:after="0" w:line="202"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was $15,994 and $2,505 in the years ended December 31, 2018 and 2017. No RSUs vested in the year ended December 31, 2016.</w:t>
      </w:r>
    </w:p>
    <w:p>
      <w:pPr>
        <w:spacing w:after="0" w:line="187" w:lineRule="exact"/>
        <w:rPr>
          <w:sz w:val="20"/>
          <w:szCs w:val="20"/>
          <w:color w:val="auto"/>
        </w:rPr>
      </w:pPr>
    </w:p>
    <w:p>
      <w:pPr>
        <w:jc w:val="both"/>
        <w:ind w:firstLine="555"/>
        <w:spacing w:after="0" w:line="232" w:lineRule="exact"/>
        <w:rPr>
          <w:sz w:val="20"/>
          <w:szCs w:val="20"/>
          <w:color w:val="auto"/>
        </w:rPr>
      </w:pPr>
      <w:r>
        <w:rPr>
          <w:rFonts w:ascii="Times New Roman" w:cs="Times New Roman" w:eastAsia="Times New Roman" w:hAnsi="Times New Roman"/>
          <w:sz w:val="18"/>
          <w:szCs w:val="18"/>
          <w:color w:val="auto"/>
        </w:rPr>
        <w:t>For the years ended December 31, 2018, 2017, and 2016, 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was $20,794, $5,028, and $322, respectively. The following two tables show stock compensation expense by award type and where the stock compensation expense is recorded in the Company’s consolidated statements of operations: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technology, and development expense</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Excluded from stock-based compensation expense is $490 and $176 of capitalized software development costs in 2018 and 2017, respectively. Stock-based compensation expense related to capitalized software development costs was immaterial in 2016.</w:t>
      </w:r>
    </w:p>
    <w:p>
      <w:pPr>
        <w:spacing w:after="0" w:line="202"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income tax benefit from stock-based compensation expense was $1,945, $1,301, and $67 in the years ended December 31, 2018, 2017, and 2016, respectively.</w:t>
      </w:r>
    </w:p>
    <w:p>
      <w:pPr>
        <w:spacing w:after="0" w:line="187" w:lineRule="exact"/>
        <w:rPr>
          <w:sz w:val="20"/>
          <w:szCs w:val="20"/>
          <w:color w:val="auto"/>
        </w:rPr>
      </w:pPr>
    </w:p>
    <w:p>
      <w:pPr>
        <w:ind w:firstLine="555"/>
        <w:spacing w:after="0" w:line="250" w:lineRule="exact"/>
        <w:rPr>
          <w:sz w:val="20"/>
          <w:szCs w:val="20"/>
          <w:color w:val="auto"/>
        </w:rPr>
      </w:pPr>
      <w:r>
        <w:rPr>
          <w:rFonts w:ascii="Times New Roman" w:cs="Times New Roman" w:eastAsia="Times New Roman" w:hAnsi="Times New Roman"/>
          <w:sz w:val="18"/>
          <w:szCs w:val="18"/>
          <w:color w:val="auto"/>
        </w:rPr>
        <w:t>As of December 31, 2018, there was $186 of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unvested stock options, which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1.1 years.</w:t>
      </w:r>
    </w:p>
    <w:p>
      <w:pPr>
        <w:spacing w:after="0" w:line="204" w:lineRule="exact"/>
        <w:rPr>
          <w:sz w:val="20"/>
          <w:szCs w:val="20"/>
          <w:color w:val="auto"/>
        </w:rPr>
      </w:pPr>
    </w:p>
    <w:p>
      <w:pPr>
        <w:ind w:firstLine="555"/>
        <w:spacing w:after="0" w:line="250" w:lineRule="exact"/>
        <w:rPr>
          <w:sz w:val="20"/>
          <w:szCs w:val="20"/>
          <w:color w:val="auto"/>
        </w:rPr>
      </w:pPr>
      <w:r>
        <w:rPr>
          <w:rFonts w:ascii="Times New Roman" w:cs="Times New Roman" w:eastAsia="Times New Roman" w:hAnsi="Times New Roman"/>
          <w:sz w:val="18"/>
          <w:szCs w:val="18"/>
          <w:color w:val="auto"/>
        </w:rPr>
        <w:t>As of December 31, 2018, there was $69,998 of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unvested RSUs which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3.2 years.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6" w:name="page97"/>
    <w:bookmarkEnd w:id="96"/>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December 31, 2018, the Company had reserved the following shares of voting common stock for future issuance:</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1,807,515</w:t>
            </w:r>
          </w:p>
        </w:tc>
        <w:tc>
          <w:tcPr>
            <w:tcW w:w="8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2,973,002</w:t>
            </w:r>
          </w:p>
        </w:tc>
        <w:tc>
          <w:tcPr>
            <w:tcW w:w="8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2017 Plan</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6,839,584</w:t>
            </w:r>
          </w:p>
        </w:tc>
        <w:tc>
          <w:tcPr>
            <w:tcW w:w="80" w:type="dxa"/>
            <w:vAlign w:val="bottom"/>
            <w:shd w:val="clear" w:color="auto" w:fill="CFF0FC"/>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11,620,101</w:t>
            </w: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Net income per share for the year ended December 31, 2018 was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w:t>
      </w:r>
    </w:p>
    <w:p>
      <w:pPr>
        <w:spacing w:after="0" w:line="180" w:lineRule="exact"/>
        <w:rPr>
          <w:sz w:val="20"/>
          <w:szCs w:val="20"/>
          <w:color w:val="auto"/>
        </w:rPr>
      </w:pPr>
    </w:p>
    <w:p>
      <w:pPr>
        <w:jc w:val="both"/>
        <w:ind w:firstLine="555"/>
        <w:spacing w:after="0" w:line="219" w:lineRule="exact"/>
        <w:rPr>
          <w:sz w:val="20"/>
          <w:szCs w:val="20"/>
          <w:color w:val="auto"/>
        </w:rPr>
      </w:pPr>
      <w:r>
        <w:rPr>
          <w:rFonts w:ascii="Times New Roman" w:cs="Times New Roman" w:eastAsia="Times New Roman" w:hAnsi="Times New Roman"/>
          <w:sz w:val="18"/>
          <w:szCs w:val="18"/>
          <w:color w:val="auto"/>
        </w:rPr>
        <w:t>Net income per share for the year ended December 31, 2017 and 2016 was computed using the two-class method, which includes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number of shares of common stock outstanding during the period and other securities that participate in dividends (a participating security). As of December 31, 2016, and for periods during the year ended December 31, 2017, the Company had convertible Preferred Stock outstanding. The Company considered the convertible Preferred Stock to be participating securities because they included rights to participate in dividends with the common stock. On October 16, 2017, in connection with the closing of the IPO, all of the outstanding shares of convertible Preferred Stock automatically converted into 20,188,226 shares of Class A common stock and 40,376,452 shares of Class B common stock, the latter of which subsequently converted in full into shares of Class A common stock. As a result, there were no shares of Preferred Stock outstanding at the closing of the IPO and the Company has not issued any new shares of Preferred Stock since such closing.</w:t>
      </w:r>
    </w:p>
    <w:p>
      <w:pPr>
        <w:spacing w:after="0" w:line="171" w:lineRule="exact"/>
        <w:rPr>
          <w:sz w:val="20"/>
          <w:szCs w:val="20"/>
          <w:color w:val="auto"/>
        </w:rPr>
      </w:pPr>
    </w:p>
    <w:p>
      <w:pPr>
        <w:jc w:val="both"/>
        <w:ind w:firstLine="555"/>
        <w:spacing w:after="0" w:line="224" w:lineRule="exact"/>
        <w:rPr>
          <w:sz w:val="20"/>
          <w:szCs w:val="20"/>
          <w:color w:val="auto"/>
        </w:rPr>
      </w:pPr>
      <w:r>
        <w:rPr>
          <w:rFonts w:ascii="Times New Roman" w:cs="Times New Roman" w:eastAsia="Times New Roman" w:hAnsi="Times New Roman"/>
          <w:sz w:val="18"/>
          <w:szCs w:val="18"/>
          <w:color w:val="auto"/>
        </w:rPr>
        <w:t>Under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basic net income (loss) per share attributable to common stockholders is computed by dividing the net income (loss) attributable to common stockholders by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number of shares of common stock outstanding during the period. Diluted net income (loss) per share attributable to common stockholders is computed using the more dilutive of (1)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or (2) the 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method. The Company allocated net income first to preferred stockholders based on dividend rights under the Company’s certificate of incorporation that was in effect prior to the closing of the IPO and then to preferred and common stockholders based on ownership interests. Net losses are not allocated to preferred stockholders as they do not have an obligation to share in the Company’s net losses.</w:t>
      </w:r>
    </w:p>
    <w:p>
      <w:pPr>
        <w:spacing w:after="0" w:line="201" w:lineRule="exact"/>
        <w:rPr>
          <w:sz w:val="20"/>
          <w:szCs w:val="20"/>
          <w:color w:val="auto"/>
        </w:rPr>
      </w:pPr>
    </w:p>
    <w:p>
      <w:pPr>
        <w:jc w:val="both"/>
        <w:ind w:firstLine="555"/>
        <w:spacing w:after="0" w:line="219" w:lineRule="exact"/>
        <w:rPr>
          <w:sz w:val="20"/>
          <w:szCs w:val="20"/>
          <w:color w:val="auto"/>
        </w:rPr>
      </w:pPr>
      <w:r>
        <w:rPr>
          <w:rFonts w:ascii="Times New Roman" w:cs="Times New Roman" w:eastAsia="Times New Roman" w:hAnsi="Times New Roman"/>
          <w:sz w:val="18"/>
          <w:szCs w:val="18"/>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on either the death or voluntary termination of the Company’s Chief Executive Officer. The Company allocates undistributed earnings attributable to common stock between the common stock classes on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one basis when computing net income (loss) per share. As a result, basic and diluted net income (loss) per share of Class A common stock and per share of Class B common stock are equivalent.</w:t>
      </w:r>
    </w:p>
    <w:p>
      <w:pPr>
        <w:spacing w:after="0" w:line="20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holders of Class B common stock converted 7,534,710 shares of Class B common stock to Class A common stock.</w:t>
      </w:r>
    </w:p>
    <w:p>
      <w:pPr>
        <w:spacing w:after="0" w:line="162"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Diluted net income (loss) per share gives effect to all potentially dilutive securities. Potential dilutive securities for the years ended December 31, 2018, 2017 and 2016 consist of shares of common stock issuable upon the exercise of stock options and shares of common stock issuable upon the vesting of RSUs. Potential dilutive securities for the years ended December 31, 2017 and 2016 also included shares of common stock issuable upon the conversion of the outstanding Preferred Stock. The dilutive effect of these common stock equivalents is reflected in diluted earnings per share by application of the treasury stock method.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97" w:name="page98"/>
    <w:bookmarkEnd w:id="97"/>
    <w:p>
      <w:pPr>
        <w:jc w:val="both"/>
        <w:ind w:right="20" w:firstLine="555"/>
        <w:spacing w:after="0" w:line="219" w:lineRule="exact"/>
        <w:rPr>
          <w:sz w:val="20"/>
          <w:szCs w:val="20"/>
          <w:color w:val="auto"/>
        </w:rPr>
      </w:pPr>
      <w:r>
        <w:rPr>
          <w:rFonts w:ascii="Times New Roman" w:cs="Times New Roman" w:eastAsia="Times New Roman" w:hAnsi="Times New Roman"/>
          <w:sz w:val="18"/>
          <w:szCs w:val="18"/>
          <w:color w:val="auto"/>
        </w:rPr>
        <w:t>For the year ended December 31, 2018, dilutive net income per share was calculated by dividing net income by the weighted-average number of shares of common stock outstanding during the period plus the dilutive impact of stock options and shares of common stock issuable upon the vesting of RSUs. For the year ended December 31, 2017,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was used in the computation of diluted net income per share, which was equally as dilutive as the if-converted method. For the year ended December 31, 2016, the net loss attributable to common stockholders was divided by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number of shares of common stock outstanding during the period to calculate diluted earnings per share. The dilutive effect of common stock equivalents has been excluded from the calculation as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due to the net losses incurred for the periods after including the effects of deemed dividends on the Preferred Stock.</w:t>
      </w: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used in the calculation of basic and diluted net income (loss)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2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80" w:type="dxa"/>
        <w:tblCellMar>
          <w:top w:w="0" w:type="dxa"/>
          <w:left w:w="0" w:type="dxa"/>
          <w:bottom w:w="0" w:type="dxa"/>
          <w:right w:w="0" w:type="dxa"/>
        </w:tblCellMar>
      </w:tblPr>
      <w:tr>
        <w:trPr>
          <w:trHeight w:val="155"/>
        </w:trPr>
        <w:tc>
          <w:tcPr>
            <w:tcW w:w="516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60" w:type="dxa"/>
            <w:vAlign w:val="bottom"/>
          </w:tcPr>
          <w:p>
            <w:pPr>
              <w:spacing w:after="0"/>
              <w:rPr>
                <w:sz w:val="19"/>
                <w:szCs w:val="19"/>
                <w:color w:val="auto"/>
              </w:rPr>
            </w:pP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Deemed dividend to preferred stockholders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(32,087)</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1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w:t>
            </w:r>
          </w:p>
        </w:tc>
        <w:tc>
          <w:tcPr>
            <w:tcW w:w="8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4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(25,590)</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26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Deemed dividend to preferred stockholders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(32,087)</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1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w:t>
            </w:r>
          </w:p>
        </w:tc>
        <w:tc>
          <w:tcPr>
            <w:tcW w:w="8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4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(25,590)</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 used</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 computing net income per share attributable to</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stockholders — basic</w:t>
            </w: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108,833,028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55,835,265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44,138,922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 of share equivalents resulting from</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3,009,748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4,290,362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Dilutive effect of share equivalents resulting from</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1,521,936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511,957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16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Weighted–average number of shares of common stock</w:t>
            </w:r>
          </w:p>
        </w:tc>
        <w:tc>
          <w:tcPr>
            <w:tcW w:w="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used in computing net income per share —</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113,364,712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60,637,584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44,138,922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23"/>
                <w:szCs w:val="23"/>
                <w:color w:val="auto"/>
              </w:rPr>
            </w:pP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20" w:firstLine="555"/>
        <w:spacing w:after="0" w:line="250" w:lineRule="exact"/>
        <w:rPr>
          <w:sz w:val="20"/>
          <w:szCs w:val="20"/>
          <w:color w:val="auto"/>
        </w:rPr>
      </w:pPr>
      <w:r>
        <w:rPr>
          <w:rFonts w:ascii="Times New Roman" w:cs="Times New Roman" w:eastAsia="Times New Roman" w:hAnsi="Times New Roman"/>
          <w:sz w:val="18"/>
          <w:szCs w:val="18"/>
          <w:color w:val="auto"/>
        </w:rPr>
        <w:t>The following potentially dilutive common stock equivalents have been excluded from the calculation of diluted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shares outstanding for the years ended December 31, 2018, 2017, and 2016, as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for the periods presented:</w:t>
      </w:r>
    </w:p>
    <w:p>
      <w:pPr>
        <w:spacing w:after="0" w:line="199"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2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5,698,812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126,816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10,094,108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675"/>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96</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domestic and foreign components of income before income taxes are as follows:</w:t>
      </w:r>
    </w:p>
    <w:p>
      <w:pPr>
        <w:spacing w:after="0" w:line="246"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60" w:type="dxa"/>
        <w:tblCellMar>
          <w:top w:w="0" w:type="dxa"/>
          <w:left w:w="0" w:type="dxa"/>
          <w:bottom w:w="0" w:type="dxa"/>
          <w:right w:w="0" w:type="dxa"/>
        </w:tblCellMar>
      </w:tblPr>
      <w:tr>
        <w:trPr>
          <w:trHeight w:val="155"/>
        </w:trPr>
        <w:tc>
          <w:tcPr>
            <w:tcW w:w="600" w:type="dxa"/>
            <w:vAlign w:val="bottom"/>
          </w:tcPr>
          <w:p>
            <w:pPr>
              <w:spacing w:after="0"/>
              <w:rPr>
                <w:sz w:val="13"/>
                <w:szCs w:val="13"/>
                <w:color w:val="auto"/>
              </w:rPr>
            </w:pPr>
          </w:p>
        </w:tc>
        <w:tc>
          <w:tcPr>
            <w:tcW w:w="37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60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80" w:type="dxa"/>
            <w:vAlign w:val="bottom"/>
            <w:shd w:val="clear" w:color="auto" w:fill="CFF0FC"/>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7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FF0FC"/>
            </w:tcBorders>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94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6180" w:type="dxa"/>
            <w:vAlign w:val="bottom"/>
            <w:gridSpan w:val="4"/>
          </w:tcPr>
          <w:p>
            <w:pPr>
              <w:jc w:val="right"/>
              <w:ind w:right="55"/>
              <w:spacing w:after="0"/>
              <w:rPr>
                <w:sz w:val="20"/>
                <w:szCs w:val="20"/>
                <w:color w:val="auto"/>
              </w:rPr>
            </w:pPr>
            <w:r>
              <w:rPr>
                <w:rFonts w:ascii="Times New Roman" w:cs="Times New Roman" w:eastAsia="Times New Roman" w:hAnsi="Times New Roman"/>
                <w:sz w:val="18"/>
                <w:szCs w:val="18"/>
                <w:color w:val="auto"/>
                <w:w w:val="99"/>
              </w:rPr>
              <w:t>The (benefit from) provision for income taxes contained the following components: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7"/>
        </w:trPr>
        <w:tc>
          <w:tcPr>
            <w:tcW w:w="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6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600" w:type="dxa"/>
            <w:vAlign w:val="bottom"/>
          </w:tcPr>
          <w:p>
            <w:pPr>
              <w:spacing w:after="0"/>
              <w:rPr>
                <w:sz w:val="13"/>
                <w:szCs w:val="13"/>
                <w:color w:val="auto"/>
              </w:rPr>
            </w:pPr>
          </w:p>
        </w:tc>
        <w:tc>
          <w:tcPr>
            <w:tcW w:w="37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6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(benefit) provision:</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8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20" w:type="dxa"/>
            <w:vAlign w:val="bottom"/>
          </w:tcPr>
          <w:p>
            <w:pPr>
              <w:spacing w:after="0"/>
              <w:rPr>
                <w:sz w:val="19"/>
                <w:szCs w:val="19"/>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FF0FC"/>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7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shd w:val="clear" w:color="auto" w:fill="CFF0FC"/>
          </w:tcPr>
          <w:p>
            <w:pPr>
              <w:spacing w:after="0"/>
              <w:rPr>
                <w:sz w:val="19"/>
                <w:szCs w:val="19"/>
                <w:color w:val="auto"/>
              </w:rPr>
            </w:pPr>
          </w:p>
        </w:tc>
      </w:tr>
      <w:tr>
        <w:trPr>
          <w:trHeight w:val="223"/>
        </w:trPr>
        <w:tc>
          <w:tcPr>
            <w:tcW w:w="43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Deferred (benefit) provision:</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(27,675)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FF0FC"/>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60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 w:type="dxa"/>
            <w:vAlign w:val="bottom"/>
          </w:tcPr>
          <w:p>
            <w:pPr>
              <w:spacing w:after="0"/>
              <w:rPr>
                <w:sz w:val="19"/>
                <w:szCs w:val="19"/>
                <w:color w:val="auto"/>
              </w:rPr>
            </w:pPr>
          </w:p>
        </w:tc>
        <w:tc>
          <w:tcPr>
            <w:tcW w:w="376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Borders>
              <w:bottom w:val="single" w:sz="8" w:color="CFF0FC"/>
            </w:tcBorders>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555"/>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year ending December 31, 2018 is less than the U.S. federal statutory rate due to excess tax deductions related to stock-based compensation awards and federal and state research and development credits. The Company’s effective tax rates for the years ending December 31, 2017 and 2016 are less than the U.S. federal statutory rate primarily due to federal and state research and development credits, excess tax deductions related to stock-based compensation awards, and tax deductions for fees incurred during the IPO process.</w:t>
      </w:r>
    </w:p>
    <w:p>
      <w:pPr>
        <w:spacing w:after="0" w:line="200" w:lineRule="exact"/>
        <w:rPr>
          <w:sz w:val="20"/>
          <w:szCs w:val="20"/>
          <w:color w:val="auto"/>
        </w:rPr>
      </w:pPr>
    </w:p>
    <w:p>
      <w:pPr>
        <w:spacing w:after="0" w:line="230"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1160" w:type="dxa"/>
            <w:vAlign w:val="bottom"/>
          </w:tcPr>
          <w:p>
            <w:pPr>
              <w:spacing w:after="0"/>
              <w:rPr>
                <w:sz w:val="13"/>
                <w:szCs w:val="13"/>
                <w:color w:val="auto"/>
              </w:rPr>
            </w:pPr>
          </w:p>
        </w:tc>
        <w:tc>
          <w:tcPr>
            <w:tcW w:w="358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15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Nondeductible expenses</w:t>
            </w: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deductible IPO costs</w:t>
            </w:r>
          </w:p>
        </w:tc>
        <w:tc>
          <w:tcPr>
            <w:tcW w:w="154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29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(127.2)</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Credits</w:t>
            </w:r>
          </w:p>
        </w:tc>
        <w:tc>
          <w:tcPr>
            <w:tcW w:w="29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(28.4)</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(155.8)%</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16.7%</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bottom w:val="single" w:sz="8" w:color="CFF0FC"/>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97</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5" w:right="219" w:bottom="1440" w:gutter="0" w:footer="0" w:header="0"/>
        </w:sectPr>
      </w:pPr>
    </w:p>
    <w:bookmarkStart w:id="99" w:name="page100"/>
    <w:bookmarkEnd w:id="99"/>
    <w:p>
      <w:pPr>
        <w:ind w:left="560"/>
        <w:spacing w:after="0"/>
        <w:rPr>
          <w:sz w:val="20"/>
          <w:szCs w:val="20"/>
          <w:color w:val="auto"/>
        </w:rPr>
      </w:pPr>
      <w:r>
        <w:rPr>
          <w:rFonts w:ascii="Times New Roman" w:cs="Times New Roman" w:eastAsia="Times New Roman" w:hAnsi="Times New Roman"/>
          <w:sz w:val="18"/>
          <w:szCs w:val="18"/>
          <w:color w:val="auto"/>
        </w:rPr>
        <w:t>The approximate income tax effect of each type of temporary difference and carryforward as of December 31, 2018 and 2017 is as follows:</w:t>
      </w:r>
    </w:p>
    <w:p>
      <w:pPr>
        <w:spacing w:after="0" w:line="24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96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5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34,450</w:t>
            </w:r>
          </w:p>
        </w:tc>
        <w:tc>
          <w:tcPr>
            <w:tcW w:w="140" w:type="dxa"/>
            <w:vAlign w:val="bottom"/>
          </w:tcPr>
          <w:p>
            <w:pPr>
              <w:spacing w:after="0"/>
              <w:rPr>
                <w:sz w:val="19"/>
                <w:szCs w:val="19"/>
                <w:color w:val="auto"/>
              </w:rPr>
            </w:pP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 carryforwards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Landlord allowance on leasehold improvements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rent</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Accruals and reserves</w:t>
            </w:r>
          </w:p>
        </w:tc>
        <w:tc>
          <w:tcPr>
            <w:tcW w:w="1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commissions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Unbilled revenue</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(2,909)</w:t>
            </w: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38,886</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asset and liability method to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this method, deferred income taxes are recognized for the future tax consequences of differences between the tax and financial accounting bases of assets and liabilities at each reporting period. Deferred income taxes are based on enacted tax laws and statutory tax rates applicable to the period in which these differences are expected to affect taxable income. A valuation allowance is established when necessary to reduce deferred tax assets to the amounts expected to be realized.</w:t>
      </w:r>
    </w:p>
    <w:p>
      <w:pPr>
        <w:spacing w:after="0" w:line="236"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The Tax Cuts and Jobs Act (the “TCJA”) was enacted on December 22, 2017. Among other things, the TCJA reduces the U.S. federal corporate tax rate from 35% to 21%, requires companies to pay a one-time transition tax on earnings of certain foreign subsidiaries that were previously tax deferred, and creates new taxes on certain foreign sourced earnings. In the first nine months of 2018 and year ended December 31, 2017, the Company recorded provisional amounts for certain enactment-date effects of the TCJA by applying the guidance of Staff Accounting Bulletin 118 because the Company had not yet completed the enactment-date accounting for these effects. In the year ended December 31, 2018 and 2017, the Company recorded tax expense related to the enactment-date effects of the TCJA that included recording the one-time transition tax liability related to undistributed earnings of certain foreign subsidiaries that were not previously taxed, adjusting deferred tax assets and liabilities and electing to account for global intangible low-taxed income (“GILTI”) as a period expense. The changes to 2017 enactment-date provisional amounts increased the tax expense by $16 in 2018, which is included as a component of income tax expense from continuing operations.</w:t>
      </w:r>
    </w:p>
    <w:p>
      <w:pPr>
        <w:spacing w:after="0" w:line="18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Company re-measured certain deferred tax assets and liabilities based on the rates at which they are anticipated to reverse in the future, which is generally 21%. The amount recorded related to the re-measurement of the Company’s deferred tax balance was a tax expense of $151, recognized in the year ended December 31, 2017. There were no additional expenses recognized in the year ended December 31, 2018 related to the remeasurement of deferred tax assets and liabilities.</w:t>
      </w:r>
    </w:p>
    <w:p>
      <w:pPr>
        <w:spacing w:after="0" w:line="180"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one-time transition tax is based on the Company’s total post-1986 earnings and profits (“E&amp;P”) for which the Company has previously deferred from U.S. income taxes. As of December 31, 2017, the Company recorded a provisional amount for the one-time transition tax liability of $36 for its foreign subsidiaries, resulting in an increase of income tax provision of $36. As of December 31, 2018, the Company has completed its calculation of the total post-1986 foreign E&amp;P for these foreign subsidiaries. The Company has recognized an additional $16 in its income tax expense for its one-time transition tax liability.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00" w:name="page101"/>
    <w:bookmarkEnd w:id="100"/>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 xml:space="preserve">The TCJA subjects a U.S. shareholder to tax on GILTI earned by certain foreign subsidiaries. An entity can make an accounting policy election, per the FASB Staff Q&amp;A, Topic 740, No. 5, </w:t>
      </w:r>
      <w:r>
        <w:rPr>
          <w:rFonts w:ascii="Times New Roman" w:cs="Times New Roman" w:eastAsia="Times New Roman" w:hAnsi="Times New Roman"/>
          <w:sz w:val="18"/>
          <w:szCs w:val="18"/>
          <w:i w:val="1"/>
          <w:iCs w:val="1"/>
          <w:color w:val="auto"/>
        </w:rPr>
        <w:t>Accounting for Global Intangible Low-Taxed Income</w:t>
      </w:r>
      <w:r>
        <w:rPr>
          <w:rFonts w:ascii="Times New Roman" w:cs="Times New Roman" w:eastAsia="Times New Roman" w:hAnsi="Times New Roman"/>
          <w:sz w:val="18"/>
          <w:szCs w:val="18"/>
          <w:color w:val="auto"/>
        </w:rPr>
        <w:t>, either to recognize deferred taxes for temporary basis differences expected to reverse as GILTI in future years or to provide for the tax expense related to GILTI in the year the tax is incurred as a period expense only. Because the Company was evaluating the provision of GILTI as of December 31, 2017, the Company recorded no GILTI-related deferred amounts in 2017. After further consideration in the current year, the Company has elected to account for GILTI as a period cost in the year the tax is incurred.</w:t>
      </w:r>
    </w:p>
    <w:p>
      <w:pPr>
        <w:spacing w:after="0" w:line="184"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Company has not provided a valuation allowance against its net deferred tax assets at December 31, 2018 and 2017. Based upon the level of historical U.S. earnings and future projections over the period in which the net deferred tax assets are deductible, at this time, management believes it is more likely than not that the Company will realize the benefits of these deductible differences.</w:t>
      </w:r>
    </w:p>
    <w:p>
      <w:pPr>
        <w:spacing w:after="0" w:line="176"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As of December 31, 2018, the Company has federal and state net operating loss carryforwards of $130,927 and $111,234, respectively. The federal net operating losses carryforward indefinitely, subject to an annual limitation of 80% of taxable income. The state net operating losses, excluding Florida and Georgia which carryforward indefinitely, expire at various dates beginning in 2028. As of December 31, 2018, the Company has federal and state tax credit carryforwards of $3,875 and $3,401, respectively, available to reduce future tax liabilities that expire at various dates through 2038. Utilization of the net operating losses and tax credit carryforwards, respectively, may be subject to an annual limitation due to ownership change limitations that have occurred previously or that could occur in the future, as provided by Section 382 of the Code, or Section 382, as well as similar state provisions. Ownership changes may limit the amount of net operating losses or tax credit carryforwards that can be utilized annually to offset future taxable income and tax, respectively. In general, an ownership change, as defined by Section 382, results from transactions that increase the ownership of 5% stockholders in the stock of a corporation by more than 50% in the aggregate over a three-year period.</w:t>
      </w:r>
    </w:p>
    <w:p>
      <w:pPr>
        <w:spacing w:after="0" w:line="18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Company previously adopted the provision for uncertain tax positions under ASC 740. The adoption did not have an impact on the Company’s retained earnings balance. At December 31, 2018 and 2017, the Company had no recorded liabilities for uncertain tax positions and had no accrued interest or penalties related to uncertain tax positions</w:t>
      </w:r>
    </w:p>
    <w:p>
      <w:pPr>
        <w:spacing w:after="0" w:line="17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Company permanently reinvests the earnings, if any, of its foreign subsidiaries and, therefore, does not provide for U.S. income taxes that could results from the distribution of those earnings to the U.S. parent. As of December 31, 2018, the amount of unrecognized deferred U.S. taxes on these earnings would be de minimis.</w:t>
      </w:r>
    </w:p>
    <w:p>
      <w:pPr>
        <w:spacing w:after="0" w:line="176"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subject to various U.S. federal, state, and foreign income taxes. The Company is currently not subject to examination under the statute of limitations by the Internal Revenue Service and state jurisdictions for the tax years of 2014 and prior. In 2018, the Internal Revenue Service commenced a federal income tax audit with respect to our 2016 tax year. The Company is also currently open to examination in its foreign jurisdictions for tax years 2016 and after.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United States and International. Segment information is presented in the same manner as the Company’s chief operating decision maker, or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80"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our operational overhead expenses, including technology and personnel costs, and other general and administrative costs associated with running our business, are incurred in the United States and not allocated to the International segment. Assets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01" w:name="page102"/>
    <w:bookmarkEnd w:id="101"/>
    <w:p>
      <w:pPr>
        <w:ind w:left="560"/>
        <w:spacing w:after="0"/>
        <w:rPr>
          <w:sz w:val="20"/>
          <w:szCs w:val="20"/>
          <w:color w:val="auto"/>
        </w:rPr>
      </w:pPr>
      <w:r>
        <w:rPr>
          <w:rFonts w:ascii="Times New Roman" w:cs="Times New Roman" w:eastAsia="Times New Roman" w:hAnsi="Times New Roman"/>
          <w:sz w:val="18"/>
          <w:szCs w:val="18"/>
          <w:color w:val="auto"/>
        </w:rPr>
        <w:t>Information regarding the Company’s operations by segment and geographical area is presented below:</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15"/>
                <w:szCs w:val="15"/>
                <w:color w:val="auto"/>
              </w:rPr>
              <w:t>(1)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Segment revenue:</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437,166</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307,472</w:t>
            </w:r>
          </w:p>
        </w:tc>
        <w:tc>
          <w:tcPr>
            <w:tcW w:w="200" w:type="dxa"/>
            <w:vAlign w:val="bottom"/>
          </w:tcPr>
          <w:p>
            <w:pPr>
              <w:spacing w:after="0"/>
              <w:rPr>
                <w:sz w:val="19"/>
                <w:szCs w:val="19"/>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195,824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1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198,141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15"/>
                <w:szCs w:val="15"/>
                <w:color w:val="auto"/>
              </w:rPr>
              <w:t>(1)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Segment income (loss) from operations: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41,586</w:t>
            </w:r>
          </w:p>
        </w:tc>
        <w:tc>
          <w:tcPr>
            <w:tcW w:w="200" w:type="dxa"/>
            <w:vAlign w:val="bottom"/>
          </w:tcPr>
          <w:p>
            <w:pPr>
              <w:spacing w:after="0"/>
              <w:rPr>
                <w:sz w:val="19"/>
                <w:szCs w:val="19"/>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(35,196)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(26,312)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(18,890)</w:t>
            </w:r>
          </w:p>
        </w:tc>
      </w:tr>
      <w:tr>
        <w:trPr>
          <w:trHeight w:val="223"/>
        </w:trPr>
        <w:tc>
          <w:tcPr>
            <w:tcW w:w="20" w:type="dxa"/>
            <w:vAlign w:val="bottom"/>
          </w:tcPr>
          <w:p>
            <w:pPr>
              <w:spacing w:after="0"/>
              <w:rPr>
                <w:sz w:val="19"/>
                <w:szCs w:val="19"/>
                <w:color w:val="auto"/>
              </w:rPr>
            </w:pP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1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hanging="552"/>
        <w:spacing w:after="0" w:line="282" w:lineRule="auto"/>
        <w:tabs>
          <w:tab w:leader="none" w:pos="5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Included in the year ended December 31, 2018 United States and International segments are revenue adjustments of $94 and $32, respectively, and operating income adjustments of $8,613 and $811, respectively, related to the Company's adoption of ASC 606.</w:t>
      </w:r>
    </w:p>
    <w:p>
      <w:pPr>
        <w:spacing w:after="0" w:line="216"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As of December 31, 2018 and 2017, property and equipment held outside the United States was not material. Total assets in the United States segment account for 97% of the total consolidated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Company maintains a defined contribution savings plan for all eligible U.S. employees under Section 401(k) of the Code. Effective July 1, 2017, the Company implemented a matching policy, under which the Company matches 50% of an employee’s annual contributions to the 401(k) plan, up to a maximum of the lesser of (i) 6% of the employee’s base salary, bonus and commissions paid during the year or (ii) $5,000. Matching contributions are subject to vesting based on the employee’s start date and length of service. Employees can designate the investment of their 401(k) accounts into several mutual funds. The Company does not allow investment in its common stock through the 401(k) plan.</w:t>
      </w:r>
    </w:p>
    <w:p>
      <w:pPr>
        <w:spacing w:after="0" w:line="184"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2016, the Company did not make any employer contributions to the plan. During the year ended December 31, 2017, the Company began matching employee 401(k) contributions up to a set limit. Total employer contributions were $1,953 and $724 during the years ended December 31, 2018 and December 31, 2017,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13. Quarterly Financial Results (unaudited)</w:t>
      </w:r>
    </w:p>
    <w:p>
      <w:pPr>
        <w:spacing w:after="0" w:line="121"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The following table presents certain unaudited quarterly financial information for the eight quarters in the period ended December 31, 2018. This information has been prepared on the same basis as the audited financial statements and includes all adjustments (consisting only of normal recurring adjustments) necessary to present fairly the unaudited quarterly results of operations set forth herein.</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60" w:type="dxa"/>
            <w:vAlign w:val="bottom"/>
          </w:tcPr>
          <w:p>
            <w:pPr>
              <w:spacing w:after="0"/>
              <w:rPr>
                <w:sz w:val="13"/>
                <w:szCs w:val="13"/>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First</w:t>
            </w:r>
          </w:p>
        </w:tc>
      </w:tr>
      <w:tr>
        <w:trPr>
          <w:trHeight w:val="187"/>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Quarter </w:t>
            </w:r>
            <w:r>
              <w:rPr>
                <w:rFonts w:ascii="Times New Roman" w:cs="Times New Roman" w:eastAsia="Times New Roman" w:hAnsi="Times New Roman"/>
                <w:sz w:val="15"/>
                <w:szCs w:val="15"/>
                <w:color w:val="auto"/>
              </w:rPr>
              <w:t>(1)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 xml:space="preserve">Quarter </w:t>
            </w:r>
            <w:r>
              <w:rPr>
                <w:rFonts w:ascii="Times New Roman" w:cs="Times New Roman" w:eastAsia="Times New Roman" w:hAnsi="Times New Roman"/>
                <w:sz w:val="15"/>
                <w:szCs w:val="15"/>
                <w:color w:val="auto"/>
                <w:w w:val="99"/>
              </w:rPr>
              <w:t>(1)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Quarter </w:t>
            </w:r>
            <w:r>
              <w:rPr>
                <w:rFonts w:ascii="Times New Roman" w:cs="Times New Roman" w:eastAsia="Times New Roman" w:hAnsi="Times New Roman"/>
                <w:sz w:val="15"/>
                <w:szCs w:val="15"/>
                <w:color w:val="auto"/>
              </w:rPr>
              <w:t>(1)</w:t>
            </w: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126,090</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6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60" w:type="dxa"/>
            <w:vAlign w:val="bottom"/>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6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60" w:type="dxa"/>
            <w:vAlign w:val="bottom"/>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6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Basic net income per share </w:t>
            </w:r>
            <w:r>
              <w:rPr>
                <w:rFonts w:ascii="Times New Roman" w:cs="Times New Roman" w:eastAsia="Times New Roman" w:hAnsi="Times New Roman"/>
                <w:sz w:val="15"/>
                <w:szCs w:val="15"/>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Diluted net income per share </w:t>
            </w:r>
            <w:r>
              <w:rPr>
                <w:rFonts w:ascii="Times New Roman" w:cs="Times New Roman" w:eastAsia="Times New Roman" w:hAnsi="Times New Roman"/>
                <w:sz w:val="15"/>
                <w:szCs w:val="15"/>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90,597</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67,035</w:t>
            </w:r>
          </w:p>
        </w:tc>
        <w:tc>
          <w:tcPr>
            <w:tcW w:w="6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60" w:type="dxa"/>
            <w:vAlign w:val="bottom"/>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63,710</w:t>
            </w:r>
          </w:p>
        </w:tc>
        <w:tc>
          <w:tcPr>
            <w:tcW w:w="6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60" w:type="dxa"/>
            <w:vAlign w:val="bottom"/>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6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Basic net income per share </w:t>
            </w:r>
            <w:r>
              <w:rPr>
                <w:rFonts w:ascii="Times New Roman" w:cs="Times New Roman" w:eastAsia="Times New Roman" w:hAnsi="Times New Roman"/>
                <w:sz w:val="15"/>
                <w:szCs w:val="15"/>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shd w:val="clear" w:color="auto" w:fill="CFF0FC"/>
          </w:tcPr>
          <w:p>
            <w:pPr>
              <w:spacing w:after="0"/>
              <w:rPr>
                <w:sz w:val="19"/>
                <w:szCs w:val="19"/>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Diluted net income per share </w:t>
            </w:r>
            <w:r>
              <w:rPr>
                <w:rFonts w:ascii="Times New Roman" w:cs="Times New Roman" w:eastAsia="Times New Roman" w:hAnsi="Times New Roman"/>
                <w:sz w:val="15"/>
                <w:szCs w:val="15"/>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20"/>
                <w:szCs w:val="20"/>
                <w:color w:val="auto"/>
              </w:rPr>
            </w:pPr>
          </w:p>
        </w:tc>
      </w:tr>
    </w:tbl>
    <w:p>
      <w:pPr>
        <w:spacing w:after="0" w:line="247" w:lineRule="exact"/>
        <w:rPr>
          <w:sz w:val="20"/>
          <w:szCs w:val="20"/>
          <w:color w:val="auto"/>
        </w:rPr>
      </w:pPr>
    </w:p>
    <w:p>
      <w:pPr>
        <w:ind w:left="560" w:hanging="552"/>
        <w:spacing w:after="0"/>
        <w:tabs>
          <w:tab w:leader="none" w:pos="5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amounts were computed independently for each quarter, and the sum of the quarters may not total the annual amounts.</w:t>
      </w:r>
    </w:p>
    <w:p>
      <w:pPr>
        <w:spacing w:after="0" w:line="49" w:lineRule="exact"/>
        <w:rPr>
          <w:rFonts w:ascii="Times New Roman" w:cs="Times New Roman" w:eastAsia="Times New Roman" w:hAnsi="Times New Roman"/>
          <w:sz w:val="15"/>
          <w:szCs w:val="15"/>
          <w:color w:val="auto"/>
        </w:rPr>
      </w:pPr>
    </w:p>
    <w:p>
      <w:pPr>
        <w:ind w:left="560" w:right="40" w:hanging="552"/>
        <w:spacing w:after="0" w:line="282" w:lineRule="auto"/>
        <w:tabs>
          <w:tab w:leader="none" w:pos="5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amounts for the three months ended March 31, 2018, June 30, 2018 and September 30, 2018 were adjusted from previously reported amounts as a result of the adoption of ASC 606. Refer to the tables below for a reconciliation of the previously reported amounts to the adjusted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ASC 606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7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Three Months ended March 31, 2018</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98,701</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1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ASC 606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7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Three Months ended June 30, 2018</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110,325</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1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1" w:right="219" w:bottom="1440" w:gutter="0" w:footer="0" w:header="0"/>
        </w:sectPr>
      </w:pPr>
    </w:p>
    <w:bookmarkStart w:id="103" w:name="page104"/>
    <w:bookmarkEnd w:id="103"/>
    <w:tbl>
      <w:tblPr>
        <w:tblLayout w:type="fixed"/>
        <w:tblInd w:w="172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ASC 606</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09"/>
        </w:trPr>
        <w:tc>
          <w:tcPr>
            <w:tcW w:w="3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540" w:type="dxa"/>
            <w:vAlign w:val="bottom"/>
            <w:tcBorders>
              <w:bottom w:val="single" w:sz="8" w:color="CFF0FC"/>
            </w:tcBorders>
          </w:tcPr>
          <w:p>
            <w:pPr>
              <w:spacing w:after="0"/>
              <w:rPr>
                <w:sz w:val="5"/>
                <w:szCs w:val="5"/>
                <w:color w:val="auto"/>
              </w:rPr>
            </w:pPr>
          </w:p>
        </w:tc>
        <w:tc>
          <w:tcPr>
            <w:tcW w:w="56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CFF0FC"/>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Three Months ended September 30, 2018</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w:t>
      </w:r>
    </w:p>
    <w:p>
      <w:pPr>
        <w:spacing w:after="0" w:line="121"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On January 8, 2019, the Company, through CarGurus UK Limited, a company incorporated in England &amp; Wales and a wholly owned subsidiary of CarGurus Ireland Limited (a company incorporated in Ireland and a wholly owned subsidiary of the Company) (the “Purchaser”), completed its acquisition of PistonHeads, a UK-based automotive website (“PistonHeads”), by acquiring the entire issued share capital of Haymarket New4 Ltd. (a company incorporated in England &amp; Wales and now known as PistonHeads Holdco Limited, “NewCo”) from Haymarket Media Group Ltd., a company incorporated in England &amp; Wales (the “Seller”), on the terms and subject to the conditions set forth in the Put and Call Option Agreement dated December 3, 2018, by and among the Purchaser, the Seller and Haymarket Group Limited, a company incorporated in England &amp; Wales. The PistonHeads website hosts used car classifieds, articles and forums. The Company paid an aggregate of 15,000 GPB, or approximately $19,139, to acquire the business, inclusive of 1,000 GBP, or approximately $1,276, that will be held in escrow to secure post-closing claims, subject to the terms and conditions of an escrow agreement between Purchaser and Seller. Upon completion of the acquisition, NewCo became a wholly owned subsidiary of Purchaser. The business combination is intended to expand the Company’s consumer audience in the UK. During the year ended December 31, 2018, the Company incurred total acquisition-related costs of $452 related to the transaction. As the transaction occurred subsequent to period-end, the Company is still evaluating the purchase price allocation of the transaction but expects the primary assets acquired to be intangible assets and goodwill. Acquired tangible assets and assumed liabilities are expected to be immaterial. The allocation is expected to be finalized during the first half of 2019.</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as of the end of the period covered by this Annual Report on Form 10-K. Based on such evaluation, our principal executive officer and principal financial officer have concluded that as of December 31, 2018, our disclosure controls and procedures were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960" w:hanging="39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jc w:val="both"/>
        <w:ind w:left="960" w:hanging="398"/>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8" w:lineRule="exact"/>
        <w:rPr>
          <w:rFonts w:ascii="Times New Roman" w:cs="Times New Roman" w:eastAsia="Times New Roman" w:hAnsi="Times New Roman"/>
          <w:sz w:val="18"/>
          <w:szCs w:val="18"/>
          <w:color w:val="auto"/>
        </w:rPr>
      </w:pPr>
    </w:p>
    <w:p>
      <w:pPr>
        <w:ind w:left="960" w:hanging="398"/>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2018, using the criteria set forth by the Committee of Sponsoring Organizations of the Treadway Commission (COSO) in its Internal Control-Integrated Framework (2013). Based on this assessment and those criteria, management concluded that our internal control over financial reporting was effective as of December 31, 2018.</w:t>
      </w:r>
    </w:p>
    <w:p>
      <w:pPr>
        <w:spacing w:after="0" w:line="176"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2018, has been audited by Ernst &amp; Young LLP, an independent registered public accounting firm, as stated in their report which is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8"/>
          <w:szCs w:val="18"/>
          <w:color w:val="auto"/>
        </w:rPr>
        <w:t>During the fourth quarter ended December 31, 2018, we implemented certain internal controls in connection with our adoption of ASC 606. There was no other change in our internal control over financial reporting (as defined in Rules 13a-15(f) and 15d-15(f) under the Exchange Act) that occurred during the fourth quarter ended December 31, 2018 that has materially affected, or is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Stockholders and the Board of Directors of CarGurus,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have audited CarGurus, Inc.’s internal control over financial reporting as of December 31, 2018, based on criteria established in Internal Control— Integrated Framework issued by the Committee of Sponsoring Organizations of the Treadway Commission (2013 framework) (the COSO criteria). In our opinion, CarGurus, Inc. (the Company) maintained, in all material respects, effective internal control over financial reporting as of December 31, 2018, based on the COSO criteria.</w:t>
      </w:r>
    </w:p>
    <w:p>
      <w:pPr>
        <w:spacing w:after="0" w:line="180"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2018 consolidated financial statements of the Company and our report dated February 28, 2019 expressed an unqualified opinion thereon.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107" w:name="page108"/>
    <w:bookmarkEnd w:id="107"/>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2019 Annual Meeting of Stockholders, which we will file with the SEC within 120 days of the end of the fiscal year to which this Annual Report on Form 10-K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2019 Annual Meeting of Stockholders, which we will file with the SEC within 120 days of the end of the fiscal year to which this Annual Report on Form 10-K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2019 Annual Meeting of Stockholders, which we will file with the SEC within 120 days of the end of the fiscal year to which this Annual Report on Form 10-K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2019 Annual Meeting of Stockholders, which we will file with the SEC within 120 days of the end of the fiscal year to which this Annual Report on Form 10-K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2019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08" w:name="page109"/>
    <w:bookmarkEnd w:id="108"/>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a part of this Report:</w:t>
      </w:r>
    </w:p>
    <w:p>
      <w:pPr>
        <w:spacing w:after="0" w:line="117" w:lineRule="exact"/>
        <w:rPr>
          <w:rFonts w:ascii="Times New Roman" w:cs="Times New Roman" w:eastAsia="Times New Roman" w:hAnsi="Times New Roman"/>
          <w:sz w:val="18"/>
          <w:szCs w:val="18"/>
          <w:b w:val="1"/>
          <w:bCs w:val="1"/>
          <w:color w:val="auto"/>
        </w:rPr>
      </w:pPr>
    </w:p>
    <w:p>
      <w:pPr>
        <w:ind w:left="820" w:hanging="257"/>
        <w:spacing w:after="0"/>
        <w:tabs>
          <w:tab w:leader="none" w:pos="82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of CarGurus, Inc. are included in Item 8 of this Annual Report on Form 10-K.</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All financial statements schedules are omitted as they are either not required or the information is otherwise included in the consolidated financial statements and related notes.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(3) Index to Exhibits</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documents listed in the Exhibit Index immediately preceding the signature page of this Annual Report on Form 10-K are incorporated by reference or are filed or furnished with this Annual Report on Form 10-K, in each case as indicated therein (numbered in accordance with Item 601 of Regulation S-K).</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80" w:type="dxa"/>
            <w:vAlign w:val="bottom"/>
            <w:gridSpan w:val="3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3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80" w:type="dxa"/>
            <w:vAlign w:val="bottom"/>
            <w:gridSpan w:val="33"/>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60" w:type="dxa"/>
            <w:vAlign w:val="bottom"/>
            <w:gridSpan w:val="2"/>
            <w:vMerge w:val="continue"/>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140" w:type="dxa"/>
            <w:vAlign w:val="bottom"/>
            <w:tcBorders>
              <w:top w:val="single" w:sz="8" w:color="auto"/>
              <w:bottom w:val="single" w:sz="8" w:color="0000EE"/>
            </w:tcBorders>
            <w:gridSpan w:val="29"/>
          </w:tcPr>
          <w:p>
            <w:pPr>
              <w:spacing w:after="0" w:line="170"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Amended and Restated Certificate of Incorporation of the</w:t>
              </w:r>
            </w:hyperlink>
          </w:p>
        </w:tc>
        <w:tc>
          <w:tcPr>
            <w:tcW w:w="200" w:type="dxa"/>
            <w:vAlign w:val="bottom"/>
            <w:tcBorders>
              <w:top w:val="single" w:sz="8" w:color="auto"/>
            </w:tcBorders>
            <w:gridSpan w:val="6"/>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4"/>
                <w:szCs w:val="14"/>
                <w:color w:val="auto"/>
              </w:rPr>
            </w:pPr>
          </w:p>
        </w:tc>
        <w:tc>
          <w:tcPr>
            <w:tcW w:w="136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4"/>
                <w:szCs w:val="14"/>
                <w:color w:val="auto"/>
              </w:rPr>
            </w:pPr>
          </w:p>
        </w:tc>
        <w:tc>
          <w:tcPr>
            <w:tcW w:w="136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October 16, 2017</w:t>
            </w:r>
          </w:p>
        </w:tc>
        <w:tc>
          <w:tcPr>
            <w:tcW w:w="200" w:type="dxa"/>
            <w:vAlign w:val="bottom"/>
          </w:tcPr>
          <w:p>
            <w:pPr>
              <w:spacing w:after="0"/>
              <w:rPr>
                <w:sz w:val="14"/>
                <w:szCs w:val="14"/>
                <w:color w:val="auto"/>
              </w:rPr>
            </w:pPr>
          </w:p>
        </w:tc>
        <w:tc>
          <w:tcPr>
            <w:tcW w:w="94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3.1</w:t>
            </w:r>
          </w:p>
        </w:tc>
        <w:tc>
          <w:tcPr>
            <w:tcW w:w="3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Registrant.</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Amended and Restated Bylaws of the Registrant.</w:t>
              </w:r>
            </w:hyperlink>
          </w:p>
        </w:tc>
        <w:tc>
          <w:tcPr>
            <w:tcW w:w="9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56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rPr>
              <w:t>October 16, 2017</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Specimen Class A common stock certificate of the</w:t>
              </w:r>
            </w:hyperlink>
          </w:p>
        </w:tc>
        <w:tc>
          <w:tcPr>
            <w:tcW w:w="780" w:type="dxa"/>
            <w:vAlign w:val="bottom"/>
            <w:gridSpan w:val="20"/>
          </w:tcPr>
          <w:p>
            <w:pPr>
              <w:spacing w:after="0"/>
              <w:rPr>
                <w:sz w:val="19"/>
                <w:szCs w:val="19"/>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9"/>
                <w:szCs w:val="19"/>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Registrant.</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42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Amended and Restated Investors’ Rights Agreement, dated</w:t>
              </w:r>
            </w:hyperlink>
          </w:p>
        </w:tc>
        <w:tc>
          <w:tcPr>
            <w:tcW w:w="160" w:type="dxa"/>
            <w:vAlign w:val="bottom"/>
            <w:gridSpan w:val="5"/>
          </w:tcPr>
          <w:p>
            <w:pPr>
              <w:spacing w:after="0"/>
              <w:rPr>
                <w:sz w:val="17"/>
                <w:szCs w:val="17"/>
                <w:color w:val="auto"/>
              </w:rPr>
            </w:pPr>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September 15,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August 23, 2016, by and among the Registrant and certain</w:t>
              </w:r>
            </w:hyperlink>
          </w:p>
        </w:tc>
        <w:tc>
          <w:tcPr>
            <w:tcW w:w="2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of its stockholders.</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3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Indemnification Agreement between the Registrant</w:t>
              </w:r>
            </w:hyperlink>
          </w:p>
        </w:tc>
        <w:tc>
          <w:tcPr>
            <w:tcW w:w="120" w:type="dxa"/>
            <w:vAlign w:val="bottom"/>
            <w:gridSpan w:val="3"/>
          </w:tcPr>
          <w:p>
            <w:pPr>
              <w:spacing w:after="0"/>
              <w:rPr>
                <w:sz w:val="17"/>
                <w:szCs w:val="17"/>
                <w:color w:val="auto"/>
              </w:rPr>
            </w:pPr>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September 15,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and each of its directors and executive officers.</w:t>
              </w:r>
            </w:hyperlink>
          </w:p>
        </w:tc>
        <w:tc>
          <w:tcPr>
            <w:tcW w:w="1040" w:type="dxa"/>
            <w:vAlign w:val="bottom"/>
            <w:gridSpan w:val="23"/>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Amended and Restated 2006 Equity Incentive Plan.</w:t>
              </w:r>
            </w:hyperlink>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September 15,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16"/>
                <w:szCs w:val="16"/>
                <w:color w:val="auto"/>
              </w:rPr>
            </w:pPr>
          </w:p>
        </w:tc>
        <w:tc>
          <w:tcPr>
            <w:tcW w:w="4000" w:type="dxa"/>
            <w:vAlign w:val="bottom"/>
            <w:tcBorders>
              <w:bottom w:val="single" w:sz="8" w:color="0000EE"/>
            </w:tcBorders>
            <w:gridSpan w:val="26"/>
          </w:tcPr>
          <w:p>
            <w:pPr>
              <w:spacing w:after="0" w:line="194"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Amended and Restated 2015 Equity Incentive Plan and</w:t>
              </w:r>
            </w:hyperlink>
          </w:p>
        </w:tc>
        <w:tc>
          <w:tcPr>
            <w:tcW w:w="440" w:type="dxa"/>
            <w:vAlign w:val="bottom"/>
            <w:gridSpan w:val="11"/>
          </w:tcPr>
          <w:p>
            <w:pPr>
              <w:spacing w:after="0"/>
              <w:rPr>
                <w:sz w:val="16"/>
                <w:szCs w:val="16"/>
                <w:color w:val="auto"/>
              </w:rPr>
            </w:pPr>
          </w:p>
        </w:tc>
        <w:tc>
          <w:tcPr>
            <w:tcW w:w="98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6"/>
                <w:szCs w:val="16"/>
                <w:color w:val="auto"/>
              </w:rPr>
            </w:pPr>
          </w:p>
        </w:tc>
        <w:tc>
          <w:tcPr>
            <w:tcW w:w="156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color w:val="auto"/>
                <w:w w:val="99"/>
              </w:rPr>
              <w:t>September 29,</w:t>
            </w:r>
          </w:p>
        </w:tc>
        <w:tc>
          <w:tcPr>
            <w:tcW w:w="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forms of agreements thereunder.</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17"/>
                <w:szCs w:val="17"/>
                <w:color w:val="auto"/>
              </w:rPr>
            </w:pPr>
          </w:p>
        </w:tc>
        <w:tc>
          <w:tcPr>
            <w:tcW w:w="3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Omnibus Incentive Compensation Plan and forms of</w:t>
              </w:r>
            </w:hyperlink>
          </w:p>
        </w:tc>
        <w:tc>
          <w:tcPr>
            <w:tcW w:w="640" w:type="dxa"/>
            <w:vAlign w:val="bottom"/>
            <w:gridSpan w:val="16"/>
          </w:tcPr>
          <w:p>
            <w:pPr>
              <w:spacing w:after="0"/>
              <w:rPr>
                <w:sz w:val="17"/>
                <w:szCs w:val="17"/>
                <w:color w:val="auto"/>
              </w:rPr>
            </w:pPr>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September 29,</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agreements thereunder.</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Offer Letter, dated March 17, 2006, by and between the</w:t>
              </w:r>
            </w:hyperlink>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September 15,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Registrant and Langley Steinert.</w:t>
              </w:r>
            </w:hyperlink>
          </w:p>
        </w:tc>
        <w:tc>
          <w:tcPr>
            <w:tcW w:w="44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Pr>
          <w:p>
            <w:pPr>
              <w:spacing w:after="0"/>
              <w:rPr>
                <w:sz w:val="17"/>
                <w:szCs w:val="17"/>
                <w:color w:val="auto"/>
              </w:rPr>
            </w:pPr>
          </w:p>
        </w:tc>
        <w:tc>
          <w:tcPr>
            <w:tcW w:w="40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Offer Letter, dated August 10, 2015, by and between the</w:t>
              </w:r>
            </w:hyperlink>
          </w:p>
        </w:tc>
        <w:tc>
          <w:tcPr>
            <w:tcW w:w="360" w:type="dxa"/>
            <w:vAlign w:val="bottom"/>
            <w:gridSpan w:val="9"/>
          </w:tcPr>
          <w:p>
            <w:pPr>
              <w:spacing w:after="0"/>
              <w:rPr>
                <w:sz w:val="17"/>
                <w:szCs w:val="17"/>
                <w:color w:val="auto"/>
              </w:rPr>
            </w:pPr>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September 15,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Registrant and Jason Trevisan.</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00" w:type="dxa"/>
            <w:vAlign w:val="bottom"/>
          </w:tcPr>
          <w:p>
            <w:pPr>
              <w:spacing w:after="0"/>
              <w:rPr>
                <w:sz w:val="17"/>
                <w:szCs w:val="17"/>
                <w:color w:val="auto"/>
              </w:rPr>
            </w:pPr>
          </w:p>
        </w:tc>
        <w:tc>
          <w:tcPr>
            <w:tcW w:w="41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Offer Letter, dated October 24, 2014, by and between the</w:t>
              </w:r>
            </w:hyperlink>
          </w:p>
        </w:tc>
        <w:tc>
          <w:tcPr>
            <w:tcW w:w="320" w:type="dxa"/>
            <w:vAlign w:val="bottom"/>
            <w:gridSpan w:val="8"/>
          </w:tcPr>
          <w:p>
            <w:pPr>
              <w:spacing w:after="0"/>
              <w:rPr>
                <w:sz w:val="17"/>
                <w:szCs w:val="17"/>
                <w:color w:val="auto"/>
              </w:rPr>
            </w:pPr>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September 15,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Registrant and Samuel Zales.</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00" w:type="dxa"/>
            <w:vAlign w:val="bottom"/>
          </w:tcPr>
          <w:p>
            <w:pPr>
              <w:spacing w:after="0"/>
              <w:rPr>
                <w:sz w:val="17"/>
                <w:szCs w:val="17"/>
                <w:color w:val="auto"/>
              </w:rPr>
            </w:pPr>
          </w:p>
        </w:tc>
        <w:tc>
          <w:tcPr>
            <w:tcW w:w="43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w:anchor="page113">
              <w:r>
                <w:rPr>
                  <w:rFonts w:ascii="Times New Roman" w:cs="Times New Roman" w:eastAsia="Times New Roman" w:hAnsi="Times New Roman"/>
                  <w:sz w:val="18"/>
                  <w:szCs w:val="18"/>
                  <w:color w:val="0000EE"/>
                  <w:w w:val="99"/>
                </w:rPr>
                <w:t>Offer Letter, dated November 18, 2016, by and between the</w:t>
              </w:r>
            </w:hyperlink>
          </w:p>
        </w:tc>
        <w:tc>
          <w:tcPr>
            <w:tcW w:w="14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113">
              <w:r>
                <w:rPr>
                  <w:rFonts w:ascii="Times New Roman" w:cs="Times New Roman" w:eastAsia="Times New Roman" w:hAnsi="Times New Roman"/>
                  <w:sz w:val="18"/>
                  <w:szCs w:val="18"/>
                  <w:color w:val="0000EE"/>
                  <w:w w:val="98"/>
                </w:rPr>
                <w:t>Registrant and Thomas Caputo.</w:t>
              </w:r>
            </w:hyperlink>
          </w:p>
        </w:tc>
        <w:tc>
          <w:tcPr>
            <w:tcW w:w="2160" w:type="dxa"/>
            <w:vAlign w:val="bottom"/>
            <w:gridSpan w:val="27"/>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w:t>
            </w: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Offer Letter, dated August 2, 2017, by and between the</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Registrant and Kathleen Patton.</w:t>
              </w:r>
            </w:hyperlink>
          </w:p>
        </w:tc>
        <w:tc>
          <w:tcPr>
            <w:tcW w:w="48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10.10#</w:t>
            </w:r>
          </w:p>
        </w:tc>
        <w:tc>
          <w:tcPr>
            <w:tcW w:w="100" w:type="dxa"/>
            <w:vAlign w:val="bottom"/>
          </w:tcPr>
          <w:p>
            <w:pPr>
              <w:spacing w:after="0"/>
              <w:rPr>
                <w:sz w:val="17"/>
                <w:szCs w:val="17"/>
                <w:color w:val="auto"/>
              </w:rPr>
            </w:pPr>
          </w:p>
        </w:tc>
        <w:tc>
          <w:tcPr>
            <w:tcW w:w="39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119">
              <w:r>
                <w:rPr>
                  <w:rFonts w:ascii="Times New Roman" w:cs="Times New Roman" w:eastAsia="Times New Roman" w:hAnsi="Times New Roman"/>
                  <w:sz w:val="18"/>
                  <w:szCs w:val="18"/>
                  <w:color w:val="0000EE"/>
                  <w:w w:val="99"/>
                </w:rPr>
                <w:t>Offer Letter, dated March 7, 2008, by and between the</w:t>
              </w:r>
            </w:hyperlink>
          </w:p>
        </w:tc>
        <w:tc>
          <w:tcPr>
            <w:tcW w:w="52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Registrant and Oliver Chrzan</w:t>
              </w:r>
              <w:r>
                <w:rPr>
                  <w:rFonts w:ascii="Times New Roman" w:cs="Times New Roman" w:eastAsia="Times New Roman" w:hAnsi="Times New Roman"/>
                  <w:sz w:val="18"/>
                  <w:szCs w:val="18"/>
                  <w:color w:val="000000"/>
                </w:rPr>
                <w:t>.</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Lease, dated as of October 8, 2014, by and between the</w:t>
              </w:r>
            </w:hyperlink>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September 15,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Registrant and BCSP Cambridge Two Property LLC.</w:t>
              </w:r>
            </w:hyperlink>
          </w:p>
        </w:tc>
        <w:tc>
          <w:tcPr>
            <w:tcW w:w="140" w:type="dxa"/>
            <w:vAlign w:val="bottom"/>
            <w:tcBorders>
              <w:top w:val="single" w:sz="8" w:color="0000EE"/>
            </w:tcBorders>
            <w:gridSpan w:val="3"/>
          </w:tcPr>
          <w:p>
            <w:pPr>
              <w:spacing w:after="0"/>
              <w:rPr>
                <w:sz w:val="17"/>
                <w:szCs w:val="17"/>
                <w:color w:val="auto"/>
              </w:rPr>
            </w:pPr>
          </w:p>
        </w:tc>
        <w:tc>
          <w:tcPr>
            <w:tcW w:w="46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Office Lease Agreement, dated as of March 11, 2016, by</w:t>
              </w:r>
            </w:hyperlink>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September 15,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and between 55 Cambridge Parkway, LLC and the</w:t>
              </w:r>
            </w:hyperlink>
          </w:p>
        </w:tc>
        <w:tc>
          <w:tcPr>
            <w:tcW w:w="440" w:type="dxa"/>
            <w:vAlign w:val="bottom"/>
            <w:tcBorders>
              <w:top w:val="single" w:sz="8" w:color="0000EE"/>
            </w:tcBorders>
            <w:gridSpan w:val="12"/>
          </w:tcPr>
          <w:p>
            <w:pPr>
              <w:spacing w:after="0"/>
              <w:rPr>
                <w:sz w:val="17"/>
                <w:szCs w:val="17"/>
                <w:color w:val="auto"/>
              </w:rPr>
            </w:pPr>
          </w:p>
        </w:tc>
        <w:tc>
          <w:tcPr>
            <w:tcW w:w="3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Registrant.</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17"/>
                <w:szCs w:val="17"/>
                <w:color w:val="auto"/>
              </w:rPr>
            </w:pPr>
          </w:p>
        </w:tc>
        <w:tc>
          <w:tcPr>
            <w:tcW w:w="434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First Amendment to Lease, dated as of July 30, 2016 by and</w:t>
              </w:r>
            </w:hyperlink>
          </w:p>
        </w:tc>
        <w:tc>
          <w:tcPr>
            <w:tcW w:w="100" w:type="dxa"/>
            <w:vAlign w:val="bottom"/>
            <w:gridSpan w:val="2"/>
          </w:tcPr>
          <w:p>
            <w:pPr>
              <w:spacing w:after="0"/>
              <w:rPr>
                <w:sz w:val="17"/>
                <w:szCs w:val="17"/>
                <w:color w:val="auto"/>
              </w:rPr>
            </w:pPr>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September 15,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between 55 Cambridge Parkway, LLC and the Registrant.</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10.14#</w:t>
            </w:r>
          </w:p>
        </w:tc>
        <w:tc>
          <w:tcPr>
            <w:tcW w:w="100" w:type="dxa"/>
            <w:vAlign w:val="bottom"/>
          </w:tcPr>
          <w:p>
            <w:pPr>
              <w:spacing w:after="0"/>
              <w:rPr>
                <w:sz w:val="17"/>
                <w:szCs w:val="17"/>
                <w:color w:val="auto"/>
              </w:rPr>
            </w:pPr>
          </w:p>
        </w:tc>
        <w:tc>
          <w:tcPr>
            <w:tcW w:w="41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Non-Employee Director Restricted Stock Unit</w:t>
              </w:r>
            </w:hyperlink>
          </w:p>
        </w:tc>
        <w:tc>
          <w:tcPr>
            <w:tcW w:w="280" w:type="dxa"/>
            <w:vAlign w:val="bottom"/>
            <w:gridSpan w:val="7"/>
          </w:tcPr>
          <w:p>
            <w:pPr>
              <w:spacing w:after="0"/>
              <w:rPr>
                <w:sz w:val="17"/>
                <w:szCs w:val="17"/>
                <w:color w:val="auto"/>
              </w:rPr>
            </w:pPr>
          </w:p>
        </w:tc>
        <w:tc>
          <w:tcPr>
            <w:tcW w:w="9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56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March 26, 2018</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Agreement</w:t>
              </w:r>
              <w:r>
                <w:rPr>
                  <w:rFonts w:ascii="Times New Roman" w:cs="Times New Roman" w:eastAsia="Times New Roman" w:hAnsi="Times New Roman"/>
                  <w:sz w:val="18"/>
                  <w:szCs w:val="18"/>
                  <w:color w:val="000000"/>
                </w:rPr>
                <w:t>.</w:t>
              </w:r>
            </w:hyperlink>
          </w:p>
        </w:tc>
        <w:tc>
          <w:tcPr>
            <w:tcW w:w="48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10.15#</w:t>
            </w: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CarGurus, Inc. Annual Incentive Plan</w:t>
              </w:r>
            </w:hyperlink>
            <w:r>
              <w:rPr>
                <w:rFonts w:ascii="Times New Roman" w:cs="Times New Roman" w:eastAsia="Times New Roman" w:hAnsi="Times New Roman"/>
                <w:sz w:val="18"/>
                <w:szCs w:val="18"/>
                <w:color w:val="000000"/>
              </w:rPr>
              <w:t>.</w:t>
            </w:r>
          </w:p>
        </w:tc>
        <w:tc>
          <w:tcPr>
            <w:tcW w:w="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8-K/A</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April 6, 2018</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10.16#</w:t>
            </w:r>
          </w:p>
        </w:tc>
        <w:tc>
          <w:tcPr>
            <w:tcW w:w="100" w:type="dxa"/>
            <w:vAlign w:val="bottom"/>
          </w:tcPr>
          <w:p>
            <w:pPr>
              <w:spacing w:after="0"/>
              <w:rPr>
                <w:sz w:val="18"/>
                <w:szCs w:val="18"/>
                <w:color w:val="auto"/>
              </w:rPr>
            </w:pPr>
          </w:p>
        </w:tc>
        <w:tc>
          <w:tcPr>
            <w:tcW w:w="4440" w:type="dxa"/>
            <w:vAlign w:val="bottom"/>
            <w:gridSpan w:val="37"/>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Executive Restricted Stock Unit Agreement</w:t>
              </w:r>
            </w:hyperlink>
            <w:r>
              <w:rPr>
                <w:rFonts w:ascii="Times New Roman" w:cs="Times New Roman" w:eastAsia="Times New Roman" w:hAnsi="Times New Roman"/>
                <w:sz w:val="18"/>
                <w:szCs w:val="18"/>
                <w:color w:val="000000"/>
              </w:rPr>
              <w: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May 3, 2018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Lease Agreement, dated as of June 19, 2018, by and</w:t>
              </w:r>
            </w:hyperlink>
          </w:p>
        </w:tc>
        <w:tc>
          <w:tcPr>
            <w:tcW w:w="20" w:type="dxa"/>
            <w:vAlign w:val="bottom"/>
            <w:tcBorders>
              <w:top w:val="single" w:sz="8" w:color="0000EE"/>
            </w:tcBorders>
          </w:tcPr>
          <w:p>
            <w:pPr>
              <w:spacing w:after="0"/>
              <w:rPr>
                <w:sz w:val="17"/>
                <w:szCs w:val="17"/>
                <w:color w:val="auto"/>
              </w:rPr>
            </w:pPr>
          </w:p>
        </w:tc>
        <w:tc>
          <w:tcPr>
            <w:tcW w:w="660" w:type="dxa"/>
            <w:vAlign w:val="bottom"/>
            <w:gridSpan w:val="17"/>
          </w:tcPr>
          <w:p>
            <w:pPr>
              <w:spacing w:after="0"/>
              <w:rPr>
                <w:sz w:val="17"/>
                <w:szCs w:val="17"/>
                <w:color w:val="auto"/>
              </w:rPr>
            </w:pPr>
          </w:p>
        </w:tc>
        <w:tc>
          <w:tcPr>
            <w:tcW w:w="9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June 20, 2018</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between US Parcel A, LLC and CarGurus, Inc.</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7"/>
                <w:szCs w:val="17"/>
                <w:color w:val="auto"/>
              </w:rPr>
            </w:pPr>
          </w:p>
        </w:tc>
        <w:tc>
          <w:tcPr>
            <w:tcW w:w="33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List of Subsidiaries of the Registrant</w:t>
              </w:r>
            </w:hyperlink>
            <w:r>
              <w:rPr>
                <w:rFonts w:ascii="Times New Roman" w:cs="Times New Roman" w:eastAsia="Times New Roman" w:hAnsi="Times New Roman"/>
                <w:sz w:val="18"/>
                <w:szCs w:val="18"/>
                <w:color w:val="000000"/>
              </w:rPr>
              <w:t>.</w:t>
            </w:r>
          </w:p>
        </w:tc>
        <w:tc>
          <w:tcPr>
            <w:tcW w:w="1060" w:type="dxa"/>
            <w:vAlign w:val="bottom"/>
            <w:gridSpan w:val="2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420" w:type="dxa"/>
            <w:vAlign w:val="bottom"/>
            <w:gridSpan w:val="16"/>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40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w:anchor="page124">
              <w:r>
                <w:rPr>
                  <w:rFonts w:ascii="Times New Roman" w:cs="Times New Roman" w:eastAsia="Times New Roman" w:hAnsi="Times New Roman"/>
                  <w:sz w:val="18"/>
                  <w:szCs w:val="18"/>
                  <w:color w:val="0000EE"/>
                  <w:w w:val="98"/>
                </w:rPr>
                <w:t>Consent of Ernst &amp; Young LLP, Independent Registered</w:t>
              </w:r>
            </w:hyperlink>
          </w:p>
        </w:tc>
        <w:tc>
          <w:tcPr>
            <w:tcW w:w="380" w:type="dxa"/>
            <w:vAlign w:val="bottom"/>
            <w:gridSpan w:val="10"/>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37"/>
          </w:tcPr>
          <w:p>
            <w:pPr>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Public Accounting Firm.</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gridSpan w:val="1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3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gridSpan w:val="1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60" w:type="dxa"/>
            <w:vAlign w:val="bottom"/>
            <w:gridSpan w:val="2"/>
            <w:vMerge w:val="continue"/>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auto"/>
            </w:tcBorders>
            <w:gridSpan w:val="11"/>
          </w:tcPr>
          <w:p>
            <w:pPr>
              <w:spacing w:after="0" w:line="170"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Certification of Principal Executive Officer Pursuant to</w:t>
              </w:r>
            </w:hyperlink>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Rules 13a-14(a) and 15d-14(a) under the Securities</w:t>
              </w:r>
            </w:hyperlink>
          </w:p>
        </w:tc>
        <w:tc>
          <w:tcPr>
            <w:tcW w:w="46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Exchange Act of 1934, as Adopted Pursuant to Section 302</w:t>
              </w:r>
            </w:hyperlink>
          </w:p>
        </w:tc>
        <w:tc>
          <w:tcPr>
            <w:tcW w:w="1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of the Sarbanes-Oxley Act of 2002.</w:t>
              </w:r>
            </w:hyperlink>
          </w:p>
        </w:tc>
        <w:tc>
          <w:tcPr>
            <w:tcW w:w="18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3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Certification of Principal Financial Officer Pursuant to</w:t>
              </w:r>
            </w:hyperlink>
          </w:p>
        </w:tc>
        <w:tc>
          <w:tcPr>
            <w:tcW w:w="50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13"/>
          </w:tcPr>
          <w:p>
            <w:pPr>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Rules 13a-14(a) and 15d-14(a) under the Securities</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Exchange Act of 1934, as Adopted Pursuant to Section 302</w:t>
              </w:r>
            </w:hyperlink>
          </w:p>
        </w:tc>
        <w:tc>
          <w:tcPr>
            <w:tcW w:w="1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of the Sarbanes-Oxley Act of 2002.</w:t>
              </w:r>
            </w:hyperlink>
          </w:p>
        </w:tc>
        <w:tc>
          <w:tcPr>
            <w:tcW w:w="18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17"/>
                <w:szCs w:val="17"/>
                <w:color w:val="auto"/>
              </w:rPr>
            </w:pPr>
          </w:p>
        </w:tc>
        <w:tc>
          <w:tcPr>
            <w:tcW w:w="4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27">
              <w:r>
                <w:rPr>
                  <w:rFonts w:ascii="Times New Roman" w:cs="Times New Roman" w:eastAsia="Times New Roman" w:hAnsi="Times New Roman"/>
                  <w:sz w:val="18"/>
                  <w:szCs w:val="18"/>
                  <w:color w:val="0000EE"/>
                  <w:w w:val="99"/>
                </w:rPr>
                <w:t>Certification of Principal Executive Officer Pursuant to 18</w:t>
              </w:r>
            </w:hyperlink>
          </w:p>
        </w:tc>
        <w:tc>
          <w:tcPr>
            <w:tcW w:w="2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27">
              <w:r>
                <w:rPr>
                  <w:rFonts w:ascii="Times New Roman" w:cs="Times New Roman" w:eastAsia="Times New Roman" w:hAnsi="Times New Roman"/>
                  <w:sz w:val="18"/>
                  <w:szCs w:val="18"/>
                  <w:color w:val="0000EE"/>
                  <w:w w:val="99"/>
                </w:rPr>
                <w:t>U.S.C. Section 1350, as Adopted Pursuant to Section 906 of</w:t>
              </w:r>
            </w:hyperlink>
          </w:p>
        </w:tc>
        <w:tc>
          <w:tcPr>
            <w:tcW w:w="1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27">
              <w:r>
                <w:rPr>
                  <w:rFonts w:ascii="Times New Roman" w:cs="Times New Roman" w:eastAsia="Times New Roman" w:hAnsi="Times New Roman"/>
                  <w:sz w:val="18"/>
                  <w:szCs w:val="18"/>
                  <w:color w:val="0000EE"/>
                  <w:w w:val="99"/>
                </w:rPr>
                <w:t>the Sarbanes-Oxley Act of 2002.</w:t>
              </w:r>
            </w:hyperlink>
          </w:p>
        </w:tc>
        <w:tc>
          <w:tcPr>
            <w:tcW w:w="206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17"/>
                <w:szCs w:val="17"/>
                <w:color w:val="auto"/>
              </w:rPr>
            </w:pPr>
          </w:p>
        </w:tc>
        <w:tc>
          <w:tcPr>
            <w:tcW w:w="4440" w:type="dxa"/>
            <w:vAlign w:val="bottom"/>
            <w:gridSpan w:val="13"/>
          </w:tcPr>
          <w:p>
            <w:pPr>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Certification of Principal Financial Officer Pursuant to 18</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28">
              <w:r>
                <w:rPr>
                  <w:rFonts w:ascii="Times New Roman" w:cs="Times New Roman" w:eastAsia="Times New Roman" w:hAnsi="Times New Roman"/>
                  <w:sz w:val="18"/>
                  <w:szCs w:val="18"/>
                  <w:color w:val="0000EE"/>
                  <w:w w:val="99"/>
                </w:rPr>
                <w:t>U.S.C. Section 1350, as Adopted Pursuant to Section 906 of</w:t>
              </w:r>
            </w:hyperlink>
          </w:p>
        </w:tc>
        <w:tc>
          <w:tcPr>
            <w:tcW w:w="1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13"/>
          </w:tcPr>
          <w:p>
            <w:pPr>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the Sarbanes-Oxley Act of 2002.</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20"/>
                <w:szCs w:val="20"/>
                <w:color w:val="auto"/>
              </w:rPr>
            </w:pPr>
          </w:p>
        </w:tc>
        <w:tc>
          <w:tcPr>
            <w:tcW w:w="23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080" w:type="dxa"/>
            <w:vAlign w:val="bottom"/>
            <w:gridSpan w:val="11"/>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9"/>
                <w:szCs w:val="19"/>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9"/>
                <w:szCs w:val="19"/>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279" w:lineRule="exact"/>
        <w:rPr>
          <w:sz w:val="20"/>
          <w:szCs w:val="20"/>
          <w:color w:val="auto"/>
        </w:rPr>
      </w:pPr>
    </w:p>
    <w:p>
      <w:pPr>
        <w:jc w:val="both"/>
        <w:ind w:firstLine="563"/>
        <w:spacing w:after="0" w:line="266" w:lineRule="auto"/>
        <w:tabs>
          <w:tab w:leader="none" w:pos="7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62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CarGurus, Inc.</w:t>
            </w:r>
          </w:p>
        </w:tc>
      </w:tr>
      <w:tr>
        <w:trPr>
          <w:trHeight w:val="48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2019</w:t>
            </w:r>
          </w:p>
        </w:tc>
        <w:tc>
          <w:tcPr>
            <w:tcW w:w="62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By: /s/ Langley Steinert</w:t>
            </w:r>
          </w:p>
        </w:tc>
      </w:tr>
      <w:tr>
        <w:trPr>
          <w:trHeight w:val="218"/>
        </w:trPr>
        <w:tc>
          <w:tcPr>
            <w:tcW w:w="520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Langley Steinert</w:t>
            </w:r>
          </w:p>
        </w:tc>
      </w:tr>
      <w:tr>
        <w:trPr>
          <w:trHeight w:val="234"/>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constitutes and appoints Langley Steinert and Jason Trevisan,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30"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94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24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97"/>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6"/>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Langley Steinert</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Board of Directors </w:t>
            </w:r>
            <w:r>
              <w:rPr>
                <w:rFonts w:ascii="Times New Roman" w:cs="Times New Roman" w:eastAsia="Times New Roman" w:hAnsi="Times New Roman"/>
                <w:sz w:val="18"/>
                <w:szCs w:val="18"/>
                <w:i w:val="1"/>
                <w:iCs w:val="1"/>
                <w:color w:val="auto"/>
              </w:rPr>
              <w:t>(Principal Executive Officer)</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2019</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Langley Steinert</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99"/>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Chief Financial Officer and Treasurer </w:t>
            </w:r>
            <w:r>
              <w:rPr>
                <w:rFonts w:ascii="Times New Roman" w:cs="Times New Roman" w:eastAsia="Times New Roman" w:hAnsi="Times New Roman"/>
                <w:sz w:val="18"/>
                <w:szCs w:val="18"/>
                <w:i w:val="1"/>
                <w:iCs w:val="1"/>
                <w:color w:val="auto"/>
              </w:rPr>
              <w:t>(Principal Financial and</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6"/>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Trevisan</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2019</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Trevisan</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Conine</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2019</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 Conine</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Lori Hickok</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2019</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Lori Hickok</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Kaufer</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2019</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Stephen Kaufer</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Anastasios Parafestas</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2019</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Anastasios Parafestas</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Greg Schwartz</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2019</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Greg Schwartz</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Ian Smith</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2019</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Ian Smith</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887"/>
        </w:trPr>
        <w:tc>
          <w:tcPr>
            <w:tcW w:w="3780" w:type="dxa"/>
            <w:vAlign w:val="bottom"/>
          </w:tcPr>
          <w:p>
            <w:pPr>
              <w:spacing w:after="0"/>
              <w:rPr>
                <w:sz w:val="24"/>
                <w:szCs w:val="24"/>
                <w:color w:val="auto"/>
              </w:rPr>
            </w:pPr>
          </w:p>
        </w:tc>
        <w:tc>
          <w:tcPr>
            <w:tcW w:w="5060" w:type="dxa"/>
            <w:vAlign w:val="bottom"/>
            <w:gridSpan w:val="2"/>
          </w:tcPr>
          <w:p>
            <w:pPr>
              <w:jc w:val="right"/>
              <w:ind w:right="291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420"/>
          </w:cols>
          <w:pgMar w:left="240" w:top="347"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744470" cy="5657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27444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18,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Caputo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Tom,</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am pleased to offer you the position of Senior Vice President - Products at CarGurus, Inc. (“CarGurus” or the “Company”), reporting to the Company’s Chief Executive Officer. This letter will clarify the terms and conditions of your at-will employment with CarGurus, should you accept our offer.</w:t>
      </w:r>
    </w:p>
    <w:p>
      <w:pPr>
        <w:spacing w:after="0" w:line="158" w:lineRule="exact"/>
        <w:rPr>
          <w:sz w:val="20"/>
          <w:szCs w:val="20"/>
          <w:color w:val="auto"/>
        </w:rPr>
      </w:pPr>
    </w:p>
    <w:p>
      <w:pPr>
        <w:ind w:firstLine="885"/>
        <w:spacing w:after="0" w:line="286" w:lineRule="auto"/>
        <w:tabs>
          <w:tab w:leader="none" w:pos="166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employment will begin on January 4, 2017 (the “Start Date”). Your primary place of work will be the Company’s 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offices, currently located at 2 Canal Park, Cambridge, MA, 02141.</w:t>
      </w:r>
    </w:p>
    <w:p>
      <w:pPr>
        <w:spacing w:after="0" w:line="154" w:lineRule="exact"/>
        <w:rPr>
          <w:rFonts w:ascii="Times New Roman" w:cs="Times New Roman" w:eastAsia="Times New Roman" w:hAnsi="Times New Roman"/>
          <w:sz w:val="18"/>
          <w:szCs w:val="18"/>
          <w:b w:val="1"/>
          <w:bCs w:val="1"/>
          <w:color w:val="auto"/>
        </w:rPr>
      </w:pPr>
    </w:p>
    <w:p>
      <w:pPr>
        <w:ind w:left="1660" w:hanging="775"/>
        <w:spacing w:after="0"/>
        <w:tabs>
          <w:tab w:leader="none" w:pos="1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&amp; 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666"/>
        <w:spacing w:after="0" w:line="261" w:lineRule="auto"/>
        <w:tabs>
          <w:tab w:leader="none" w:pos="250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semi-monthly salary of $10,208.33, annualized at $245,000, will be paid semimonthly on the 15th day and last day of each month and subject to taxes and other withholdings required by law. As an exempt employee you are required to exercise your specialized expertise, independent judgment and discretion to provide high-quality services. You are expected to work the number of hours required to meet the needs of the business.</w:t>
      </w:r>
    </w:p>
    <w:p>
      <w:pPr>
        <w:spacing w:after="0" w:line="180" w:lineRule="exact"/>
        <w:rPr>
          <w:rFonts w:ascii="Times New Roman" w:cs="Times New Roman" w:eastAsia="Times New Roman" w:hAnsi="Times New Roman"/>
          <w:sz w:val="18"/>
          <w:szCs w:val="18"/>
          <w:color w:val="auto"/>
        </w:rPr>
      </w:pPr>
    </w:p>
    <w:p>
      <w:pPr>
        <w:jc w:val="both"/>
        <w:ind w:firstLine="1666"/>
        <w:spacing w:after="0" w:line="258" w:lineRule="auto"/>
        <w:tabs>
          <w:tab w:leader="none" w:pos="251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participate in CarGurus Annual Discretionary Bonus Plan, through which you may be eligible to earn a target discretionary bonus of $65,000, less applicable taxes and withholdings. Whether to grant a bonus, and in what amount, are determinations to be made in the sole discretion of the Company based on a variety of factors, including, but not limited to, your performance and the Company’s performance. In order to remain eligible and receive a bonus award, if any, you must be employed by the Company at the time it makes bonus payments to employees for that year.</w:t>
      </w:r>
    </w:p>
    <w:p>
      <w:pPr>
        <w:spacing w:after="0" w:line="183" w:lineRule="exact"/>
        <w:rPr>
          <w:rFonts w:ascii="Times New Roman" w:cs="Times New Roman" w:eastAsia="Times New Roman" w:hAnsi="Times New Roman"/>
          <w:sz w:val="18"/>
          <w:szCs w:val="18"/>
          <w:color w:val="auto"/>
        </w:rPr>
      </w:pPr>
    </w:p>
    <w:p>
      <w:pPr>
        <w:jc w:val="both"/>
        <w:ind w:firstLine="1666"/>
        <w:spacing w:after="0" w:line="261" w:lineRule="auto"/>
        <w:tabs>
          <w:tab w:leader="none" w:pos="250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for a one time Sign-On Bonus of $35,000, less applicable taxes and withholdings, to be paid on your Start Date. Should your employment with CarGurus terminate, for any reason, within twelve months of your Start Date, you must immediately repay to CarGurus the Sign-On Bonus you received, and CarGurus may, in its discretion, deduct any unpaid Sign-On Bonus amount from any compensation, severance, commission or other amount due to you, subject to applicable laws.</w:t>
      </w:r>
    </w:p>
    <w:p>
      <w:pPr>
        <w:spacing w:after="0" w:line="180" w:lineRule="exact"/>
        <w:rPr>
          <w:rFonts w:ascii="Times New Roman" w:cs="Times New Roman" w:eastAsia="Times New Roman" w:hAnsi="Times New Roman"/>
          <w:sz w:val="18"/>
          <w:szCs w:val="18"/>
          <w:color w:val="auto"/>
        </w:rPr>
      </w:pPr>
    </w:p>
    <w:p>
      <w:pPr>
        <w:jc w:val="both"/>
        <w:ind w:firstLine="1666"/>
        <w:spacing w:after="0" w:line="255" w:lineRule="auto"/>
        <w:tabs>
          <w:tab w:leader="none" w:pos="251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participate in the Company’s benefit plans on your first day of employment. Your participation in these plans will be subject to the terms of the applicable plan documents and generally applicable policies of the Company, as the same may be in effect from time to time; provided, however, that (i) during your first year of employment with the Company, you will be entitled to 20 days’ paid vacation at such reasonable times as you and the Company may determine, subject to the Company’s vacation and paid time off policies; and (ii) following the completion of your first year of employment with the Company, you will be entitled to 15 days’ paid vacation annually at such reasonable times as you and the Company may determine, subject to the Company’s vacation and paid time off policies. No representation is made, however, that any specific benefits now available will continue or that any other benefits will be made available. Additional information regarding the Company’s benefit plans will be provided under separate cover.</w:t>
      </w:r>
    </w:p>
    <w:p>
      <w:pPr>
        <w:spacing w:after="0" w:line="181" w:lineRule="exact"/>
        <w:rPr>
          <w:rFonts w:ascii="Times New Roman" w:cs="Times New Roman" w:eastAsia="Times New Roman" w:hAnsi="Times New Roman"/>
          <w:sz w:val="18"/>
          <w:szCs w:val="18"/>
          <w:color w:val="auto"/>
        </w:rPr>
      </w:pPr>
    </w:p>
    <w:p>
      <w:pPr>
        <w:jc w:val="both"/>
        <w:ind w:firstLine="885"/>
        <w:spacing w:after="0" w:line="268" w:lineRule="auto"/>
        <w:tabs>
          <w:tab w:leader="none" w:pos="166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The Company is prepared to offer to you the opportunity to acquire an equity interest in the Company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set forth below. Subject to the approval of the Company’s Board of Directors, the Company will grant you 33,000 restricted stock units (the “RSU”), subject in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3" w:name="page114"/>
    <w:bookmarkEnd w:id="113"/>
    <w:p>
      <w:pPr>
        <w:spacing w:after="0" w:line="282" w:lineRule="auto"/>
        <w:rPr>
          <w:sz w:val="20"/>
          <w:szCs w:val="20"/>
          <w:color w:val="auto"/>
        </w:rPr>
      </w:pPr>
      <w:r>
        <w:rPr>
          <w:rFonts w:ascii="Times New Roman" w:cs="Times New Roman" w:eastAsia="Times New Roman" w:hAnsi="Times New Roman"/>
          <w:sz w:val="18"/>
          <w:szCs w:val="18"/>
          <w:color w:val="auto"/>
        </w:rPr>
        <w:t>respects to the terms and conditions of the Company’s Amended and Restated 2015 Equity Incentive Plan (the “Plan”) and the RSU grant agreement evidencing the terms and conditions of the grant.</w:t>
      </w:r>
    </w:p>
    <w:p>
      <w:pPr>
        <w:spacing w:after="0" w:line="162" w:lineRule="exact"/>
        <w:rPr>
          <w:sz w:val="20"/>
          <w:szCs w:val="20"/>
          <w:color w:val="auto"/>
        </w:rPr>
      </w:pPr>
    </w:p>
    <w:p>
      <w:pPr>
        <w:ind w:left="2160" w:hanging="477"/>
        <w:spacing w:after="0" w:line="253" w:lineRule="auto"/>
        <w:tabs>
          <w:tab w:leader="none" w:pos="2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The RSU will have a seven-year term and will be subject to service-based vesting and liquidity event-based vesting. The RSU will not vest (in whole or in part) if only one (or if neither) of the vesting requirements is satisfied on or before the seventh anniversary of the date of grant. If both the service-based requirement and the event-based requirement are satisfied on or before the seventh anniversary of the date of grant, the vesting date will be the first date upon which both of those requirements are satisfied. The service-based vesting is as follows: four year vesting during your employment with the Company, with the first 25% vesting on the first anniversary of the Start Date and an additional 6.25% vesting at the end of each three month period thereafter until the fourth anniversary of the Start Date. If a Transaction (as defined in the Plan) occurs during your employment and before the fourth anniversary of the Start Date, 50% of the portion of the RSU that is not vested as to the service-based vesting condition will accelerate and become fully vested. The liquidity event-based vesting is as follows: the first to occur of a Public Offering (as defined in the Plan) or the consummation of a Transaction. The liquidity event must occur within seven years following the grant date. If the first to occur during the seven-year term is a Public Offering, the RSU will be settled on the 180th day following the Public Offering.</w:t>
      </w:r>
    </w:p>
    <w:p>
      <w:pPr>
        <w:spacing w:after="0" w:line="191" w:lineRule="exact"/>
        <w:rPr>
          <w:sz w:val="20"/>
          <w:szCs w:val="20"/>
          <w:color w:val="auto"/>
        </w:rPr>
      </w:pPr>
    </w:p>
    <w:p>
      <w:pPr>
        <w:ind w:left="2140" w:hanging="484"/>
        <w:spacing w:after="0" w:line="255" w:lineRule="auto"/>
        <w:tabs>
          <w:tab w:leader="none" w:pos="21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If your employment is terminated by the Company without Cause (as defined below) or by you for any reason during the seven-year term of the RSU and before the liquidity event occurs, you will retain any portion of the RSU that has vested as to the service-based vesting condition and any portion of the RSU that has not vested as to the service-based vesting condition, will be forfeited upon termination of employment. The vested RSU may vest as to the liquidity event-based vesting condition following termination of employment other than for Cause to the extent the liquidity event occurs before the end of the seven-year term. If your employment is terminated by the Company for Cause during the seven-year term, any portion of the RSU, whether vested or unvested, will be forfeited.</w:t>
      </w:r>
    </w:p>
    <w:p>
      <w:pPr>
        <w:spacing w:after="0" w:line="189" w:lineRule="exact"/>
        <w:rPr>
          <w:rFonts w:ascii="Times New Roman" w:cs="Times New Roman" w:eastAsia="Times New Roman" w:hAnsi="Times New Roman"/>
          <w:sz w:val="18"/>
          <w:szCs w:val="18"/>
          <w:color w:val="auto"/>
        </w:rPr>
      </w:pPr>
    </w:p>
    <w:p>
      <w:pPr>
        <w:ind w:left="2140" w:right="60" w:hanging="484"/>
        <w:spacing w:after="0" w:line="255" w:lineRule="auto"/>
        <w:tabs>
          <w:tab w:leader="none" w:pos="21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Cause</w:t>
      </w:r>
      <w:r>
        <w:rPr>
          <w:rFonts w:ascii="Times New Roman" w:cs="Times New Roman" w:eastAsia="Times New Roman" w:hAnsi="Times New Roman"/>
          <w:sz w:val="18"/>
          <w:szCs w:val="18"/>
          <w:color w:val="auto"/>
        </w:rPr>
        <w:t>. For purposes of this Agreement and the RSU, “Cause” means a finding by the Board of Directors that you have (A) materially breached this Agreement, which breach has not been remedied by you within 30 days after written notice has been provided to you of such breach, (B) engaged in disloyalty to the Company, including, without limitation, fraud, embezzlement, theft, commission of a felony or proven dishonesty, (C) disclosed trade secrets or confidential information of the Company to persons not entitled to receive such information, (D) breached the Nondisclosure, Developments and Non-Competition Agreement, or (E) engaged in such other behavior detrimental to the interests of the Company as the Board of Directors reasonably determines.</w:t>
      </w:r>
    </w:p>
    <w:p>
      <w:pPr>
        <w:spacing w:after="0" w:line="185" w:lineRule="exact"/>
        <w:rPr>
          <w:rFonts w:ascii="Times New Roman" w:cs="Times New Roman" w:eastAsia="Times New Roman" w:hAnsi="Times New Roman"/>
          <w:sz w:val="18"/>
          <w:szCs w:val="18"/>
          <w:color w:val="auto"/>
        </w:rPr>
      </w:pPr>
    </w:p>
    <w:p>
      <w:pPr>
        <w:jc w:val="both"/>
        <w:ind w:right="20" w:firstLine="885"/>
        <w:spacing w:after="0" w:line="268" w:lineRule="auto"/>
        <w:tabs>
          <w:tab w:leader="none" w:pos="166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You represent that you are not bound by any employment contract, restrictive covenant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 preventing you from entering into employment with, or carrying out your responsibilities for, CarGurus, or which is in any way inconsistent with the terms of this offer letter.</w:t>
      </w:r>
    </w:p>
    <w:p>
      <w:pPr>
        <w:spacing w:after="0" w:line="170" w:lineRule="exact"/>
        <w:rPr>
          <w:rFonts w:ascii="Times New Roman" w:cs="Times New Roman" w:eastAsia="Times New Roman" w:hAnsi="Times New Roman"/>
          <w:sz w:val="18"/>
          <w:szCs w:val="18"/>
          <w:b w:val="1"/>
          <w:bCs w:val="1"/>
          <w:color w:val="auto"/>
        </w:rPr>
      </w:pPr>
    </w:p>
    <w:p>
      <w:pPr>
        <w:ind w:left="1660" w:hanging="775"/>
        <w:spacing w:after="0"/>
        <w:tabs>
          <w:tab w:leader="none" w:pos="1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Proof of Legal Right to Work; Background Check; Nondisclosure, Developments and Non-Competition Agreement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666"/>
        <w:spacing w:after="0" w:line="266" w:lineRule="auto"/>
        <w:tabs>
          <w:tab w:leader="none" w:pos="250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employment, you will be required to provide us with proof of your identity and legal authorization to work in the United States. You will receive an email from HireRight to complete your Form 1-9. Please bring the appropriate documents listed on this form with on your Start Date. If you fail to submit such proof, federal law prohibits us from commencing employment.</w:t>
      </w:r>
    </w:p>
    <w:p>
      <w:pPr>
        <w:spacing w:after="0" w:line="176" w:lineRule="exact"/>
        <w:rPr>
          <w:rFonts w:ascii="Times New Roman" w:cs="Times New Roman" w:eastAsia="Times New Roman" w:hAnsi="Times New Roman"/>
          <w:sz w:val="18"/>
          <w:szCs w:val="18"/>
          <w:color w:val="auto"/>
        </w:rPr>
      </w:pPr>
    </w:p>
    <w:p>
      <w:pPr>
        <w:ind w:firstLine="1666"/>
        <w:spacing w:after="0" w:line="282" w:lineRule="auto"/>
        <w:tabs>
          <w:tab w:leader="none" w:pos="251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employment, you will also be required to execute the Company’s standard Nondisclosure, Developments and Non-Competition Agreement on or prior to your Start Date.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ind w:right="20" w:firstLine="1666"/>
        <w:spacing w:after="0" w:line="282" w:lineRule="auto"/>
        <w:tabs>
          <w:tab w:leader="none" w:pos="250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CarGurus conducts a background investigation on all new employees, which includes, but is not limited to, previous employment, education, and criminal history. Your employment is contingent on our review of the results of such investigation.</w:t>
      </w:r>
    </w:p>
    <w:p>
      <w:pPr>
        <w:spacing w:after="0" w:line="157" w:lineRule="exact"/>
        <w:rPr>
          <w:rFonts w:ascii="Times New Roman" w:cs="Times New Roman" w:eastAsia="Times New Roman" w:hAnsi="Times New Roman"/>
          <w:sz w:val="18"/>
          <w:szCs w:val="18"/>
          <w:color w:val="auto"/>
        </w:rPr>
      </w:pPr>
    </w:p>
    <w:p>
      <w:pPr>
        <w:jc w:val="both"/>
        <w:ind w:firstLine="885"/>
        <w:spacing w:after="0" w:line="259" w:lineRule="auto"/>
        <w:tabs>
          <w:tab w:leader="none" w:pos="1661"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At-Will Employment</w:t>
      </w:r>
      <w:r>
        <w:rPr>
          <w:rFonts w:ascii="Times New Roman" w:cs="Times New Roman" w:eastAsia="Times New Roman" w:hAnsi="Times New Roman"/>
          <w:sz w:val="18"/>
          <w:szCs w:val="18"/>
          <w:color w:val="auto"/>
        </w:rPr>
        <w:t>. If you accept the Company’s offer of employment, your employment will be on an “at-will” basis,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you or the Company may terminate the employment relationship at any time, for any reason or no reason, with or without cause and with or without notice. Although your job duties, title, compensation and benefits, as well as the Company’s personnel policies and procedures, may change from time to time, the “at-will” nature of your employment may only be changed by a written agreement signed by you and by an authorized representative of the Company, which expressly states the intention to modify the at-will nature of your employment.</w:t>
      </w:r>
    </w:p>
    <w:p>
      <w:pPr>
        <w:spacing w:after="0" w:line="179" w:lineRule="exact"/>
        <w:rPr>
          <w:rFonts w:ascii="Times New Roman" w:cs="Times New Roman" w:eastAsia="Times New Roman" w:hAnsi="Times New Roman"/>
          <w:sz w:val="18"/>
          <w:szCs w:val="18"/>
          <w:b w:val="1"/>
          <w:bCs w:val="1"/>
          <w:color w:val="auto"/>
        </w:rPr>
      </w:pPr>
    </w:p>
    <w:p>
      <w:pPr>
        <w:jc w:val="both"/>
        <w:ind w:firstLine="885"/>
        <w:spacing w:after="0" w:line="268" w:lineRule="auto"/>
        <w:tabs>
          <w:tab w:leader="none" w:pos="1661"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The foregoing terms supersede any prior discussions, oral or written, which we have had relating to your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other matters discussed in this letter. The resolution of any disputes under this letter will be governed by Massachusetts law. Additionally, it is understood that from time to time, CarGurus reviews its benefits, policies and practices and may alter or change them at its discretion.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Tom, we look forward to you joining our organization. In order to confirm your intention to commence employment with CarGurus on the Start Date on the terms set forth in this letter, please sign one copy of this letter and return it to me. The other copy is for your records. If you have any questions, please do not hesitate to speak with 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expires at the end of the day, November 25,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Langley Steinert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Langley Steinert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CEO/Founder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commence employment on the Start Date on the terms set forth in this letter.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Tom Caputo</w:t>
            </w:r>
          </w:p>
        </w:tc>
        <w:tc>
          <w:tcPr>
            <w:tcW w:w="304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w w:val="93"/>
              </w:rPr>
              <w:t>11/23/16</w:t>
            </w:r>
          </w:p>
        </w:tc>
      </w:tr>
      <w:tr>
        <w:trPr>
          <w:trHeight w:val="228"/>
        </w:trPr>
        <w:tc>
          <w:tcPr>
            <w:tcW w:w="2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Tom Caputo</w:t>
            </w:r>
          </w:p>
        </w:tc>
        <w:tc>
          <w:tcPr>
            <w:tcW w:w="3080" w:type="dxa"/>
            <w:vAlign w:val="bottom"/>
          </w:tcPr>
          <w:p>
            <w:pPr>
              <w:spacing w:after="0"/>
              <w:rPr>
                <w:sz w:val="19"/>
                <w:szCs w:val="19"/>
                <w:color w:val="auto"/>
              </w:rPr>
            </w:pPr>
          </w:p>
        </w:tc>
        <w:tc>
          <w:tcPr>
            <w:tcW w:w="3040" w:type="dxa"/>
            <w:vAlign w:val="bottom"/>
            <w:tcBorders>
              <w:top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37" w:right="239" w:bottom="1440" w:gutter="0" w:footer="0" w:header="0"/>
        </w:sectPr>
      </w:pPr>
    </w:p>
    <w:bookmarkStart w:id="115" w:name="page116"/>
    <w:bookmarkEnd w:id="115"/>
    <w:p>
      <w:pPr>
        <w:ind w:left="10300"/>
        <w:spacing w:after="0"/>
        <w:rPr>
          <w:sz w:val="20"/>
          <w:szCs w:val="20"/>
          <w:color w:val="auto"/>
        </w:rPr>
      </w:pPr>
      <w:r>
        <w:rPr>
          <w:rFonts w:ascii="Times New Roman" w:cs="Times New Roman" w:eastAsia="Times New Roman" w:hAnsi="Times New Roman"/>
          <w:sz w:val="21"/>
          <w:szCs w:val="21"/>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2169795" cy="540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2169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2,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Kathleen Patton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Kathleen,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am very pleased to offer you the position of Senior Vice President, General Counsel at CarGurus, Inc. (“CarGurus” or the “Company”), reporting to Langley Steinert. This letter will clarify the terms and conditions of your at-will employment with CarGurus, should you accept our offer.</w:t>
      </w:r>
    </w:p>
    <w:p>
      <w:pPr>
        <w:spacing w:after="0" w:line="185" w:lineRule="exact"/>
        <w:rPr>
          <w:sz w:val="20"/>
          <w:szCs w:val="20"/>
          <w:color w:val="auto"/>
        </w:rPr>
      </w:pPr>
    </w:p>
    <w:p>
      <w:pPr>
        <w:ind w:firstLine="885"/>
        <w:spacing w:after="0" w:line="237" w:lineRule="auto"/>
        <w:tabs>
          <w:tab w:leader="none" w:pos="168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employment will begin on August 21, 2017 (the “Start Date”). Your primary place of work will be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 offices, currently located at 2 Canal Park, Cambridge, MA, 02141.</w:t>
      </w:r>
    </w:p>
    <w:p>
      <w:pPr>
        <w:spacing w:after="0" w:line="206" w:lineRule="exact"/>
        <w:rPr>
          <w:rFonts w:ascii="Times New Roman" w:cs="Times New Roman" w:eastAsia="Times New Roman" w:hAnsi="Times New Roman"/>
          <w:sz w:val="22"/>
          <w:szCs w:val="22"/>
          <w:b w:val="1"/>
          <w:bCs w:val="1"/>
          <w:color w:val="auto"/>
        </w:rPr>
      </w:pPr>
    </w:p>
    <w:p>
      <w:pPr>
        <w:ind w:left="1700" w:hanging="815"/>
        <w:spacing w:after="0"/>
        <w:tabs>
          <w:tab w:leader="none" w:pos="170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Compensation &amp; Benefits.</w:t>
      </w:r>
    </w:p>
    <w:p>
      <w:pPr>
        <w:spacing w:after="0" w:line="224" w:lineRule="exact"/>
        <w:rPr>
          <w:rFonts w:ascii="Times New Roman" w:cs="Times New Roman" w:eastAsia="Times New Roman" w:hAnsi="Times New Roman"/>
          <w:sz w:val="22"/>
          <w:szCs w:val="22"/>
          <w:b w:val="1"/>
          <w:bCs w:val="1"/>
          <w:color w:val="auto"/>
        </w:rPr>
      </w:pPr>
    </w:p>
    <w:p>
      <w:pPr>
        <w:jc w:val="both"/>
        <w:ind w:firstLine="1666"/>
        <w:spacing w:after="0" w:line="243" w:lineRule="auto"/>
        <w:tabs>
          <w:tab w:leader="none" w:pos="254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Your semi-monthly salary of $10,416.66, annualized at $250,000, will be paid semimonthly on the 15th day and last day of each month and subject to taxes and other withholdings required by law. As an exempt employee you are required to exercise your specialized expertise, independent judgment and discretion to provide high-quality services. You arc expected to work the number of hours required to meet the needs of the business.</w:t>
      </w:r>
    </w:p>
    <w:p>
      <w:pPr>
        <w:spacing w:after="0" w:line="222" w:lineRule="exact"/>
        <w:rPr>
          <w:rFonts w:ascii="Times New Roman" w:cs="Times New Roman" w:eastAsia="Times New Roman" w:hAnsi="Times New Roman"/>
          <w:sz w:val="22"/>
          <w:szCs w:val="22"/>
          <w:color w:val="auto"/>
        </w:rPr>
      </w:pPr>
    </w:p>
    <w:p>
      <w:pPr>
        <w:jc w:val="both"/>
        <w:ind w:firstLine="1666"/>
        <w:spacing w:after="0" w:line="245" w:lineRule="auto"/>
        <w:tabs>
          <w:tab w:leader="none" w:pos="255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You will be eligible to participate in CarGurus Annual Discretionary Bonus Plan, through which you may be eligible to earn a discretionary bonus up to 26% of your annualized base salary, less applicable taxes and withholdings. For the current fiscal year, the amount you are eligible to earn under the CarGurus Annual Discretionary Bonus Plan will be prorated based upon your start date. Whether to grant a bonus, and in what amount, are determinations to be made in the sole discretion of the Company based on a variety of factors, including, but not limited to, your performance and the Company’s performance. In order to remain eligible and receive a bonus award, if any, you must be employed by the Company at the time it makes bonus payments to employees for that year.</w:t>
      </w:r>
    </w:p>
    <w:p>
      <w:pPr>
        <w:spacing w:after="0" w:line="224" w:lineRule="exact"/>
        <w:rPr>
          <w:rFonts w:ascii="Times New Roman" w:cs="Times New Roman" w:eastAsia="Times New Roman" w:hAnsi="Times New Roman"/>
          <w:sz w:val="22"/>
          <w:szCs w:val="22"/>
          <w:color w:val="auto"/>
        </w:rPr>
      </w:pPr>
    </w:p>
    <w:p>
      <w:pPr>
        <w:jc w:val="both"/>
        <w:ind w:firstLine="1666"/>
        <w:spacing w:after="0" w:line="243" w:lineRule="auto"/>
        <w:tabs>
          <w:tab w:leader="none" w:pos="254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You will be eligible for a one time Sign-On Bonus of $25,000, less applicable taxes and withholdings, to be paid within your first sixty days of employment. Should your employment with CarGurus terminate, for any reason, within twelve months of your Start Date, you must immediately repay to CarGurus the Sign-On Bonus you received, and CarGurus may, in its discretion, deduct any unpaid Sign-On Bonus amount from any compensation, severance, commission or other amount due to you, subject to applicable laws.</w:t>
      </w:r>
    </w:p>
    <w:p>
      <w:pPr>
        <w:spacing w:after="0" w:line="222" w:lineRule="exact"/>
        <w:rPr>
          <w:rFonts w:ascii="Times New Roman" w:cs="Times New Roman" w:eastAsia="Times New Roman" w:hAnsi="Times New Roman"/>
          <w:sz w:val="22"/>
          <w:szCs w:val="22"/>
          <w:color w:val="auto"/>
        </w:rPr>
      </w:pPr>
    </w:p>
    <w:p>
      <w:pPr>
        <w:jc w:val="both"/>
        <w:ind w:firstLine="1666"/>
        <w:spacing w:after="0" w:line="244" w:lineRule="auto"/>
        <w:tabs>
          <w:tab w:leader="none" w:pos="255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You will be eligible to participate in the Company’s benefit plans on your first day of employment. Your participation in these plans will be subject to the terms of the applicable plan documents and generally applicable policies of the Company, as the same may be in effect from time to time. No representation is made, however, that any specific benefits now available will continue or that any other benefits will be made available. You will be eligible to accrue 15 days of vacation time in year 1-4. After year 4 you will be granted an additional week. Additional information regarding the Company’s benefit plans will be provided under separate cover.</w:t>
      </w:r>
    </w:p>
    <w:p>
      <w:pPr>
        <w:spacing w:after="0" w:line="220" w:lineRule="exact"/>
        <w:rPr>
          <w:rFonts w:ascii="Times New Roman" w:cs="Times New Roman" w:eastAsia="Times New Roman" w:hAnsi="Times New Roman"/>
          <w:sz w:val="22"/>
          <w:szCs w:val="22"/>
          <w:color w:val="auto"/>
        </w:rPr>
      </w:pPr>
    </w:p>
    <w:p>
      <w:pPr>
        <w:ind w:right="20" w:firstLine="885"/>
        <w:spacing w:after="0" w:line="237" w:lineRule="auto"/>
        <w:tabs>
          <w:tab w:leader="none" w:pos="168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Eligibility to Participate in Amended and Restated 2015 Equity Incentive Plan</w:t>
      </w:r>
      <w:r>
        <w:rPr>
          <w:rFonts w:ascii="Times New Roman" w:cs="Times New Roman" w:eastAsia="Times New Roman" w:hAnsi="Times New Roman"/>
          <w:sz w:val="18"/>
          <w:szCs w:val="18"/>
          <w:color w:val="auto"/>
        </w:rPr>
        <w:t>. You will be eligible to participate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Amended and Restated 2015 Equity Incentive Plan (the “Plan”),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6" w:name="page117"/>
    <w:bookmarkEnd w:id="116"/>
    <w:p>
      <w:pPr>
        <w:jc w:val="both"/>
        <w:spacing w:after="0" w:line="256" w:lineRule="auto"/>
        <w:rPr>
          <w:sz w:val="20"/>
          <w:szCs w:val="20"/>
          <w:color w:val="auto"/>
        </w:rPr>
      </w:pPr>
      <w:r>
        <w:rPr>
          <w:rFonts w:ascii="Times New Roman" w:cs="Times New Roman" w:eastAsia="Times New Roman" w:hAnsi="Times New Roman"/>
          <w:sz w:val="18"/>
          <w:szCs w:val="18"/>
          <w:color w:val="auto"/>
        </w:rPr>
        <w:t>which the Company grants to employees restricted stock units (“RSUs”) that are subject to service-based and Company performance-based vesting conditions. We are prepared to recommend to the Company’s Board of Directors an award to you of 150,000 RSUs, which number was determined in accordance with the Company’s established schedule specifying the applicable number of RSUs based upon an employee’s job classification and salary. Any such grant of RSUs will be conditioned up the approval of the Company’s Board of Directors and will be subject in all respects to the terms and conditions of the Plan and an RSU grant agreement evidencing the terms and conditions of the grant. The Board of Directors retains the discretion to change the number of RSUs that may be granted to you, or to determine not to grant any RSUs to you.</w:t>
      </w:r>
    </w:p>
    <w:p>
      <w:pPr>
        <w:spacing w:after="0" w:line="188" w:lineRule="exact"/>
        <w:rPr>
          <w:sz w:val="20"/>
          <w:szCs w:val="20"/>
          <w:color w:val="auto"/>
        </w:rPr>
      </w:pPr>
    </w:p>
    <w:p>
      <w:pPr>
        <w:jc w:val="both"/>
        <w:ind w:left="2160" w:hanging="477"/>
        <w:spacing w:after="0" w:line="248" w:lineRule="auto"/>
        <w:tabs>
          <w:tab w:leader="none" w:pos="21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The RSU will have a seven-year term and will be subject to service-based vesting and liquidity event-based vesting. The RSU will not vest (in whole or in part) if only one (or if neither) of the vesting requirements is satisfied on or before the seventh anniversary of the date of grant. If both the service-based requirement and the event-based requirement are satisfied on or before the seventh anniversary of the date of grant, the vesting date will be the first date upon which both of those requirements are satisfied. The service-based vesting is as follows: four year vesting during your employment with the Company, with the first 25% vesting on the first anniversary of the Start Date and an additional 6.25% vesting at the end of each three month period thereafter until the fourth anniversary of the Start Date. If a Transaction (as defined in the Plan) occurs during your employment and before the fourth anniversary of the Start Date, 50% of the portion of the RSU that is not vested as to the service-based vesting condition will accelerate and become fully vested. The liquidity event-based vesting is as follows: the first to occur of a Public Offering (as defined in the Plan) or the consummation of a Transaction. The liquidity event must occur within seven years following the grant date. If the first to occur during the seven-year term is a Public Offering, the RSU will be settled on the 180th day following the Public Offering.</w:t>
      </w:r>
    </w:p>
    <w:p>
      <w:pPr>
        <w:spacing w:after="0" w:line="194" w:lineRule="exact"/>
        <w:rPr>
          <w:rFonts w:ascii="Times New Roman" w:cs="Times New Roman" w:eastAsia="Times New Roman" w:hAnsi="Times New Roman"/>
          <w:sz w:val="22"/>
          <w:szCs w:val="22"/>
          <w:color w:val="auto"/>
        </w:rPr>
      </w:pPr>
    </w:p>
    <w:p>
      <w:pPr>
        <w:jc w:val="both"/>
        <w:ind w:left="2160" w:hanging="477"/>
        <w:spacing w:after="0" w:line="246" w:lineRule="auto"/>
        <w:tabs>
          <w:tab w:leader="none" w:pos="21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If your employment is terminated by the Company without Cause (as defined below) or by you for any reason during the seven-year term of the RSU and before the liquidity event occurs, you will retain any portion of the RSU that has vested as to the service-based vesting condition and any portion of the RSU that has not vested as to the service-based vesting condition, will be forfeited upon termination of employment. The vested RSU may vest as to the liquidity event-based vesting condition following termination of employment other than for Cause to the extent the liquidity event occurs before the end of the seven-year term. If your employment is terminated by the Company for Cause during the seven-year term, any portion of the RSU, whether vested or unvested, will be forfeited.</w:t>
      </w:r>
    </w:p>
    <w:p>
      <w:pPr>
        <w:spacing w:after="0" w:line="196" w:lineRule="exact"/>
        <w:rPr>
          <w:rFonts w:ascii="Times New Roman" w:cs="Times New Roman" w:eastAsia="Times New Roman" w:hAnsi="Times New Roman"/>
          <w:sz w:val="22"/>
          <w:szCs w:val="22"/>
          <w:color w:val="auto"/>
        </w:rPr>
      </w:pPr>
    </w:p>
    <w:p>
      <w:pPr>
        <w:jc w:val="both"/>
        <w:ind w:left="2160" w:hanging="477"/>
        <w:spacing w:after="0" w:line="246" w:lineRule="auto"/>
        <w:tabs>
          <w:tab w:leader="none" w:pos="21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Definition of Cause</w:t>
      </w:r>
      <w:r>
        <w:rPr>
          <w:rFonts w:ascii="Times New Roman" w:cs="Times New Roman" w:eastAsia="Times New Roman" w:hAnsi="Times New Roman"/>
          <w:sz w:val="18"/>
          <w:szCs w:val="18"/>
          <w:color w:val="auto"/>
        </w:rPr>
        <w:t>. For purposes of this Agreement and the RSU, “Cause” means a finding by the Board of Directors that you have (A) materially breached this Agreement, which breach has not been remedied by you within 30 days after written notice has been provided to you of such breach, (B) engaged in disloyalty to the Company, including, without limitation, fraud, embezzlement, theft, commission of a felony or proven dishonesty, (C) disclosed trade secrets or confidential information of the Company to persons not entitled to receive such information, (D) breached the Nondisclosure, Developments and Non-Competition Agreement, or (E) engaged in such other behavior detrimental to the interests of the Company as the Board of Directors reasonably determines.</w:t>
      </w:r>
    </w:p>
    <w:p>
      <w:pPr>
        <w:spacing w:after="0" w:line="219" w:lineRule="exact"/>
        <w:rPr>
          <w:rFonts w:ascii="Times New Roman" w:cs="Times New Roman" w:eastAsia="Times New Roman" w:hAnsi="Times New Roman"/>
          <w:sz w:val="22"/>
          <w:szCs w:val="22"/>
          <w:color w:val="auto"/>
        </w:rPr>
      </w:pPr>
    </w:p>
    <w:p>
      <w:pPr>
        <w:jc w:val="both"/>
        <w:ind w:firstLine="885"/>
        <w:spacing w:after="0" w:line="241" w:lineRule="auto"/>
        <w:tabs>
          <w:tab w:leader="none" w:pos="168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You represent that you are not bound by any employment contract, restrictive covenant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 preventing you from entering into employment with, or carrying out your responsibilities for, CarGurus, or which is in any way inconsistent with the terms of this offer letter.</w:t>
      </w:r>
    </w:p>
    <w:p>
      <w:pPr>
        <w:spacing w:after="0" w:line="207" w:lineRule="exact"/>
        <w:rPr>
          <w:rFonts w:ascii="Times New Roman" w:cs="Times New Roman" w:eastAsia="Times New Roman" w:hAnsi="Times New Roman"/>
          <w:sz w:val="22"/>
          <w:szCs w:val="22"/>
          <w:b w:val="1"/>
          <w:bCs w:val="1"/>
          <w:color w:val="auto"/>
        </w:rPr>
      </w:pPr>
    </w:p>
    <w:p>
      <w:pPr>
        <w:ind w:left="1700" w:hanging="815"/>
        <w:spacing w:after="0"/>
        <w:tabs>
          <w:tab w:leader="none" w:pos="170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Proof of Legal Right to Work; Background Check; Nondisclosure, Developments and Non-Competition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666"/>
        <w:spacing w:after="0" w:line="235" w:lineRule="auto"/>
        <w:tabs>
          <w:tab w:leader="none" w:pos="254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 a condition of employment, you will be required to provide us with proof of your identity and legal authorization to work in the United States. You will receive an email from HireRight to complete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spacing w:after="0" w:line="282" w:lineRule="auto"/>
        <w:rPr>
          <w:sz w:val="20"/>
          <w:szCs w:val="20"/>
          <w:color w:val="auto"/>
        </w:rPr>
      </w:pPr>
      <w:r>
        <w:rPr>
          <w:rFonts w:ascii="Times New Roman" w:cs="Times New Roman" w:eastAsia="Times New Roman" w:hAnsi="Times New Roman"/>
          <w:sz w:val="18"/>
          <w:szCs w:val="18"/>
          <w:color w:val="auto"/>
        </w:rPr>
        <w:t>your Form 1-9. Please bring the appropriate documents listed on this form with on your Start Date. If you fail to submit such proof, federal law prohibits us from commencing employment.</w:t>
      </w:r>
    </w:p>
    <w:p>
      <w:pPr>
        <w:spacing w:after="0" w:line="189" w:lineRule="exact"/>
        <w:rPr>
          <w:sz w:val="20"/>
          <w:szCs w:val="20"/>
          <w:color w:val="auto"/>
        </w:rPr>
      </w:pPr>
    </w:p>
    <w:p>
      <w:pPr>
        <w:ind w:firstLine="1666"/>
        <w:spacing w:after="0" w:line="235" w:lineRule="auto"/>
        <w:tabs>
          <w:tab w:leader="none" w:pos="255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 a condition of employment, you will also be required to execute the Company’s standard Nondisclosure, Developments and Non-Competition Agreement on or prior to your Start Date.</w:t>
      </w:r>
    </w:p>
    <w:p>
      <w:pPr>
        <w:spacing w:after="0" w:line="224" w:lineRule="exact"/>
        <w:rPr>
          <w:rFonts w:ascii="Times New Roman" w:cs="Times New Roman" w:eastAsia="Times New Roman" w:hAnsi="Times New Roman"/>
          <w:sz w:val="22"/>
          <w:szCs w:val="22"/>
          <w:color w:val="auto"/>
        </w:rPr>
      </w:pPr>
    </w:p>
    <w:p>
      <w:pPr>
        <w:ind w:right="20" w:firstLine="1666"/>
        <w:spacing w:after="0" w:line="235" w:lineRule="auto"/>
        <w:tabs>
          <w:tab w:leader="none" w:pos="2546"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addition, CarGurus conducts a background investigation on all new employees, which includes, but is not limited to, previous employment, education, and criminal history. Your employment is contingent on our review of the results of such investigation.</w:t>
      </w:r>
    </w:p>
    <w:p>
      <w:pPr>
        <w:spacing w:after="0" w:line="220" w:lineRule="exact"/>
        <w:rPr>
          <w:rFonts w:ascii="Times New Roman" w:cs="Times New Roman" w:eastAsia="Times New Roman" w:hAnsi="Times New Roman"/>
          <w:sz w:val="22"/>
          <w:szCs w:val="22"/>
          <w:color w:val="auto"/>
        </w:rPr>
      </w:pPr>
    </w:p>
    <w:p>
      <w:pPr>
        <w:jc w:val="both"/>
        <w:ind w:firstLine="885"/>
        <w:spacing w:after="0" w:line="245" w:lineRule="auto"/>
        <w:tabs>
          <w:tab w:leader="none" w:pos="168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At-Will Employment</w:t>
      </w:r>
      <w:r>
        <w:rPr>
          <w:rFonts w:ascii="Times New Roman" w:cs="Times New Roman" w:eastAsia="Times New Roman" w:hAnsi="Times New Roman"/>
          <w:sz w:val="18"/>
          <w:szCs w:val="18"/>
          <w:color w:val="auto"/>
        </w:rPr>
        <w:t>. If you accept the Company’s offer of employment, your employment will be on an “at-will” basis,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you or the Company may terminate the employment relationship at any time, for any reason or no reason, with or without cause and with or without notice. Although your job duties, title, compensation and benefits, as well as the Company’s personnel policies and procedures, may change from time to time, the “at-will” nature of your employment may only be changed by a written agreement signed by you and by an authorized representative of the Company, which expressly states the intention to modify the at-will nature of your employment.</w:t>
      </w:r>
    </w:p>
    <w:p>
      <w:pPr>
        <w:spacing w:after="0" w:line="224" w:lineRule="exact"/>
        <w:rPr>
          <w:rFonts w:ascii="Times New Roman" w:cs="Times New Roman" w:eastAsia="Times New Roman" w:hAnsi="Times New Roman"/>
          <w:sz w:val="22"/>
          <w:szCs w:val="22"/>
          <w:b w:val="1"/>
          <w:bCs w:val="1"/>
          <w:color w:val="auto"/>
        </w:rPr>
      </w:pPr>
    </w:p>
    <w:p>
      <w:pPr>
        <w:jc w:val="both"/>
        <w:ind w:firstLine="885"/>
        <w:spacing w:after="0" w:line="239" w:lineRule="auto"/>
        <w:tabs>
          <w:tab w:leader="none" w:pos="168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foregoing terms supersede any prior discussions, oral or written, which we have had relating to your employment and the other matters discussed in this letter. The resolution of any disputes under this letter will be governed by Massachusetts law. Additionally, it is understood that from time to time, CarGurus reviews its benefits, policies and practices and may alter or change them at its discretion.</w:t>
      </w:r>
    </w:p>
    <w:p>
      <w:pPr>
        <w:spacing w:after="0" w:line="20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Kathleen, we look forward to you joining our organization. In order to confirm your intention to commence employment with CarGurus on the Start Date on the terms set forth in this letter, please sign one copy of this letter and return it to me. The other copy is for your records. If you have any questions, please do not hesitate to speak with 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expires at the end of the day, August 8,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Langley Steinert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Langley Steinert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Guru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commence employment on the Start Date on the terms set forth in this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Kathleen Patton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Kathleen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9020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2017</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9020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CARGURUS,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 Brattle Square, 3</w:t>
      </w:r>
      <w:r>
        <w:rPr>
          <w:rFonts w:ascii="Times New Roman" w:cs="Times New Roman" w:eastAsia="Times New Roman" w:hAnsi="Times New Roman"/>
          <w:sz w:val="18"/>
          <w:szCs w:val="18"/>
          <w:color w:val="auto"/>
        </w:rPr>
        <w:t>rd</w:t>
      </w:r>
      <w:r>
        <w:rPr>
          <w:rFonts w:ascii="Times New Roman" w:cs="Times New Roman" w:eastAsia="Times New Roman" w:hAnsi="Times New Roman"/>
          <w:sz w:val="22"/>
          <w:szCs w:val="22"/>
          <w:color w:val="auto"/>
        </w:rPr>
        <w:t xml:space="preserve"> Floor</w:t>
      </w:r>
    </w:p>
    <w:p>
      <w:pPr>
        <w:jc w:val="center"/>
        <w:spacing w:after="0"/>
        <w:rPr>
          <w:sz w:val="20"/>
          <w:szCs w:val="20"/>
          <w:color w:val="auto"/>
        </w:rPr>
      </w:pPr>
      <w:r>
        <w:rPr>
          <w:rFonts w:ascii="Times New Roman" w:cs="Times New Roman" w:eastAsia="Times New Roman" w:hAnsi="Times New Roman"/>
          <w:sz w:val="22"/>
          <w:szCs w:val="22"/>
          <w:color w:val="auto"/>
        </w:rPr>
        <w:t>Cambridge, MA 02138</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March 7, 2008</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Oliver Chrzan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Oliver,</w:t>
      </w:r>
    </w:p>
    <w:p>
      <w:pPr>
        <w:spacing w:after="0" w:line="233"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We are pleased to extend you this offer of full-time employment to become Sr. Engineer at CarGurus, LLC, a Massachusetts limited liability company (the “Company”). This offer, which will remain in effect until March 12, 2008, can be accepted by countersigning the enclosed copy of this letter where indicated at the end of this letter and returning the countersigned copy to me.</w:t>
      </w:r>
    </w:p>
    <w:p>
      <w:pPr>
        <w:spacing w:after="0" w:line="208"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We are excited about the contributions that we expect you will make to the success of the Company, and would like your employment to begin as soon as possible. Accordingly, we and you mutually agree to a start date of March 12, 2008 (the “Start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Duties and Extent of Service</w:t>
      </w:r>
    </w:p>
    <w:p>
      <w:pPr>
        <w:spacing w:after="0" w:line="233"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As Sr. Engineer you will be a member of the Development team. You will have responsibility for performing those duties as are customary for, and are consistent with, such position, as well as those duties as the CTO may from time to time designate. Except for vacations and absences due to temporary illness, you will be expected to devote your full time and effort to the business and affairs of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Compensation</w:t>
      </w:r>
    </w:p>
    <w:p>
      <w:pPr>
        <w:spacing w:after="0" w:line="233" w:lineRule="exact"/>
        <w:rPr>
          <w:sz w:val="20"/>
          <w:szCs w:val="20"/>
          <w:color w:val="auto"/>
        </w:rPr>
      </w:pPr>
    </w:p>
    <w:p>
      <w:pPr>
        <w:ind w:left="880" w:hanging="440"/>
        <w:spacing w:after="0"/>
        <w:tabs>
          <w:tab w:leader="none" w:pos="8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p>
    <w:p>
      <w:pPr>
        <w:spacing w:after="0" w:line="233"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In consideration of your employment with the Company, the Company will pay you a base salary of One Hundred Ten Thousand Dollars ($110,000) per year, such payments to be made as customarily disbursed by the Company to its employees. Along with other employees of the Company, your base salary will be reviewed for readjustment on an annual basis.</w:t>
      </w:r>
    </w:p>
    <w:p>
      <w:pPr>
        <w:spacing w:after="0" w:line="201" w:lineRule="exact"/>
        <w:rPr>
          <w:sz w:val="20"/>
          <w:szCs w:val="20"/>
          <w:color w:val="auto"/>
        </w:rPr>
      </w:pPr>
    </w:p>
    <w:p>
      <w:pPr>
        <w:ind w:left="880" w:hanging="440"/>
        <w:spacing w:after="0"/>
        <w:tabs>
          <w:tab w:leader="none" w:pos="8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Discretionary Bonus</w:t>
      </w:r>
    </w:p>
    <w:p>
      <w:pPr>
        <w:spacing w:after="0" w:line="233" w:lineRule="exact"/>
        <w:rPr>
          <w:sz w:val="20"/>
          <w:szCs w:val="20"/>
          <w:color w:val="auto"/>
        </w:rPr>
      </w:pPr>
    </w:p>
    <w:p>
      <w:pPr>
        <w:ind w:right="20" w:firstLine="877"/>
        <w:spacing w:after="0" w:line="258" w:lineRule="auto"/>
        <w:rPr>
          <w:sz w:val="20"/>
          <w:szCs w:val="20"/>
          <w:color w:val="auto"/>
        </w:rPr>
      </w:pPr>
      <w:r>
        <w:rPr>
          <w:rFonts w:ascii="Times New Roman" w:cs="Times New Roman" w:eastAsia="Times New Roman" w:hAnsi="Times New Roman"/>
          <w:sz w:val="22"/>
          <w:szCs w:val="22"/>
          <w:color w:val="auto"/>
        </w:rPr>
        <w:t>At such time as the company has a profitable year (defined as being cash flow positive for a full annual fiscal year), you will become eligible for an annual discretionary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9" w:name="page120"/>
    <w:bookmarkEnd w:id="119"/>
    <w:p>
      <w:pPr>
        <w:ind w:left="880" w:hanging="440"/>
        <w:spacing w:after="0"/>
        <w:tabs>
          <w:tab w:leader="none" w:pos="8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Fringe Benefits</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You will be entitled to participate from time to time in all fringe benefits made available to employees of the Company. No representation is made, however, that any specific fringe benefits now available will continue or that any other fringe benefits will be made available. Notwithstanding the foregoing, the following benefits will, in any event, be available to you.</w:t>
      </w:r>
    </w:p>
    <w:p>
      <w:pPr>
        <w:spacing w:after="0" w:line="201" w:lineRule="exact"/>
        <w:rPr>
          <w:sz w:val="20"/>
          <w:szCs w:val="20"/>
          <w:color w:val="auto"/>
        </w:rPr>
      </w:pPr>
    </w:p>
    <w:p>
      <w:pPr>
        <w:jc w:val="both"/>
        <w:ind w:left="1740" w:hanging="868"/>
        <w:spacing w:after="0" w:line="244" w:lineRule="auto"/>
        <w:tabs>
          <w:tab w:leader="none" w:pos="17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 Insurance</w:t>
      </w:r>
      <w:r>
        <w:rPr>
          <w:rFonts w:ascii="Times New Roman" w:cs="Times New Roman" w:eastAsia="Times New Roman" w:hAnsi="Times New Roman"/>
          <w:sz w:val="22"/>
          <w:szCs w:val="22"/>
          <w:color w:val="auto"/>
        </w:rPr>
        <w:t>. If elected by you, you may participate in the Company's health insurance program, and the Company will pay that portion of the premium for you, on a basis and pursuant to a program, substantially the same as that offered to other employees of the Company.</w:t>
      </w:r>
    </w:p>
    <w:p>
      <w:pPr>
        <w:spacing w:after="0" w:line="200" w:lineRule="exact"/>
        <w:rPr>
          <w:rFonts w:ascii="Times New Roman" w:cs="Times New Roman" w:eastAsia="Times New Roman" w:hAnsi="Times New Roman"/>
          <w:sz w:val="22"/>
          <w:szCs w:val="22"/>
          <w:color w:val="auto"/>
        </w:rPr>
      </w:pPr>
    </w:p>
    <w:p>
      <w:pPr>
        <w:ind w:left="1740" w:right="20" w:hanging="868"/>
        <w:spacing w:after="0" w:line="258" w:lineRule="auto"/>
        <w:tabs>
          <w:tab w:leader="none" w:pos="17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You will be entitled to three weeks' paid vacation annually at such reasonable times as you and the Company may determine.</w:t>
      </w:r>
    </w:p>
    <w:p>
      <w:pPr>
        <w:spacing w:after="0" w:line="185" w:lineRule="exact"/>
        <w:rPr>
          <w:rFonts w:ascii="Times New Roman" w:cs="Times New Roman" w:eastAsia="Times New Roman" w:hAnsi="Times New Roman"/>
          <w:sz w:val="22"/>
          <w:szCs w:val="22"/>
          <w:color w:val="auto"/>
        </w:rPr>
      </w:pPr>
    </w:p>
    <w:p>
      <w:pPr>
        <w:ind w:left="1740" w:hanging="868"/>
        <w:spacing w:after="0" w:line="258" w:lineRule="auto"/>
        <w:tabs>
          <w:tab w:leader="none" w:pos="17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The Company will reimburse you for all ordinary and necessary expenses incurred on behalf of the Company and in accordance with its reimbursement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Equity</w:t>
      </w:r>
    </w:p>
    <w:p>
      <w:pPr>
        <w:spacing w:after="0" w:line="233"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1"/>
          <w:szCs w:val="21"/>
          <w:color w:val="auto"/>
        </w:rPr>
        <w:t>As a Sr. Engineer, the Company is prepared to offer to you the opportunity to acquire an equity interest in the Company upon the terms and conditions set forth below. The Company will grant you an option to purchase 56,536 Company Common Units at a price of fifteen cents ($.15) per unit (the "Option Units") pursuant to the terms of the Company's 2006 Unit Option Plan, to be adopted by the Company (the "Plan"). The Option Units shall be subject to four year vesting during (and only during) your employment by the Company, with the first twenty five percent (25%) vesting on the first anniversary of the Start Date and an additional 6.25% vesting at the end of each three months thereafter until all of the options to acquire Option Units are fully vested. In addition to the vesting provisions set forth above, all of any then unvested Option Units and options to acquire Option Units will become exercisable and vested if (a) the Company is sold or there is a "change in control" (as defined in the agreements referenced below), other than through transfers to employees, additional equity financing or public offerings. Any Option Units that are unvested on the termination of your employment shall be void and of no force or effect. Vested options for Option Units may be exercised up to the first to occur of the date which is the earlier of the expiration of five years from the Grant Date, as defined in the Plan, or ninety days after termination of your employment by the Company, in each case in accordance with the terms of the Plan.</w:t>
      </w:r>
    </w:p>
    <w:p>
      <w:pPr>
        <w:spacing w:after="0" w:line="202"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Promptly following the Start Date, the Company will prepare any and all documentation necessary to implement your options for Option Units and the vesting thereof as provided above. You understand that the Option Units purchased by you will be subject to the same risks as those facing other members of the Company, including, without limitation, the possibility of dilution in the event that the Company issues additional Preferred or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u w:val="single" w:color="auto"/>
          <w:color w:val="auto"/>
        </w:rPr>
        <w:t>Proprietary Information and Inventions</w:t>
      </w:r>
    </w:p>
    <w:p>
      <w:pPr>
        <w:spacing w:after="0" w:line="234" w:lineRule="exact"/>
        <w:rPr>
          <w:sz w:val="20"/>
          <w:szCs w:val="20"/>
          <w:color w:val="auto"/>
        </w:rPr>
      </w:pPr>
    </w:p>
    <w:p>
      <w:pPr>
        <w:jc w:val="both"/>
        <w:ind w:firstLine="877"/>
        <w:spacing w:after="0" w:line="255" w:lineRule="auto"/>
        <w:rPr>
          <w:sz w:val="20"/>
          <w:szCs w:val="20"/>
          <w:color w:val="auto"/>
        </w:rPr>
      </w:pPr>
      <w:r>
        <w:rPr>
          <w:rFonts w:ascii="Times New Roman" w:cs="Times New Roman" w:eastAsia="Times New Roman" w:hAnsi="Times New Roman"/>
          <w:sz w:val="21"/>
          <w:szCs w:val="21"/>
          <w:color w:val="auto"/>
        </w:rPr>
        <w:t>Prior to commencing your employment with the Company, you agree to sign a copy of the Company's standard Nondisclosure, Developments and Non-Competition Agreement, a copy of which is attached as Exhibit A hereto. By signing below you represent that you are free to enter into this agreement and the Nondisclosure, Developments and Non-Competition Agreement and carry out the obligations hereunder and thereunder without any conflict with any prior agreements to which you are a party.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233" w:lineRule="exact"/>
        <w:rPr>
          <w:sz w:val="20"/>
          <w:szCs w:val="20"/>
          <w:color w:val="auto"/>
        </w:rPr>
      </w:pPr>
    </w:p>
    <w:p>
      <w:pPr>
        <w:jc w:val="both"/>
        <w:ind w:firstLine="877"/>
        <w:spacing w:after="0" w:line="247" w:lineRule="auto"/>
        <w:rPr>
          <w:sz w:val="20"/>
          <w:szCs w:val="20"/>
          <w:color w:val="auto"/>
        </w:rPr>
      </w:pPr>
      <w:r>
        <w:rPr>
          <w:rFonts w:ascii="Times New Roman" w:cs="Times New Roman" w:eastAsia="Times New Roman" w:hAnsi="Times New Roman"/>
          <w:sz w:val="21"/>
          <w:szCs w:val="21"/>
          <w:color w:val="auto"/>
        </w:rPr>
        <w:t>You acknowledge that the employment relationship between the Company and you is at-will, meaning that the employment relationship may be terminated by the Company or you for any reason or for no reason. However, the Company and you agree to make reasonable efforts to provide the other party at least thirty (30) days' written notice prior to termination of the employment relationship. You acknowledge that, in connection with any termination of your employment with the Company, you will assist the Company in its efforts to find a new Sr. Engineer and will provide such transitional assistance as the Company may reasonably require. In connection with the foregoing, the Company agrees that should your employment be terminated, you will receive as your sole and only payments on account of such termination (and subject to execution of appropriate documentation to this effect) accrued compensation through the date of termination. In addition, COBRA rights will be available to you.</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Governing Law and Jurisdiction</w:t>
      </w:r>
    </w:p>
    <w:p>
      <w:pPr>
        <w:spacing w:after="0" w:line="233"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internal substantive laws of the Commonwealth of Massachusetts. The Company and you hereby expressly consent and agree that any dispute, controversy, legal action or other proceeding that arises from, concerns or touches this agreement shall be brought in either the Superior Court of Massachusetts or the United States District Court for the District of Massachusetts. The Company and you hereby acknowledge that said courts have sole and exclusive jurisdiction over any such dispute or controversy, and that the Company and you hereby waive any objection to personal jurisdiction or venue in these courts, and waive any right to jury trial.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Entire Agreement; Amendment</w:t>
      </w:r>
    </w:p>
    <w:p>
      <w:pPr>
        <w:spacing w:after="0" w:line="233"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auto"/>
        </w:rPr>
        <w:t>This agreement (together with the Nondisclosure, Developments and NonCompetition Agreement) and the Plan set forth the sole and entire agreement and understanding between the Company and you with respect to the specific matters contemplated and addressed hereby and thereby. No prior agreement, whether written or oral, shall be construed to change or affect the operation of this agreement or the other agreements contemplated hereby in accordance with their terms, and any provision of any such prior agreement which conflicts with or contradicts any provision of this agreement or the other agreements contemplated hereby is hereby revoked and superseded.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1" w:name="page122"/>
    <w:bookmarkEnd w:id="121"/>
    <w:p>
      <w:pPr>
        <w:ind w:firstLine="877"/>
        <w:spacing w:after="0" w:line="258" w:lineRule="auto"/>
        <w:rPr>
          <w:sz w:val="20"/>
          <w:szCs w:val="20"/>
          <w:color w:val="auto"/>
        </w:rPr>
      </w:pPr>
      <w:r>
        <w:rPr>
          <w:rFonts w:ascii="Times New Roman" w:cs="Times New Roman" w:eastAsia="Times New Roman" w:hAnsi="Times New Roman"/>
          <w:sz w:val="22"/>
          <w:szCs w:val="22"/>
          <w:color w:val="auto"/>
        </w:rPr>
        <w:t>This agreement may be amended or terminated only by a written instrument executed both by you and the Company, acting through its Board of Directors.</w:t>
      </w:r>
    </w:p>
    <w:p>
      <w:pPr>
        <w:spacing w:after="0" w:line="185" w:lineRule="exact"/>
        <w:rPr>
          <w:sz w:val="20"/>
          <w:szCs w:val="20"/>
          <w:color w:val="auto"/>
        </w:rPr>
      </w:pPr>
    </w:p>
    <w:p>
      <w:pPr>
        <w:ind w:firstLine="877"/>
        <w:spacing w:after="0" w:line="258" w:lineRule="auto"/>
        <w:rPr>
          <w:sz w:val="20"/>
          <w:szCs w:val="20"/>
          <w:color w:val="auto"/>
        </w:rPr>
      </w:pPr>
      <w:r>
        <w:rPr>
          <w:rFonts w:ascii="Times New Roman" w:cs="Times New Roman" w:eastAsia="Times New Roman" w:hAnsi="Times New Roman"/>
          <w:sz w:val="22"/>
          <w:szCs w:val="22"/>
          <w:color w:val="auto"/>
        </w:rPr>
        <w:t>We are excited to have you on board as a Sr. Engineer. Please acknowledge your acceptance of this offer and the terms of this agreement by signing below and returning a copy to me.</w:t>
      </w:r>
    </w:p>
    <w:p>
      <w:pPr>
        <w:spacing w:after="0" w:line="18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color w:val="auto"/>
        </w:rPr>
        <w:t>Sincerely,</w:t>
      </w:r>
    </w:p>
    <w:p>
      <w:pPr>
        <w:spacing w:after="0" w:line="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color w:val="auto"/>
        </w:rPr>
        <w:t>CARGURUS, LLC</w:t>
      </w:r>
    </w:p>
    <w:p>
      <w:pPr>
        <w:ind w:left="6180"/>
        <w:spacing w:after="0"/>
        <w:tabs>
          <w:tab w:leader="none" w:pos="6700" w:val="left"/>
        </w:tabs>
        <w:rPr>
          <w:sz w:val="20"/>
          <w:szCs w:val="20"/>
          <w:color w:val="auto"/>
        </w:rPr>
      </w:pPr>
      <w:r>
        <w:rPr>
          <w:rFonts w:ascii="Times New Roman" w:cs="Times New Roman" w:eastAsia="Times New Roman" w:hAnsi="Times New Roman"/>
          <w:sz w:val="22"/>
          <w:szCs w:val="22"/>
          <w:color w:val="auto"/>
        </w:rPr>
        <w:t>By:</w:t>
        <w:tab/>
        <w:t>/s/ Langley Steinert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-3175</wp:posOffset>
            </wp:positionV>
            <wp:extent cx="2984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3" w:lineRule="exact"/>
        <w:rPr>
          <w:sz w:val="20"/>
          <w:szCs w:val="20"/>
          <w:color w:val="auto"/>
        </w:rPr>
      </w:pPr>
    </w:p>
    <w:p>
      <w:pPr>
        <w:ind w:firstLine="877"/>
        <w:spacing w:after="0" w:line="258" w:lineRule="auto"/>
        <w:rPr>
          <w:sz w:val="20"/>
          <w:szCs w:val="20"/>
          <w:color w:val="auto"/>
        </w:rPr>
      </w:pPr>
      <w:r>
        <w:rPr>
          <w:rFonts w:ascii="Times New Roman" w:cs="Times New Roman" w:eastAsia="Times New Roman" w:hAnsi="Times New Roman"/>
          <w:sz w:val="22"/>
          <w:szCs w:val="22"/>
          <w:color w:val="auto"/>
        </w:rPr>
        <w:t>I hereby acknowledge that I have had a full and adequate opportunity to read, understand and discuss the terms and conditions contained in this agreement prior to signing 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 Oliver Chrzan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11430</wp:posOffset>
            </wp:positionV>
            <wp:extent cx="2727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3/12/08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2727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CarGurus,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Canada, Inc., a company incorporated under the laws of the Province of British Columbia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Ireland Limited, an Irish Private Company Limited by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Securities Corp., a Massachusetts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UK Limited, a U.K. Private Limited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CGSC, Inc., a Massachusetts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Pistonheads Holdco Limited, a U.K. Private Limited Company</w:t>
      </w:r>
    </w:p>
    <w:p>
      <w:pPr>
        <w:sectPr>
          <w:pgSz w:w="11900" w:h="16838" w:orient="portrait"/>
          <w:cols w:equalWidth="0" w:num="1">
            <w:col w:w="11420"/>
          </w:cols>
          <w:pgMar w:left="240" w:top="117"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333-221090) pertaining to the Omnibus Incentive Compensation Plan and the Amended and Restated 2015 Equity Incentive Plan of CarGurus, Inc. of our reports dated February 28, 2019, with respect to the consolidated financial statements of CarGurus, Inc. and the effectiveness of internal control over financial reporting of CarGurus, Inc., included in this Annual Report (Form 10-K) for the year ended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ectPr>
          <w:pgSz w:w="11900" w:h="16838" w:orient="portrait"/>
          <w:cols w:equalWidth="0" w:num="1">
            <w:col w:w="11420"/>
          </w:cols>
          <w:pgMar w:left="240" w:top="117"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Langley Steinert, certify that:</w:t>
      </w:r>
    </w:p>
    <w:p>
      <w:pPr>
        <w:spacing w:after="0" w:line="225"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CarGurus,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2019</w:t>
            </w: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Langley Steinert</w:t>
            </w:r>
          </w:p>
        </w:tc>
      </w:tr>
      <w:tr>
        <w:trPr>
          <w:trHeight w:val="218"/>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Langley Steinert</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4"/>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47"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Trevisan, certify that:</w:t>
      </w:r>
    </w:p>
    <w:p>
      <w:pPr>
        <w:spacing w:after="0" w:line="225"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CarGurus,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2019</w:t>
            </w: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Jason Trevisan</w:t>
            </w:r>
          </w:p>
        </w:tc>
      </w:tr>
      <w:tr>
        <w:trPr>
          <w:trHeight w:val="218"/>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Jason Trevisan</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420"/>
          </w:cols>
          <w:pgMar w:left="240" w:top="347"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CarGurus, Inc. (the “Company”) for the period ending December 31, 2018 as filed with the Securities and Exchange Commission on the date hereof (the “Report”), I, Langley Steinert, Chief Executive Officer and Chairman of the Board of Directors of the Company, certify, pursuant to 18 U.S.C. § 1350, as adopted pursuant to § 906 of the Sarbanes-Oxley Act of 2002, that, based on my knowledge:</w:t>
      </w:r>
    </w:p>
    <w:p>
      <w:pPr>
        <w:spacing w:after="0" w:line="176" w:lineRule="exact"/>
        <w:rPr>
          <w:sz w:val="20"/>
          <w:szCs w:val="20"/>
          <w:color w:val="auto"/>
        </w:rPr>
      </w:pPr>
    </w:p>
    <w:p>
      <w:pPr>
        <w:ind w:left="1040" w:hanging="519"/>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2019</w:t>
            </w: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Langley Steinert</w:t>
            </w:r>
          </w:p>
        </w:tc>
      </w:tr>
      <w:tr>
        <w:trPr>
          <w:trHeight w:val="218"/>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Langley Steinert</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4"/>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47"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CarGurus, Inc. (the “Company”) for the period ending December 31, 2018 as filed with the Securities and Exchange Commission on the date hereof (the “Report”), I, Jason Trevisan, Chief Financial Officer and Treasurer of the Company, certify, pursuant to 18 U.S.C. § 1350, as adopted pursuant to § 906 of the Sarbanes-Oxley Act of 2002, that, based on my knowledge:</w:t>
      </w:r>
    </w:p>
    <w:p>
      <w:pPr>
        <w:spacing w:after="0" w:line="176" w:lineRule="exact"/>
        <w:rPr>
          <w:sz w:val="20"/>
          <w:szCs w:val="20"/>
          <w:color w:val="auto"/>
        </w:rPr>
      </w:pPr>
    </w:p>
    <w:p>
      <w:pPr>
        <w:ind w:left="1040" w:hanging="519"/>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2019</w:t>
            </w: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Jason Trevisan</w:t>
            </w:r>
          </w:p>
        </w:tc>
      </w:tr>
      <w:tr>
        <w:trPr>
          <w:trHeight w:val="218"/>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Jason Trevisan</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2"/>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lowerLetter"/>
      <w:start w:val="9"/>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lowerRoman"/>
      <w:start w:val="1"/>
    </w:lvl>
  </w:abstractNum>
  <w:abstractNum w:abstractNumId="39">
    <w:nsid w:val="3DC240FB"/>
    <w:multiLevelType w:val="hybridMultilevel"/>
    <w:lvl w:ilvl="0">
      <w:lvlJc w:val="left"/>
      <w:lvlText w:val="(%1)"/>
      <w:numFmt w:val="lowerLetter"/>
      <w:start w:val="1"/>
    </w:lvl>
    <w:lvl w:ilvl="1">
      <w:lvlJc w:val="left"/>
      <w:lvlText w:val="(%2)"/>
      <w:numFmt w:val="decimal"/>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decimal"/>
      <w:start w:val="1"/>
    </w:lvl>
    <w:lvl w:ilvl="1">
      <w:lvlJc w:val="left"/>
      <w:lvlText w:val="(%2)"/>
      <w:numFmt w:val="lowerLetter"/>
      <w:start w:val="1"/>
    </w:lvl>
  </w:abstractNum>
  <w:abstractNum w:abstractNumId="42">
    <w:nsid w:val="75C6C33A"/>
    <w:multiLevelType w:val="hybridMultilevel"/>
    <w:lvl w:ilvl="0">
      <w:lvlJc w:val="left"/>
      <w:lvlText w:val="%1."/>
      <w:numFmt w:val="lowerRoman"/>
      <w:start w:val="1"/>
    </w:lvl>
  </w:abstractNum>
  <w:abstractNum w:abstractNumId="43">
    <w:nsid w:val="12E685FB"/>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44">
    <w:nsid w:val="70C6A529"/>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45">
    <w:nsid w:val="520EEDD1"/>
    <w:multiLevelType w:val="hybridMultilevel"/>
    <w:lvl w:ilvl="0">
      <w:lvlJc w:val="left"/>
      <w:lvlText w:val="%1"/>
      <w:numFmt w:val="decimal"/>
      <w:start w:val="1"/>
    </w:lvl>
    <w:lvl w:ilvl="1">
      <w:lvlJc w:val="left"/>
      <w:lvlText w:val="(%2)"/>
      <w:numFmt w:val="lowerLetter"/>
      <w:start w:val="3"/>
    </w:lvl>
  </w:abstractNum>
  <w:abstractNum w:abstractNumId="46">
    <w:nsid w:val="374A3FE6"/>
    <w:multiLevelType w:val="hybridMultilevel"/>
    <w:lvl w:ilvl="0">
      <w:lvlJc w:val="left"/>
      <w:lvlText w:val="%1."/>
      <w:numFmt w:val="decimal"/>
      <w:start w:val="6"/>
    </w:lvl>
    <w:lvl w:ilvl="1">
      <w:lvlJc w:val="left"/>
      <w:lvlText w:val="%2"/>
      <w:numFmt w:val="lowerLetter"/>
      <w:start w:val="1"/>
    </w:lvl>
  </w:abstractNum>
  <w:abstractNum w:abstractNumId="47">
    <w:nsid w:val="4F4EF005"/>
    <w:multiLevelType w:val="hybridMultilevel"/>
    <w:lvl w:ilvl="0">
      <w:lvlJc w:val="left"/>
      <w:lvlText w:val="%1."/>
      <w:numFmt w:val="decimal"/>
      <w:start w:val="1"/>
    </w:lvl>
    <w:lvl w:ilvl="1">
      <w:lvlJc w:val="left"/>
      <w:lvlText w:val="(%2)"/>
      <w:numFmt w:val="lowerLetter"/>
      <w:start w:val="1"/>
    </w:lvl>
  </w:abstractNum>
  <w:abstractNum w:abstractNumId="48">
    <w:nsid w:val="23F9C13C"/>
    <w:multiLevelType w:val="hybridMultilevel"/>
    <w:lvl w:ilvl="0">
      <w:lvlJc w:val="left"/>
      <w:lvlText w:val="%1"/>
      <w:numFmt w:val="decimal"/>
      <w:start w:val="1"/>
    </w:lvl>
    <w:lvl w:ilvl="1">
      <w:lvlJc w:val="left"/>
      <w:lvlText w:val="%2."/>
      <w:numFmt w:val="lowerRoman"/>
      <w:start w:val="1"/>
    </w:lvl>
  </w:abstractNum>
  <w:abstractNum w:abstractNumId="49">
    <w:nsid w:val="649BB77C"/>
    <w:multiLevelType w:val="hybridMultilevel"/>
    <w:lvl w:ilvl="0">
      <w:lvlJc w:val="left"/>
      <w:lvlText w:val="%1."/>
      <w:numFmt w:val="decimal"/>
      <w:start w:val="4"/>
    </w:lvl>
    <w:lvl w:ilvl="1">
      <w:lvlJc w:val="left"/>
      <w:lvlText w:val="%2"/>
      <w:numFmt w:val="lowerRoman"/>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decimal"/>
      <w:start w:val="1"/>
    </w:lvl>
    <w:lvl w:ilvl="1">
      <w:lvlJc w:val="left"/>
      <w:lvlText w:val="(%2)"/>
      <w:numFmt w:val="lowerLetter"/>
      <w:start w:val="2"/>
    </w:lvl>
  </w:abstractNum>
  <w:abstractNum w:abstractNumId="52">
    <w:nsid w:val="1CF10FD8"/>
    <w:multiLevelType w:val="hybridMultilevel"/>
    <w:lvl w:ilvl="0">
      <w:lvlJc w:val="left"/>
      <w:lvlText w:val="%1."/>
      <w:numFmt w:val="decimal"/>
      <w:start w:val="6"/>
    </w:lvl>
    <w:lvl w:ilvl="1">
      <w:lvlJc w:val="left"/>
      <w:lvlText w:val="%2"/>
      <w:numFmt w:val="lowerLetter"/>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2"/>
    </w:lvl>
  </w:abstractNum>
  <w:abstractNum w:abstractNumId="55">
    <w:nsid w:val="47398C89"/>
    <w:multiLevelType w:val="hybridMultilevel"/>
    <w:lvl w:ilvl="0">
      <w:lvlJc w:val="left"/>
      <w:lvlText w:val="%1."/>
      <w:numFmt w:val="lowerLetter"/>
      <w:start w:val="3"/>
    </w:lvl>
  </w:abstractNum>
  <w:abstractNum w:abstractNumId="56">
    <w:nsid w:val="354FE9F9"/>
    <w:multiLevelType w:val="hybridMultilevel"/>
    <w:lvl w:ilvl="0">
      <w:lvlJc w:val="left"/>
      <w:lvlText w:val="(%1)"/>
      <w:numFmt w:val="lowerRoman"/>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jpe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jpe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48" Type="http://schemas.openxmlformats.org/officeDocument/2006/relationships/hyperlink" Target="http://www.sec.gov/Archives/edgar/data/1494259/000110465917062378/a17-24010_1ex3d1.htm" TargetMode="External"/><Relationship Id="rId149" Type="http://schemas.openxmlformats.org/officeDocument/2006/relationships/hyperlink" Target="http://www.sec.gov/Archives/edgar/data/1494259/000110465917062378/a17-24010_1ex3d2.htm" TargetMode="External"/><Relationship Id="rId150" Type="http://schemas.openxmlformats.org/officeDocument/2006/relationships/hyperlink" Target="http://www.sec.gov/Archives/edgar/data/1494259/000104746917006138/a2233329zex-4_1.htm" TargetMode="External"/><Relationship Id="rId151" Type="http://schemas.openxmlformats.org/officeDocument/2006/relationships/hyperlink" Target="http://www.sec.gov/Archives/edgar/data/1494259/000104746917005904/a2233230zex-4_2.htm" TargetMode="External"/><Relationship Id="rId152" Type="http://schemas.openxmlformats.org/officeDocument/2006/relationships/hyperlink" Target="http://www.sec.gov/Archives/edgar/data/1494259/000104746917005904/a2233230zex-10_1.htm" TargetMode="External"/><Relationship Id="rId153" Type="http://schemas.openxmlformats.org/officeDocument/2006/relationships/hyperlink" Target="http://www.sec.gov/Archives/edgar/data/1494259/000104746917005904/a2233230zex-10_2.htm" TargetMode="External"/><Relationship Id="rId154" Type="http://schemas.openxmlformats.org/officeDocument/2006/relationships/hyperlink" Target="http://www.sec.gov/Archives/edgar/data/1494259/000104746917006138/a2233329zex-10_3.htm" TargetMode="External"/><Relationship Id="rId155" Type="http://schemas.openxmlformats.org/officeDocument/2006/relationships/hyperlink" Target="http://www.sec.gov/Archives/edgar/data/1494259/000104746917006138/a2233329zex-10_4.htm" TargetMode="External"/><Relationship Id="rId156" Type="http://schemas.openxmlformats.org/officeDocument/2006/relationships/hyperlink" Target="http://www.sec.gov/Archives/edgar/data/1494259/000104746917005904/a2233230zex-10_5.htm" TargetMode="External"/><Relationship Id="rId157" Type="http://schemas.openxmlformats.org/officeDocument/2006/relationships/hyperlink" Target="http://www.sec.gov/Archives/edgar/data/1494259/000104746917005904/a2233230zex-10_6.htm" TargetMode="External"/><Relationship Id="rId158" Type="http://schemas.openxmlformats.org/officeDocument/2006/relationships/hyperlink" Target="http://www.sec.gov/Archives/edgar/data/1494259/000104746917005904/a2233230zex-10_7.htm" TargetMode="External"/><Relationship Id="rId159" Type="http://schemas.openxmlformats.org/officeDocument/2006/relationships/hyperlink" Target="http://www.sec.gov/Archives/edgar/data/1494259/000104746917005904/a2233230zex-10_8.htm" TargetMode="External"/><Relationship Id="rId160" Type="http://schemas.openxmlformats.org/officeDocument/2006/relationships/hyperlink" Target="http://www.sec.gov/Archives/edgar/data/1494259/000104746917005904/a2233230zex-10_9.htm" TargetMode="External"/><Relationship Id="rId161" Type="http://schemas.openxmlformats.org/officeDocument/2006/relationships/hyperlink" Target="http://www.sec.gov/Archives/edgar/data/1494259/000104746917005904/a2233230zex-10_10.htm" TargetMode="External"/><Relationship Id="rId162" Type="http://schemas.openxmlformats.org/officeDocument/2006/relationships/hyperlink" Target="http://www.sec.gov/Archives/edgar/data/1494259/000119312518096041/d557263dex101.htm" TargetMode="External"/><Relationship Id="rId163" Type="http://schemas.openxmlformats.org/officeDocument/2006/relationships/hyperlink" Target="http://www.sec.gov/Archives/edgar/data/1494259/000119312518110054/d556560dex101.htm" TargetMode="External"/><Relationship Id="rId164" Type="http://schemas.openxmlformats.org/officeDocument/2006/relationships/hyperlink" Target="http://www.sec.gov/Archives/edgar/data/1494259/000156459018010708/carg-ex103_187.htm" TargetMode="External"/><Relationship Id="rId165" Type="http://schemas.openxmlformats.org/officeDocument/2006/relationships/hyperlink" Target="http://www.sec.gov/Archives/edgar/data/1494259/000119312518197983/d7786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2019-12-28T15:53:37Z</dcterms:created>
  <dcterms:modified xsi:type="dcterms:W3CDTF">2019-12-28T15:53:37Z</dcterms:modified>
</cp:coreProperties>
</file>