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78740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80" w:right="260" w:hanging="459"/>
        <w:spacing w:after="0" w:line="281"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80" w:right="260" w:hanging="459"/>
        <w:spacing w:after="0" w:line="282"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49"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ectPr>
          <w:pgSz w:w="11900" w:h="16838" w:orient="portrait"/>
          <w:cols w:equalWidth="0" w:num="1">
            <w:col w:w="11240"/>
          </w:cols>
          <w:pgMar w:left="320" w:top="638" w:right="339" w:bottom="1440" w:gutter="0" w:footer="0" w:header="0"/>
        </w:sectPr>
      </w:pPr>
    </w:p>
    <w:p>
      <w:pPr>
        <w:spacing w:after="0" w:line="90" w:lineRule="exact"/>
        <w:rPr>
          <w:sz w:val="24"/>
          <w:szCs w:val="24"/>
          <w:color w:val="auto"/>
        </w:rPr>
      </w:pPr>
    </w:p>
    <w:p>
      <w:pPr>
        <w:jc w:val="center"/>
        <w:ind w:left="3560"/>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CARGURUS, INC.</w:t>
      </w: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25"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04-3843478</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8" w:lineRule="exact"/>
        <w:rPr>
          <w:sz w:val="24"/>
          <w:szCs w:val="24"/>
          <w:color w:val="auto"/>
        </w:rPr>
      </w:pPr>
    </w:p>
    <w:p>
      <w:pPr>
        <w:sectPr>
          <w:pgSz w:w="11900" w:h="16838" w:orient="portrait"/>
          <w:cols w:equalWidth="0" w:num="2">
            <w:col w:w="7700" w:space="160"/>
            <w:col w:w="3380"/>
          </w:cols>
          <w:pgMar w:left="320" w:top="638" w:right="339" w:bottom="1440" w:gutter="0" w:footer="0" w:header="0"/>
          <w:type w:val="continuous"/>
        </w:sectPr>
      </w:pPr>
    </w:p>
    <w:tbl>
      <w:tblPr>
        <w:tblLayout w:type="fixed"/>
        <w:tblInd w:w="1620" w:type="dxa"/>
        <w:tblCellMar>
          <w:top w:w="0" w:type="dxa"/>
          <w:left w:w="0" w:type="dxa"/>
          <w:bottom w:w="0" w:type="dxa"/>
          <w:right w:w="0" w:type="dxa"/>
        </w:tblCellMar>
      </w:tblPr>
      <w:tr>
        <w:trPr>
          <w:trHeight w:val="230"/>
        </w:trPr>
        <w:tc>
          <w:tcPr>
            <w:tcW w:w="6400" w:type="dxa"/>
            <w:vAlign w:val="bottom"/>
          </w:tcPr>
          <w:p>
            <w:pPr>
              <w:jc w:val="center"/>
              <w:ind w:right="3937"/>
              <w:spacing w:after="0"/>
              <w:rPr>
                <w:sz w:val="20"/>
                <w:szCs w:val="20"/>
                <w:color w:val="auto"/>
              </w:rPr>
            </w:pPr>
            <w:r>
              <w:rPr>
                <w:rFonts w:ascii="Arial" w:cs="Arial" w:eastAsia="Arial" w:hAnsi="Arial"/>
                <w:sz w:val="18"/>
                <w:szCs w:val="18"/>
                <w:b w:val="1"/>
                <w:bCs w:val="1"/>
                <w:color w:val="auto"/>
                <w:w w:val="93"/>
              </w:rPr>
              <w:t>2 Canal Park, 4th Floor</w:t>
            </w:r>
          </w:p>
        </w:tc>
        <w:tc>
          <w:tcPr>
            <w:tcW w:w="740" w:type="dxa"/>
            <w:vAlign w:val="bottom"/>
          </w:tcPr>
          <w:p>
            <w:pPr>
              <w:spacing w:after="0"/>
              <w:rPr>
                <w:sz w:val="19"/>
                <w:szCs w:val="19"/>
                <w:color w:val="auto"/>
              </w:rPr>
            </w:pPr>
          </w:p>
        </w:tc>
      </w:tr>
      <w:tr>
        <w:trPr>
          <w:trHeight w:val="248"/>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Cambridge, Massachusetts</w:t>
            </w:r>
          </w:p>
        </w:tc>
        <w:tc>
          <w:tcPr>
            <w:tcW w:w="740" w:type="dxa"/>
            <w:vAlign w:val="bottom"/>
          </w:tcPr>
          <w:p>
            <w:pPr>
              <w:jc w:val="right"/>
              <w:ind w:right="19"/>
              <w:spacing w:after="0"/>
              <w:rPr>
                <w:sz w:val="20"/>
                <w:szCs w:val="20"/>
                <w:color w:val="auto"/>
              </w:rPr>
            </w:pPr>
            <w:r>
              <w:rPr>
                <w:rFonts w:ascii="Arial" w:cs="Arial" w:eastAsia="Arial" w:hAnsi="Arial"/>
                <w:sz w:val="18"/>
                <w:szCs w:val="18"/>
                <w:b w:val="1"/>
                <w:bCs w:val="1"/>
                <w:color w:val="auto"/>
              </w:rPr>
              <w:t>02141</w:t>
            </w:r>
          </w:p>
        </w:tc>
      </w:tr>
      <w:tr>
        <w:trPr>
          <w:trHeight w:val="204"/>
        </w:trPr>
        <w:tc>
          <w:tcPr>
            <w:tcW w:w="6400" w:type="dxa"/>
            <w:vAlign w:val="bottom"/>
          </w:tcPr>
          <w:p>
            <w:pPr>
              <w:jc w:val="center"/>
              <w:ind w:right="39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49"/>
        </w:trPr>
        <w:tc>
          <w:tcPr>
            <w:tcW w:w="6400" w:type="dxa"/>
            <w:vAlign w:val="bottom"/>
          </w:tcPr>
          <w:p>
            <w:pPr>
              <w:ind w:left="1680"/>
              <w:spacing w:after="0"/>
              <w:rPr>
                <w:sz w:val="20"/>
                <w:szCs w:val="20"/>
                <w:color w:val="auto"/>
              </w:rPr>
            </w:pPr>
            <w:r>
              <w:rPr>
                <w:rFonts w:ascii="Arial" w:cs="Arial" w:eastAsia="Arial" w:hAnsi="Arial"/>
                <w:sz w:val="16"/>
                <w:szCs w:val="16"/>
                <w:b w:val="1"/>
                <w:bCs w:val="1"/>
                <w:color w:val="auto"/>
                <w:w w:val="91"/>
              </w:rPr>
              <w:t>Registrant’s telephone number, including area code: (617) 354-0068</w:t>
            </w:r>
          </w:p>
        </w:tc>
        <w:tc>
          <w:tcPr>
            <w:tcW w:w="7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6"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20" w:type="dxa"/>
            <w:vAlign w:val="bottom"/>
            <w:gridSpan w:val="2"/>
          </w:tcPr>
          <w:p>
            <w:pPr>
              <w:jc w:val="center"/>
              <w:ind w:right="2120"/>
              <w:spacing w:after="0"/>
              <w:rPr>
                <w:sz w:val="20"/>
                <w:szCs w:val="20"/>
                <w:color w:val="auto"/>
              </w:rPr>
            </w:pPr>
            <w:r>
              <w:rPr>
                <w:rFonts w:ascii="Arial" w:cs="Arial" w:eastAsia="Arial" w:hAnsi="Arial"/>
                <w:sz w:val="16"/>
                <w:szCs w:val="16"/>
                <w:b w:val="1"/>
                <w:bCs w:val="1"/>
                <w:color w:val="auto"/>
                <w:w w:val="91"/>
              </w:rPr>
              <w:t>Title of Each Class</w:t>
            </w: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Trading Symbol</w:t>
            </w:r>
          </w:p>
        </w:tc>
        <w:tc>
          <w:tcPr>
            <w:tcW w:w="940" w:type="dxa"/>
            <w:vAlign w:val="bottom"/>
          </w:tcPr>
          <w:p>
            <w:pPr>
              <w:spacing w:after="0"/>
              <w:rPr>
                <w:sz w:val="16"/>
                <w:szCs w:val="16"/>
                <w:color w:val="auto"/>
              </w:rPr>
            </w:pPr>
          </w:p>
        </w:tc>
        <w:tc>
          <w:tcPr>
            <w:tcW w:w="33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43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w:t>
            </w:r>
          </w:p>
        </w:tc>
        <w:tc>
          <w:tcPr>
            <w:tcW w:w="42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The Nasdaq Stock Market LLC (Nasdaq Global Select Market)</w:t>
            </w:r>
          </w:p>
        </w:tc>
      </w:tr>
    </w:tbl>
    <w:p>
      <w:pPr>
        <w:spacing w:after="0" w:line="146" w:lineRule="exact"/>
        <w:rPr>
          <w:sz w:val="24"/>
          <w:szCs w:val="24"/>
          <w:color w:val="auto"/>
        </w:rPr>
      </w:pPr>
    </w:p>
    <w:p>
      <w:pPr>
        <w:ind w:right="6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140"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Small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1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36" w:lineRule="exact"/>
        <w:rPr>
          <w:sz w:val="24"/>
          <w:szCs w:val="24"/>
          <w:color w:val="auto"/>
        </w:rPr>
      </w:pPr>
    </w:p>
    <w:p>
      <w:pPr>
        <w:ind w:right="340" w:firstLine="509"/>
        <w:spacing w:after="0" w:line="293" w:lineRule="auto"/>
        <w:rPr>
          <w:sz w:val="20"/>
          <w:szCs w:val="20"/>
          <w:color w:val="auto"/>
        </w:rPr>
      </w:pPr>
      <w:r>
        <w:rPr>
          <w:rFonts w:ascii="Arial" w:cs="Arial" w:eastAsia="Arial" w:hAnsi="Arial"/>
          <w:sz w:val="18"/>
          <w:szCs w:val="18"/>
          <w:color w:val="auto"/>
        </w:rPr>
        <w:t>As of November 4, 2021, the registrant had 101,684,111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183"/>
        </w:trPr>
        <w:tc>
          <w:tcPr>
            <w:tcW w:w="1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420" w:type="dxa"/>
            <w:vAlign w:val="bottom"/>
            <w:gridSpan w:val="16"/>
          </w:tcPr>
          <w:p>
            <w:pPr>
              <w:spacing w:after="0" w:line="182"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w:t>
              </w:r>
            </w:hyperlink>
          </w:p>
        </w:tc>
        <w:tc>
          <w:tcPr>
            <w:tcW w:w="880" w:type="dxa"/>
            <w:vAlign w:val="bottom"/>
            <w:tcBorders>
              <w:top w:val="single" w:sz="8" w:color="0000EE"/>
            </w:tcBorders>
            <w:gridSpan w:val="3"/>
          </w:tcPr>
          <w:p>
            <w:pPr>
              <w:spacing w:after="0"/>
              <w:rPr>
                <w:sz w:val="19"/>
                <w:szCs w:val="19"/>
                <w:color w:val="auto"/>
              </w:rPr>
            </w:pPr>
          </w:p>
        </w:tc>
        <w:tc>
          <w:tcPr>
            <w:tcW w:w="7020" w:type="dxa"/>
            <w:vAlign w:val="bottom"/>
            <w:gridSpan w:val="9"/>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Balance Sheets</w:t>
              </w:r>
            </w:hyperlink>
          </w:p>
        </w:tc>
        <w:tc>
          <w:tcPr>
            <w:tcW w:w="5680" w:type="dxa"/>
            <w:vAlign w:val="bottom"/>
            <w:gridSpan w:val="8"/>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 Condensed Consolidated Income Statements</w:t>
              </w:r>
            </w:hyperlink>
          </w:p>
        </w:tc>
        <w:tc>
          <w:tcPr>
            <w:tcW w:w="540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2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Unaudited Condensed Consolidated Statements of Redeemable Noncontrolling Interest and Stockholders’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520" w:type="dxa"/>
            <w:vAlign w:val="bottom"/>
            <w:tcBorders>
              <w:top w:val="single" w:sz="8" w:color="0000EE"/>
              <w:bottom w:val="single" w:sz="8" w:color="0000EE"/>
            </w:tcBorders>
            <w:gridSpan w:val="11"/>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Condensed Consolidated Statements of Cash Flows</w:t>
              </w:r>
            </w:hyperlink>
          </w:p>
        </w:tc>
        <w:tc>
          <w:tcPr>
            <w:tcW w:w="3640" w:type="dxa"/>
            <w:vAlign w:val="bottom"/>
            <w:tcBorders>
              <w:top w:val="single" w:sz="8" w:color="0000EE"/>
            </w:tcBorders>
            <w:gridSpan w:val="4"/>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4620" w:type="dxa"/>
            <w:vAlign w:val="bottom"/>
            <w:gridSpan w:val="4"/>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296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Controls and Procedures</w:t>
              </w:r>
            </w:hyperlink>
          </w:p>
        </w:tc>
        <w:tc>
          <w:tcPr>
            <w:tcW w:w="2580" w:type="dxa"/>
            <w:vAlign w:val="bottom"/>
            <w:tcBorders>
              <w:top w:val="single" w:sz="8" w:color="0000EE"/>
            </w:tcBorders>
            <w:gridSpan w:val="5"/>
          </w:tcPr>
          <w:p>
            <w:pPr>
              <w:spacing w:after="0"/>
              <w:rPr>
                <w:sz w:val="19"/>
                <w:szCs w:val="19"/>
                <w:color w:val="auto"/>
              </w:rPr>
            </w:pPr>
          </w:p>
        </w:tc>
        <w:tc>
          <w:tcPr>
            <w:tcW w:w="5060" w:type="dxa"/>
            <w:vAlign w:val="bottom"/>
            <w:gridSpan w:val="6"/>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6"/>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OTHER INFORMATION</w:t>
              </w:r>
            </w:hyperlink>
          </w:p>
        </w:tc>
        <w:tc>
          <w:tcPr>
            <w:tcW w:w="738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Risk Factors</w:t>
              </w:r>
            </w:hyperlink>
          </w:p>
        </w:tc>
        <w:tc>
          <w:tcPr>
            <w:tcW w:w="420" w:type="dxa"/>
            <w:vAlign w:val="bottom"/>
            <w:tcBorders>
              <w:top w:val="single" w:sz="8" w:color="0000EE"/>
            </w:tcBorders>
          </w:tcPr>
          <w:p>
            <w:pPr>
              <w:spacing w:after="0"/>
              <w:rPr>
                <w:sz w:val="19"/>
                <w:szCs w:val="19"/>
                <w:color w:val="auto"/>
              </w:rPr>
            </w:pPr>
          </w:p>
        </w:tc>
        <w:tc>
          <w:tcPr>
            <w:tcW w:w="8080" w:type="dxa"/>
            <w:vAlign w:val="bottom"/>
            <w:gridSpan w:val="13"/>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1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1180" w:type="dxa"/>
            <w:vAlign w:val="bottom"/>
            <w:gridSpan w:val="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Signatures</w:t>
              </w:r>
            </w:hyperlink>
          </w:p>
        </w:tc>
        <w:tc>
          <w:tcPr>
            <w:tcW w:w="60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35" w:lineRule="exact"/>
        <w:rPr>
          <w:sz w:val="20"/>
          <w:szCs w:val="20"/>
          <w:color w:val="auto"/>
        </w:rPr>
      </w:pPr>
    </w:p>
    <w:p>
      <w:pPr>
        <w:jc w:val="both"/>
        <w:ind w:firstLine="509"/>
        <w:spacing w:after="0" w:line="22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111"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growth strategies and our ability to effectively manage any growth;</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value proposition of our product offerings for dealers and consumers;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deliver quality leads at a high volume for our dealer customers;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maintain and acquire new customers;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maintain and build our brand;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succeed internationally;</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31" w:lineRule="exact"/>
        <w:rPr>
          <w:sz w:val="20"/>
          <w:szCs w:val="20"/>
          <w:color w:val="auto"/>
        </w:rPr>
      </w:pPr>
    </w:p>
    <w:p>
      <w:pPr>
        <w:ind w:left="840" w:right="20"/>
        <w:spacing w:after="0" w:line="293" w:lineRule="auto"/>
        <w:rPr>
          <w:sz w:val="20"/>
          <w:szCs w:val="20"/>
          <w:color w:val="auto"/>
        </w:rPr>
      </w:pPr>
      <w:r>
        <w:rPr>
          <w:rFonts w:ascii="Arial" w:cs="Arial" w:eastAsia="Arial" w:hAnsi="Arial"/>
          <w:sz w:val="18"/>
          <w:szCs w:val="18"/>
          <w:color w:val="auto"/>
        </w:rPr>
        <w:t>our expectations regarding future share issuances and the exercise of put and call rights in connection with potentially acquiring additional equity interests in CarOffer, LLC, as well as the associated valuation of redeemable noncontrolling interests;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competition in our industry and innovation by our competitors;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accounting pronouncements;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litigation;</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hire and retain necessary qualified employees to expand our operations;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adequately protect our intellectual property;</w:t>
      </w:r>
    </w:p>
    <w:p>
      <w:pPr>
        <w:spacing w:after="0" w:line="131"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expectations regarding cash generation and the sufficiency of our cash to fund our operations;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future trading prices of our Class A common stock;</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expectation that we will realize the benefits of deferred tax assets;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expected returns on investments;</w:t>
      </w:r>
    </w:p>
    <w:p>
      <w:pPr>
        <w:spacing w:after="0" w:line="131"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outlook for our Restricted Listings product;</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expectations regarding future fee reductions for customers; 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impacts of the COVID-19 pandemic.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both"/>
        <w:ind w:firstLine="509"/>
        <w:spacing w:after="0" w:line="229"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22"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At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At</w:t>
            </w:r>
          </w:p>
        </w:tc>
        <w:tc>
          <w:tcPr>
            <w:tcW w:w="60" w:type="dxa"/>
            <w:vAlign w:val="bottom"/>
          </w:tcPr>
          <w:p>
            <w:pPr>
              <w:spacing w:after="0"/>
              <w:rPr>
                <w:sz w:val="15"/>
                <w:szCs w:val="15"/>
                <w:color w:val="auto"/>
              </w:rPr>
            </w:pPr>
          </w:p>
        </w:tc>
      </w:tr>
      <w:tr>
        <w:trPr>
          <w:trHeight w:val="176"/>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5"/>
                <w:szCs w:val="15"/>
                <w:color w:val="auto"/>
              </w:rPr>
            </w:pPr>
          </w:p>
        </w:tc>
      </w:t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231,091</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190,299</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19"/>
                <w:szCs w:val="19"/>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 for doubtful accounts of $602</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6"/>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$616, respectively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85,182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18,235</w:t>
            </w:r>
          </w:p>
        </w:tc>
        <w:tc>
          <w:tcPr>
            <w:tcW w:w="6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prepaid income taxes and other current assets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10,807</w:t>
            </w:r>
          </w:p>
        </w:tc>
        <w:tc>
          <w:tcPr>
            <w:tcW w:w="6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5,753</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441,509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331,976</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29,569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27,483</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10,862</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155,707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29,129</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63,841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60,835</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10,377</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19,774</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contract costs, net of current portion</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9,189</w:t>
            </w:r>
          </w:p>
        </w:tc>
        <w:tc>
          <w:tcPr>
            <w:tcW w:w="6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60" w:type="dxa"/>
            <w:vAlign w:val="bottom"/>
          </w:tcPr>
          <w:p>
            <w:pPr>
              <w:spacing w:after="0"/>
              <w:rPr>
                <w:sz w:val="19"/>
                <w:szCs w:val="19"/>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819,917</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502,298</w:t>
            </w:r>
          </w:p>
        </w:tc>
        <w:tc>
          <w:tcPr>
            <w:tcW w:w="60" w:type="dxa"/>
            <w:vAlign w:val="bottom"/>
            <w:shd w:val="clear" w:color="auto" w:fill="CFF0FC"/>
          </w:tcPr>
          <w:p>
            <w:pPr>
              <w:spacing w:after="0"/>
              <w:rPr>
                <w:sz w:val="22"/>
                <w:szCs w:val="22"/>
                <w:color w:val="auto"/>
              </w:rPr>
            </w:pPr>
          </w:p>
        </w:tc>
      </w:tr>
      <w:tr>
        <w:trPr>
          <w:trHeight w:val="20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55,340</w:t>
            </w: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21,563</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accrued income taxes and other current liabilities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21,922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24,751</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12,517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9,137</w:t>
            </w:r>
          </w:p>
        </w:tc>
        <w:tc>
          <w:tcPr>
            <w:tcW w:w="6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12,671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102,450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66,536</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61,013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58,810</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w:t>
            </w:r>
          </w:p>
        </w:tc>
        <w:tc>
          <w:tcPr>
            <w:tcW w:w="6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176,028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128,712</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9)</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54,633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Preferred stock, $0.001 par value; 10,000,000 shares authorized;</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no shares issued and outstanding</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Class A common stock, $0.001 par value per share; 500,000,000 shares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authorized; 101,003,874 and 94,310,309 shares issued and outstanding</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6"/>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at September 30, 2021 and December 31, 2020, respectively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60" w:type="dxa"/>
            <w:vAlign w:val="bottom"/>
            <w:shd w:val="clear" w:color="auto" w:fill="CFF0FC"/>
          </w:tcPr>
          <w:p>
            <w:pPr>
              <w:spacing w:after="0"/>
              <w:rPr>
                <w:sz w:val="19"/>
                <w:szCs w:val="19"/>
                <w:color w:val="auto"/>
              </w:rPr>
            </w:pP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Class B common stock, $0.001 par value per share; 100,000,000 shares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authorized; 16,470,842 and 19,076,500 shares issued and outstanding</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at September 30, 2021 and December 31, 2020, respectively</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379,808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242,181</w:t>
            </w:r>
          </w:p>
        </w:tc>
        <w:tc>
          <w:tcPr>
            <w:tcW w:w="6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209,024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129,412</w:t>
            </w:r>
          </w:p>
        </w:tc>
        <w:tc>
          <w:tcPr>
            <w:tcW w:w="6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1,880</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589,256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373,586</w:t>
            </w:r>
          </w:p>
        </w:tc>
        <w:tc>
          <w:tcPr>
            <w:tcW w:w="6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redeemable noncontrolling interest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819,917</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502,298</w:t>
            </w:r>
          </w:p>
        </w:tc>
        <w:tc>
          <w:tcPr>
            <w:tcW w:w="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-5405755</wp:posOffset>
            </wp:positionV>
            <wp:extent cx="1631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-5405755</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-3933825</wp:posOffset>
            </wp:positionV>
            <wp:extent cx="163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-3916680</wp:posOffset>
            </wp:positionV>
            <wp:extent cx="163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-3933825</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-3916680</wp:posOffset>
            </wp:positionV>
            <wp:extent cx="431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-3030855</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-3030855</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-2439670</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-2439670</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-330835</wp:posOffset>
            </wp:positionV>
            <wp:extent cx="1631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-330835</wp:posOffset>
            </wp:positionV>
            <wp:extent cx="431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63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63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CarGurus, Inc.</w:t>
      </w:r>
    </w:p>
    <w:p>
      <w:pPr>
        <w:spacing w:after="0" w:line="1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222,915</w:t>
            </w:r>
          </w:p>
        </w:tc>
        <w:tc>
          <w:tcPr>
            <w:tcW w:w="7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147,472</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612,031</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399,898</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7"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60,033</w:t>
            </w: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134,408</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162,882</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137,710</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477,623</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66,626</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57,618</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200,935</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189,796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0"/>
              <w:spacing w:after="0"/>
              <w:rPr>
                <w:sz w:val="20"/>
                <w:szCs w:val="20"/>
                <w:color w:val="auto"/>
              </w:rPr>
            </w:pPr>
            <w:r>
              <w:rPr>
                <w:rFonts w:ascii="Arial" w:cs="Arial" w:eastAsia="Arial" w:hAnsi="Arial"/>
                <w:sz w:val="18"/>
                <w:szCs w:val="18"/>
                <w:color w:val="auto"/>
              </w:rPr>
              <w:t>Product, technology,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26,539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79,333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14,279</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67,095</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44,297</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25,916</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122,806</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94,143</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373,279</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304,351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40,076</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43,567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104,344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40,219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104,770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29,267</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76,214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redeemable</w:t>
            </w:r>
          </w:p>
        </w:tc>
        <w:tc>
          <w:tcPr>
            <w:tcW w:w="340" w:type="dxa"/>
            <w:vAlign w:val="bottom"/>
            <w:shd w:val="clear" w:color="auto" w:fill="CFF0FC"/>
          </w:tcPr>
          <w:p>
            <w:pPr>
              <w:spacing w:after="0"/>
              <w:rPr>
                <w:sz w:val="21"/>
                <w:szCs w:val="21"/>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(3,398 )</w:t>
            </w:r>
          </w:p>
        </w:tc>
        <w:tc>
          <w:tcPr>
            <w:tcW w:w="38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240" w:type="dxa"/>
            <w:vAlign w:val="bottom"/>
            <w:tcBorders>
              <w:top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20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79,612</w:t>
            </w:r>
          </w:p>
        </w:tc>
        <w:tc>
          <w:tcPr>
            <w:tcW w:w="20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attributable to common</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 (Note 11)</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7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of common</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60"/>
              <w:spacing w:after="0"/>
              <w:rPr>
                <w:sz w:val="20"/>
                <w:szCs w:val="20"/>
                <w:color w:val="auto"/>
              </w:rPr>
            </w:pPr>
            <w:r>
              <w:rPr>
                <w:rFonts w:ascii="Arial" w:cs="Arial" w:eastAsia="Arial" w:hAnsi="Arial"/>
                <w:sz w:val="18"/>
                <w:szCs w:val="18"/>
                <w:color w:val="auto"/>
              </w:rPr>
              <w:t>stock used in computing net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117,412,164</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113,027,995</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116,955,188</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112,707,003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120,438,373</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113,966,863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119,051,228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113,732,616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-2790825</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-2790825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-2790825</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-2790825</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-2456815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-2456815</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-2456815</wp:posOffset>
            </wp:positionV>
            <wp:extent cx="1371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-2456815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-2122170</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-2122170</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-2122170</wp:posOffset>
            </wp:positionV>
            <wp:extent cx="1371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-2122170</wp:posOffset>
            </wp:positionV>
            <wp:extent cx="514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-1651000</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-1651000</wp:posOffset>
            </wp:positionV>
            <wp:extent cx="13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-1651000</wp:posOffset>
            </wp:positionV>
            <wp:extent cx="13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-1651000</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-796290</wp:posOffset>
            </wp:positionV>
            <wp:extent cx="154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-779780</wp:posOffset>
            </wp:positionV>
            <wp:extent cx="154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-796290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-779780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-796290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-779780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-796290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-779780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63" w:lineRule="exact"/>
        <w:rPr>
          <w:sz w:val="20"/>
          <w:szCs w:val="20"/>
          <w:color w:val="auto"/>
        </w:rPr>
      </w:pPr>
    </w:p>
    <w:p>
      <w:pPr>
        <w:ind w:left="340" w:hanging="332"/>
        <w:spacing w:after="0" w:line="228" w:lineRule="auto"/>
        <w:tabs>
          <w:tab w:leader="none" w:pos="340"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Includes depreciation and amortization expense for the three months ended September 30, 2021 and 2020 and for the nine months ended September 30, 2021 and 2020 of $1,429, $944, $3,571, and $4,250, respectively.</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income</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29,267</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32,563</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76,214</w:t>
            </w:r>
          </w:p>
        </w:tc>
        <w:tc>
          <w:tcPr>
            <w:tcW w:w="22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(738 )</w:t>
            </w:r>
          </w:p>
        </w:tc>
        <w:tc>
          <w:tcPr>
            <w:tcW w:w="5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(1,573 )</w:t>
            </w:r>
          </w:p>
        </w:tc>
        <w:tc>
          <w:tcPr>
            <w:tcW w:w="5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Consolidated comprehensive income</w:t>
            </w:r>
          </w:p>
        </w:tc>
        <w:tc>
          <w:tcPr>
            <w:tcW w:w="8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28,529</w:t>
            </w:r>
          </w:p>
        </w:tc>
        <w:tc>
          <w:tcPr>
            <w:tcW w:w="240" w:type="dxa"/>
            <w:vAlign w:val="bottom"/>
            <w:tcBorders>
              <w:top w:val="single" w:sz="8" w:color="CFF0FC"/>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33,576</w:t>
            </w:r>
          </w:p>
        </w:tc>
        <w:tc>
          <w:tcPr>
            <w:tcW w:w="20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74,641</w:t>
            </w:r>
          </w:p>
        </w:tc>
        <w:tc>
          <w:tcPr>
            <w:tcW w:w="22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53,391</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comprehensive income (loss) attributable to</w:t>
            </w:r>
          </w:p>
        </w:tc>
        <w:tc>
          <w:tcPr>
            <w:tcW w:w="860" w:type="dxa"/>
            <w:vAlign w:val="bottom"/>
            <w:shd w:val="clear" w:color="auto" w:fill="CFF0FC"/>
          </w:tcPr>
          <w:p>
            <w:pPr>
              <w:spacing w:after="0"/>
              <w:rPr>
                <w:sz w:val="21"/>
                <w:szCs w:val="2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(3,398 )</w:t>
            </w:r>
          </w:p>
        </w:tc>
        <w:tc>
          <w:tcPr>
            <w:tcW w:w="50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redeemable noncontrolling interests</w:t>
            </w:r>
          </w:p>
        </w:tc>
        <w:tc>
          <w:tcPr>
            <w:tcW w:w="860" w:type="dxa"/>
            <w:vAlign w:val="bottom"/>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Comprehensive income attributable to common</w:t>
            </w:r>
          </w:p>
        </w:tc>
        <w:tc>
          <w:tcPr>
            <w:tcW w:w="860" w:type="dxa"/>
            <w:vAlign w:val="bottom"/>
            <w:tcBorders>
              <w:top w:val="single" w:sz="8" w:color="auto"/>
            </w:tcBorders>
            <w:vMerge w:val="restart"/>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28,461</w:t>
            </w:r>
          </w:p>
        </w:tc>
        <w:tc>
          <w:tcPr>
            <w:tcW w:w="24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33,576</w:t>
            </w:r>
          </w:p>
        </w:tc>
        <w:tc>
          <w:tcPr>
            <w:tcW w:w="200" w:type="dxa"/>
            <w:vAlign w:val="bottom"/>
            <w:tcBorders>
              <w:top w:val="single" w:sz="8" w:color="CFF0FC"/>
            </w:tcBorders>
            <w:vMerge w:val="restart"/>
          </w:tcPr>
          <w:p>
            <w:pPr>
              <w:spacing w:after="0"/>
              <w:rPr>
                <w:sz w:val="20"/>
                <w:szCs w:val="20"/>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78,039</w:t>
            </w:r>
          </w:p>
        </w:tc>
        <w:tc>
          <w:tcPr>
            <w:tcW w:w="22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53,391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8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-784860</wp:posOffset>
            </wp:positionV>
            <wp:extent cx="1543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-784860</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-784860</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-784860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-313690</wp:posOffset>
            </wp:positionV>
            <wp:extent cx="1543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-313690</wp:posOffset>
            </wp:positionV>
            <wp:extent cx="1371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-313690</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CarGurus,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60" w:type="dxa"/>
            <w:vAlign w:val="bottom"/>
            <w:gridSpan w:val="3"/>
            <w:vMerge w:val="restart"/>
          </w:tcPr>
          <w:p>
            <w:pPr>
              <w:jc w:val="right"/>
              <w:ind w:right="411"/>
              <w:spacing w:after="0"/>
              <w:rPr>
                <w:sz w:val="20"/>
                <w:szCs w:val="20"/>
                <w:color w:val="auto"/>
              </w:rPr>
            </w:pPr>
            <w:r>
              <w:rPr>
                <w:rFonts w:ascii="Arial" w:cs="Arial" w:eastAsia="Arial" w:hAnsi="Arial"/>
                <w:sz w:val="11"/>
                <w:szCs w:val="11"/>
                <w:b w:val="1"/>
                <w:bCs w:val="1"/>
                <w:color w:val="auto"/>
              </w:rPr>
              <w:t>Class A</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vMerge w:val="restart"/>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83"/>
              </w:rPr>
              <w:t>Redeemable</w:t>
            </w:r>
          </w:p>
        </w:tc>
        <w:tc>
          <w:tcPr>
            <w:tcW w:w="1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Comprehensiv</w:t>
            </w:r>
          </w:p>
        </w:tc>
        <w:tc>
          <w:tcPr>
            <w:tcW w:w="14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Noncontrolling</w:t>
            </w:r>
          </w:p>
        </w:tc>
        <w:tc>
          <w:tcPr>
            <w:tcW w:w="14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w w:val="94"/>
              </w:rPr>
              <w:t>Retained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71"/>
              </w:rPr>
              <w:t>e</w:t>
            </w:r>
          </w:p>
        </w:tc>
        <w:tc>
          <w:tcPr>
            <w:tcW w:w="7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Interest</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Earnings</w:t>
            </w:r>
          </w:p>
        </w:tc>
        <w:tc>
          <w:tcPr>
            <w:tcW w:w="12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Income (Loss)</w:t>
            </w:r>
          </w:p>
        </w:tc>
        <w:tc>
          <w:tcPr>
            <w:tcW w:w="14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2020</w:t>
            </w: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94,310,309</w:t>
            </w:r>
          </w:p>
        </w:tc>
        <w:tc>
          <w:tcPr>
            <w:tcW w:w="1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19,076,500</w:t>
            </w:r>
          </w:p>
        </w:tc>
        <w:tc>
          <w:tcPr>
            <w:tcW w:w="16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19</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242,181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129,412</w:t>
            </w:r>
          </w:p>
        </w:tc>
        <w:tc>
          <w:tcPr>
            <w:tcW w:w="2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1,880</w:t>
            </w:r>
          </w:p>
        </w:tc>
        <w:tc>
          <w:tcPr>
            <w:tcW w:w="1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373,586</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(2,810 )</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22,361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14,929</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14,929</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93,455</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473,883</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(1 )</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on net share settlements of equity awards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(162,950 )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(5,041 )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(5,041 )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929,597</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(929,597 )</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(1 )</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for acquisition</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3,115,282</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103,642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103,645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Acquisition of a 51% interest in CarOffer, LLC</w:t>
            </w: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58,031</w:t>
            </w:r>
          </w:p>
        </w:tc>
        <w:tc>
          <w:tcPr>
            <w:tcW w:w="160" w:type="dxa"/>
            <w:vAlign w:val="bottom"/>
            <w:tcBorders>
              <w:bottom w:val="single" w:sz="8" w:color="CFF0FC"/>
              <w:right w:val="single" w:sz="8" w:color="auto"/>
            </w:tcBorders>
            <w:shd w:val="clear" w:color="auto" w:fill="CFF0FC"/>
          </w:tcPr>
          <w:p>
            <w:pPr>
              <w:spacing w:after="0"/>
              <w:rPr>
                <w:sz w:val="12"/>
                <w:szCs w:val="12"/>
                <w:color w:val="auto"/>
              </w:rPr>
            </w:pP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(1,083 )</w:t>
            </w: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(1,083 )</w:t>
            </w:r>
          </w:p>
        </w:tc>
        <w:tc>
          <w:tcPr>
            <w:tcW w:w="0" w:type="dxa"/>
            <w:vAlign w:val="bottom"/>
          </w:tcPr>
          <w:p>
            <w:pPr>
              <w:spacing w:after="0"/>
              <w:rPr>
                <w:sz w:val="1"/>
                <w:szCs w:val="1"/>
                <w:color w:val="auto"/>
              </w:rPr>
            </w:pPr>
          </w:p>
        </w:tc>
      </w:tr>
      <w:tr>
        <w:trPr>
          <w:trHeight w:val="15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March 31, 2021</w:t>
            </w: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55,221</w:t>
            </w:r>
          </w:p>
        </w:tc>
        <w:tc>
          <w:tcPr>
            <w:tcW w:w="160" w:type="dxa"/>
            <w:vAlign w:val="bottom"/>
            <w:tcBorders>
              <w:bottom w:val="single" w:sz="8" w:color="CFF0FC"/>
              <w:right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98,759,576</w:t>
            </w:r>
          </w:p>
        </w:tc>
        <w:tc>
          <w:tcPr>
            <w:tcW w:w="16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w:t>
            </w:r>
          </w:p>
        </w:tc>
        <w:tc>
          <w:tcPr>
            <w:tcW w:w="16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18,146,903</w:t>
            </w:r>
          </w:p>
        </w:tc>
        <w:tc>
          <w:tcPr>
            <w:tcW w:w="16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18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355,968</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151,773</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797</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508,655</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(656 )</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28,052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28,052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15,253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15,253</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36,027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391,468</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on net share settlements of equity awards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(126,703 )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(3,167 )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(3,167 )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2021</w:t>
            </w:r>
          </w:p>
        </w:tc>
        <w:tc>
          <w:tcPr>
            <w:tcW w:w="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54,565</w:t>
            </w:r>
          </w:p>
        </w:tc>
        <w:tc>
          <w:tcPr>
            <w:tcW w:w="160" w:type="dxa"/>
            <w:vAlign w:val="bottom"/>
            <w:tcBorders>
              <w:bottom w:val="single" w:sz="8" w:color="CFF0FC"/>
              <w:right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99,060,368</w:t>
            </w:r>
          </w:p>
        </w:tc>
        <w:tc>
          <w:tcPr>
            <w:tcW w:w="16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w:t>
            </w:r>
          </w:p>
        </w:tc>
        <w:tc>
          <w:tcPr>
            <w:tcW w:w="16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18,146,903</w:t>
            </w:r>
          </w:p>
        </w:tc>
        <w:tc>
          <w:tcPr>
            <w:tcW w:w="16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18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368,194</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179,825</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1,045</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549,181</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w:t>
            </w:r>
          </w:p>
        </w:tc>
        <w:tc>
          <w:tcPr>
            <w:tcW w:w="160" w:type="dxa"/>
            <w:vAlign w:val="bottom"/>
            <w:tcBorders>
              <w:right w:val="single" w:sz="8" w:color="auto"/>
            </w:tcBorders>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29,199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29,199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14,581</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14,581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43,909</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338,509</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on net share settlements of equity awards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(114,973 )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(3,106 )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(3,106 )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1,676,061</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(1,676,061 )</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(2 )</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(738 )</w:t>
            </w: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(738 )</w:t>
            </w:r>
          </w:p>
        </w:tc>
        <w:tc>
          <w:tcPr>
            <w:tcW w:w="0" w:type="dxa"/>
            <w:vAlign w:val="bottom"/>
          </w:tcPr>
          <w:p>
            <w:pPr>
              <w:spacing w:after="0"/>
              <w:rPr>
                <w:sz w:val="1"/>
                <w:szCs w:val="1"/>
                <w:color w:val="auto"/>
              </w:rPr>
            </w:pPr>
          </w:p>
        </w:tc>
      </w:tr>
      <w:tr>
        <w:trPr>
          <w:trHeight w:val="205"/>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September 30, 2021</w:t>
            </w:r>
          </w:p>
        </w:tc>
        <w:tc>
          <w:tcPr>
            <w:tcW w:w="8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54,633</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101,003,874</w:t>
            </w:r>
          </w:p>
        </w:tc>
        <w:tc>
          <w:tcPr>
            <w:tcW w:w="1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CFF0FC"/>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76"/>
              </w:rPr>
              <w:t>101</w:t>
            </w: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16,470,842</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16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379,808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209,024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307</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589,256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CFF0FC"/>
              <w:right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2019</w:t>
            </w: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91,819,649</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92</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20,314,644</w:t>
            </w: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20</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205,234</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51,859</w:t>
            </w:r>
          </w:p>
        </w:tc>
        <w:tc>
          <w:tcPr>
            <w:tcW w:w="2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(350 )</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256,855</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11,793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11,793</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160,668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308,303</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(1 )</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on net share settlements of equity awards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(106,934 )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(3,397 )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(3,397 )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335,741</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(335,741 )</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(493 )</w:t>
            </w: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(493 )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6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March 31, 2020</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92,517,427</w:t>
            </w: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19,978,903</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20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214,143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64,555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(843 )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277,968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Net income</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right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7,131</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7,131</w:t>
            </w: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12,249</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12,249</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84,796</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375,645</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and option costs on net share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60" w:type="dxa"/>
            <w:vAlign w:val="bottom"/>
          </w:tcPr>
          <w:p>
            <w:pPr>
              <w:ind w:left="100"/>
              <w:spacing w:after="0"/>
              <w:rPr>
                <w:sz w:val="20"/>
                <w:szCs w:val="20"/>
                <w:color w:val="auto"/>
              </w:rPr>
            </w:pPr>
            <w:r>
              <w:rPr>
                <w:rFonts w:ascii="Arial" w:cs="Arial" w:eastAsia="Arial" w:hAnsi="Arial"/>
                <w:sz w:val="11"/>
                <w:szCs w:val="11"/>
                <w:color w:val="auto"/>
              </w:rPr>
              <w:t>settlement of restricted stock units and stock options</w:t>
            </w:r>
          </w:p>
        </w:tc>
        <w:tc>
          <w:tcPr>
            <w:tcW w:w="8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(119,009 )</w:t>
            </w:r>
          </w:p>
        </w:tc>
        <w:tc>
          <w:tcPr>
            <w:tcW w:w="5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(2,389 )</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(2,389 )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3,748</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(3,748 )</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June 30, 2020</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92,862,607</w:t>
            </w: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19,975,155</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20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224,418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71,686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(362 )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295,855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Net income</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right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32,563</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32,563</w:t>
            </w: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11,684</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11,684</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31,523</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335,153</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60" w:type="dxa"/>
            <w:vAlign w:val="bottom"/>
          </w:tcPr>
          <w:p>
            <w:pPr>
              <w:ind w:left="20"/>
              <w:spacing w:after="0"/>
              <w:rPr>
                <w:sz w:val="20"/>
                <w:szCs w:val="20"/>
                <w:color w:val="auto"/>
              </w:rPr>
            </w:pPr>
            <w:r>
              <w:rPr>
                <w:rFonts w:ascii="Arial" w:cs="Arial" w:eastAsia="Arial" w:hAnsi="Arial"/>
                <w:sz w:val="11"/>
                <w:szCs w:val="11"/>
                <w:color w:val="auto"/>
              </w:rPr>
              <w:t>Payment of withholding taxes on net share settlements of equity awards</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(111,370 )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(2,922 )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(2,922 )</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898,655</w:t>
            </w:r>
          </w:p>
        </w:tc>
        <w:tc>
          <w:tcPr>
            <w:tcW w:w="1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(898,655 )</w:t>
            </w: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(1 )</w:t>
            </w: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5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1,013</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September 30, 2020</w:t>
            </w: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94,016,568</w:t>
            </w:r>
          </w:p>
        </w:tc>
        <w:tc>
          <w:tcPr>
            <w:tcW w:w="1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19,076,500</w:t>
            </w: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ind w:right="446"/>
              <w:spacing w:after="0"/>
              <w:rPr>
                <w:sz w:val="20"/>
                <w:szCs w:val="20"/>
                <w:color w:val="auto"/>
              </w:rPr>
            </w:pPr>
            <w:r>
              <w:rPr>
                <w:rFonts w:ascii="Arial" w:cs="Arial" w:eastAsia="Arial" w:hAnsi="Arial"/>
                <w:sz w:val="11"/>
                <w:szCs w:val="11"/>
                <w:color w:val="auto"/>
                <w:w w:val="97"/>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19</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233,246</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104,249</w:t>
            </w:r>
          </w:p>
        </w:tc>
        <w:tc>
          <w:tcPr>
            <w:tcW w:w="2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651</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338,259</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-5798185</wp:posOffset>
            </wp:positionV>
            <wp:extent cx="3429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-4761230</wp:posOffset>
            </wp:positionV>
            <wp:extent cx="102870" cy="248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-4531360</wp:posOffset>
            </wp:positionV>
            <wp:extent cx="1028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-4531360</wp:posOffset>
            </wp:positionV>
            <wp:extent cx="939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-4531360</wp:posOffset>
            </wp:positionV>
            <wp:extent cx="1028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-4531360</wp:posOffset>
            </wp:positionV>
            <wp:extent cx="857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-4531360</wp:posOffset>
            </wp:positionV>
            <wp:extent cx="857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-4531360</wp:posOffset>
            </wp:positionV>
            <wp:extent cx="7747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-4531360</wp:posOffset>
            </wp:positionV>
            <wp:extent cx="857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-4531360</wp:posOffset>
            </wp:positionV>
            <wp:extent cx="342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-3921125</wp:posOffset>
            </wp:positionV>
            <wp:extent cx="102870" cy="248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-3691255</wp:posOffset>
            </wp:positionV>
            <wp:extent cx="10287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-3691255</wp:posOffset>
            </wp:positionV>
            <wp:extent cx="939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-3691255</wp:posOffset>
            </wp:positionV>
            <wp:extent cx="10287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-3691255</wp:posOffset>
            </wp:positionV>
            <wp:extent cx="857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-3691255</wp:posOffset>
            </wp:positionV>
            <wp:extent cx="857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-3691255</wp:posOffset>
            </wp:positionV>
            <wp:extent cx="7747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-3691255</wp:posOffset>
            </wp:positionV>
            <wp:extent cx="857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-3691255</wp:posOffset>
            </wp:positionV>
            <wp:extent cx="342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-3081020</wp:posOffset>
            </wp:positionV>
            <wp:extent cx="10287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-2853690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-2836545</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-2853690</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-2836545</wp:posOffset>
            </wp:positionV>
            <wp:extent cx="93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-2853690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-2836545</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-2853690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-2836545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-2853690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-2836545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-2853690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-2836545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-2853690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-2836545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-2853690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-2836545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-2018030</wp:posOffset>
            </wp:positionV>
            <wp:extent cx="102870"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-1788160</wp:posOffset>
            </wp:positionV>
            <wp:extent cx="10287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-1788160</wp:posOffset>
            </wp:positionV>
            <wp:extent cx="939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-1788160</wp:posOffset>
            </wp:positionV>
            <wp:extent cx="10287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-1788160</wp:posOffset>
            </wp:positionV>
            <wp:extent cx="857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-1788160</wp:posOffset>
            </wp:positionV>
            <wp:extent cx="857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-1788160</wp:posOffset>
            </wp:positionV>
            <wp:extent cx="7747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-1788160</wp:posOffset>
            </wp:positionV>
            <wp:extent cx="857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-1788160</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-1092200</wp:posOffset>
            </wp:positionV>
            <wp:extent cx="102870" cy="248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-862330</wp:posOffset>
            </wp:positionV>
            <wp:extent cx="10287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-862330</wp:posOffset>
            </wp:positionV>
            <wp:extent cx="939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-862330</wp:posOffset>
            </wp:positionV>
            <wp:extent cx="10287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-862330</wp:posOffset>
            </wp:positionV>
            <wp:extent cx="857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-862330</wp:posOffset>
            </wp:positionV>
            <wp:extent cx="857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-862330</wp:posOffset>
            </wp:positionV>
            <wp:extent cx="7747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-862330</wp:posOffset>
            </wp:positionV>
            <wp:extent cx="857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-862330</wp:posOffset>
            </wp:positionV>
            <wp:extent cx="342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-252095</wp:posOffset>
            </wp:positionV>
            <wp:extent cx="102870" cy="265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6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Consolidated net income</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52,390</w:t>
            </w:r>
          </w:p>
        </w:tc>
        <w:tc>
          <w:tcPr>
            <w:tcW w:w="100" w:type="dxa"/>
            <w:vAlign w:val="bottom"/>
          </w:tcPr>
          <w:p>
            <w:pPr>
              <w:spacing w:after="0"/>
              <w:rPr>
                <w:sz w:val="21"/>
                <w:szCs w:val="2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consolidated net income to net cash provided</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by operating activities: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gain on foreign denominated transactions</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(72 )</w:t>
            </w: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(32 )</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deferred contract costs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Impairment of website development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(51,595 )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(4,057 )</w:t>
            </w: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Prepaid expenses, prepaid income taxes, and other assets</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(2,970 )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contract costs</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(6,522 )</w:t>
            </w: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(6,922 )</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(19,745 )</w:t>
            </w: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accrued income taxes, and other liabilities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(313 )</w:t>
            </w:r>
          </w:p>
        </w:tc>
      </w:tr>
      <w:tr>
        <w:trPr>
          <w:trHeight w:val="257"/>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obligations</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108,806</w:t>
            </w:r>
          </w:p>
        </w:tc>
        <w:tc>
          <w:tcPr>
            <w:tcW w:w="100" w:type="dxa"/>
            <w:vAlign w:val="bottom"/>
          </w:tcPr>
          <w:p>
            <w:pPr>
              <w:spacing w:after="0"/>
              <w:rPr>
                <w:sz w:val="21"/>
                <w:szCs w:val="21"/>
                <w:color w:val="auto"/>
              </w:rPr>
            </w:pPr>
          </w:p>
        </w:tc>
      </w:tr>
      <w:tr>
        <w:trPr>
          <w:trHeight w:val="25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(4,935 )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(2,732 )</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of website development costs</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(4,145 )</w:t>
            </w: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(3,045 )</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(64,273 )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(21,056 )</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certificates of deposit</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(90,000 )</w:t>
            </w: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Maturities of certificates of deposit</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Pr>
          <w:p>
            <w:pPr>
              <w:spacing w:after="0"/>
              <w:rPr>
                <w:sz w:val="21"/>
                <w:szCs w:val="21"/>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(63,353 )</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84,859</w:t>
            </w: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Payment of finance lease obligations</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units and stock options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(11,314 )</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(8,708 )</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Repayment of line of credit</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(14,250 )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(25,056 )</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(7,741 )</w:t>
            </w:r>
          </w:p>
        </w:tc>
      </w:tr>
      <w:tr>
        <w:trPr>
          <w:trHeight w:val="20"/>
        </w:trPr>
        <w:tc>
          <w:tcPr>
            <w:tcW w:w="76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9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(359 )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46,295</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186,095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200,926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tcPr>
          <w:p>
            <w:pPr>
              <w:spacing w:after="0"/>
              <w:rPr>
                <w:sz w:val="21"/>
                <w:szCs w:val="21"/>
                <w:color w:val="auto"/>
              </w:rPr>
            </w:pPr>
          </w:p>
        </w:tc>
      </w:tr>
      <w:tr>
        <w:trPr>
          <w:trHeight w:val="29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247,221</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21,798</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Unpaid purchases of property and equipment and internal-use software</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stock-based compensation expense in website development and</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internal-use software costs</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Obtaining a right-of-use asset in exchange for a finance lease liability</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Obtaining a right-of-use asset in exchange for an operating lease liability</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stock for acquisition</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103,645</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-4608195</wp:posOffset>
            </wp:positionV>
            <wp:extent cx="18859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-4608195</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-3279775</wp:posOffset>
            </wp:positionV>
            <wp:extent cx="18859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-3279775</wp:posOffset>
            </wp:positionV>
            <wp:extent cx="596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8859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-2139315</wp:posOffset>
            </wp:positionV>
            <wp:extent cx="596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-1473835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-1473835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-1456690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89"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39"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The Company operates principally in the United States. In the United States, it also operates as independent brands the Autolist online marketplace, which it wholly owns, and the CarOffer, LLC (“CarOffer”) digital wholesale marketplace, in which it has a 51% interest. In addition to the United States, the Company operates online marketplaces under the CarGurus brand in Canada and the United Kingdom. In the United Kingdom, it also operates as an independent brand the PistonHeads online marketplace, which it wholly owns. The Company also operated online marketplaces in Germany, Italy, and Spain until it ceased the operations of each of these marketplaces in the second quarter of 2020.</w:t>
      </w:r>
    </w:p>
    <w:p>
      <w:pPr>
        <w:spacing w:after="0" w:line="174"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Company has subsidiaries in the United States, Canada, Ireland, and the United Kingdom. Additionally, it has two reportable segments, United States and International. See Note 13 of the Unaudited Condensed Consolidated Financial Statements included elsewhere in this Quarterly Report.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9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2021 and December 31, 2020, results of operations, comprehensive income, changes in shareholders’ equity for the three and nine months ended September 30, 2021 and 2020 and cash flows for the nine months ended September 30, 2021 and 2020. These interim period results are not necessarily indicative of the results to be expected for any other interim period or the full year.</w:t>
      </w:r>
    </w:p>
    <w:p>
      <w:pPr>
        <w:spacing w:after="0" w:line="18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2020, filed with the SEC on February 12, 2021 (the “Annual Report”).</w:t>
      </w:r>
    </w:p>
    <w:p>
      <w:pPr>
        <w:spacing w:after="0" w:line="1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While the Company disclosed other non-current liabilities separately in the Company's Quarterly Report on Form 10-Q for the quarter ended September 30, 2020, filed with the SEC on November 5, 2020, the accompanying Unaudited Condensed Consolidated Statements of Cash Flows for the nine months ended September 30, 2020 present other non-current liabilities with accrued expenses, accrued income taxes and other current liabilities to conform to the current year presentation, as other non-current liabilities did not meet the threshold for separate disclosure.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Principles of Consolidation</w:t>
      </w:r>
    </w:p>
    <w:p>
      <w:pPr>
        <w:spacing w:after="0" w:line="1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70"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sales allowance and variable consideration in the Company’s revenue recognition, allowance for doubtful accounts, the valuation of a redeemable noncontrolling interest, the valuation of equity and liability-classified compensation awards under ASC 718,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valuation and recoverability of goodwill and intangible assets and other long-lived assets, and the recoverability of the Company’s net deferred tax assets and related valuation allowance. Accordingly, the Company considers these to be its critical accounting policies, and believes that of the Company’s significant accounting policies, these policies involve the greatest degree of judgment and complexity.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31"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1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nine months ended September 30, 2021 and 2020, no individual customer accounted for more than 10% of total revenue.</w:t>
      </w:r>
    </w:p>
    <w:p>
      <w:pPr>
        <w:spacing w:after="0" w:line="250"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8"/>
          <w:szCs w:val="18"/>
          <w:color w:val="auto"/>
        </w:rPr>
        <w:t>As of September 30, 2021, two customers accounted for 30% and 15% of net accounts receivable, respectively. As of December 31, 2020, one customer accounted for approximately 10% of net accounts receivable.</w:t>
      </w:r>
    </w:p>
    <w:p>
      <w:pPr>
        <w:spacing w:after="0" w:line="15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Included in net accounts receivable at September 30, 2021 and December 31, 2020 are $6,694 and $7,426, respectively, of unbilled accounts receivable relating primarily to advertising customers billed in a period subsequent to services rendered.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September 30, 2021, the Company’s significant accounting policies and estimates, which are detailed in the Annual Report, have not changed, other than those impacted by the acquisition of a 51% interest in CarOffer and recently issued equity awards, as described below.</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Redeemable Noncontrolling Interest</w:t>
      </w:r>
    </w:p>
    <w:p>
      <w:pPr>
        <w:spacing w:after="0" w:line="13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connection with the Company’s acquisition of a 51% interest in CarOffer on January 14, 2021, the Company became a party with the noncontrolling equity holders of CarOffer to the CarOffer Operating Agreement (as defined in Note 4 of the Unaudited Condensed Consolidated Financial Statements included elsewhere in this Quarterly Report), which, among other matters, sets forth certain put and call rights described in Note 4 of the Unaudited Condensed Consolidated Financial Statements included elsewhere in this Quarterly Report. The CarOffer Operating Agreement provides the Company with the right to purchase, and the noncontrolling equity holders with the right to sell to the Company, the noncontrolling CarOffer equity holders’ equity interests in CarOffer at a contractually defined formulaic purchase price, which is based on a multiple of earnings. As the purchase is contingently redeemable at the option of the noncontrolling equity holders, the Company classifies the carrying amount of the redeemable noncontrolling interests in the mezzanine section on the Unaudited Condensed Consolidated Balance Sheet, which is presented above the equity section and below the liabilities section. As of the date of Closing (as defined in Note 4 of the Unaudited Condensed Consolidated Financial Statements included elsewhere in this Quarterly Report), the noncontrolling interest was recognized at fair value computed using the Least Square Monte Carlo Simulation approach. Significant inputs to the model include market price of risk, volatility, correlation and risk-free rate.</w:t>
      </w:r>
    </w:p>
    <w:p>
      <w:pPr>
        <w:spacing w:after="0" w:line="232"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Subsequent to the Company’s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income (loss) attributable to the noncontrolling interest. Adjustments to the carrying value of the redeemable noncontrolling interest resulting from changes in the redemption value are recorded through retained earnings in the Unaudited Condensed Consolidated Balance Sheet.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 – Wholesale and Other Revenue and Inventory</w:t>
      </w:r>
    </w:p>
    <w:p>
      <w:pPr>
        <w:spacing w:after="0" w:line="29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generates wholesale and other revenue primarily from revenue relating to the wholesale sale of automobiles, display advertising revenue from auto manufacturers and other auto-related brand advertisers and revenue from partnerships with financing services companies. CarOffer revenue is comprised entirely of wholesale revenue.</w:t>
      </w:r>
    </w:p>
    <w:p>
      <w:pPr>
        <w:spacing w:after="0" w:line="26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or directly from consumers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in these instances, CarOffer collects a transaction fee from the buyer. CarOffer also charges the buyer fees to perform inspection and transportation services for all wholesale transactions.</w:t>
      </w:r>
    </w:p>
    <w:p>
      <w:pPr>
        <w:spacing w:after="0" w:line="26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 facilitating the purchase and sale of vehicles between dealers, CarOffer generally does not control the vehicle and therefore acts as an agent in the transaction. Revenue earned from the fees for facilitating these transactions is recognized at a point in time when the vehicle is sold and revenue is recognized on a net basis.</w:t>
      </w:r>
    </w:p>
    <w:p>
      <w:pPr>
        <w:spacing w:after="0" w:line="26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For vehicles sold to dealers that are acquired at other marketplaces, CarOffer generally does not control the vehicle and therefore acts as an agent in the transaction. Revenue earned from the fees for facilitating these transactions is recognized at a point in time when the vehicle is sold and revenue is typically recognized on a net basis. In these situations, the inventory is recorded on the balance sheet for the short period of time CarOffer possesses the vehicle title and is valued at the lower of cost or net realizable value.</w:t>
      </w:r>
    </w:p>
    <w:p>
      <w:pPr>
        <w:spacing w:after="0" w:line="266"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For vehicles sold to dealers that are acquired directly from consumers, CarOffer is deemed to control the vehicle and therefore is deemed to be the principal in the transaction. Revenue earned from the fees for facilitating these transactions is recognized point in time when the vehicle is sold and revenue is recognized on a gross basis. In these situations, the inventory is recorded on the balance sheet and is valued at the lower of cost or net realizable value.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ind w:firstLine="509"/>
        <w:spacing w:after="0" w:line="311" w:lineRule="auto"/>
        <w:rPr>
          <w:sz w:val="20"/>
          <w:szCs w:val="20"/>
          <w:color w:val="auto"/>
        </w:rPr>
      </w:pPr>
      <w:r>
        <w:rPr>
          <w:rFonts w:ascii="Arial" w:cs="Arial" w:eastAsia="Arial" w:hAnsi="Arial"/>
          <w:sz w:val="16"/>
          <w:szCs w:val="16"/>
          <w:color w:val="auto"/>
        </w:rPr>
        <w:t>In certain circumstances, the vehicle may be arbitrated. For the majority of arbitrations, the vehicle is rematched to new buyers. In these situations, CarOffer is not deemed to control the vehicle and therefore is deemed to be an agent in the transaction. Revenue earned from the fees for facilitating these transactions is recognized at a point in time when the vehicle is sold and revenue is recognized on a net basis. In other limited situations, during an arbitration process, CarOffer acquires vehicles in transactions for which it is deemed to control the vehicle and therefore is deemed to be the principal in the transaction. Revenue earned from the fees for facilitating these transactions is recognized point in time and revenue is recognized on a gross basis. In these limited situations, the inventory is recorded on the balance sheet and is valued at the lower of cost or net realizable value.</w:t>
      </w:r>
    </w:p>
    <w:p>
      <w:pPr>
        <w:spacing w:after="0" w:line="24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For inspection and transportation services, CarOffer leverages a network of third-party inspection service providers and transportation carriers. CarOffer is deemed to control both inspection and transportation services as it is primarily responsible for fulfillment and therefore acts as a principal in the transaction. Revenue from fees for inspection services is recognized at the point in time when the inspection is performed and revenue from fees for transportation services is recognized over time as delivery is completed. Revenue from both inspection and transportation services is recognized on a gross basis. Unearned revenue related to unsatisfied performance obligations is recorded as deferred revenue.</w:t>
      </w:r>
    </w:p>
    <w:p>
      <w:pPr>
        <w:spacing w:after="0" w:line="28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p>
    <w:p>
      <w:pPr>
        <w:spacing w:after="0" w:line="131" w:lineRule="exact"/>
        <w:rPr>
          <w:sz w:val="20"/>
          <w:szCs w:val="20"/>
          <w:color w:val="auto"/>
        </w:rPr>
      </w:pPr>
    </w:p>
    <w:p>
      <w:pPr>
        <w:ind w:left="520"/>
        <w:spacing w:after="0" w:line="184" w:lineRule="exact"/>
        <w:rPr>
          <w:sz w:val="20"/>
          <w:szCs w:val="20"/>
          <w:color w:val="auto"/>
        </w:rPr>
      </w:pPr>
      <w:r>
        <w:rPr>
          <w:rFonts w:ascii="Arial" w:cs="Arial" w:eastAsia="Arial" w:hAnsi="Arial"/>
          <w:sz w:val="16"/>
          <w:szCs w:val="16"/>
          <w:color w:val="auto"/>
        </w:rPr>
        <w:t>For stock</w:t>
      </w:r>
      <w:r>
        <w:rPr>
          <w:rFonts w:ascii="MS PGothic" w:cs="MS PGothic" w:eastAsia="MS PGothic" w:hAnsi="MS PGothic"/>
          <w:sz w:val="16"/>
          <w:szCs w:val="16"/>
          <w:color w:val="auto"/>
        </w:rPr>
        <w:t>‑</w:t>
      </w:r>
      <w:r>
        <w:rPr>
          <w:rFonts w:ascii="Arial" w:cs="Arial" w:eastAsia="Arial" w:hAnsi="Arial"/>
          <w:sz w:val="16"/>
          <w:szCs w:val="16"/>
          <w:color w:val="auto"/>
        </w:rPr>
        <w:t>based awards granted under the Company’s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the fair value of each award is determined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3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For restricted stock units (“RSUs”) granted subject to service-based vesting conditions, the fair value is determined based on the closing price of the Company’s Class A common stock, par value $0.001 per share (the “Class A common stock”), as reported on the Nasdaq Global Select Market on the date of grant. RSUs granted subject to service-based vesting conditions generally vest over a four-year requisite service period.</w:t>
      </w:r>
    </w:p>
    <w:p>
      <w:pPr>
        <w:spacing w:after="0" w:line="16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For RSUs granted subject to market-based vesting conditions, the fair value is determined using the Monte Carlo simulation lattice model. The determination of the fair value using this model is affected by the Company’s stock price performance relative to the companies listed on the S&amp;P 500 as of December 31, 2020 and a number of assumptions including volatility, correlation coefficient, risk-free interest rate and expected dividends. RSUs granted subject to market-based vesting conditions vest upon achievement of specified levels of market conditions.</w:t>
      </w:r>
    </w:p>
    <w:p>
      <w:pPr>
        <w:spacing w:after="0" w:line="170"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7"/>
          <w:szCs w:val="17"/>
          <w:color w:val="auto"/>
        </w:rPr>
        <w:t>For stock options granted,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the Company’s stock price and a number of assumptions including volatility, term, risk-free interest rate and dividend yield. Stock options granted generally have a term of ten years from the date of grant and generally vest over a four-year requisite service period.</w:t>
      </w:r>
    </w:p>
    <w:p>
      <w:pPr>
        <w:spacing w:after="0" w:line="21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Company’s acquisition of a 51% interest in CarOffer, the then-outstanding unvested incentive units (“CO Incentive Units”) of CarOffer and unvested Class CO CarOffer units (“the Subject Units”) remained outstanding and will vest over the requisite service periods as discussed below.</w:t>
      </w:r>
    </w:p>
    <w:p>
      <w:pPr>
        <w:spacing w:after="0" w:line="1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Grants of the CO Incentive Units are subject to the CarOffer 2020 Equity Incentive Plan, adopted effective November 24, 2020 (the “2020 CO Plan”), the applicable award agreement, and the CarOffer Operating Agreement. Following the Company’s acquisition of the 51% interest in CarOffer on January 14, 2021, remaining unvested incentive interests will vest over a period of three (3) years, one third each on the first, second, and third anniversaries of January 14, 2021, provided that a grantee’s continuous service to CarOffer has not terminated on the applicable vesting date. Under the terms of the grants, vesting of unvested incentive interests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incentive interests are forfeited. In addition, if a grantee’s continuous service terminates, then CarOffer has the option to repurchase any outstanding incentive interests from the grantee.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jc w:val="both"/>
        <w:ind w:firstLine="509"/>
        <w:spacing w:after="0" w:line="269" w:lineRule="auto"/>
        <w:rPr>
          <w:sz w:val="20"/>
          <w:szCs w:val="20"/>
          <w:color w:val="auto"/>
        </w:rPr>
      </w:pPr>
      <w:r>
        <w:rPr>
          <w:rFonts w:ascii="Arial" w:cs="Arial" w:eastAsia="Arial" w:hAnsi="Arial"/>
          <w:sz w:val="18"/>
          <w:szCs w:val="18"/>
          <w:color w:val="auto"/>
        </w:rPr>
        <w:t>In addition to the 2020 CO Plan, on December 9, 2020 CarOffer entered into a Vesting Agreement (the “Vesting Agreement”) regarding the vesting of CarOffer equity interests beneficially owned by Bruce Thompson, the founder and CEO of CarOffer, and certain affiliated persons (the “T5 Holders”) in connection with the Company’s then-anticipated acquisition of a 51% interest in CarOffer. Pursuant to the Vesting Agreement, 432,592 Subject Units beneficially owned by the T5 Holders will vest in three (3) equal installments on the first, second, and third anniversary of the closing of the CarOffer Acquisition. As more particularly described in the Vesting Agreement, unvested Subject Units are subject to forfeiture in the event that Mr. Thompson’s relationship with CarOffer terminates other than in the event of a termination without cause (as defined in the Vesting Agreement) or due to Mr. Thompson’s death or disability. The Vesting Agreement also provides for acceleration of any unvested Subject Units in the event of the termination of Mr. Thompson’s employment with CarOffer without cause, Mr. Thompson’s death or disability, or the consummation of an eligible liquidity event (as defined in the Vesting Agreement).</w:t>
      </w:r>
    </w:p>
    <w:p>
      <w:pPr>
        <w:spacing w:after="0" w:line="19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connection with the Closing of the Company’s acquisition of the 51% interest in CarOffer, CarOffer reserved 228,571 incentive units (the "2021 Incentive Units") for purposes of establishing an employee incentive equity plan. Thereafter, CarOffer formed CarOffer Incentive Equity, LLC (“CIE”), a Delaware manager-managed limited liability company managed by the Company, and established the CIE 2021 Equity Incentive Plan (the “2021 CO Plan). The 2021 CO Plan and related documentation, including the applicable award agreement, a vesting agreement between CarOffer and CIE, and the CarOffer Operating Agreement, provide for an incentive equity grant structure whereby 2021 Incentive Units will be granted to CIE and 2021 CO Plan grantees will receive an associated equity interest in CIE (the “CIE Interest”), with back-to-back vesting between the 2021 Incentive Units and the associated CIE Interest. Subject to any modifications as may be approved by the CarOffer Board of Managers in its discretion, grants under the 2021 CO Plan will vest over a period of three (3) years from the grant date, one third each on the first, second, and third anniversaries of the applicable grant date, provided that a grantee’s continuous service to CarOffer has not terminated on the applicable grant date. Upon termination of a grantee’s continuous service to CarOffer, all of such grantee’s unvested 2021 Incentive Units are forfeited. As of September 30, 2021 there had not been any grants of 2021 Incentive Units under the 2021 CO Plan.</w:t>
      </w:r>
    </w:p>
    <w:p>
      <w:pPr>
        <w:spacing w:after="0" w:line="1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 Incentive Units, Subject Units and 2021 Incentive Units are liability-classified awards because the awards can be put to the Company at a formula price such that the holders do not bear the risks and rewards associated with equity ownership. For liability-classified awards, the fair value is determined on the date of issuance using a Least Square Monte Carlo simulation model. The determination of the fair value is affected by CarOffer’s equity value, EBITDA, Excess Parent Capital (as defined in the CarOffer Operating Agreement),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9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Company issues shares for RSUs and stock option exercises out of its shares available for issuance. The Company issues CO Incentive Units out of CarOffer’s units available for issuance. The Company accounts for forfeitures when they occur.</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recognizes compensation expense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3"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Unaudited Condensed Consolidated Statements of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adopted the guidance on January 1, 2021. The adoption did not have an impact on the Unaudited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September 30, 2021, there are no new accounting pronouncements that the Company is considering adopting.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summarizes revenue from contracts with customers by geographical region and by revenue source for the three and nine months ended September 30, 2021 and 2020.</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r>
      <w:tr>
        <w:trPr>
          <w:trHeight w:val="39"/>
        </w:trPr>
        <w:tc>
          <w:tcPr>
            <w:tcW w:w="4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22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134,261</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121,814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400,377</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330,295</w:t>
            </w:r>
          </w:p>
        </w:tc>
        <w:tc>
          <w:tcPr>
            <w:tcW w:w="100" w:type="dxa"/>
            <w:vAlign w:val="bottom"/>
          </w:tcPr>
          <w:p>
            <w:pPr>
              <w:spacing w:after="0"/>
              <w:rPr>
                <w:sz w:val="21"/>
                <w:szCs w:val="21"/>
                <w:color w:val="auto"/>
              </w:rPr>
            </w:pPr>
          </w:p>
        </w:tc>
      </w:tr>
      <w:tr>
        <w:trPr>
          <w:trHeight w:val="263"/>
        </w:trPr>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Wholesale and other revenue</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77,293</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16,598</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180,772</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220" w:type="dxa"/>
            <w:vAlign w:val="bottom"/>
          </w:tcPr>
          <w:p>
            <w:pPr>
              <w:jc w:val="center"/>
              <w:ind w:right="30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211,554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138,412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581,149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376,164</w:t>
            </w:r>
          </w:p>
        </w:tc>
        <w:tc>
          <w:tcPr>
            <w:tcW w:w="100" w:type="dxa"/>
            <w:vAlign w:val="bottom"/>
          </w:tcPr>
          <w:p>
            <w:pPr>
              <w:spacing w:after="0"/>
              <w:rPr>
                <w:sz w:val="21"/>
                <w:szCs w:val="21"/>
                <w:color w:val="auto"/>
              </w:rPr>
            </w:pPr>
          </w:p>
        </w:tc>
      </w:tr>
      <w:tr>
        <w:trPr>
          <w:trHeight w:val="26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22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28,017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21,477</w:t>
            </w:r>
          </w:p>
        </w:tc>
        <w:tc>
          <w:tcPr>
            <w:tcW w:w="100" w:type="dxa"/>
            <w:vAlign w:val="bottom"/>
          </w:tcPr>
          <w:p>
            <w:pPr>
              <w:spacing w:after="0"/>
              <w:rPr>
                <w:sz w:val="21"/>
                <w:szCs w:val="21"/>
                <w:color w:val="auto"/>
              </w:rPr>
            </w:pPr>
          </w:p>
        </w:tc>
      </w:tr>
      <w:tr>
        <w:trPr>
          <w:trHeight w:val="263"/>
        </w:trPr>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Wholesale and other revenue</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220" w:type="dxa"/>
            <w:vAlign w:val="bottom"/>
          </w:tcPr>
          <w:p>
            <w:pPr>
              <w:jc w:val="center"/>
              <w:ind w:right="30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Pr>
          <w:p>
            <w:pPr>
              <w:spacing w:after="0"/>
              <w:rPr>
                <w:sz w:val="21"/>
                <w:szCs w:val="21"/>
                <w:color w:val="auto"/>
              </w:rPr>
            </w:pPr>
          </w:p>
        </w:tc>
      </w:tr>
      <w:tr>
        <w:trPr>
          <w:trHeight w:val="263"/>
        </w:trPr>
        <w:tc>
          <w:tcPr>
            <w:tcW w:w="4220" w:type="dxa"/>
            <w:vAlign w:val="bottom"/>
            <w:shd w:val="clear" w:color="auto" w:fill="CFF0FC"/>
          </w:tcPr>
          <w:p>
            <w:pPr>
              <w:jc w:val="center"/>
              <w:ind w:right="2970"/>
              <w:spacing w:after="0"/>
              <w:rPr>
                <w:sz w:val="20"/>
                <w:szCs w:val="20"/>
                <w:color w:val="auto"/>
              </w:rPr>
            </w:pPr>
            <w:r>
              <w:rPr>
                <w:rFonts w:ascii="Arial" w:cs="Arial" w:eastAsia="Arial" w:hAnsi="Arial"/>
                <w:sz w:val="18"/>
                <w:szCs w:val="18"/>
                <w:color w:val="auto"/>
                <w:w w:val="88"/>
              </w:rPr>
              <w:t>Total Revenue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22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144,589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129,953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428,394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351,772</w:t>
            </w:r>
          </w:p>
        </w:tc>
        <w:tc>
          <w:tcPr>
            <w:tcW w:w="100" w:type="dxa"/>
            <w:vAlign w:val="bottom"/>
          </w:tcPr>
          <w:p>
            <w:pPr>
              <w:spacing w:after="0"/>
              <w:rPr>
                <w:sz w:val="21"/>
                <w:szCs w:val="21"/>
                <w:color w:val="auto"/>
              </w:rPr>
            </w:pPr>
          </w:p>
        </w:tc>
      </w:tr>
      <w:tr>
        <w:trPr>
          <w:trHeight w:val="263"/>
        </w:trPr>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Wholesale and other revenue</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183,637</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220" w:type="dxa"/>
            <w:vAlign w:val="bottom"/>
          </w:tcPr>
          <w:p>
            <w:pPr>
              <w:jc w:val="center"/>
              <w:ind w:right="3030"/>
              <w:spacing w:after="0"/>
              <w:rPr>
                <w:sz w:val="20"/>
                <w:szCs w:val="20"/>
                <w:color w:val="auto"/>
              </w:rPr>
            </w:pPr>
            <w:r>
              <w:rPr>
                <w:rFonts w:ascii="Arial" w:cs="Arial" w:eastAsia="Arial" w:hAnsi="Arial"/>
                <w:sz w:val="18"/>
                <w:szCs w:val="18"/>
                <w:color w:val="auto"/>
                <w:w w:val="94"/>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222,915</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147,472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612,031</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399,898</w:t>
            </w:r>
          </w:p>
        </w:tc>
        <w:tc>
          <w:tcPr>
            <w:tcW w:w="100" w:type="dxa"/>
            <w:vAlign w:val="bottom"/>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-1513840</wp:posOffset>
            </wp:positionV>
            <wp:extent cx="1371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-1513840</wp:posOffset>
            </wp:positionV>
            <wp:extent cx="13716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-1513840</wp:posOffset>
            </wp:positionV>
            <wp:extent cx="1371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-1513840</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-853440</wp:posOffset>
            </wp:positionV>
            <wp:extent cx="1371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-853440</wp:posOffset>
            </wp:positionV>
            <wp:extent cx="1371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-853440</wp:posOffset>
            </wp:positionV>
            <wp:extent cx="1371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-853440</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-193675</wp:posOffset>
            </wp:positionV>
            <wp:extent cx="13716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-193675</wp:posOffset>
            </wp:positionV>
            <wp:extent cx="13716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-193675</wp:posOffset>
            </wp:positionV>
            <wp:extent cx="13716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provides disaggregation of revenue based on the marketplace subscription versus wholesale and other revenue classification and based on geographic region in the table above as it believes these categories best depict how the nature, amount, timing and uncertainty of revenue and cash flows are affected by economic factors.</w:t>
      </w:r>
    </w:p>
    <w:p>
      <w:pPr>
        <w:spacing w:after="0" w:line="18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September 30, 2021 was approximately $12.2 million, which the Company expects to recognize over the next 12 months.</w:t>
      </w:r>
    </w:p>
    <w:p>
      <w:pPr>
        <w:spacing w:after="0" w:line="1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September 30, 2021. For performance obligations not satisfied as of September 30, 2021, and to which this expedient applies, the nature of the performance obligations, the variable consideration and any consideration from contracts with customers not included in the transaction price is consistent with performance obligations satisfied as of September 30, 2021.</w:t>
      </w:r>
    </w:p>
    <w:p>
      <w:pPr>
        <w:spacing w:after="0" w:line="191" w:lineRule="exact"/>
        <w:rPr>
          <w:sz w:val="20"/>
          <w:szCs w:val="20"/>
          <w:color w:val="auto"/>
        </w:rPr>
      </w:pPr>
    </w:p>
    <w:p>
      <w:pPr>
        <w:jc w:val="both"/>
        <w:ind w:right="20" w:firstLine="509"/>
        <w:spacing w:after="0" w:line="359" w:lineRule="auto"/>
        <w:rPr>
          <w:sz w:val="20"/>
          <w:szCs w:val="20"/>
          <w:color w:val="auto"/>
        </w:rPr>
      </w:pPr>
      <w:r>
        <w:rPr>
          <w:rFonts w:ascii="Arial" w:cs="Arial" w:eastAsia="Arial" w:hAnsi="Arial"/>
          <w:sz w:val="16"/>
          <w:szCs w:val="16"/>
          <w:color w:val="auto"/>
        </w:rPr>
        <w:t>Revenue recognized during the three months ended September 30, 2021 and 2020 and the nine months ended September 30, 2021 and 2020, from amounts included in deferred revenue at the beginning of the period, was approximately $13,120, $8,195, $9,137 and $9,984, respectively.</w:t>
      </w:r>
    </w:p>
    <w:p>
      <w:pPr>
        <w:spacing w:after="0" w:line="12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 Company also waived subscription fees for paying dealers in the United Kingdom for the December 2020 and February 2021 service periods. These fee reductions are included in the Company’s variable consideration assessment. The fee reductions had an immaterial impact on the Company’s revenues for the three and nine months ended September 30, 2021, as well as the three months ended September 30, 2020. The fee reductions had a material impact on the Company’s revenues for the nine months ended September 30, 2020.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Acquisitions</w:t>
      </w:r>
    </w:p>
    <w:p>
      <w:pPr>
        <w:spacing w:after="0" w:line="1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On January 14, 2021, the Company acquired a 51% interest in CarOffer, which provides an automated instant vehicle trade platform and is based in Addison,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This acquisition (the “CarOffer Acquisition”) is intended to add wholesale vehicle purchasing and selling capabilities to CarGurus’ portfolio of dealer offerings and create a complete and efficient digital solution for dealers to sell and acquire vehicles at both retail and wholesale.</w:t>
      </w:r>
    </w:p>
    <w:p>
      <w:pPr>
        <w:spacing w:after="0" w:line="2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Upon consummation of the transactions contemplated by the Purchase Agreement (the “Closing”), the Company acquired a 51% interest in CarOffer for an aggregate consideration of $173,155 (the “Total Consideration”), such Total Consideration consisting of (a) shares of Class A common stock in the aggregate amount of $103,645 (the “Stock Consideration”) and (b) $69,510 in cash (the “Cash Consideration”). The number of shares of Class A common stock issued following the Closing in connection with the Stock Consideration was 3,115,282, which was calculated by reference to a value of $22.51 per share, which equals the volume-weighted average closing price per share of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retained by the then-current equity holders of CarOffer and subject to certain call and put arrangements discussed below.</w:t>
      </w:r>
    </w:p>
    <w:p>
      <w:pPr>
        <w:spacing w:after="0" w:line="236" w:lineRule="exact"/>
        <w:rPr>
          <w:sz w:val="20"/>
          <w:szCs w:val="20"/>
          <w:color w:val="auto"/>
        </w:rPr>
      </w:pPr>
    </w:p>
    <w:p>
      <w:pPr>
        <w:jc w:val="both"/>
        <w:ind w:firstLine="509"/>
        <w:spacing w:after="0" w:line="331" w:lineRule="auto"/>
        <w:rPr>
          <w:sz w:val="20"/>
          <w:szCs w:val="20"/>
          <w:color w:val="auto"/>
        </w:rPr>
      </w:pPr>
      <w:r>
        <w:rPr>
          <w:rFonts w:ascii="Arial" w:cs="Arial" w:eastAsia="Arial" w:hAnsi="Arial"/>
          <w:sz w:val="16"/>
          <w:szCs w:val="16"/>
          <w:color w:val="auto"/>
        </w:rPr>
        <w:t>Pursuant to the Purchase Agreement, the Company established a retention pool in an aggregate amount of $8,000 in the form of RSUs to be issued pursuant to the Company’s standard form of RSU agreement under the 2017 Plan, (i) $6,000 of which was granted to certain CarOffer employees following the Closing in accordance with the terms of the Purchase Agreement and (ii) $2,000 of which is available for issuance to future CarOffer employees in accordance with the terms of the Purchase Agreement. RSUs issued from the retention pool will be subject to vesting based on rendering of future services.</w:t>
      </w:r>
    </w:p>
    <w:p>
      <w:pPr>
        <w:spacing w:after="0" w:line="214"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As of September 30, 2021, the Company incurred total acquisition-related costs of $2,647 related to the CarOffer Acquisition, of which $709 was incurred during the nine months ended September 30, 2021 and recorded as general and administrative operating expenses within the Unaudited Condensed Consolidated Income Statements. There were no acquisition-related costs incurred during the three months ended September 30, 2021. Acquisition-related costs were excluded from the purchase price allocation as they were primarily comprised of legal, professional and consulting expenses.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total consideration transferred.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95"/>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Transferred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6"/>
        </w:trPr>
        <w:tc>
          <w:tcPr>
            <w:tcW w:w="580" w:type="dxa"/>
            <w:vAlign w:val="bottom"/>
          </w:tcPr>
          <w:p>
            <w:pPr>
              <w:spacing w:after="0"/>
              <w:rPr>
                <w:sz w:val="22"/>
                <w:szCs w:val="22"/>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paid, net of cash acquired</w:t>
            </w:r>
          </w:p>
        </w:tc>
        <w:tc>
          <w:tcPr>
            <w:tcW w:w="4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64,273</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acquired</w:t>
            </w:r>
          </w:p>
        </w:tc>
        <w:tc>
          <w:tcPr>
            <w:tcW w:w="4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46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69,510</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Stock consideration</w:t>
            </w:r>
          </w:p>
        </w:tc>
        <w:tc>
          <w:tcPr>
            <w:tcW w:w="4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3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consideration transferred</w:t>
            </w:r>
          </w:p>
        </w:tc>
        <w:tc>
          <w:tcPr>
            <w:tcW w:w="4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173,155</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3720" w:type="dxa"/>
            <w:vAlign w:val="bottom"/>
            <w:tcBorders>
              <w:top w:val="single" w:sz="8" w:color="CFF0FC"/>
            </w:tcBorders>
          </w:tcPr>
          <w:p>
            <w:pPr>
              <w:spacing w:after="0"/>
              <w:rPr>
                <w:sz w:val="24"/>
                <w:szCs w:val="24"/>
                <w:color w:val="auto"/>
              </w:rPr>
            </w:pPr>
          </w:p>
        </w:tc>
        <w:tc>
          <w:tcPr>
            <w:tcW w:w="4680" w:type="dxa"/>
            <w:vAlign w:val="bottom"/>
            <w:tcBorders>
              <w:top w:val="single" w:sz="8" w:color="CFF0FC"/>
            </w:tcBorders>
          </w:tcPr>
          <w:p>
            <w:pPr>
              <w:jc w:val="right"/>
              <w:ind w:right="317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509"/>
        <w:spacing w:after="0" w:line="290" w:lineRule="auto"/>
        <w:rPr>
          <w:sz w:val="20"/>
          <w:szCs w:val="20"/>
          <w:color w:val="auto"/>
        </w:rPr>
      </w:pPr>
      <w:r>
        <w:rPr>
          <w:rFonts w:ascii="Arial" w:cs="Arial" w:eastAsia="Arial" w:hAnsi="Arial"/>
          <w:sz w:val="17"/>
          <w:szCs w:val="17"/>
          <w:color w:val="auto"/>
        </w:rPr>
        <w:t>The CarOffer Acquisition has been accounted for as a business combination under the acquisition method and, accordingly, the total consideration is allocated to the acquired assets and assumed liabilities. The Company’s 51% interest in CarOffer represents a controlling financial interest in the entity as the minority interest holders only have protective rights such that CarOffer is consolidated as of the date of Closing. The following table presents the preliminary purchase price allocation recorded in the Company’s Unaudited Condensed Consolidated Balance Sheet as of the date of Closing, which is subject to finalization for estimates of the fair value of assets acquired and liabilities assumed as of the date of Closing, including, but not limited to tangible assets, intangible assets and tax-related items, and the related tax effects of any changes made: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Adjusted Fair</w:t>
            </w:r>
          </w:p>
        </w:tc>
      </w:tr>
      <w:tr>
        <w:trPr>
          <w:trHeight w:val="176"/>
        </w:trPr>
        <w:tc>
          <w:tcPr>
            <w:tcW w:w="8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 at Date</w:t>
            </w:r>
          </w:p>
        </w:tc>
      </w:tr>
      <w:tr>
        <w:trPr>
          <w:trHeight w:val="192"/>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Acquisition</w:t>
            </w:r>
          </w:p>
        </w:tc>
      </w:tr>
      <w:tr>
        <w:trPr>
          <w:trHeight w:val="25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20" w:type="dxa"/>
            <w:vAlign w:val="bottom"/>
            <w:shd w:val="clear" w:color="auto" w:fill="CFF0FC"/>
          </w:tcPr>
          <w:p>
            <w:pPr>
              <w:spacing w:after="0"/>
              <w:rPr>
                <w:sz w:val="22"/>
                <w:szCs w:val="22"/>
                <w:color w:val="auto"/>
              </w:rPr>
            </w:pPr>
          </w:p>
        </w:tc>
      </w:tr>
      <w:tr>
        <w:trPr>
          <w:trHeight w:val="250"/>
        </w:trPr>
        <w:tc>
          <w:tcPr>
            <w:tcW w:w="832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16,119</w:t>
            </w:r>
          </w:p>
        </w:tc>
        <w:tc>
          <w:tcPr>
            <w:tcW w:w="120" w:type="dxa"/>
            <w:vAlign w:val="bottom"/>
          </w:tcPr>
          <w:p>
            <w:pPr>
              <w:spacing w:after="0"/>
              <w:rPr>
                <w:sz w:val="21"/>
                <w:szCs w:val="21"/>
                <w:color w:val="auto"/>
              </w:rPr>
            </w:pPr>
          </w:p>
        </w:tc>
      </w:tr>
      <w:tr>
        <w:trPr>
          <w:trHeight w:val="26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FF0FC"/>
          </w:tcPr>
          <w:p>
            <w:pPr>
              <w:spacing w:after="0"/>
              <w:rPr>
                <w:sz w:val="22"/>
                <w:szCs w:val="22"/>
                <w:color w:val="auto"/>
              </w:rPr>
            </w:pPr>
          </w:p>
        </w:tc>
      </w:tr>
      <w:tr>
        <w:trPr>
          <w:trHeight w:val="250"/>
        </w:trPr>
        <w:tc>
          <w:tcPr>
            <w:tcW w:w="8320" w:type="dxa"/>
            <w:vAlign w:val="bottom"/>
          </w:tcPr>
          <w:p>
            <w:pPr>
              <w:spacing w:after="0"/>
              <w:rPr>
                <w:sz w:val="20"/>
                <w:szCs w:val="20"/>
                <w:color w:val="auto"/>
              </w:rPr>
            </w:pPr>
            <w:r>
              <w:rPr>
                <w:rFonts w:ascii="Arial" w:cs="Arial" w:eastAsia="Arial" w:hAnsi="Arial"/>
                <w:sz w:val="18"/>
                <w:szCs w:val="18"/>
                <w:color w:val="auto"/>
              </w:rPr>
              <w:t>Prepaid expenses, prepaid income taxes and other current assets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r>
      <w:tr>
        <w:trPr>
          <w:trHeight w:val="26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22"/>
                <w:szCs w:val="22"/>
                <w:color w:val="auto"/>
              </w:rPr>
            </w:pPr>
          </w:p>
        </w:tc>
      </w:tr>
      <w:tr>
        <w:trPr>
          <w:trHeight w:val="257"/>
        </w:trPr>
        <w:tc>
          <w:tcPr>
            <w:tcW w:w="8320" w:type="dxa"/>
            <w:vAlign w:val="bottom"/>
          </w:tcPr>
          <w:p>
            <w:pPr>
              <w:spacing w:after="0" w:line="257"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4"/>
                <w:szCs w:val="24"/>
                <w:color w:val="auto"/>
                <w:vertAlign w:val="superscript"/>
              </w:rPr>
              <w:t>(1)</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104,100</w:t>
            </w:r>
          </w:p>
        </w:tc>
        <w:tc>
          <w:tcPr>
            <w:tcW w:w="120" w:type="dxa"/>
            <w:vAlign w:val="bottom"/>
          </w:tcPr>
          <w:p>
            <w:pPr>
              <w:spacing w:after="0"/>
              <w:rPr>
                <w:sz w:val="22"/>
                <w:szCs w:val="22"/>
                <w:color w:val="auto"/>
              </w:rPr>
            </w:pPr>
          </w:p>
        </w:tc>
      </w:tr>
      <w:tr>
        <w:trPr>
          <w:trHeight w:val="257"/>
        </w:trPr>
        <w:tc>
          <w:tcPr>
            <w:tcW w:w="8320" w:type="dxa"/>
            <w:vAlign w:val="bottom"/>
            <w:shd w:val="clear" w:color="auto" w:fill="CFF0FC"/>
          </w:tcPr>
          <w:p>
            <w:pPr>
              <w:spacing w:after="0" w:line="257"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4"/>
                <w:szCs w:val="24"/>
                <w:color w:val="auto"/>
                <w:vertAlign w:val="superscript"/>
              </w:rPr>
              <w:t>(2)</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127,500</w:t>
            </w:r>
          </w:p>
        </w:tc>
        <w:tc>
          <w:tcPr>
            <w:tcW w:w="120" w:type="dxa"/>
            <w:vAlign w:val="bottom"/>
            <w:shd w:val="clear" w:color="auto" w:fill="CFF0FC"/>
          </w:tcPr>
          <w:p>
            <w:pPr>
              <w:spacing w:after="0"/>
              <w:rPr>
                <w:sz w:val="22"/>
                <w:szCs w:val="22"/>
                <w:color w:val="auto"/>
              </w:rPr>
            </w:pPr>
          </w:p>
        </w:tc>
      </w:tr>
      <w:tr>
        <w:trPr>
          <w:trHeight w:val="250"/>
        </w:trPr>
        <w:tc>
          <w:tcPr>
            <w:tcW w:w="83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r>
      <w:tr>
        <w:trPr>
          <w:trHeight w:val="26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(8,888 )</w:t>
            </w:r>
          </w:p>
        </w:tc>
      </w:tr>
      <w:tr>
        <w:trPr>
          <w:trHeight w:val="250"/>
        </w:trPr>
        <w:tc>
          <w:tcPr>
            <w:tcW w:w="8320" w:type="dxa"/>
            <w:vAlign w:val="bottom"/>
          </w:tcPr>
          <w:p>
            <w:pPr>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26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(15,513 )</w:t>
            </w:r>
          </w:p>
        </w:tc>
      </w:tr>
      <w:tr>
        <w:trPr>
          <w:trHeight w:val="26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(230 )</w:t>
            </w:r>
          </w:p>
        </w:tc>
      </w:tr>
      <w:tr>
        <w:trPr>
          <w:trHeight w:val="250"/>
        </w:trPr>
        <w:tc>
          <w:tcPr>
            <w:tcW w:w="832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6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(479 )</w:t>
            </w:r>
          </w:p>
        </w:tc>
      </w:tr>
      <w:tr>
        <w:trPr>
          <w:trHeight w:val="263"/>
        </w:trPr>
        <w:tc>
          <w:tcPr>
            <w:tcW w:w="8320" w:type="dxa"/>
            <w:vAlign w:val="bottom"/>
            <w:shd w:val="clear" w:color="auto" w:fill="CFF0FC"/>
          </w:tcPr>
          <w:p>
            <w:pPr>
              <w:spacing w:after="0" w:line="263" w:lineRule="exact"/>
              <w:rPr>
                <w:sz w:val="20"/>
                <w:szCs w:val="20"/>
                <w:color w:val="auto"/>
              </w:rPr>
            </w:pPr>
            <w:r>
              <w:rPr>
                <w:rFonts w:ascii="Arial" w:cs="Arial" w:eastAsia="Arial" w:hAnsi="Arial"/>
                <w:sz w:val="18"/>
                <w:szCs w:val="18"/>
                <w:color w:val="auto"/>
              </w:rPr>
              <w:t xml:space="preserve">Redeemable noncontrolling interest </w:t>
            </w:r>
            <w:r>
              <w:rPr>
                <w:rFonts w:ascii="Arial" w:cs="Arial" w:eastAsia="Arial" w:hAnsi="Arial"/>
                <w:sz w:val="24"/>
                <w:szCs w:val="24"/>
                <w:color w:val="auto"/>
                <w:vertAlign w:val="superscript"/>
              </w:rPr>
              <w:t>(3)</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(58,031 )</w:t>
            </w:r>
          </w:p>
        </w:tc>
      </w:tr>
      <w:tr>
        <w:trPr>
          <w:trHeight w:val="243"/>
        </w:trPr>
        <w:tc>
          <w:tcPr>
            <w:tcW w:w="83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consideration transferred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173,155</w:t>
            </w:r>
          </w:p>
        </w:tc>
        <w:tc>
          <w:tcPr>
            <w:tcW w:w="120" w:type="dxa"/>
            <w:vAlign w:val="bottom"/>
            <w:tcBorders>
              <w:top w:val="single" w:sz="8" w:color="CFF0FC"/>
            </w:tcBorders>
          </w:tcPr>
          <w:p>
            <w:pPr>
              <w:spacing w:after="0"/>
              <w:rPr>
                <w:sz w:val="21"/>
                <w:szCs w:val="2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ind w:left="700" w:hanging="314"/>
        <w:spacing w:after="0" w:line="251" w:lineRule="auto"/>
        <w:tabs>
          <w:tab w:leader="none" w:pos="70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Identifiable definite-lived intangible assets were comprised of developed technology, brand, and customer relationships of $63,000, $23,100, and $18,000, respectively, with estimated useful lives of 3 years, 11 years, and 3 years, respectively, which will be amortized on a straight-line basis over their estimated useful lives. The fair value of the developed technology has been estimated using the multi-period excess earnings method which is a variation of the income approach. The fair value of the brand and customer relationships has been estimated using the relief from royalty method and the with/without approach, respectively.</w:t>
      </w:r>
    </w:p>
    <w:p>
      <w:pPr>
        <w:spacing w:after="0" w:line="19" w:lineRule="exact"/>
        <w:rPr>
          <w:rFonts w:ascii="Arial" w:cs="Arial" w:eastAsia="Arial" w:hAnsi="Arial"/>
          <w:sz w:val="24"/>
          <w:szCs w:val="24"/>
          <w:color w:val="auto"/>
          <w:vertAlign w:val="superscript"/>
        </w:rPr>
      </w:pPr>
    </w:p>
    <w:p>
      <w:pPr>
        <w:jc w:val="both"/>
        <w:ind w:left="700" w:hanging="314"/>
        <w:spacing w:after="0" w:line="268" w:lineRule="auto"/>
        <w:tabs>
          <w:tab w:leader="none" w:pos="7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Goodwill represents the excess value of the purchase price over net assets acquired, primarily attributable to adding wholesale vehicle acquisition and selling capabilities to CarGurus’ portfolio of dealer offerings. All goodwill is assigned to the United States reporting segment. For tax purposes, $28,991 of the goodwill is deductible under IRC Section 197 upon finalization of the transaction cost study. In connection with the transaction, the Company accelerated certain stock options deemed to be outside of consideration transferred. Therefore, the Company recognized an additional $1,229 of stock-based compensation expense during the nine months ended September 30, 2021.</w:t>
      </w:r>
    </w:p>
    <w:p>
      <w:pPr>
        <w:spacing w:after="0" w:line="19" w:lineRule="exact"/>
        <w:rPr>
          <w:rFonts w:ascii="Arial" w:cs="Arial" w:eastAsia="Arial" w:hAnsi="Arial"/>
          <w:sz w:val="23"/>
          <w:szCs w:val="23"/>
          <w:color w:val="auto"/>
          <w:vertAlign w:val="superscript"/>
        </w:rPr>
      </w:pPr>
    </w:p>
    <w:p>
      <w:pPr>
        <w:ind w:left="700" w:right="20" w:hanging="314"/>
        <w:spacing w:after="0" w:line="228" w:lineRule="auto"/>
        <w:tabs>
          <w:tab w:leader="none" w:pos="70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The fair value of the redeemable noncontrolling interest has been estimated using the Least Square Monte Carlo Simulation approach. Significant inputs include market price of risk, volatility, correlation and risk-free rate.</w:t>
      </w:r>
    </w:p>
    <w:p>
      <w:pPr>
        <w:spacing w:after="0" w:line="29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addition, the Company, TopCo, each Member and CarOffer MidCo, LLC, a Delaware limited liability company, entered into the Second Amended and Restated Limited Liability Company Agreement, dated as of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w:t>
      </w:r>
    </w:p>
    <w:p>
      <w:pPr>
        <w:spacing w:after="0" w:line="23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In the second half of 2022, the Company will have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If the 2022 Call Right is exercised by the Company, the 2022 Acquired Remaining Equity will be purchased ratably across all of the holders of CarOffer equity securities other than the Company. The consideration to be paid by the Company in connection with the exercise of the 2022 Call Right will be in the form of cash and/or shares of Class A common stock, as determined by the Company in its sole discretion.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both"/>
        <w:ind w:firstLine="509"/>
        <w:spacing w:after="0" w:line="286" w:lineRule="auto"/>
        <w:rPr>
          <w:sz w:val="20"/>
          <w:szCs w:val="20"/>
          <w:color w:val="auto"/>
        </w:rPr>
      </w:pPr>
      <w:r>
        <w:rPr>
          <w:rFonts w:ascii="Arial" w:cs="Arial" w:eastAsia="Arial" w:hAnsi="Arial"/>
          <w:sz w:val="17"/>
          <w:szCs w:val="17"/>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Class A common stock, as determined by the Company in its sole discretion.</w:t>
      </w:r>
    </w:p>
    <w:p>
      <w:pPr>
        <w:spacing w:after="0" w:line="21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foregoing summary of the Purchase Agreement, the CarOffer Operating Agreement and the transactions contemplated thereby does not purport to be complete and is subject to, and qualified in its entirety by, the full text of the Purchase Agreement and the CarOffer Operating Agreement, which are filed as exhibits to the Annual Report.</w:t>
      </w:r>
    </w:p>
    <w:p>
      <w:pPr>
        <w:spacing w:after="0" w:line="237"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three and nine months ended September 30, 2021 and 2020 and the unaudited results of CarOffer for the three and nine months ended September 30, 2021 and 2020, and assumes that the CarOffer Acquisition, which closed on January 14, 2021, was completed on January 1, 2020 (the first day of fiscal year 2020). The pro forma consolidated financial information has been calculated after applying the Company’s accounting policies and includes adjustments for amortization expense of acquired intangible assets, transaction-related costs, and compensation expense for ongoing share-based compensation arrangements replaced, together with the consequential tax effects. These pro forma results have been prepared for comparative purposes only and do not purport to be indicative of the operating results of the Company that would have been achieved had the CarOffer Acquisition actually taken place on January 1, 2020. In addition, these results are not intended to be a projection of future results and do not reflect events that may occur after September 30, 2021, including, but not limited to revenue enhancements, cost savings or operating synergies that the combined Company may achieve as a result of the CarOffer Acquisition.</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28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222,915</w:t>
            </w:r>
          </w:p>
        </w:tc>
        <w:tc>
          <w:tcPr>
            <w:tcW w:w="122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147,472</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614,970</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409,007</w:t>
            </w:r>
          </w:p>
        </w:tc>
        <w:tc>
          <w:tcPr>
            <w:tcW w:w="100" w:type="dxa"/>
            <w:vAlign w:val="bottom"/>
            <w:shd w:val="clear" w:color="auto" w:fill="CFF0FC"/>
          </w:tcPr>
          <w:p>
            <w:pPr>
              <w:spacing w:after="0"/>
              <w:rPr>
                <w:sz w:val="22"/>
                <w:szCs w:val="22"/>
                <w:color w:val="auto"/>
              </w:rPr>
            </w:pPr>
          </w:p>
        </w:tc>
      </w:tr>
      <w:tr>
        <w:trPr>
          <w:trHeight w:val="315"/>
        </w:trPr>
        <w:tc>
          <w:tcPr>
            <w:tcW w:w="2840" w:type="dxa"/>
            <w:vAlign w:val="bottom"/>
          </w:tcPr>
          <w:p>
            <w:pPr>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24"/>
                <w:szCs w:val="24"/>
                <w:color w:val="auto"/>
                <w:vertAlign w:val="superscript"/>
              </w:rPr>
              <w:t>(1)</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29,267</w:t>
            </w:r>
          </w:p>
        </w:tc>
        <w:tc>
          <w:tcPr>
            <w:tcW w:w="12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26,487</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75,897</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tcPr>
          <w:p>
            <w:pPr>
              <w:spacing w:after="0"/>
              <w:rPr>
                <w:sz w:val="24"/>
                <w:szCs w:val="24"/>
                <w:color w:val="auto"/>
              </w:rPr>
            </w:pPr>
          </w:p>
        </w:tc>
      </w:tr>
    </w:tbl>
    <w:p>
      <w:pPr>
        <w:spacing w:after="0" w:line="76" w:lineRule="exact"/>
        <w:rPr>
          <w:sz w:val="20"/>
          <w:szCs w:val="20"/>
          <w:color w:val="auto"/>
        </w:rPr>
      </w:pPr>
    </w:p>
    <w:p>
      <w:pPr>
        <w:jc w:val="both"/>
        <w:ind w:left="700" w:hanging="314"/>
        <w:spacing w:after="0" w:line="293" w:lineRule="auto"/>
        <w:tabs>
          <w:tab w:leader="none" w:pos="7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2021, pro forma consolidated net income includes $7,286 and $1,083 related to intangibles amortization and stock-based compensation for CarOffer, respectively. For the three months ended September 30, 2020, pro forma consolidated net income includes $7,275 and $1,083 related to intangibles amortization and stock-based compensation for CarOffer, respectively. For the nine months ended September 30, 2021, pro forma consolidated net income includes $21,836 and $9,813 related to intangibles amortization and stock-based compensation for CarOffer, respectively. For the nine months ended September 30, 2020, pro forma consolidated net income includes $21,825 and $9,628 related to intangibles amortization and stock-based compensation for CarOffer, respectively.</w:t>
      </w:r>
    </w:p>
    <w:p>
      <w:pPr>
        <w:spacing w:after="0" w:line="22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$62,992 of revenue and $178 of net income attributable to CarOffer is included in our Unaudited Condensed Consolidated Income Statement for the three months ended September 30, 2021. $135,847 of revenue and $8,912 of net loss attributable to CarOffer is included in our Unaudited Condensed Consolidated Income Statement from the Closing date of January 14, 2021 to September 30,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Fair Value of Financial Instruments Including Cash, Cash Equivalents, and Investments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following tables present, for each of the fair value levels, the Company’s assets that are measured at fair value on a recurring basis at September 30, 2021 and at December 31, 2020:</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At September 30, 2021</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7"/>
              </w:rPr>
              <w:t>in Active Markets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Significant 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for Identical Assets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(Level 1 Inputs)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5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167,521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167,521</w:t>
            </w:r>
          </w:p>
        </w:tc>
        <w:tc>
          <w:tcPr>
            <w:tcW w:w="100" w:type="dxa"/>
            <w:vAlign w:val="bottom"/>
          </w:tcPr>
          <w:p>
            <w:pPr>
              <w:spacing w:after="0"/>
              <w:rPr>
                <w:sz w:val="21"/>
                <w:szCs w:val="21"/>
                <w:color w:val="auto"/>
              </w:rPr>
            </w:pPr>
          </w:p>
        </w:tc>
      </w:tr>
      <w:tr>
        <w:trPr>
          <w:trHeight w:val="26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7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r>
      <w:tr>
        <w:trPr>
          <w:trHeight w:val="290"/>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167,521</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3"/>
        </w:trPr>
        <w:tc>
          <w:tcPr>
            <w:tcW w:w="2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7"/>
              </w:rPr>
              <w:t>in Active Markets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for Identical Assets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(Level 1 Inputs)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5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112,431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112,431</w:t>
            </w:r>
          </w:p>
        </w:tc>
        <w:tc>
          <w:tcPr>
            <w:tcW w:w="100" w:type="dxa"/>
            <w:vAlign w:val="bottom"/>
          </w:tcPr>
          <w:p>
            <w:pPr>
              <w:spacing w:after="0"/>
              <w:rPr>
                <w:sz w:val="21"/>
                <w:szCs w:val="21"/>
                <w:color w:val="auto"/>
              </w:rPr>
            </w:pPr>
          </w:p>
        </w:tc>
      </w:tr>
      <w:tr>
        <w:trPr>
          <w:trHeight w:val="26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7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r>
      <w:tr>
        <w:trPr>
          <w:trHeight w:val="290"/>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112,431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-1653540</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-1636395</wp:posOffset>
            </wp:positionV>
            <wp:extent cx="1460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-1653540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-1636395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-1653540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-1636395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-1653540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-1636395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September 30, 2021 and December 31, 2020.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nine months ended September 30, 2021 or the year ended December 31, 2020.</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September 30, 2021 and at December 31, 2020 had maturity dates of one year or less.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investments as of September 30, 2021 and December 31, 2020,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At September 30, 2021</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419"/>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Certificates of deposit due in</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vMerge w:val="restart"/>
          </w:tcPr>
          <w:p>
            <w:pPr>
              <w:spacing w:after="0"/>
              <w:rPr>
                <w:sz w:val="21"/>
                <w:szCs w:val="2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ind w:left="1240"/>
              <w:spacing w:after="0"/>
              <w:rPr>
                <w:sz w:val="20"/>
                <w:szCs w:val="20"/>
                <w:color w:val="auto"/>
              </w:rPr>
            </w:pPr>
            <w:r>
              <w:rPr>
                <w:rFonts w:ascii="Arial" w:cs="Arial" w:eastAsia="Arial" w:hAnsi="Arial"/>
                <w:sz w:val="18"/>
                <w:szCs w:val="18"/>
                <w:color w:val="auto"/>
                <w:w w:val="99"/>
              </w:rPr>
              <w:t>—</w:t>
            </w:r>
          </w:p>
        </w:tc>
        <w:tc>
          <w:tcPr>
            <w:tcW w:w="220" w:type="dxa"/>
            <w:vAlign w:val="bottom"/>
            <w:vMerge w:val="restart"/>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vMerge w:val="restart"/>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580" w:type="dxa"/>
            <w:vAlign w:val="bottom"/>
          </w:tcPr>
          <w:p>
            <w:pPr>
              <w:spacing w:after="0"/>
              <w:rPr>
                <w:sz w:val="24"/>
                <w:szCs w:val="24"/>
                <w:color w:val="auto"/>
              </w:rPr>
            </w:pPr>
          </w:p>
        </w:tc>
        <w:tc>
          <w:tcPr>
            <w:tcW w:w="27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108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-539115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-521970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-539115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-521970</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-539115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-521970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right"/>
              <w:ind w:right="1280"/>
              <w:spacing w:after="0"/>
              <w:rPr>
                <w:sz w:val="20"/>
                <w:szCs w:val="20"/>
                <w:color w:val="auto"/>
              </w:rPr>
            </w:pPr>
            <w:r>
              <w:rPr>
                <w:rFonts w:ascii="Arial" w:cs="Arial" w:eastAsia="Arial" w:hAnsi="Arial"/>
                <w:sz w:val="14"/>
                <w:szCs w:val="14"/>
                <w:b w:val="1"/>
                <w:bCs w:val="1"/>
                <w:color w:val="auto"/>
              </w:rPr>
              <w:t>At December 31, 2020</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left="222"/>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300" w:type="dxa"/>
            <w:vAlign w:val="bottom"/>
          </w:tcPr>
          <w:p>
            <w:pPr>
              <w:jc w:val="center"/>
              <w:ind w:left="242"/>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6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tcBorders>
              <w:top w:val="single" w:sz="8" w:color="auto"/>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Certificates of deposit due in</w:t>
            </w:r>
          </w:p>
        </w:tc>
        <w:tc>
          <w:tcPr>
            <w:tcW w:w="1060" w:type="dxa"/>
            <w:vAlign w:val="bottom"/>
            <w:vMerge w:val="restart"/>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89"/>
              </w:rPr>
              <w:t>100,000</w:t>
            </w:r>
          </w:p>
        </w:tc>
        <w:tc>
          <w:tcPr>
            <w:tcW w:w="220" w:type="dxa"/>
            <w:vAlign w:val="bottom"/>
            <w:vMerge w:val="restart"/>
          </w:tcPr>
          <w:p>
            <w:pPr>
              <w:spacing w:after="0"/>
              <w:rPr>
                <w:sz w:val="21"/>
                <w:szCs w:val="21"/>
                <w:color w:val="auto"/>
              </w:rPr>
            </w:pPr>
          </w:p>
        </w:tc>
        <w:tc>
          <w:tcPr>
            <w:tcW w:w="1300" w:type="dxa"/>
            <w:vAlign w:val="bottom"/>
            <w:vMerge w:val="restart"/>
          </w:tcPr>
          <w:p>
            <w:pPr>
              <w:jc w:val="right"/>
              <w:ind w:right="1122"/>
              <w:spacing w:after="0"/>
              <w:rPr>
                <w:sz w:val="20"/>
                <w:szCs w:val="20"/>
                <w:color w:val="auto"/>
              </w:rPr>
            </w:pPr>
            <w:r>
              <w:rPr>
                <w:rFonts w:ascii="Arial" w:cs="Arial" w:eastAsia="Arial" w:hAnsi="Arial"/>
                <w:sz w:val="18"/>
                <w:szCs w:val="18"/>
                <w:color w:val="auto"/>
                <w:w w:val="79"/>
              </w:rPr>
              <w:t>$</w:t>
            </w: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w w:val="99"/>
              </w:rPr>
              <w:t>—</w:t>
            </w:r>
          </w:p>
        </w:tc>
        <w:tc>
          <w:tcPr>
            <w:tcW w:w="220" w:type="dxa"/>
            <w:vAlign w:val="bottom"/>
            <w:gridSpan w:val="2"/>
            <w:vMerge w:val="restart"/>
          </w:tcPr>
          <w:p>
            <w:pPr>
              <w:spacing w:after="0"/>
              <w:rPr>
                <w:sz w:val="21"/>
                <w:szCs w:val="2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ind w:left="1220"/>
              <w:spacing w:after="0"/>
              <w:rPr>
                <w:sz w:val="20"/>
                <w:szCs w:val="20"/>
                <w:color w:val="auto"/>
              </w:rPr>
            </w:pPr>
            <w:r>
              <w:rPr>
                <w:rFonts w:ascii="Arial" w:cs="Arial" w:eastAsia="Arial" w:hAnsi="Arial"/>
                <w:sz w:val="18"/>
                <w:szCs w:val="18"/>
                <w:color w:val="auto"/>
                <w:w w:val="88"/>
              </w:rPr>
              <w:t>—</w:t>
            </w:r>
          </w:p>
        </w:tc>
        <w:tc>
          <w:tcPr>
            <w:tcW w:w="2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one year or less</w:t>
            </w:r>
          </w:p>
        </w:tc>
        <w:tc>
          <w:tcPr>
            <w:tcW w:w="106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100,000</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2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ind w:left="1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20" w:type="dxa"/>
            <w:vAlign w:val="bottom"/>
            <w:gridSpan w:val="3"/>
          </w:tcPr>
          <w:p>
            <w:pPr>
              <w:jc w:val="right"/>
              <w:spacing w:after="0"/>
              <w:rPr>
                <w:sz w:val="20"/>
                <w:szCs w:val="20"/>
                <w:color w:val="auto"/>
              </w:rPr>
            </w:pPr>
            <w:r>
              <w:rPr>
                <w:rFonts w:ascii="Arial" w:cs="Arial" w:eastAsia="Arial" w:hAnsi="Arial"/>
                <w:sz w:val="18"/>
                <w:szCs w:val="18"/>
                <w:color w:val="auto"/>
              </w:rPr>
              <w:t>Property and equipment, net consists of the following:</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480"/>
              <w:spacing w:after="0"/>
              <w:rPr>
                <w:sz w:val="20"/>
                <w:szCs w:val="20"/>
                <w:color w:val="auto"/>
              </w:rPr>
            </w:pPr>
            <w:r>
              <w:rPr>
                <w:rFonts w:ascii="Arial" w:cs="Arial" w:eastAsia="Arial" w:hAnsi="Arial"/>
                <w:sz w:val="14"/>
                <w:szCs w:val="14"/>
                <w:b w:val="1"/>
                <w:bCs w:val="1"/>
                <w:color w:val="auto"/>
              </w:rPr>
              <w:t>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Capitalized software</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10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19,451</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8,491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24,086</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20,507</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0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62,056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(32,487 )</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5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(25,994 )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7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top w:val="single" w:sz="8" w:color="CFF0FC"/>
            </w:tcBorders>
          </w:tcPr>
          <w:p>
            <w:pPr>
              <w:spacing w:after="0"/>
              <w:rPr>
                <w:sz w:val="21"/>
                <w:szCs w:val="21"/>
                <w:color w:val="auto"/>
              </w:rPr>
            </w:pPr>
          </w:p>
        </w:tc>
        <w:tc>
          <w:tcPr>
            <w:tcW w:w="60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30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29,569</w:t>
            </w:r>
          </w:p>
        </w:tc>
        <w:tc>
          <w:tcPr>
            <w:tcW w:w="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27,483</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-2828290</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-2811145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-2828290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-2811145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-2828290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-2811145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-2828290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-2811145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-527685</wp:posOffset>
            </wp:positionV>
            <wp:extent cx="13716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-527685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371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Depreciation and amortization expense, excluding amortization of intangible assets and internal-use software, was $2,755, $1,937, $7,068 and $7,367 for the three months ended September 30, 2021 and 2020 and the nine months ended September 30, 2021 and 2020, respectively. Amortization expense related to internal-use software was $47 and $61 for the three and nine months ended September 30, 2021. There was no amortization expense related to internal-use software for the three and nine months ended September 30, 2020.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60" w:type="dxa"/>
            <w:vAlign w:val="bottom"/>
          </w:tcPr>
          <w:p>
            <w:pPr>
              <w:spacing w:after="0"/>
              <w:rPr>
                <w:sz w:val="22"/>
                <w:szCs w:val="22"/>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29,129</w:t>
            </w:r>
          </w:p>
        </w:tc>
        <w:tc>
          <w:tcPr>
            <w:tcW w:w="120" w:type="dxa"/>
            <w:vAlign w:val="bottom"/>
            <w:shd w:val="clear" w:color="auto" w:fill="CFF0FC"/>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83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CarOffer acquisition </w:t>
            </w:r>
            <w:r>
              <w:rPr>
                <w:rFonts w:ascii="Arial" w:cs="Arial" w:eastAsia="Arial" w:hAnsi="Arial"/>
                <w:sz w:val="24"/>
                <w:szCs w:val="24"/>
                <w:color w:val="auto"/>
                <w:vertAlign w:val="superscript"/>
              </w:rPr>
              <w:t>(1)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127,500</w:t>
            </w:r>
          </w:p>
        </w:tc>
        <w:tc>
          <w:tcPr>
            <w:tcW w:w="12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8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(922 )</w:t>
            </w:r>
          </w:p>
        </w:tc>
      </w:tr>
      <w:tr>
        <w:trPr>
          <w:trHeight w:val="250"/>
        </w:trPr>
        <w:tc>
          <w:tcPr>
            <w:tcW w:w="60" w:type="dxa"/>
            <w:vAlign w:val="bottom"/>
          </w:tcPr>
          <w:p>
            <w:pPr>
              <w:spacing w:after="0"/>
              <w:rPr>
                <w:sz w:val="21"/>
                <w:szCs w:val="21"/>
                <w:color w:val="auto"/>
              </w:rPr>
            </w:pPr>
          </w:p>
        </w:tc>
        <w:tc>
          <w:tcPr>
            <w:tcW w:w="8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2021</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155,707</w:t>
            </w:r>
          </w:p>
        </w:tc>
        <w:tc>
          <w:tcPr>
            <w:tcW w:w="120" w:type="dxa"/>
            <w:vAlign w:val="bottom"/>
            <w:tcBorders>
              <w:top w:val="single" w:sz="8" w:color="CFF0FC"/>
            </w:tcBorders>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96" w:lineRule="exact"/>
        <w:rPr>
          <w:sz w:val="20"/>
          <w:szCs w:val="20"/>
          <w:color w:val="auto"/>
        </w:rPr>
      </w:pPr>
    </w:p>
    <w:p>
      <w:pPr>
        <w:ind w:left="700" w:hanging="314"/>
        <w:spacing w:after="0"/>
        <w:tabs>
          <w:tab w:leader="none" w:pos="70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See Note 4 of the Unaudited Condensed Consolidated Financial Statements included elsewhere in this Quarterly Report.</w:t>
      </w:r>
    </w:p>
    <w:p>
      <w:pPr>
        <w:spacing w:after="0" w:line="25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 Company tests goodwill for impairment at least annually or whenever events or changes in circumstances indicate that the carrying value may not be recoverable. As of September 30, 2021, there have been no events or changes in circumstance that indicate that the carrying value may not be recoverable. As of December 31, 2020, the Company assessed its goodwill for impairment and concluded that there was no impairment.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Other Intangible Assets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September 30, 2021 and December 31, 2020 consist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At September 30, 2021</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Average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Useful Life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336"/>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96"/>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5"/>
                <w:szCs w:val="15"/>
                <w:color w:val="auto"/>
              </w:rPr>
            </w:pPr>
          </w:p>
        </w:tc>
      </w:tr>
      <w:tr>
        <w:trPr>
          <w:trHeight w:val="192"/>
        </w:trPr>
        <w:tc>
          <w:tcPr>
            <w:tcW w:w="2800" w:type="dxa"/>
            <w:vAlign w:val="bottom"/>
          </w:tcPr>
          <w:p>
            <w:pPr>
              <w:spacing w:after="0"/>
              <w:rPr>
                <w:sz w:val="16"/>
                <w:szCs w:val="16"/>
                <w:color w:val="auto"/>
              </w:rPr>
            </w:pPr>
          </w:p>
        </w:tc>
        <w:tc>
          <w:tcPr>
            <w:tcW w:w="12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(years)</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r>
      <w:tr>
        <w:trPr>
          <w:trHeight w:val="256"/>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Brand</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32,338</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w:t>
            </w:r>
          </w:p>
        </w:tc>
        <w:tc>
          <w:tcPr>
            <w:tcW w:w="100" w:type="dxa"/>
            <w:vAlign w:val="bottom"/>
            <w:shd w:val="clear" w:color="auto" w:fill="CFF0FC"/>
          </w:tcPr>
          <w:p>
            <w:pPr>
              <w:spacing w:after="0"/>
              <w:rPr>
                <w:sz w:val="22"/>
                <w:szCs w:val="22"/>
                <w:color w:val="auto"/>
              </w:rPr>
            </w:pP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1"/>
                <w:szCs w:val="21"/>
                <w:color w:val="auto"/>
              </w:rPr>
            </w:pPr>
          </w:p>
        </w:tc>
      </w:tr>
      <w:tr>
        <w:trPr>
          <w:trHeight w:val="263"/>
        </w:trPr>
        <w:tc>
          <w:tcPr>
            <w:tcW w:w="4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65,212</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15,896</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117,421</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92,421</w:t>
            </w:r>
          </w:p>
        </w:tc>
        <w:tc>
          <w:tcPr>
            <w:tcW w:w="100" w:type="dxa"/>
            <w:vAlign w:val="bottom"/>
          </w:tcPr>
          <w:p>
            <w:pPr>
              <w:spacing w:after="0"/>
              <w:rPr>
                <w:sz w:val="21"/>
                <w:szCs w:val="21"/>
                <w:color w:val="auto"/>
              </w:rPr>
            </w:pPr>
          </w:p>
        </w:tc>
      </w:tr>
      <w:tr>
        <w:trPr>
          <w:trHeight w:val="20"/>
        </w:trPr>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28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Average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00" w:type="dxa"/>
            <w:vAlign w:val="bottom"/>
          </w:tcPr>
          <w:p>
            <w:pPr>
              <w:spacing w:after="0"/>
              <w:rPr>
                <w:sz w:val="15"/>
                <w:szCs w:val="15"/>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Useful Life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336"/>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96"/>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5"/>
                <w:szCs w:val="15"/>
                <w:color w:val="auto"/>
              </w:rPr>
            </w:pPr>
          </w:p>
        </w:tc>
      </w:tr>
      <w:tr>
        <w:trPr>
          <w:trHeight w:val="192"/>
        </w:trPr>
        <w:tc>
          <w:tcPr>
            <w:tcW w:w="2800" w:type="dxa"/>
            <w:vAlign w:val="bottom"/>
          </w:tcPr>
          <w:p>
            <w:pPr>
              <w:spacing w:after="0"/>
              <w:rPr>
                <w:sz w:val="16"/>
                <w:szCs w:val="16"/>
                <w:color w:val="auto"/>
              </w:rPr>
            </w:pPr>
          </w:p>
        </w:tc>
        <w:tc>
          <w:tcPr>
            <w:tcW w:w="12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(years)</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r>
      <w:tr>
        <w:trPr>
          <w:trHeight w:val="256"/>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Brand</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8,170</w:t>
            </w:r>
          </w:p>
        </w:tc>
        <w:tc>
          <w:tcPr>
            <w:tcW w:w="100" w:type="dxa"/>
            <w:vAlign w:val="bottom"/>
            <w:shd w:val="clear" w:color="auto" w:fill="CFF0FC"/>
          </w:tcPr>
          <w:p>
            <w:pPr>
              <w:spacing w:after="0"/>
              <w:rPr>
                <w:sz w:val="22"/>
                <w:szCs w:val="22"/>
                <w:color w:val="auto"/>
              </w:rPr>
            </w:pP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r>
      <w:tr>
        <w:trPr>
          <w:trHeight w:val="263"/>
        </w:trPr>
        <w:tc>
          <w:tcPr>
            <w:tcW w:w="4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1"/>
                <w:szCs w:val="21"/>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13,504</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2,642</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Pr>
          <w:p>
            <w:pPr>
              <w:spacing w:after="0"/>
              <w:rPr>
                <w:sz w:val="21"/>
                <w:szCs w:val="21"/>
                <w:color w:val="auto"/>
              </w:rPr>
            </w:pPr>
          </w:p>
        </w:tc>
      </w:tr>
      <w:tr>
        <w:trPr>
          <w:trHeight w:val="20"/>
        </w:trPr>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-1788160</wp:posOffset>
            </wp:positionV>
            <wp:extent cx="13716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-1788160</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-1788160</wp:posOffset>
            </wp:positionV>
            <wp:extent cx="603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-193675</wp:posOffset>
            </wp:positionV>
            <wp:extent cx="13716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-193675</wp:posOffset>
            </wp:positionV>
            <wp:extent cx="13716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 recorded amortization expense related to intangible assets of $7,854, $495, $22,358, and $1,412 for the three months ended September 30, 2021 and 2020 and the nine months ended September 30, 2021 and 2020, respectively.</w:t>
      </w:r>
    </w:p>
    <w:p>
      <w:pPr>
        <w:spacing w:after="0" w:line="21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evaluates the useful lives of these assets on an annual basis and tests for impairment whenever events or changes in circumstances occur that could impact the recoverability of these assets. As of September 30, 2021, there have been no events or changes in circumstances that could impact the recoverability of these assets. As of December 31, 2020, the Company assessed its intangible assets for impairment and concluded that there was no impairment.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September 30, 2021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60" w:type="dxa"/>
            <w:vAlign w:val="bottom"/>
            <w:gridSpan w:val="2"/>
          </w:tcPr>
          <w:p>
            <w:pPr>
              <w:ind w:left="58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60" w:type="dxa"/>
            <w:vAlign w:val="bottom"/>
            <w:gridSpan w:val="2"/>
          </w:tcPr>
          <w:p>
            <w:pPr>
              <w:ind w:left="58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60" w:type="dxa"/>
            <w:vAlign w:val="bottom"/>
            <w:gridSpan w:val="2"/>
          </w:tcPr>
          <w:p>
            <w:pPr>
              <w:ind w:left="58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92,421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Accrued Income Taxes and Other Current Liabilities</w:t>
            </w: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40" w:type="dxa"/>
            <w:vAlign w:val="bottom"/>
            <w:gridSpan w:val="3"/>
          </w:tcPr>
          <w:p>
            <w:pPr>
              <w:jc w:val="right"/>
              <w:ind w:right="10"/>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75"/>
              <w:spacing w:after="0"/>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Accrued commissions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8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21,922</w:t>
            </w:r>
          </w:p>
        </w:tc>
        <w:tc>
          <w:tcPr>
            <w:tcW w:w="10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24,751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-2011045</wp:posOffset>
            </wp:positionV>
            <wp:extent cx="603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13716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8"/>
          <w:szCs w:val="18"/>
          <w:color w:val="auto"/>
        </w:rPr>
        <w:t>All of the Company’s property, equipment, and internal-use software have been purchased with cash with the exception of amounts related to unpaid property and equipment and internal use software and amounts related to obligations under finance leases as disclosed in the Unaudited Condensed Consolidated Statements of Cash Flows as of September 30, 2021. The Company has no material long-term purchase obligations outstanding with any vendor or third party.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Plano, Texas; and Dublin, Ireland. The Company also has an operating lease obligation for data center space in Needham, Massachusetts.</w:t>
      </w:r>
    </w:p>
    <w:p>
      <w:pPr>
        <w:spacing w:after="0" w:line="18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As of September 30, 2021, there were no material changes in the Company’s leases from those disclosed in the Annual Report, other than as discussed below.</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On January 25, 2021, CarOffer entered into a sublease in Addison, Texas at 15601 Dallas Parkway for the lease of approximately 61,826 square feet of office space with a non-cancellable lease term through 2030. The sublease commenced on March 1, 2021. CarOffer’s monthly base rent for the premises, which is payable from January 1, 2022, will initially be approximately $152, and will increase each year up to a maximum monthly base rent of approximately $185. In connection with the sublease, CarOffer entered into a financing lease arrangement for furniture and fixtures used in connection with its operations. The term of the financing lease is for the entire period of the sublease. The monthly rent for the furniture and fixtures is included in the sublease monthly rent, with ownership of the furniture and fixtures transferring to CarOffer at the expiration of the lease term. Monthly rent payments are allocated based upon the relative fair value of the office space and furniture of 95% and 5%, respectively. Upon commencement, the right of use asset for the office space and furniture was $12,336 and $664, respectively.</w:t>
      </w:r>
    </w:p>
    <w:p>
      <w:pPr>
        <w:spacing w:after="0" w:line="18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8"/>
          <w:szCs w:val="18"/>
          <w:color w:val="auto"/>
        </w:rPr>
        <w:t>On July 1, 2019, CarOffer entered into a sublease in Plano, Texas at 2701 East Plano Parkway for the lease of approximately 26,971 square feet of office space with a non-cancellable lease term through 2023. The sublease commenced on July 1, 2019. CarOffer’s monthly base rent for the premises, which is payable from July 1, 2019, was initially approximately $21, and will increase each year up to maximum monthly base rent of $22. The Company acquired the lease as part of the CarOffer Acquisition.</w:t>
      </w:r>
    </w:p>
    <w:p>
      <w:pPr>
        <w:spacing w:after="0" w:line="191"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6"/>
          <w:szCs w:val="16"/>
          <w:color w:val="auto"/>
        </w:rPr>
        <w:t>The Company’s leases in Boston, Massachusetts, Cambridge, Massachusetts and San Francisco, California have associated letters of credit, which are recorded as restricted cash within the Unaudited Condensed Consolidated Balance Sheet. At September 30, 2021 and December 31, 2020, restricted cash was $16,130 and $10,627, respectively, and primarily related to cash held at a financial institution in an interest</w:t>
      </w:r>
      <w:r>
        <w:rPr>
          <w:rFonts w:ascii="MS PGothic" w:cs="MS PGothic" w:eastAsia="MS PGothic" w:hAnsi="MS PGothic"/>
          <w:sz w:val="16"/>
          <w:szCs w:val="16"/>
          <w:color w:val="auto"/>
        </w:rPr>
        <w:t>‑</w:t>
      </w:r>
      <w:r>
        <w:rPr>
          <w:rFonts w:ascii="Arial" w:cs="Arial" w:eastAsia="Arial" w:hAnsi="Arial"/>
          <w:sz w:val="16"/>
          <w:szCs w:val="16"/>
          <w:color w:val="auto"/>
        </w:rPr>
        <w:t>bearing cash account as collateral for the letters of credit related to the contractual provisions for the Company’s building leases. Restricted cash at September 30, 2021 also includes pass-through payments from customers related to the Company’s wholesale business. At September 30, 2021 and December 31, 2020, portions of restricted cash were classified as a short-term asset and long</w:t>
      </w:r>
      <w:r>
        <w:rPr>
          <w:rFonts w:ascii="MS PGothic" w:cs="MS PGothic" w:eastAsia="MS PGothic" w:hAnsi="MS PGothic"/>
          <w:sz w:val="16"/>
          <w:szCs w:val="16"/>
          <w:color w:val="auto"/>
        </w:rPr>
        <w:t>‑</w:t>
      </w:r>
      <w:r>
        <w:rPr>
          <w:rFonts w:ascii="Arial" w:cs="Arial" w:eastAsia="Arial" w:hAnsi="Arial"/>
          <w:sz w:val="16"/>
          <w:szCs w:val="16"/>
          <w:color w:val="auto"/>
        </w:rPr>
        <w:t>term asset, as disclosed on the Unaudited Condensed Consolidated Balance Sheet.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On January 14, 2021, the Company completed the CarOffer Acquisition, details of which are described in Note 4 of the Unaudited Condensed Consolidated Financial Statements included elsewhere in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September 30, 2021 and December 31, 2020, the Company has not incurred any costs for guarantees or indemnities.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Stock-based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2020 CO Plan provides for the issuance of CO Incentive Units to CarOffer’s employees, officers, managers, and consultants. The 2020 CO Plan authorized up to an aggregate of 485,714 CO Incentive Units for such issuances.</w:t>
      </w:r>
    </w:p>
    <w:p>
      <w:pPr>
        <w:spacing w:after="0" w:line="89"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7"/>
          <w:szCs w:val="17"/>
          <w:color w:val="auto"/>
        </w:rPr>
        <w:t>The Vesting Agreement provides for the vesting of the Subject Units beneficially owned by the T5 Holders, which vest in accordance with the terms described in Note 2 of the Unaudited Condensed Consolidated Financial Statements included elsewhere in this Quarterly Report.</w:t>
      </w:r>
    </w:p>
    <w:p>
      <w:pPr>
        <w:spacing w:after="0" w:line="2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2021 CO Plan provides for an incentive equity grant structure whereby 2021 Incentive Units will be granted to CIE and 2021 CO Plan grantees will receive an associated CIE Interest, with back-to-back vesting between the 2021 Incentive Units and the associated CIE Interest. The 2021 CO Plan authorized up to an aggregate of 228,571 2021 Incentive Units for such issuances.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Unaudited Condensed Consolidated Income Statements: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5"/>
          </w:tcPr>
          <w:p>
            <w:pPr>
              <w:jc w:val="center"/>
              <w:ind w:left="557"/>
              <w:spacing w:after="0"/>
              <w:rPr>
                <w:sz w:val="20"/>
                <w:szCs w:val="20"/>
                <w:color w:val="auto"/>
              </w:rPr>
            </w:pPr>
            <w:r>
              <w:rPr>
                <w:rFonts w:ascii="Arial" w:cs="Arial" w:eastAsia="Arial" w:hAnsi="Arial"/>
                <w:sz w:val="14"/>
                <w:szCs w:val="14"/>
                <w:b w:val="1"/>
                <w:bCs w:val="1"/>
                <w:color w:val="auto"/>
                <w:w w:val="93"/>
              </w:rPr>
              <w:t>Nine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61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w:t>
            </w:r>
          </w:p>
        </w:tc>
        <w:tc>
          <w:tcPr>
            <w:tcW w:w="780" w:type="dxa"/>
            <w:vAlign w:val="bottom"/>
            <w:gridSpan w:val="3"/>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13,852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41,539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Units and Subject</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9,681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gridSpan w:val="2"/>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tcPr>
          <w:p>
            <w:pPr>
              <w:ind w:left="180"/>
              <w:spacing w:after="0"/>
              <w:rPr>
                <w:sz w:val="20"/>
                <w:szCs w:val="20"/>
                <w:color w:val="auto"/>
              </w:rPr>
            </w:pPr>
            <w:r>
              <w:rPr>
                <w:rFonts w:ascii="Arial" w:cs="Arial" w:eastAsia="Arial" w:hAnsi="Arial"/>
                <w:sz w:val="18"/>
                <w:szCs w:val="18"/>
                <w:color w:val="auto"/>
              </w:rPr>
              <w:t>Total stock-based</w:t>
            </w:r>
          </w:p>
        </w:tc>
        <w:tc>
          <w:tcPr>
            <w:tcW w:w="1060" w:type="dxa"/>
            <w:vAlign w:val="bottom"/>
            <w:gridSpan w:val="2"/>
            <w:vMerge w:val="restart"/>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15,169</w:t>
            </w:r>
          </w:p>
        </w:tc>
        <w:tc>
          <w:tcPr>
            <w:tcW w:w="200" w:type="dxa"/>
            <w:vAlign w:val="bottom"/>
            <w:gridSpan w:val="2"/>
            <w:vMerge w:val="restart"/>
          </w:tcPr>
          <w:p>
            <w:pPr>
              <w:spacing w:after="0"/>
              <w:rPr>
                <w:sz w:val="20"/>
                <w:szCs w:val="20"/>
                <w:color w:val="auto"/>
              </w:rPr>
            </w:pP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11,030</w:t>
            </w:r>
          </w:p>
        </w:tc>
        <w:tc>
          <w:tcPr>
            <w:tcW w:w="220" w:type="dxa"/>
            <w:vAlign w:val="bottom"/>
            <w:gridSpan w:val="2"/>
            <w:vMerge w:val="restart"/>
          </w:tcPr>
          <w:p>
            <w:pPr>
              <w:spacing w:after="0"/>
              <w:rPr>
                <w:sz w:val="20"/>
                <w:szCs w:val="20"/>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53,102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780" w:type="dxa"/>
            <w:vAlign w:val="bottom"/>
          </w:tcPr>
          <w:p>
            <w:pPr>
              <w:ind w:left="320"/>
              <w:spacing w:after="0" w:line="203" w:lineRule="exact"/>
              <w:rPr>
                <w:sz w:val="20"/>
                <w:szCs w:val="20"/>
                <w:color w:val="auto"/>
              </w:rPr>
            </w:pPr>
            <w:r>
              <w:rPr>
                <w:rFonts w:ascii="Arial" w:cs="Arial" w:eastAsia="Arial" w:hAnsi="Arial"/>
                <w:sz w:val="18"/>
                <w:szCs w:val="18"/>
                <w:color w:val="auto"/>
              </w:rPr>
              <w:t>compensation expense</w:t>
            </w:r>
          </w:p>
        </w:tc>
        <w:tc>
          <w:tcPr>
            <w:tcW w:w="106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5"/>
          </w:tcPr>
          <w:p>
            <w:pPr>
              <w:jc w:val="center"/>
              <w:ind w:left="537"/>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57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6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FF0FC"/>
          </w:tcPr>
          <w:p>
            <w:pPr>
              <w:spacing w:after="0"/>
              <w:rPr>
                <w:sz w:val="22"/>
                <w:szCs w:val="22"/>
                <w:color w:val="auto"/>
              </w:rPr>
            </w:pPr>
          </w:p>
        </w:tc>
        <w:tc>
          <w:tcPr>
            <w:tcW w:w="780" w:type="dxa"/>
            <w:vAlign w:val="bottom"/>
            <w:gridSpan w:val="3"/>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22"/>
                <w:szCs w:val="22"/>
                <w:color w:val="auto"/>
              </w:rPr>
            </w:pPr>
          </w:p>
        </w:tc>
        <w:tc>
          <w:tcPr>
            <w:tcW w:w="6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9,040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development expense</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17,585</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w w:val="95"/>
              </w:rPr>
              <w:t>General and administrative expense</w:t>
            </w: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26,166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stock-based</w:t>
            </w:r>
          </w:p>
        </w:tc>
        <w:tc>
          <w:tcPr>
            <w:tcW w:w="20" w:type="dxa"/>
            <w:vAlign w:val="bottom"/>
            <w:vMerge w:val="restart"/>
            <w:shd w:val="clear" w:color="auto" w:fill="CFF0FC"/>
          </w:tcPr>
          <w:p>
            <w:pPr>
              <w:spacing w:after="0"/>
              <w:rPr>
                <w:sz w:val="21"/>
                <w:szCs w:val="21"/>
                <w:color w:val="auto"/>
              </w:rPr>
            </w:pPr>
          </w:p>
        </w:tc>
        <w:tc>
          <w:tcPr>
            <w:tcW w:w="1040" w:type="dxa"/>
            <w:vAlign w:val="bottom"/>
            <w:vMerge w:val="restart"/>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60" w:type="dxa"/>
            <w:vAlign w:val="bottom"/>
            <w:shd w:val="clear" w:color="auto" w:fill="CFF0FC"/>
          </w:tcPr>
          <w:p>
            <w:pPr>
              <w:spacing w:after="0"/>
              <w:rPr>
                <w:sz w:val="21"/>
                <w:szCs w:val="21"/>
                <w:color w:val="auto"/>
              </w:rPr>
            </w:pPr>
          </w:p>
        </w:tc>
        <w:tc>
          <w:tcPr>
            <w:tcW w:w="160" w:type="dxa"/>
            <w:vAlign w:val="bottom"/>
            <w:vMerge w:val="restart"/>
            <w:shd w:val="clear" w:color="auto" w:fill="CFF0FC"/>
          </w:tcPr>
          <w:p>
            <w:pPr>
              <w:spacing w:after="0"/>
              <w:rPr>
                <w:sz w:val="21"/>
                <w:szCs w:val="21"/>
                <w:color w:val="auto"/>
              </w:rPr>
            </w:pPr>
          </w:p>
        </w:tc>
        <w:tc>
          <w:tcPr>
            <w:tcW w:w="620" w:type="dxa"/>
            <w:vAlign w:val="bottom"/>
            <w:gridSpan w:val="2"/>
            <w:vMerge w:val="restart"/>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20" w:type="dxa"/>
            <w:vAlign w:val="bottom"/>
            <w:shd w:val="clear" w:color="auto" w:fill="CFF0FC"/>
          </w:tcPr>
          <w:p>
            <w:pPr>
              <w:spacing w:after="0"/>
              <w:rPr>
                <w:sz w:val="21"/>
                <w:szCs w:val="21"/>
                <w:color w:val="auto"/>
              </w:rPr>
            </w:pPr>
          </w:p>
        </w:tc>
        <w:tc>
          <w:tcPr>
            <w:tcW w:w="200" w:type="dxa"/>
            <w:vAlign w:val="bottom"/>
            <w:vMerge w:val="restart"/>
            <w:shd w:val="clear" w:color="auto" w:fill="CFF0FC"/>
          </w:tcPr>
          <w:p>
            <w:pPr>
              <w:spacing w:after="0"/>
              <w:rPr>
                <w:sz w:val="21"/>
                <w:szCs w:val="21"/>
                <w:color w:val="auto"/>
              </w:rPr>
            </w:pPr>
          </w:p>
        </w:tc>
        <w:tc>
          <w:tcPr>
            <w:tcW w:w="400" w:type="dxa"/>
            <w:vAlign w:val="bottom"/>
            <w:gridSpan w:val="2"/>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53,102</w:t>
            </w:r>
          </w:p>
        </w:tc>
        <w:tc>
          <w:tcPr>
            <w:tcW w:w="200" w:type="dxa"/>
            <w:vAlign w:val="bottom"/>
            <w:shd w:val="clear" w:color="auto" w:fill="CFF0FC"/>
          </w:tcPr>
          <w:p>
            <w:pPr>
              <w:spacing w:after="0"/>
              <w:rPr>
                <w:sz w:val="21"/>
                <w:szCs w:val="21"/>
                <w:color w:val="auto"/>
              </w:rPr>
            </w:pPr>
          </w:p>
        </w:tc>
        <w:tc>
          <w:tcPr>
            <w:tcW w:w="20" w:type="dxa"/>
            <w:vAlign w:val="bottom"/>
            <w:vMerge w:val="restart"/>
            <w:shd w:val="clear" w:color="auto" w:fill="CFF0FC"/>
          </w:tcPr>
          <w:p>
            <w:pPr>
              <w:spacing w:after="0"/>
              <w:rPr>
                <w:sz w:val="21"/>
                <w:szCs w:val="21"/>
                <w:color w:val="auto"/>
              </w:rPr>
            </w:pPr>
          </w:p>
        </w:tc>
        <w:tc>
          <w:tcPr>
            <w:tcW w:w="580" w:type="dxa"/>
            <w:vAlign w:val="bottom"/>
            <w:vMerge w:val="restart"/>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FF0FC"/>
            </w:tcBorders>
            <w:shd w:val="clear" w:color="auto" w:fill="CFF0FC"/>
          </w:tcPr>
          <w:p>
            <w:pPr>
              <w:ind w:left="320"/>
              <w:spacing w:after="0" w:line="203" w:lineRule="exact"/>
              <w:rPr>
                <w:sz w:val="20"/>
                <w:szCs w:val="20"/>
                <w:color w:val="auto"/>
              </w:rPr>
            </w:pPr>
            <w:r>
              <w:rPr>
                <w:rFonts w:ascii="Arial" w:cs="Arial" w:eastAsia="Arial" w:hAnsi="Arial"/>
                <w:sz w:val="18"/>
                <w:szCs w:val="18"/>
                <w:color w:val="auto"/>
              </w:rPr>
              <w:t>compensation expense</w:t>
            </w:r>
          </w:p>
        </w:tc>
        <w:tc>
          <w:tcPr>
            <w:tcW w:w="20" w:type="dxa"/>
            <w:vAlign w:val="bottom"/>
            <w:tcBorders>
              <w:bottom w:val="single" w:sz="8" w:color="CFF0FC"/>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620" w:type="dxa"/>
            <w:vAlign w:val="bottom"/>
            <w:tcBorders>
              <w:bottom w:val="single" w:sz="8" w:color="auto"/>
            </w:tcBorders>
            <w:gridSpan w:val="2"/>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400" w:type="dxa"/>
            <w:vAlign w:val="bottom"/>
            <w:tcBorders>
              <w:bottom w:val="single" w:sz="8" w:color="auto"/>
            </w:tcBorders>
            <w:gridSpan w:val="2"/>
            <w:vMerge w:val="continue"/>
            <w:shd w:val="clear" w:color="auto" w:fill="CFF0FC"/>
          </w:tcPr>
          <w:p>
            <w:pPr>
              <w:spacing w:after="0"/>
              <w:rPr>
                <w:sz w:val="21"/>
                <w:szCs w:val="21"/>
                <w:color w:val="auto"/>
              </w:rPr>
            </w:pPr>
          </w:p>
        </w:tc>
        <w:tc>
          <w:tcPr>
            <w:tcW w:w="1220" w:type="dxa"/>
            <w:vAlign w:val="bottom"/>
            <w:tcBorders>
              <w:bottom w:val="single" w:sz="8" w:color="auto"/>
            </w:tcBorders>
            <w:gridSpan w:val="2"/>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-1985010</wp:posOffset>
            </wp:positionV>
            <wp:extent cx="13716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-1985010</wp:posOffset>
            </wp:positionV>
            <wp:extent cx="1371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-1985010</wp:posOffset>
            </wp:positionV>
            <wp:extent cx="1371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-1985010</wp:posOffset>
            </wp:positionV>
            <wp:extent cx="603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color w:val="auto"/>
        </w:rPr>
        <w:t>Excluded from stock-based compensation expense is $777, $656, $2,212 and $1,323 of capitalized website development and internal-use software costs for the three months ended September 30, 2021 and 2020 and the nine months ended September 30, 2021 and 2020, respectively.</w:t>
      </w:r>
    </w:p>
    <w:p>
      <w:pPr>
        <w:spacing w:after="0" w:line="24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During the three months ended September 30, 2021 and 2020 and the nine months ended September 30, 2021 and 2020, the Company withheld 114,973, 111,370, 404,626 and 337,313 shares of Class A common stock, respectively, to satisfy employee tax withholding requirements and for option exercise costs due to net share settlements and cashless exercises of options. The shares withheld return to the authorized, but unissued pool under the 2017 Plan and can be reissued by the Company. Total payments to satisfy employee tax withholding requirements and for option exercise costs due to net share settlements and cashless exercises of options were $3,106, $2,922, $11,314 and $8,708 for the three months ended September 30, 2021 and 2020 and the nine months ended September 30, 2021 and 2020, respectively, and are reflected as a financing activity within the Unaudited Condensed Consolidated Statements of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Earnings Per Share</w:t>
      </w:r>
    </w:p>
    <w:p>
      <w:pPr>
        <w:spacing w:after="0" w:line="135" w:lineRule="exact"/>
        <w:rPr>
          <w:sz w:val="20"/>
          <w:szCs w:val="20"/>
          <w:color w:val="auto"/>
        </w:rPr>
      </w:pPr>
    </w:p>
    <w:p>
      <w:pPr>
        <w:jc w:val="both"/>
        <w:ind w:firstLine="509"/>
        <w:spacing w:after="0" w:line="234"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5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7"/>
          <w:szCs w:val="17"/>
          <w:color w:val="auto"/>
        </w:rPr>
        <w:t>During the three months ended September 30, 2021 and 2020, holders of Class B common stock converted 1,676,061 and 898,655 shares of Class B common stock to Class A common stock, respectively. During the nine months ended September 30, 2021 and 2020, holders of Class B common stock converted 2,605,658 and 1,238,144 shares of Class B common stock to Class A common stock, respectively.</w:t>
      </w:r>
    </w:p>
    <w:p>
      <w:pPr>
        <w:spacing w:after="0" w:line="15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Basic net income per share (“Basic EPS”) is computed by dividing net income attributable to common stockholders and adjusted to reflect changes in the redemption value of the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21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Diluted net income per share (“Diluted EPS”) gives effect to all potentially dilutive securities. Diluted EPS is computed by dividing net income attributable to common stockholders and adjusted to reflect adjustments for net income (loss) attributable to the noncontrolling interest and redemption adjustments to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inclusive of CarOffer noncontrolling interest and incentive units, that would be issuable as of the end of the reporting period assuming the end of the reporting period was also the end of the contingency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per share:</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29,267</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32,563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76,214</w:t>
            </w:r>
          </w:p>
        </w:tc>
        <w:tc>
          <w:tcPr>
            <w:tcW w:w="24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(loss) attributable to</w:t>
            </w:r>
          </w:p>
        </w:tc>
        <w:tc>
          <w:tcPr>
            <w:tcW w:w="320" w:type="dxa"/>
            <w:vAlign w:val="bottom"/>
            <w:shd w:val="clear" w:color="auto" w:fill="CFF0FC"/>
          </w:tcPr>
          <w:p>
            <w:pPr>
              <w:spacing w:after="0"/>
              <w:rPr>
                <w:sz w:val="21"/>
                <w:szCs w:val="21"/>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(3,398 )</w:t>
            </w:r>
          </w:p>
        </w:tc>
        <w:tc>
          <w:tcPr>
            <w:tcW w:w="480" w:type="dxa"/>
            <w:vAlign w:val="bottom"/>
            <w:shd w:val="clear" w:color="auto" w:fill="CFF0FC"/>
          </w:tcPr>
          <w:p>
            <w:pPr>
              <w:spacing w:after="0"/>
              <w:rPr>
                <w:sz w:val="21"/>
                <w:szCs w:val="2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noncontrolling interest</w:t>
            </w:r>
          </w:p>
        </w:tc>
        <w:tc>
          <w:tcPr>
            <w:tcW w:w="320" w:type="dxa"/>
            <w:vAlign w:val="bottom"/>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common</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29,199</w:t>
            </w:r>
          </w:p>
        </w:tc>
        <w:tc>
          <w:tcPr>
            <w:tcW w:w="220" w:type="dxa"/>
            <w:vAlign w:val="bottom"/>
            <w:tcBorders>
              <w:top w:val="single" w:sz="8" w:color="CFF0FC"/>
            </w:tcBorders>
            <w:vMerge w:val="restart"/>
          </w:tcPr>
          <w:p>
            <w:pPr>
              <w:spacing w:after="0"/>
              <w:rPr>
                <w:sz w:val="20"/>
                <w:szCs w:val="20"/>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32,563</w:t>
            </w:r>
          </w:p>
        </w:tc>
        <w:tc>
          <w:tcPr>
            <w:tcW w:w="220" w:type="dxa"/>
            <w:vAlign w:val="bottom"/>
            <w:tcBorders>
              <w:top w:val="single" w:sz="8" w:color="CFF0FC"/>
            </w:tcBorders>
            <w:vMerge w:val="restart"/>
          </w:tcPr>
          <w:p>
            <w:pPr>
              <w:spacing w:after="0"/>
              <w:rPr>
                <w:sz w:val="20"/>
                <w:szCs w:val="20"/>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79,612</w:t>
            </w:r>
          </w:p>
        </w:tc>
        <w:tc>
          <w:tcPr>
            <w:tcW w:w="24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20" w:type="dxa"/>
            <w:vAlign w:val="bottom"/>
          </w:tcPr>
          <w:p>
            <w:pPr>
              <w:ind w:left="140"/>
              <w:spacing w:after="0" w:line="203" w:lineRule="exact"/>
              <w:rPr>
                <w:sz w:val="20"/>
                <w:szCs w:val="20"/>
                <w:color w:val="auto"/>
              </w:rPr>
            </w:pPr>
            <w:r>
              <w:rPr>
                <w:rFonts w:ascii="Arial" w:cs="Arial" w:eastAsia="Arial" w:hAnsi="Arial"/>
                <w:sz w:val="18"/>
                <w:szCs w:val="18"/>
                <w:color w:val="auto"/>
              </w:rPr>
              <w:t>stockholders — basic</w:t>
            </w: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Add: Net income (loss) attributable to</w:t>
            </w:r>
          </w:p>
        </w:tc>
        <w:tc>
          <w:tcPr>
            <w:tcW w:w="32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(588 )</w:t>
            </w:r>
          </w:p>
        </w:tc>
        <w:tc>
          <w:tcPr>
            <w:tcW w:w="48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noncontrolling interest</w:t>
            </w:r>
          </w:p>
        </w:tc>
        <w:tc>
          <w:tcPr>
            <w:tcW w:w="320" w:type="dxa"/>
            <w:vAlign w:val="bottom"/>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common</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29,267</w:t>
            </w:r>
          </w:p>
        </w:tc>
        <w:tc>
          <w:tcPr>
            <w:tcW w:w="220" w:type="dxa"/>
            <w:vAlign w:val="bottom"/>
            <w:tcBorders>
              <w:top w:val="single" w:sz="8" w:color="CFF0FC"/>
            </w:tcBorders>
            <w:vMerge w:val="restart"/>
          </w:tcPr>
          <w:p>
            <w:pPr>
              <w:spacing w:after="0"/>
              <w:rPr>
                <w:sz w:val="20"/>
                <w:szCs w:val="20"/>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32,563</w:t>
            </w:r>
          </w:p>
        </w:tc>
        <w:tc>
          <w:tcPr>
            <w:tcW w:w="220" w:type="dxa"/>
            <w:vAlign w:val="bottom"/>
            <w:tcBorders>
              <w:top w:val="single" w:sz="8" w:color="CFF0FC"/>
            </w:tcBorders>
            <w:vMerge w:val="restart"/>
          </w:tcPr>
          <w:p>
            <w:pPr>
              <w:spacing w:after="0"/>
              <w:rPr>
                <w:sz w:val="20"/>
                <w:szCs w:val="20"/>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79,024</w:t>
            </w:r>
          </w:p>
        </w:tc>
        <w:tc>
          <w:tcPr>
            <w:tcW w:w="24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20" w:type="dxa"/>
            <w:vAlign w:val="bottom"/>
          </w:tcPr>
          <w:p>
            <w:pPr>
              <w:ind w:left="140"/>
              <w:spacing w:after="0" w:line="203" w:lineRule="exact"/>
              <w:rPr>
                <w:sz w:val="20"/>
                <w:szCs w:val="20"/>
                <w:color w:val="auto"/>
              </w:rPr>
            </w:pPr>
            <w:r>
              <w:rPr>
                <w:rFonts w:ascii="Arial" w:cs="Arial" w:eastAsia="Arial" w:hAnsi="Arial"/>
                <w:sz w:val="18"/>
                <w:szCs w:val="18"/>
                <w:color w:val="auto"/>
              </w:rPr>
              <w:t>stockholders — diluted</w:t>
            </w: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Weighted-average number of shares of</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common stock used in computing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income per share attributable to</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140"/>
              <w:spacing w:after="0"/>
              <w:rPr>
                <w:sz w:val="20"/>
                <w:szCs w:val="20"/>
                <w:color w:val="auto"/>
              </w:rPr>
            </w:pPr>
            <w:r>
              <w:rPr>
                <w:rFonts w:ascii="Arial" w:cs="Arial" w:eastAsia="Arial" w:hAnsi="Arial"/>
                <w:sz w:val="18"/>
                <w:szCs w:val="18"/>
                <w:color w:val="auto"/>
              </w:rPr>
              <w:t>common stockholders — basic</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117,412,164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113,027,995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116,955,188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112,707,003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Dilutive effect of share equivalents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resulting from stock options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418,054</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632,581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460,553</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701,176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180"/>
              <w:spacing w:after="0"/>
              <w:rPr>
                <w:sz w:val="20"/>
                <w:szCs w:val="20"/>
                <w:color w:val="auto"/>
              </w:rPr>
            </w:pPr>
            <w:r>
              <w:rPr>
                <w:rFonts w:ascii="Arial" w:cs="Arial" w:eastAsia="Arial" w:hAnsi="Arial"/>
                <w:sz w:val="18"/>
                <w:szCs w:val="18"/>
                <w:color w:val="auto"/>
              </w:rPr>
              <w:t>Dilutive effect of share equivalents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20"/>
              <w:spacing w:after="0"/>
              <w:rPr>
                <w:sz w:val="20"/>
                <w:szCs w:val="20"/>
                <w:color w:val="auto"/>
              </w:rPr>
            </w:pPr>
            <w:r>
              <w:rPr>
                <w:rFonts w:ascii="Arial" w:cs="Arial" w:eastAsia="Arial" w:hAnsi="Arial"/>
                <w:sz w:val="18"/>
                <w:szCs w:val="18"/>
                <w:color w:val="auto"/>
              </w:rPr>
              <w:t>resulting from unvested restricted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320"/>
              <w:spacing w:after="0"/>
              <w:rPr>
                <w:sz w:val="20"/>
                <w:szCs w:val="20"/>
                <w:color w:val="auto"/>
              </w:rPr>
            </w:pPr>
            <w:r>
              <w:rPr>
                <w:rFonts w:ascii="Arial" w:cs="Arial" w:eastAsia="Arial" w:hAnsi="Arial"/>
                <w:sz w:val="18"/>
                <w:szCs w:val="18"/>
                <w:color w:val="auto"/>
              </w:rPr>
              <w:t>stock units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491,175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306,287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403,967</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324,437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Dilutive effect of share equivalents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resulting from CarOffer incentive</w:t>
            </w:r>
          </w:p>
        </w:tc>
        <w:tc>
          <w:tcPr>
            <w:tcW w:w="32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2,116,980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1,231,520</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units and noncontrolling interest</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18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20"/>
              <w:spacing w:after="0"/>
              <w:rPr>
                <w:sz w:val="20"/>
                <w:szCs w:val="20"/>
                <w:color w:val="auto"/>
              </w:rPr>
            </w:pPr>
            <w:r>
              <w:rPr>
                <w:rFonts w:ascii="Arial" w:cs="Arial" w:eastAsia="Arial" w:hAnsi="Arial"/>
                <w:sz w:val="18"/>
                <w:szCs w:val="18"/>
                <w:color w:val="auto"/>
              </w:rPr>
              <w:t>of common stock used in computing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20"/>
              <w:spacing w:after="0"/>
              <w:rPr>
                <w:sz w:val="20"/>
                <w:szCs w:val="20"/>
                <w:color w:val="auto"/>
              </w:rPr>
            </w:pPr>
            <w:r>
              <w:rPr>
                <w:rFonts w:ascii="Arial" w:cs="Arial" w:eastAsia="Arial" w:hAnsi="Arial"/>
                <w:sz w:val="18"/>
                <w:szCs w:val="18"/>
                <w:color w:val="auto"/>
              </w:rPr>
              <w:t>net income per share attributable to</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320"/>
              <w:spacing w:after="0"/>
              <w:rPr>
                <w:sz w:val="20"/>
                <w:szCs w:val="20"/>
                <w:color w:val="auto"/>
              </w:rPr>
            </w:pPr>
            <w:r>
              <w:rPr>
                <w:rFonts w:ascii="Arial" w:cs="Arial" w:eastAsia="Arial" w:hAnsi="Arial"/>
                <w:sz w:val="18"/>
                <w:szCs w:val="18"/>
                <w:color w:val="auto"/>
              </w:rPr>
              <w:t>common stockholders — 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120,438,373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113,966,863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119,051,228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113,732,616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-4196715</wp:posOffset>
            </wp:positionV>
            <wp:extent cx="13716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-4196715</wp:posOffset>
            </wp:positionV>
            <wp:extent cx="1371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-4196715</wp:posOffset>
            </wp:positionV>
            <wp:extent cx="14605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-4196715</wp:posOffset>
            </wp:positionV>
            <wp:extent cx="5143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-3579495</wp:posOffset>
            </wp:positionV>
            <wp:extent cx="13716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-3579495</wp:posOffset>
            </wp:positionV>
            <wp:extent cx="13716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-3579495</wp:posOffset>
            </wp:positionV>
            <wp:extent cx="14605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-3579495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-1290955</wp:posOffset>
            </wp:positionV>
            <wp:extent cx="13716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-1290955</wp:posOffset>
            </wp:positionV>
            <wp:extent cx="13716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-1290955</wp:posOffset>
            </wp:positionV>
            <wp:extent cx="14605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-1290955</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46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460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following potentially dilutive common stock equivalents have been excluded from the calculation of diluted weighted-average shares outstanding for the three and nine months ended September 30, 2021 and 2020, as their effect would have been anti-dilutive for the periods presented:</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2200" w:type="dxa"/>
            <w:vAlign w:val="bottom"/>
            <w:gridSpan w:val="3"/>
          </w:tcPr>
          <w:p>
            <w:pPr>
              <w:jc w:val="center"/>
              <w:ind w:left="761"/>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14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588,490</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501,306</w:t>
            </w:r>
          </w:p>
        </w:tc>
        <w:tc>
          <w:tcPr>
            <w:tcW w:w="2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2,181,061</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2,577,713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2,507,873</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2,893,491</w:t>
            </w:r>
          </w:p>
        </w:tc>
        <w:tc>
          <w:tcPr>
            <w:tcW w:w="10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In addition, shares of Class A common stock potentially issuable under market-based performance awards of approximately 282,921 were excluded from the calculation of weighted average shares used to compute Diluted EPS for both the three and nine months ended September 30, 2021 as the market-based vesting conditions had not been achieved as of the reporting period end date and as such there were zero contingently issuable shares.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12. Income Taxes</w:t>
      </w:r>
    </w:p>
    <w:p>
      <w:pPr>
        <w:spacing w:after="0" w:line="1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During the three months ended September 30, 2021, the Company recorded an income tax provision of $10,952, representing an effective tax rate of 27.3%. The effective tax rate for the three months ended September 30, 2021 was higher than the statutory tax rate of 21% principally due to state and local income taxes, shortfalls on the taxable compensation of share-based awards and the Section 162(m) excess officer compensation limitation, which became applicable in May 2021 upon the expiration of the transition period permitted following the Company’s initial public offering (“IPO”), partially offset by federal and state research and development tax credits.</w:t>
      </w:r>
    </w:p>
    <w:p>
      <w:pPr>
        <w:spacing w:after="0" w:line="19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During the nine months ended September 30, 2021, the Company recorded an income tax provision of $28,556, representing an effective tax rate of 26.4%. The effective tax rate for the nine months ended September 30, 2021 was higher than the statutory tax rate of 21% principally due to state and local income taxes, shortfalls on the taxable compensation of share-based awards and the Section 162(m) excess officer compensation limitation, which became applicable in May 2021 upon the expiration of the transition period permitted following the IPO, partially offset by federal and state research and development tax credits.</w:t>
      </w:r>
    </w:p>
    <w:p>
      <w:pPr>
        <w:spacing w:after="0" w:line="19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During the three months ended September 30, 2020, the Company recorded an income tax provision of $11,209, representing an effective tax rate of 25.6%. The effective tax rate for the three months ended September 30, 2020 was higher than the statutory tax rate of 21% principally due to state and local income taxes, partially offset by federal and state research and development tax credits.</w:t>
      </w:r>
    </w:p>
    <w:p>
      <w:pPr>
        <w:spacing w:after="0" w:line="210" w:lineRule="exact"/>
        <w:rPr>
          <w:sz w:val="20"/>
          <w:szCs w:val="20"/>
          <w:color w:val="auto"/>
        </w:rPr>
      </w:pPr>
    </w:p>
    <w:p>
      <w:pPr>
        <w:jc w:val="both"/>
        <w:ind w:firstLine="509"/>
        <w:spacing w:after="0" w:line="325" w:lineRule="auto"/>
        <w:rPr>
          <w:sz w:val="20"/>
          <w:szCs w:val="20"/>
          <w:color w:val="auto"/>
        </w:rPr>
      </w:pPr>
      <w:r>
        <w:rPr>
          <w:rFonts w:ascii="Arial" w:cs="Arial" w:eastAsia="Arial" w:hAnsi="Arial"/>
          <w:sz w:val="16"/>
          <w:szCs w:val="16"/>
          <w:color w:val="auto"/>
        </w:rPr>
        <w:t xml:space="preserve">During the nine months ended September 30, 2020, the Company recorded an income tax provision of $13,312, representing an effective tax rate of 20.3%. The effective tax rate for the nine months ended September 30, 2020 was lower than the statutory tax rate of 21% principally due to a discrete benefit recognized as a result of the enactment of the </w:t>
      </w:r>
      <w:r>
        <w:rPr>
          <w:rFonts w:ascii="Arial" w:cs="Arial" w:eastAsia="Arial" w:hAnsi="Arial"/>
          <w:sz w:val="14"/>
          <w:szCs w:val="14"/>
          <w:color w:val="auto"/>
        </w:rPr>
        <w:t>Coronavirus Aid, Relief, and Economic Security Act</w:t>
      </w:r>
      <w:r>
        <w:rPr>
          <w:rFonts w:ascii="Arial" w:cs="Arial" w:eastAsia="Arial" w:hAnsi="Arial"/>
          <w:sz w:val="16"/>
          <w:szCs w:val="16"/>
          <w:color w:val="auto"/>
        </w:rPr>
        <w:t>, excess stock deductions from the taxable compensation of stock-based awards and federal and state research and development tax credits, partially offset by state and local income taxes.</w:t>
      </w:r>
    </w:p>
    <w:p>
      <w:pPr>
        <w:spacing w:after="0" w:line="15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state jurisdictions. The Company is currently open to examination in its foreign jurisdictions for tax years 2018 and after. In 2019, the IRS commenced a federal employment tax audit with respect to the 2018, 2017 and 2016 calendar years and expanded the audit to cover tax year 2019 as part of the audit settlement in July 2021. In 2020, the State of New York commenced a sales tax audit of the Company for the tax years 2014 to 2020, which closed without adjustment.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13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United States segment derives revenues from marketplace subscriptions and wholesale and other revenues from customers within the United States. The International segment derives revenues from marketplace subscriptions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211,554</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138,412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581,149</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376,164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30,882</w:t>
            </w:r>
          </w:p>
        </w:tc>
        <w:tc>
          <w:tcPr>
            <w:tcW w:w="2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23,734</w:t>
            </w:r>
          </w:p>
        </w:tc>
        <w:tc>
          <w:tcPr>
            <w:tcW w:w="8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222,915</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147,472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612,031</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399,898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6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-708025</wp:posOffset>
            </wp:positionV>
            <wp:extent cx="15430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-708025</wp:posOffset>
            </wp:positionV>
            <wp:extent cx="13716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-708025</wp:posOffset>
            </wp:positionV>
            <wp:extent cx="13716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-708025</wp:posOffset>
            </wp:positionV>
            <wp:extent cx="514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tbl>
      <w:tblPr>
        <w:tblLayout w:type="fixed"/>
        <w:tblInd w:w="58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256"/>
        </w:trPr>
        <w:tc>
          <w:tcPr>
            <w:tcW w:w="4140" w:type="dxa"/>
            <w:vAlign w:val="bottom"/>
            <w:shd w:val="clear" w:color="auto" w:fill="CFF0FC"/>
          </w:tcPr>
          <w:p>
            <w:pPr>
              <w:jc w:val="center"/>
              <w:ind w:right="1170"/>
              <w:spacing w:after="0"/>
              <w:rPr>
                <w:sz w:val="20"/>
                <w:szCs w:val="20"/>
                <w:color w:val="auto"/>
              </w:rPr>
            </w:pPr>
            <w:r>
              <w:rPr>
                <w:rFonts w:ascii="Arial" w:cs="Arial" w:eastAsia="Arial" w:hAnsi="Arial"/>
                <w:sz w:val="18"/>
                <w:szCs w:val="18"/>
                <w:i w:val="1"/>
                <w:iCs w:val="1"/>
                <w:color w:val="auto"/>
                <w:w w:val="90"/>
              </w:rPr>
              <w:t>Segment income (loss) from operations:</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41,931</w:t>
            </w:r>
          </w:p>
        </w:tc>
        <w:tc>
          <w:tcPr>
            <w:tcW w:w="2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46,462</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111,515</w:t>
            </w:r>
          </w:p>
        </w:tc>
        <w:tc>
          <w:tcPr>
            <w:tcW w:w="2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82,061</w:t>
            </w:r>
          </w:p>
        </w:tc>
        <w:tc>
          <w:tcPr>
            <w:tcW w:w="100" w:type="dxa"/>
            <w:vAlign w:val="bottom"/>
          </w:tcPr>
          <w:p>
            <w:pPr>
              <w:spacing w:after="0"/>
              <w:rPr>
                <w:sz w:val="21"/>
                <w:szCs w:val="21"/>
                <w:color w:val="auto"/>
              </w:rPr>
            </w:pPr>
          </w:p>
        </w:tc>
      </w:tr>
      <w:tr>
        <w:trPr>
          <w:trHeight w:val="257"/>
        </w:trPr>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(1,855 )</w:t>
            </w:r>
          </w:p>
        </w:tc>
        <w:tc>
          <w:tcPr>
            <w:tcW w:w="4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(2,895 )</w:t>
            </w: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(7,171 )</w:t>
            </w:r>
          </w:p>
        </w:tc>
        <w:tc>
          <w:tcPr>
            <w:tcW w:w="4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(17,766 )</w:t>
            </w:r>
          </w:p>
        </w:tc>
      </w:tr>
      <w:tr>
        <w:trPr>
          <w:trHeight w:val="250"/>
        </w:trPr>
        <w:tc>
          <w:tcPr>
            <w:tcW w:w="4140" w:type="dxa"/>
            <w:vAlign w:val="bottom"/>
            <w:tcBorders>
              <w:top w:val="single" w:sz="8" w:color="CFF0FC"/>
            </w:tcBorders>
          </w:tcPr>
          <w:p>
            <w:pPr>
              <w:jc w:val="center"/>
              <w:ind w:right="1190"/>
              <w:spacing w:after="0"/>
              <w:rPr>
                <w:sz w:val="20"/>
                <w:szCs w:val="20"/>
                <w:color w:val="auto"/>
              </w:rPr>
            </w:pPr>
            <w:r>
              <w:rPr>
                <w:rFonts w:ascii="Arial" w:cs="Arial" w:eastAsia="Arial" w:hAnsi="Arial"/>
                <w:sz w:val="18"/>
                <w:szCs w:val="18"/>
                <w:color w:val="auto"/>
                <w:w w:val="91"/>
              </w:rPr>
              <w:t>Total income from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40,076</w:t>
            </w:r>
          </w:p>
        </w:tc>
        <w:tc>
          <w:tcPr>
            <w:tcW w:w="240" w:type="dxa"/>
            <w:vAlign w:val="bottom"/>
            <w:tcBorders>
              <w:top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43,567</w:t>
            </w:r>
          </w:p>
        </w:tc>
        <w:tc>
          <w:tcPr>
            <w:tcW w:w="26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104,344</w:t>
            </w:r>
          </w:p>
        </w:tc>
        <w:tc>
          <w:tcPr>
            <w:tcW w:w="240" w:type="dxa"/>
            <w:vAlign w:val="bottom"/>
            <w:tcBorders>
              <w:top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64,295</w:t>
            </w:r>
          </w:p>
        </w:tc>
        <w:tc>
          <w:tcPr>
            <w:tcW w:w="100" w:type="dxa"/>
            <w:vAlign w:val="bottom"/>
            <w:tcBorders>
              <w:top w:val="single" w:sz="8" w:color="CFF0FC"/>
            </w:tcBorders>
          </w:tcPr>
          <w:p>
            <w:pPr>
              <w:spacing w:after="0"/>
              <w:rPr>
                <w:sz w:val="21"/>
                <w:szCs w:val="2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-193675</wp:posOffset>
            </wp:positionV>
            <wp:extent cx="1543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-193675</wp:posOffset>
            </wp:positionV>
            <wp:extent cx="1543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15430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The Company ceased the operations of the International segment online marketplaces in Germany, Italy, and Spain in the second quarter of 2020.</w:t>
      </w:r>
    </w:p>
    <w:p>
      <w:pPr>
        <w:spacing w:after="0" w:line="356"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212529"/>
        </w:rPr>
        <w:t>As of September 30, 2021, total assets held outside of the United States were $33,877, primarily attributable to $15,728 of goodwill. As of December 31, 2020, total assets held outside of the United States were $32,012, primarily attributable to $16,652 of goodwill.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2020, filed with the Securities and Exchange Commission, or SEC, on February 12, 2021,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3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operate principally in the United States. In the United States, we also operate as independent brands the Autolist online marketplace, which we wholly own, and CarOffer digital wholesale marketplace, in which we have a 51% interest. In addition to the United States, we operate online marketplaces under the CarGurus brand in Canada and the United Kingdom. In the United Kingdom, we also operate as an independent brand the PistonHeads online marketplace, which we wholly own. We also operated online marketplaces in Germany, Italy, and Spain until we ceased the operations of each of these marketplaces in the second quarter of 2020.</w:t>
      </w:r>
    </w:p>
    <w:p>
      <w:pPr>
        <w:spacing w:after="0" w:line="19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We have subsidiaries in the United States, Canada, Ireland, and the United Kingdom. Additionally, we have two reportable segments, United States and International. See Note 13 of the Unaudited Condensed Consolidated Financial Statements included elsewhere in this Quarterly Report.</w:t>
      </w:r>
    </w:p>
    <w:p>
      <w:pPr>
        <w:spacing w:after="0" w:line="14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We generate wholesale and other revenue primarily from revenue relating to the wholesale sale of automobiles, display advertising revenue from auto manufacturers and other auto-related brand advertisers and revenue from partnerships with financing services companies.</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revenue for the three months ended September 30, 2021 was $222.9 million, a 51% increase from $147.5 million of revenue in the three months ended September 30, 2020. For the three months ended September 30, 2021, we generated consolidated net income of $29.3 million and Adjusted EBITDA of $62.5 million, compared to consolidated net income of $32.6 million and Adjusted EBITDA of $57.0 million for the three months ended September 30, 2020.</w:t>
      </w:r>
    </w:p>
    <w:p>
      <w:pPr>
        <w:spacing w:after="0" w:line="185"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8"/>
          <w:szCs w:val="18"/>
          <w:color w:val="auto"/>
        </w:rPr>
        <w:t>Our revenue for the nine months ended September 30, 2021 was $612.0 million, a 53% increase from $399.9 million of revenue in the nine months ended September 30, 2020. For the nine months ended September 30, 2021, we generated consolidated net income of $76.2 million and Adjusted EBITDA of $179.5 million, compared to consolidated net income of $52.4 million and Adjusted EBITDA of $112.2 million for the nine months ended September 30, 2020.</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See “Adjusted EBITDA” below for more information regarding our use of Adjusted EBITDA, a non-GAAP financial measure, and a reconciliation of Adjusted EBITDA to our consolidated net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COVID-19 Update</w:t>
      </w:r>
    </w:p>
    <w:p>
      <w:pPr>
        <w:spacing w:after="0" w:line="135"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(subject to limited exceptions) until further notice, which has disrupted how we operate our business. In addition, in an effort to limit the spread of COVID-19, many countries, as well as states and localities in the United States, implemented or mandated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 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73"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 material adverse effect on our revenues and our business.</w:t>
      </w:r>
    </w:p>
    <w:p>
      <w:pPr>
        <w:spacing w:after="0" w:line="148"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Further, because of the significant financial challenges that dealerships have faced,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have also experienced increased account delinquencies from dealer customers challenged by the COVID-19 pandemic that failed to pay us on time or at all. However, since the second quarter of 2020, cancellations by paying dealers have begun to stabilize, which we believe resulted from the resumption of consumer activity as well as the fee reductions that we provided to our customers. Additionally, while we suspended charging subscription fees for paying dealers in the United Kingdom for the February 2021 service period, during the three and nine months ended September 30, 2021, we returned to normal contractual billings in all other markets. Although the fee reductions had a material adverse effect on our revenue for the year ended December 31, 2020, they did not have a material adverse impact on the three and nine months ended September 30, 2021.</w:t>
      </w:r>
    </w:p>
    <w:p>
      <w:pPr>
        <w:spacing w:after="0" w:line="169"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or the Expense Reduction Plan, that included a reduction in our workforce, a limitation in discretionary spend across our business, and our ceasing certain international operations and expansion efforts.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We also reduced consumer marketing across both algorithmic traffic acquisition and brand spend during the year ended December 31, 2020 in comparison to the year ended December 31, 2019 in an effort to reduce expenses and as a result of suppressed dealer inventory and the resulting reduced demand for leads by dealers. However, since the second quarter of 2020, we have increased our consumer marketing expenses, though remaining short of pre-pandemic levels, as consumer activity increased and governments implemented re-opening policies.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However, we cannot at this time accurately predict what effects these conditions will ultimately have on our future revenue and operations. See the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section of this Quarterly Report for further discussion of the impacts of the COVID-19 pandemic on our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Key Business Metrics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5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2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180" w:type="dxa"/>
            <w:vAlign w:val="bottom"/>
          </w:tcPr>
          <w:p>
            <w:pPr>
              <w:spacing w:after="0"/>
              <w:rPr>
                <w:sz w:val="17"/>
                <w:szCs w:val="17"/>
                <w:color w:val="auto"/>
              </w:rPr>
            </w:pPr>
          </w:p>
        </w:tc>
        <w:tc>
          <w:tcPr>
            <w:tcW w:w="14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28,818</w:t>
            </w: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38,655</w:t>
            </w:r>
          </w:p>
        </w:tc>
        <w:tc>
          <w:tcPr>
            <w:tcW w:w="260" w:type="dxa"/>
            <w:vAlign w:val="bottom"/>
            <w:shd w:val="clear" w:color="auto" w:fill="CFF0FC"/>
          </w:tcPr>
          <w:p>
            <w:pPr>
              <w:spacing w:after="0"/>
              <w:rPr>
                <w:sz w:val="22"/>
                <w:szCs w:val="22"/>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260" w:type="dxa"/>
            <w:vAlign w:val="bottom"/>
          </w:tcPr>
          <w:p>
            <w:pPr>
              <w:spacing w:after="0"/>
              <w:rPr>
                <w:sz w:val="21"/>
                <w:szCs w:val="21"/>
                <w:color w:val="auto"/>
              </w:rPr>
            </w:pPr>
          </w:p>
        </w:tc>
      </w:tr>
      <w:tr>
        <w:trPr>
          <w:trHeight w:val="257"/>
        </w:trPr>
        <w:tc>
          <w:tcPr>
            <w:tcW w:w="67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36,279</w:t>
            </w: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46,439</w:t>
            </w:r>
          </w:p>
        </w:tc>
        <w:tc>
          <w:tcPr>
            <w:tcW w:w="260" w:type="dxa"/>
            <w:vAlign w:val="bottom"/>
            <w:shd w:val="clear" w:color="auto" w:fill="CFF0FC"/>
          </w:tcPr>
          <w:p>
            <w:pPr>
              <w:spacing w:after="0"/>
              <w:rPr>
                <w:sz w:val="22"/>
                <w:szCs w:val="2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7"/>
        </w:trPr>
        <w:tc>
          <w:tcPr>
            <w:tcW w:w="580" w:type="dxa"/>
            <w:vAlign w:val="bottom"/>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3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2"/>
        </w:trPr>
        <w:tc>
          <w:tcPr>
            <w:tcW w:w="580" w:type="dxa"/>
            <w:vAlign w:val="bottom"/>
          </w:tcPr>
          <w:p>
            <w:pPr>
              <w:spacing w:after="0"/>
              <w:rPr>
                <w:sz w:val="22"/>
                <w:szCs w:val="22"/>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71,184</w:t>
            </w:r>
          </w:p>
        </w:tc>
        <w:tc>
          <w:tcPr>
            <w:tcW w:w="2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94,288</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International</w:t>
            </w:r>
          </w:p>
        </w:tc>
        <w:tc>
          <w:tcPr>
            <w:tcW w:w="3460" w:type="dxa"/>
            <w:vAlign w:val="bottom"/>
            <w:gridSpan w:val="2"/>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w:t>
            </w:r>
          </w:p>
        </w:tc>
        <w:tc>
          <w:tcPr>
            <w:tcW w:w="2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18,274</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88,303</w:t>
            </w:r>
          </w:p>
        </w:tc>
        <w:tc>
          <w:tcPr>
            <w:tcW w:w="2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112,562</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675"/>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80" w:type="dxa"/>
            <w:vAlign w:val="bottom"/>
          </w:tcPr>
          <w:p>
            <w:pPr>
              <w:jc w:val="right"/>
              <w:ind w:right="13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9"/>
              </w:rPr>
              <w:t>At September 30</w:t>
            </w: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 of Paying Dealers</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256"/>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23,979</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23,659</w:t>
            </w:r>
          </w:p>
        </w:tc>
        <w:tc>
          <w:tcPr>
            <w:tcW w:w="260" w:type="dxa"/>
            <w:vAlign w:val="bottom"/>
            <w:shd w:val="clear" w:color="auto" w:fill="CFF0FC"/>
          </w:tcPr>
          <w:p>
            <w:pPr>
              <w:spacing w:after="0"/>
              <w:rPr>
                <w:sz w:val="22"/>
                <w:szCs w:val="22"/>
                <w:color w:val="auto"/>
              </w:rPr>
            </w:pPr>
          </w:p>
        </w:tc>
      </w:tr>
      <w:tr>
        <w:trPr>
          <w:trHeight w:val="250"/>
        </w:trPr>
        <w:tc>
          <w:tcPr>
            <w:tcW w:w="67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260" w:type="dxa"/>
            <w:vAlign w:val="bottom"/>
          </w:tcPr>
          <w:p>
            <w:pPr>
              <w:spacing w:after="0"/>
              <w:rPr>
                <w:sz w:val="21"/>
                <w:szCs w:val="21"/>
                <w:color w:val="auto"/>
              </w:rPr>
            </w:pPr>
          </w:p>
        </w:tc>
      </w:tr>
      <w:tr>
        <w:trPr>
          <w:trHeight w:val="257"/>
        </w:trPr>
        <w:tc>
          <w:tcPr>
            <w:tcW w:w="6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30,754</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30,162</w:t>
            </w:r>
          </w:p>
        </w:tc>
        <w:tc>
          <w:tcPr>
            <w:tcW w:w="26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3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define QARSD, which is measured at the end of a fiscal quarter, as the marketplace subscription revenue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September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5,602</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80" w:type="dxa"/>
            <w:vAlign w:val="bottom"/>
            <w:shd w:val="clear" w:color="auto" w:fill="CFF0FC"/>
          </w:tcPr>
          <w:p>
            <w:pPr>
              <w:spacing w:after="0"/>
              <w:rPr>
                <w:sz w:val="22"/>
                <w:szCs w:val="22"/>
                <w:color w:val="auto"/>
              </w:rPr>
            </w:pPr>
          </w:p>
        </w:tc>
      </w:tr>
      <w:tr>
        <w:trPr>
          <w:trHeight w:val="250"/>
        </w:trPr>
        <w:tc>
          <w:tcPr>
            <w:tcW w:w="67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1,524</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1"/>
                <w:szCs w:val="21"/>
                <w:color w:val="auto"/>
              </w:rPr>
            </w:pPr>
          </w:p>
        </w:tc>
      </w:tr>
      <w:tr>
        <w:trPr>
          <w:trHeight w:val="263"/>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4,704</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8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United States generally accepted accounting principles, or GAAP, and is not necessarily comparable to similarly titled measures presented by other companies.</w:t>
      </w:r>
    </w:p>
    <w:p>
      <w:pPr>
        <w:spacing w:after="0" w:line="216"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8"/>
          <w:szCs w:val="18"/>
          <w:color w:val="auto"/>
        </w:rPr>
        <w:t>We define Adjusted EBITDA as consolidated net income,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acquisition-related expenses, restructuring expenses, other income, net, provision for income taxes, and net income attributable to the minority interest in acquired entities.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217" w:lineRule="exact"/>
        <w:rPr>
          <w:sz w:val="20"/>
          <w:szCs w:val="20"/>
          <w:color w:val="auto"/>
        </w:rPr>
      </w:pPr>
    </w:p>
    <w:p>
      <w:pPr>
        <w:jc w:val="both"/>
        <w:ind w:firstLine="509"/>
        <w:spacing w:after="0" w:line="22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ind w:firstLine="509"/>
        <w:spacing w:after="0" w:line="279"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consolidated net income, which is the most directly comparable GAAP equivalent. Some of these limitations are:</w:t>
      </w:r>
    </w:p>
    <w:p>
      <w:pPr>
        <w:spacing w:after="0" w:line="75" w:lineRule="exact"/>
        <w:rPr>
          <w:sz w:val="20"/>
          <w:szCs w:val="20"/>
          <w:color w:val="auto"/>
        </w:rPr>
      </w:pPr>
    </w:p>
    <w:p>
      <w:pPr>
        <w:jc w:val="both"/>
        <w:ind w:left="840" w:right="20"/>
        <w:spacing w:after="0" w:line="230" w:lineRule="exact"/>
        <w:rPr>
          <w:sz w:val="20"/>
          <w:szCs w:val="20"/>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08" w:lineRule="exact"/>
        <w:rPr>
          <w:sz w:val="20"/>
          <w:szCs w:val="20"/>
          <w:color w:val="auto"/>
        </w:rPr>
      </w:pPr>
    </w:p>
    <w:p>
      <w:pPr>
        <w:jc w:val="both"/>
        <w:ind w:left="840"/>
        <w:spacing w:after="0" w:line="230" w:lineRule="exact"/>
        <w:rPr>
          <w:sz w:val="20"/>
          <w:szCs w:val="20"/>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108" w:lineRule="exact"/>
        <w:rPr>
          <w:sz w:val="20"/>
          <w:szCs w:val="20"/>
          <w:color w:val="auto"/>
        </w:rPr>
      </w:pPr>
    </w:p>
    <w:p>
      <w:pPr>
        <w:jc w:val="both"/>
        <w:ind w:left="840"/>
        <w:spacing w:after="0" w:line="279" w:lineRule="auto"/>
        <w:rPr>
          <w:sz w:val="20"/>
          <w:szCs w:val="20"/>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sz w:val="20"/>
          <w:szCs w:val="20"/>
          <w:color w:val="auto"/>
        </w:rPr>
      </w:pPr>
    </w:p>
    <w:p>
      <w:pPr>
        <w:jc w:val="both"/>
        <w:ind w:left="840"/>
        <w:spacing w:after="0" w:line="293" w:lineRule="auto"/>
        <w:rPr>
          <w:sz w:val="20"/>
          <w:szCs w:val="20"/>
          <w:color w:val="auto"/>
        </w:rPr>
      </w:pPr>
      <w:r>
        <w:rPr>
          <w:rFonts w:ascii="Arial" w:cs="Arial" w:eastAsia="Arial" w:hAnsi="Arial"/>
          <w:sz w:val="18"/>
          <w:szCs w:val="18"/>
          <w:color w:val="auto"/>
        </w:rPr>
        <w:t>Adjusted EBITDA excludes restructuring expenses incurred by us during a reporting period, which may not be reflective of our operational performance during such period;</w:t>
      </w:r>
    </w:p>
    <w:p>
      <w:pPr>
        <w:spacing w:after="0" w:line="62" w:lineRule="exact"/>
        <w:rPr>
          <w:sz w:val="20"/>
          <w:szCs w:val="20"/>
          <w:color w:val="auto"/>
        </w:rPr>
      </w:pPr>
    </w:p>
    <w:p>
      <w:pPr>
        <w:jc w:val="both"/>
        <w:ind w:left="840"/>
        <w:spacing w:after="0" w:line="293" w:lineRule="auto"/>
        <w:rPr>
          <w:sz w:val="20"/>
          <w:szCs w:val="20"/>
          <w:color w:val="auto"/>
        </w:rPr>
      </w:pPr>
      <w:r>
        <w:rPr>
          <w:rFonts w:ascii="Arial" w:cs="Arial" w:eastAsia="Arial" w:hAnsi="Arial"/>
          <w:sz w:val="18"/>
          <w:szCs w:val="18"/>
          <w:color w:val="auto"/>
        </w:rPr>
        <w:t>Adjusted EBITDA excludes other income, net which primarily includes transition service agreement income, interest income earned on our cash, cash equivalents, and investments, sublease income and net foreign exchange gains and losses;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Adjusted EBITDA excludes the provision for income taxes;</w:t>
      </w:r>
    </w:p>
    <w:p>
      <w:pPr>
        <w:spacing w:after="0" w:line="131" w:lineRule="exact"/>
        <w:rPr>
          <w:sz w:val="20"/>
          <w:szCs w:val="20"/>
          <w:color w:val="auto"/>
        </w:rPr>
      </w:pPr>
    </w:p>
    <w:p>
      <w:pPr>
        <w:jc w:val="both"/>
        <w:ind w:left="840"/>
        <w:spacing w:after="0" w:line="293" w:lineRule="auto"/>
        <w:rPr>
          <w:sz w:val="20"/>
          <w:szCs w:val="20"/>
          <w:color w:val="auto"/>
        </w:rPr>
      </w:pPr>
      <w:r>
        <w:rPr>
          <w:rFonts w:ascii="Arial" w:cs="Arial" w:eastAsia="Arial" w:hAnsi="Arial"/>
          <w:sz w:val="18"/>
          <w:szCs w:val="18"/>
          <w:color w:val="auto"/>
        </w:rPr>
        <w:t>Adjusted EBITDA excludes the income attributable to the minority interest in acquired entities, adjusted for all prior limitations to Adjusted EBITDA as described above; and</w:t>
      </w:r>
    </w:p>
    <w:p>
      <w:pPr>
        <w:spacing w:after="0" w:line="62" w:lineRule="exact"/>
        <w:rPr>
          <w:sz w:val="20"/>
          <w:szCs w:val="20"/>
          <w:color w:val="auto"/>
        </w:rPr>
      </w:pPr>
    </w:p>
    <w:p>
      <w:pPr>
        <w:jc w:val="both"/>
        <w:ind w:left="840"/>
        <w:spacing w:after="0" w:line="293" w:lineRule="auto"/>
        <w:rPr>
          <w:sz w:val="20"/>
          <w:szCs w:val="20"/>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presents a reconciliation of Adjusted EBITDA to consolidated net income, the most directly comparable measure calculated in accordance with GAAP, for each of the periods presented.</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5"/>
                <w:szCs w:val="15"/>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60" w:type="dxa"/>
            <w:vAlign w:val="bottom"/>
          </w:tcPr>
          <w:p>
            <w:pPr>
              <w:spacing w:after="0"/>
              <w:rPr>
                <w:sz w:val="21"/>
                <w:szCs w:val="21"/>
                <w:color w:val="auto"/>
              </w:rPr>
            </w:pPr>
          </w:p>
        </w:tc>
        <w:tc>
          <w:tcPr>
            <w:tcW w:w="142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32,563</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76,214</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10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29,487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21"/>
                <w:szCs w:val="2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53,102</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r>
      <w:tr>
        <w:trPr>
          <w:trHeight w:val="263"/>
        </w:trPr>
        <w:tc>
          <w:tcPr>
            <w:tcW w:w="4920" w:type="dxa"/>
            <w:vAlign w:val="bottom"/>
            <w:shd w:val="clear" w:color="auto" w:fill="CFF0FC"/>
          </w:tcPr>
          <w:p>
            <w:pPr>
              <w:spacing w:after="0" w:line="263" w:lineRule="exact"/>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(143 )</w:t>
            </w:r>
          </w:p>
        </w:tc>
        <w:tc>
          <w:tcPr>
            <w:tcW w:w="3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(205 )</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(426 )</w:t>
            </w:r>
          </w:p>
        </w:tc>
        <w:tc>
          <w:tcPr>
            <w:tcW w:w="3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(1,407 )</w:t>
            </w:r>
          </w:p>
        </w:tc>
      </w:tr>
      <w:tr>
        <w:trPr>
          <w:trHeight w:val="257"/>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57,029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187,642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112,190</w:t>
            </w:r>
          </w:p>
        </w:tc>
        <w:tc>
          <w:tcPr>
            <w:tcW w:w="100" w:type="dxa"/>
            <w:vAlign w:val="bottom"/>
          </w:tcPr>
          <w:p>
            <w:pPr>
              <w:spacing w:after="0"/>
              <w:rPr>
                <w:sz w:val="21"/>
                <w:szCs w:val="2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(3,357 )</w:t>
            </w:r>
          </w:p>
        </w:tc>
        <w:tc>
          <w:tcPr>
            <w:tcW w:w="3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(8,094 )</w:t>
            </w:r>
          </w:p>
        </w:tc>
        <w:tc>
          <w:tcPr>
            <w:tcW w:w="3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62,544</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57,029</w:t>
            </w: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179,548</w:t>
            </w: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112,190</w:t>
            </w:r>
          </w:p>
        </w:tc>
        <w:tc>
          <w:tcPr>
            <w:tcW w:w="100" w:type="dxa"/>
            <w:vAlign w:val="bottom"/>
            <w:tcBorders>
              <w:top w:val="single" w:sz="8" w:color="CFF0FC"/>
            </w:tcBorders>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-527685</wp:posOffset>
            </wp:positionV>
            <wp:extent cx="1460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-527685</wp:posOffset>
            </wp:positionV>
            <wp:extent cx="16256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-527685</wp:posOffset>
            </wp:positionV>
            <wp:extent cx="1289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-527685</wp:posOffset>
            </wp:positionV>
            <wp:extent cx="603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-193675</wp:posOffset>
            </wp:positionV>
            <wp:extent cx="1460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-193675</wp:posOffset>
            </wp:positionV>
            <wp:extent cx="16256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2890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7" w:lineRule="exact"/>
        <w:rPr>
          <w:sz w:val="20"/>
          <w:szCs w:val="20"/>
          <w:color w:val="auto"/>
        </w:rPr>
      </w:pPr>
    </w:p>
    <w:p>
      <w:pPr>
        <w:ind w:left="960" w:hanging="439"/>
        <w:spacing w:after="0" w:line="239" w:lineRule="auto"/>
        <w:tabs>
          <w:tab w:leader="none" w:pos="96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Excludes stock-based compensation expense of $753 for the nine months ended September 30, 2020 related to the Expense Reduction Plan, as the amount is already included within the stock-based compensation line item in the Reconciliation of Adjusted EBITDA.</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62"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6"/>
          <w:szCs w:val="16"/>
          <w:color w:val="auto"/>
        </w:rPr>
        <w:t>We derive revenue from two sources: (1) marketplace subscription revenue, which consists primarily of Listings and Dealer Display subscriptions, and (2) wholesale and other revenue, which consists primarily of revenue relating to the wholesale sale of automobiles, display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revenue from partnerships with financing services companies.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(formerly referred to as Basic Listings), which is free; and various levels of Listings packages, which each require a paid subscription under a monthly, quarterly, semiannual, or annual subscription basis.</w:t>
      </w:r>
    </w:p>
    <w:p>
      <w:pPr>
        <w:spacing w:after="0" w:line="18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at the end of the committed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6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Dealer Display, which is marketed under our Real-time Performance Marketing suite.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consumer relevant vehicles from a dealer’s inventory that the consumer has not yet discovered on our marketplace), and a number of other targeting factors, allowing dealers to increase their visibility with in-market consumers and drive qualified traffic for dealers.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and Other Revenue</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Wholesale and other revenue consists of revenue relating to the wholesale sale of automobiles, which includes transaction fees earned by CarOffer from facilitating the purchase and sale of vehicles between dealers, where CarOffer collects fees from both the buyer and seller. CarOffer also sells vehicles to dealers that CarOffer acquires at other marketplaces or directly from consumers – in these instances, CarOffer collects a transaction fee from the buyer. CarOffer also charges the buyer fees to perform inspection and transportation services for all wholesale transactions.</w:t>
      </w:r>
    </w:p>
    <w:p>
      <w:pPr>
        <w:spacing w:after="0" w:line="1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Wholesale and other revenue also consists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9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Wholesale and other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description of our revenue accounting policies, see “— Critical Accounting Policies and Significant Estimates.”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Cost of revenue includes expenses incurred to support revenue relating to the wholesale sale of automobiles. These expense include the expenses to facilitate the purchase and sale of vehicles between dealers and from fulfilling buy orders from dealers through the acquisition of vehicles at other marketplaces and directly from consumers. The primary expenses incurred for wholesale transactions include the expenses to transport and inspect vehicles, certain salaries, benefits, incentive compensation and stock-based compensation for employees directly involved in the fulfillment and support of transactions, allocated overhead expenses and other third-party expenses. In limited circumstances, typically during an arbitration process, CarOffer acquires vehicles in transactions for which it is deemed to control the vehicle and recognizes the cost of the vehicle through cost of revenue when the vehicle is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both"/>
        <w:ind w:firstLine="509"/>
        <w:spacing w:after="0" w:line="311" w:lineRule="auto"/>
        <w:rPr>
          <w:sz w:val="20"/>
          <w:szCs w:val="20"/>
          <w:color w:val="auto"/>
        </w:rPr>
      </w:pPr>
      <w:r>
        <w:rPr>
          <w:rFonts w:ascii="Arial" w:cs="Arial" w:eastAsia="Arial" w:hAnsi="Arial"/>
          <w:sz w:val="16"/>
          <w:szCs w:val="16"/>
          <w:color w:val="auto"/>
        </w:rPr>
        <w:t>Cost of revenue also includes expenses related to supporting and hosting our digital product offerings. These expenses include salaries, benefits, incentive compensation, and stock-based compensation for our customer support team and third-party service provider expenses such as advertising, data center and networking expenses, allocated overhead expense, depreciation expense associated with our property and equipment, and amortization of capitalized website development costs. We allocate overhead expenses, such as rent and facility expenses, information technology expense, and employee benefit expense,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Sales and marketing expenses consist primarily of personnel and related expenses for our sales and marketing team, including salaries, benefits, incentive compensation, commissions, stock-based compensation, and travel expenses; expenses associated with consumer marketing, such as traffic acquisition, brand building, and public relations activities; expenses associated with dealer marketing, such as content marketing, customer and promotional events, and industry events; amortization of internal-use software; and allocated overhead expenses. A portion of our commissions that are related to obtaining a new contract is capitalized and amortized over the estimated benefit period of customer relationships. All other sales and marketing expenses are expensed as incurred. We expect sales and marketing expenses to fluctuate from quarter to quarter as we respond to the COVID-19 pandemic and changes in the macroeconomic and competitive landscapes affecting our existing dealers, consumer audience and brand awareness, which will impact our quarterly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Product, technology, and development expenses, which include research and development expenses, consist primarily of personnel and related expenses for our development team, including salaries, benefits, incentive compensation, stock-based compensation and allocated overhead expense. Other than website development and internal-use software expenses as well as other costs that qualify for capitalization,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expenses associated with professional fees for external legal, accounting and other consulting services, insurance premiums, payment processing and billing expenses, and allocated overhead expenses. General and administrative expenses are expensed as incurred. We expect general and administrative expenses to increase as we continue to scale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income, net consists primarily of transition service agreement income, interest income earned on our cash, cash equivalents, and investments, sublease income and net foreign exchange gains and losses.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are subject to federal and state income taxes in the United States and taxes in foreign jurisdictions in which we operate. We have recorded a provision for income taxes for the three months ended September 30, 2021 and 2020 and a provision for income taxes for the nine months ended September 30, 2021 and 2020.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allowances against our net deferred tax assets as of September 30, 2021 and December 31, 2020 were both immaterial.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following table sets forth our selected consolidated income statements data for each of the periods indicated. The period-to-period comparison of financial results is not necessarily indicative of future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5"/>
                <w:szCs w:val="15"/>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7"/>
                <w:szCs w:val="17"/>
                <w:color w:val="auto"/>
              </w:rPr>
            </w:pPr>
          </w:p>
        </w:tc>
        <w:tc>
          <w:tcPr>
            <w:tcW w:w="22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Marketplace subscription</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144,589</w:t>
            </w:r>
          </w:p>
        </w:tc>
        <w:tc>
          <w:tcPr>
            <w:tcW w:w="18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129,953</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428,394</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351,772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Wholesale and other revenue</w:t>
            </w:r>
          </w:p>
        </w:tc>
        <w:tc>
          <w:tcPr>
            <w:tcW w:w="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78,326</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17,519</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183,637</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8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222,915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147,472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612,031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399,898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60,033</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9,762</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134,408</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31,252</w:t>
            </w:r>
          </w:p>
        </w:tc>
        <w:tc>
          <w:tcPr>
            <w:tcW w:w="8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162,882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137,710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477,623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368,646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66,626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57,618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200,935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189,796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technology, and development</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26,539</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20,758</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79,333</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65,729</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20,414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14,279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67,095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44,297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9,227</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1,488</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25,916</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8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122,806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94,143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373,279</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304,351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40,076</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43,567</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104,344</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64,295</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net</w:t>
            </w: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40,219</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43,772</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104,770</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65,702</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10,952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11,209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13,312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29,267</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32,563</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76,214</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 attributable to redeemable noncontrolling</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(3,398 )</w:t>
            </w:r>
          </w:p>
        </w:tc>
        <w:tc>
          <w:tcPr>
            <w:tcW w:w="360" w:type="dxa"/>
            <w:vAlign w:val="bottom"/>
          </w:tcPr>
          <w:p>
            <w:pPr>
              <w:spacing w:after="0"/>
              <w:rPr>
                <w:sz w:val="21"/>
                <w:szCs w:val="21"/>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29,199</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32,563</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left="295"/>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7"/>
                <w:szCs w:val="17"/>
                <w:color w:val="auto"/>
              </w:rPr>
            </w:pPr>
          </w:p>
        </w:tc>
        <w:tc>
          <w:tcPr>
            <w:tcW w:w="22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211,554</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138,412</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581,149</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376,164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30,882</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222,915</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147,472</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612,031</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399,898</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41,931</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46,462</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111,515</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82,061</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(1,855 )</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(2,895 )</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(7,171 )</w:t>
            </w:r>
          </w:p>
        </w:tc>
        <w:tc>
          <w:tcPr>
            <w:tcW w:w="36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(17,766 )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40,076</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43,567</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104,344</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64,295</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-5585460</wp:posOffset>
            </wp:positionV>
            <wp:extent cx="12890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-5585460</wp:posOffset>
            </wp:positionV>
            <wp:extent cx="12890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-5585460</wp:posOffset>
            </wp:positionV>
            <wp:extent cx="14605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-5585460</wp:posOffset>
            </wp:positionV>
            <wp:extent cx="431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-5251450</wp:posOffset>
            </wp:positionV>
            <wp:extent cx="1289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-5251450</wp:posOffset>
            </wp:positionV>
            <wp:extent cx="12890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-5251450</wp:posOffset>
            </wp:positionV>
            <wp:extent cx="14605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-5251450</wp:posOffset>
            </wp:positionV>
            <wp:extent cx="431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-4265295</wp:posOffset>
            </wp:positionV>
            <wp:extent cx="12890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-4265295</wp:posOffset>
            </wp:positionV>
            <wp:extent cx="12890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-4265295</wp:posOffset>
            </wp:positionV>
            <wp:extent cx="14605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-4265295</wp:posOffset>
            </wp:positionV>
            <wp:extent cx="431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-2785110</wp:posOffset>
            </wp:positionV>
            <wp:extent cx="1289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-2767965</wp:posOffset>
            </wp:positionV>
            <wp:extent cx="1289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-2785110</wp:posOffset>
            </wp:positionV>
            <wp:extent cx="1289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-2767965</wp:posOffset>
            </wp:positionV>
            <wp:extent cx="1289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-2785110</wp:posOffset>
            </wp:positionV>
            <wp:extent cx="1460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-2767965</wp:posOffset>
            </wp:positionV>
            <wp:extent cx="1460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-2785110</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-2767965</wp:posOffset>
            </wp:positionV>
            <wp:extent cx="43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-1250950</wp:posOffset>
            </wp:positionV>
            <wp:extent cx="1460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-1233805</wp:posOffset>
            </wp:positionV>
            <wp:extent cx="1460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-1250950</wp:posOffset>
            </wp:positionV>
            <wp:extent cx="1460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-1233805</wp:posOffset>
            </wp:positionV>
            <wp:extent cx="1460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-1250950</wp:posOffset>
            </wp:positionV>
            <wp:extent cx="1289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-1233805</wp:posOffset>
            </wp:positionV>
            <wp:extent cx="1289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-1250950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-565150</wp:posOffset>
            </wp:positionV>
            <wp:extent cx="1460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-548005</wp:posOffset>
            </wp:positionV>
            <wp:extent cx="1460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-565150</wp:posOffset>
            </wp:positionV>
            <wp:extent cx="1460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-548005</wp:posOffset>
            </wp:positionV>
            <wp:extent cx="1460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-565150</wp:posOffset>
            </wp:positionV>
            <wp:extent cx="1289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-548005</wp:posOffset>
            </wp:positionV>
            <wp:extent cx="128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-565150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-548005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7"/>
          <w:szCs w:val="17"/>
          <w:color w:val="auto"/>
        </w:rPr>
        <w:t>The following table sets forth our selected consolidated income statements data as a percentage of revenue for each of the periods indicated.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in tables below may not sum due to rounding.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spacing w:after="0"/>
              <w:rPr>
                <w:sz w:val="22"/>
                <w:szCs w:val="22"/>
                <w:color w:val="auto"/>
              </w:rPr>
            </w:pP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Marketplace subscription</w:t>
            </w: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65 %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88 %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Wholesale and other revenue</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left w:val="single" w:sz="8" w:color="CFF0FC"/>
              <w:bottom w:val="single" w:sz="8" w:color="CFF0FC"/>
            </w:tcBorders>
            <w:shd w:val="clear" w:color="auto" w:fill="CFF0FC"/>
          </w:tcPr>
          <w:p>
            <w:pPr>
              <w:spacing w:after="0"/>
              <w:rPr>
                <w:sz w:val="22"/>
                <w:szCs w:val="22"/>
                <w:color w:val="auto"/>
              </w:rPr>
            </w:pP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left w:val="single" w:sz="8" w:color="CFF0FC"/>
              <w:bottom w:val="single" w:sz="8" w:color="CFF0FC"/>
            </w:tcBorders>
            <w:shd w:val="clear" w:color="auto" w:fill="CFF0FC"/>
          </w:tcPr>
          <w:p>
            <w:pPr>
              <w:spacing w:after="0"/>
              <w:rPr>
                <w:sz w:val="22"/>
                <w:szCs w:val="22"/>
                <w:color w:val="auto"/>
              </w:rPr>
            </w:pP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spacing w:after="0"/>
              <w:rPr>
                <w:sz w:val="22"/>
                <w:szCs w:val="22"/>
                <w:color w:val="auto"/>
              </w:rPr>
            </w:pP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technology, and development</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left w:val="single" w:sz="8" w:color="CFF0FC"/>
              <w:bottom w:val="single" w:sz="8" w:color="CFF0FC"/>
            </w:tcBorders>
            <w:shd w:val="clear" w:color="auto" w:fill="CFF0FC"/>
          </w:tcPr>
          <w:p>
            <w:pPr>
              <w:spacing w:after="0"/>
              <w:rPr>
                <w:sz w:val="22"/>
                <w:szCs w:val="22"/>
                <w:color w:val="auto"/>
              </w:rPr>
            </w:pP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(loss) attributable to redeemable noncontrolling</w:t>
            </w:r>
          </w:p>
        </w:tc>
        <w:tc>
          <w:tcPr>
            <w:tcW w:w="2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right w:val="single" w:sz="8" w:color="CFF0FC"/>
            </w:tcBorders>
            <w:shd w:val="clear" w:color="auto" w:fill="CFF0FC"/>
          </w:tcPr>
          <w:p>
            <w:pPr>
              <w:spacing w:after="0"/>
              <w:rPr>
                <w:sz w:val="22"/>
                <w:szCs w:val="22"/>
                <w:color w:val="auto"/>
              </w:rPr>
            </w:pPr>
          </w:p>
        </w:tc>
        <w:tc>
          <w:tcPr>
            <w:tcW w:w="13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September 30,</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spacing w:after="0"/>
              <w:rPr>
                <w:sz w:val="22"/>
                <w:szCs w:val="22"/>
                <w:color w:val="auto"/>
              </w:rPr>
            </w:pP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right w:val="single" w:sz="8" w:color="CFF0FC"/>
            </w:tcBorders>
            <w:shd w:val="clear" w:color="auto" w:fill="CFF0FC"/>
          </w:tcPr>
          <w:p>
            <w:pPr>
              <w:spacing w:after="0"/>
              <w:rPr>
                <w:sz w:val="22"/>
                <w:szCs w:val="22"/>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94 %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right w:val="single" w:sz="8" w:color="CFF0FC"/>
            </w:tcBorders>
            <w:shd w:val="clear" w:color="auto" w:fill="CFF0FC"/>
          </w:tcPr>
          <w:p>
            <w:pPr>
              <w:spacing w:after="0"/>
              <w:rPr>
                <w:sz w:val="24"/>
                <w:szCs w:val="24"/>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Borders>
              <w:right w:val="single" w:sz="8" w:color="CFF0FC"/>
            </w:tcBorders>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right w:val="single" w:sz="8" w:color="CFF0FC"/>
            </w:tcBorders>
            <w:shd w:val="clear" w:color="auto" w:fill="CFF0FC"/>
          </w:tcPr>
          <w:p>
            <w:pPr>
              <w:spacing w:after="0"/>
              <w:rPr>
                <w:sz w:val="22"/>
                <w:szCs w:val="22"/>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right w:val="single" w:sz="8" w:color="CFF0FC"/>
            </w:tcBorders>
            <w:shd w:val="clear" w:color="auto" w:fill="CFF0FC"/>
          </w:tcPr>
          <w:p>
            <w:pPr>
              <w:spacing w:after="0"/>
              <w:rPr>
                <w:sz w:val="23"/>
                <w:szCs w:val="23"/>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18 %</w:t>
            </w:r>
          </w:p>
        </w:tc>
        <w:tc>
          <w:tcPr>
            <w:tcW w:w="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30 %</w:t>
            </w: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Borders>
              <w:right w:val="single" w:sz="8" w:color="CFF0FC"/>
            </w:tcBorders>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16 %</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 the three months ended September 30, 2021 and 2020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9"/>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right w:val="single" w:sz="8" w:color="CFF0FC"/>
            </w:tcBorders>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spacing w:after="0"/>
              <w:rPr>
                <w:sz w:val="22"/>
                <w:szCs w:val="22"/>
                <w:color w:val="auto"/>
              </w:rPr>
            </w:pP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tcBorders>
              <w:left w:val="single" w:sz="8" w:color="CFF0FC"/>
            </w:tcBorders>
            <w:shd w:val="clear" w:color="auto" w:fill="CFF0FC"/>
          </w:tcPr>
          <w:p>
            <w:pPr>
              <w:spacing w:after="0"/>
              <w:rPr>
                <w:sz w:val="22"/>
                <w:szCs w:val="22"/>
                <w:color w:val="auto"/>
              </w:rPr>
            </w:pP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144,589</w:t>
            </w:r>
          </w:p>
        </w:tc>
        <w:tc>
          <w:tcPr>
            <w:tcW w:w="360" w:type="dxa"/>
            <w:vAlign w:val="bottom"/>
          </w:tcPr>
          <w:p>
            <w:pPr>
              <w:spacing w:after="0"/>
              <w:rPr>
                <w:sz w:val="21"/>
                <w:szCs w:val="21"/>
                <w:color w:val="auto"/>
              </w:rPr>
            </w:pPr>
          </w:p>
        </w:tc>
        <w:tc>
          <w:tcPr>
            <w:tcW w:w="300" w:type="dxa"/>
            <w:vAlign w:val="bottom"/>
            <w:gridSpan w:val="2"/>
          </w:tcPr>
          <w:p>
            <w:pPr>
              <w:jc w:val="right"/>
              <w:ind w:right="260"/>
              <w:spacing w:after="0"/>
              <w:rPr>
                <w:sz w:val="20"/>
                <w:szCs w:val="20"/>
                <w:color w:val="auto"/>
              </w:rPr>
            </w:pPr>
            <w:r>
              <w:rPr>
                <w:rFonts w:ascii="Arial" w:cs="Arial" w:eastAsia="Arial" w:hAnsi="Arial"/>
                <w:sz w:val="4"/>
                <w:szCs w:val="4"/>
                <w:color w:val="auto"/>
                <w:w w:val="87"/>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129,953</w:t>
            </w:r>
          </w:p>
        </w:tc>
        <w:tc>
          <w:tcPr>
            <w:tcW w:w="28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87"/>
              </w:rPr>
              <w:t>14,636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Wholesale and other revenue</w:t>
            </w:r>
          </w:p>
        </w:tc>
        <w:tc>
          <w:tcPr>
            <w:tcW w:w="200" w:type="dxa"/>
            <w:vAlign w:val="bottom"/>
            <w:tcBorders>
              <w:bottom w:val="single" w:sz="8" w:color="auto"/>
              <w:right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3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gridSpan w:val="2"/>
            <w:shd w:val="clear" w:color="auto" w:fill="CFF0FC"/>
          </w:tcPr>
          <w:p>
            <w:pPr>
              <w:ind w:left="420"/>
              <w:spacing w:after="0"/>
              <w:rPr>
                <w:sz w:val="20"/>
                <w:szCs w:val="20"/>
                <w:color w:val="auto"/>
              </w:rPr>
            </w:pPr>
            <w:r>
              <w:rPr>
                <w:rFonts w:ascii="Arial" w:cs="Arial" w:eastAsia="Arial" w:hAnsi="Arial"/>
                <w:sz w:val="18"/>
                <w:szCs w:val="18"/>
                <w:color w:val="auto"/>
                <w:w w:val="87"/>
              </w:rPr>
              <w:t>60,807</w:t>
            </w: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222,915</w:t>
            </w:r>
          </w:p>
        </w:tc>
        <w:tc>
          <w:tcPr>
            <w:tcW w:w="360" w:type="dxa"/>
            <w:vAlign w:val="bottom"/>
          </w:tcPr>
          <w:p>
            <w:pPr>
              <w:spacing w:after="0"/>
              <w:rPr>
                <w:sz w:val="21"/>
                <w:szCs w:val="21"/>
                <w:color w:val="auto"/>
              </w:rPr>
            </w:pPr>
          </w:p>
        </w:tc>
        <w:tc>
          <w:tcPr>
            <w:tcW w:w="300" w:type="dxa"/>
            <w:vAlign w:val="bottom"/>
            <w:gridSpan w:val="2"/>
          </w:tcPr>
          <w:p>
            <w:pPr>
              <w:jc w:val="right"/>
              <w:ind w:right="260"/>
              <w:spacing w:after="0"/>
              <w:rPr>
                <w:sz w:val="20"/>
                <w:szCs w:val="20"/>
                <w:color w:val="auto"/>
              </w:rPr>
            </w:pPr>
            <w:r>
              <w:rPr>
                <w:rFonts w:ascii="Arial" w:cs="Arial" w:eastAsia="Arial" w:hAnsi="Arial"/>
                <w:sz w:val="4"/>
                <w:szCs w:val="4"/>
                <w:color w:val="auto"/>
                <w:w w:val="87"/>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147,472</w:t>
            </w:r>
          </w:p>
        </w:tc>
        <w:tc>
          <w:tcPr>
            <w:tcW w:w="28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87"/>
              </w:rPr>
              <w:t>75,443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00" w:type="dxa"/>
            <w:vAlign w:val="bottom"/>
            <w:tcBorders>
              <w:right w:val="single" w:sz="8" w:color="CFF0FC"/>
            </w:tcBorders>
            <w:shd w:val="clear" w:color="auto" w:fill="CFF0FC"/>
          </w:tcPr>
          <w:p>
            <w:pPr>
              <w:spacing w:after="0"/>
              <w:rPr>
                <w:sz w:val="21"/>
                <w:szCs w:val="21"/>
                <w:color w:val="auto"/>
              </w:rPr>
            </w:pPr>
          </w:p>
        </w:tc>
        <w:tc>
          <w:tcPr>
            <w:tcW w:w="960" w:type="dxa"/>
            <w:vAlign w:val="bottom"/>
            <w:tcBorders>
              <w:right w:val="single" w:sz="8" w:color="CFF0FC"/>
            </w:tcBorders>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tcBorders>
              <w:lef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88 %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Wholesale and other revenue</w:t>
            </w:r>
          </w:p>
        </w:tc>
        <w:tc>
          <w:tcPr>
            <w:tcW w:w="200" w:type="dxa"/>
            <w:vAlign w:val="bottom"/>
            <w:tcBorders>
              <w:bottom w:val="single" w:sz="8" w:color="auto"/>
              <w:right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674"/>
              <w:spacing w:after="0"/>
              <w:rPr>
                <w:sz w:val="20"/>
                <w:szCs w:val="20"/>
                <w:color w:val="auto"/>
              </w:rPr>
            </w:pPr>
            <w:r>
              <w:rPr>
                <w:rFonts w:ascii="Arial" w:cs="Arial" w:eastAsia="Arial" w:hAnsi="Arial"/>
                <w:sz w:val="18"/>
                <w:szCs w:val="18"/>
                <w:color w:val="auto"/>
                <w:w w:val="89"/>
              </w:rPr>
              <w:t>32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-8294370</wp:posOffset>
            </wp:positionV>
            <wp:extent cx="24003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-8294370</wp:posOffset>
            </wp:positionV>
            <wp:extent cx="22288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-8294370</wp:posOffset>
            </wp:positionV>
            <wp:extent cx="22288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-8294370</wp:posOffset>
            </wp:positionV>
            <wp:extent cx="16319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-7960360</wp:posOffset>
            </wp:positionV>
            <wp:extent cx="24003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-7960360</wp:posOffset>
            </wp:positionV>
            <wp:extent cx="22288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-7960360</wp:posOffset>
            </wp:positionV>
            <wp:extent cx="22288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-7960360</wp:posOffset>
            </wp:positionV>
            <wp:extent cx="16319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-6974205</wp:posOffset>
            </wp:positionV>
            <wp:extent cx="24003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-6974205</wp:posOffset>
            </wp:positionV>
            <wp:extent cx="22288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-6974205</wp:posOffset>
            </wp:positionV>
            <wp:extent cx="22288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-6974205</wp:posOffset>
            </wp:positionV>
            <wp:extent cx="16319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-5494020</wp:posOffset>
            </wp:positionV>
            <wp:extent cx="2400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-5476875</wp:posOffset>
            </wp:positionV>
            <wp:extent cx="24003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-5494020</wp:posOffset>
            </wp:positionV>
            <wp:extent cx="2228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-5476875</wp:posOffset>
            </wp:positionV>
            <wp:extent cx="2228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-5494020</wp:posOffset>
            </wp:positionV>
            <wp:extent cx="2228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-5476875</wp:posOffset>
            </wp:positionV>
            <wp:extent cx="2228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-5494020</wp:posOffset>
            </wp:positionV>
            <wp:extent cx="1631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-5476875</wp:posOffset>
            </wp:positionV>
            <wp:extent cx="1631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-4088130</wp:posOffset>
            </wp:positionV>
            <wp:extent cx="2311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-4070985</wp:posOffset>
            </wp:positionV>
            <wp:extent cx="2311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-4088130</wp:posOffset>
            </wp:positionV>
            <wp:extent cx="2228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-4070985</wp:posOffset>
            </wp:positionV>
            <wp:extent cx="2228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-4088130</wp:posOffset>
            </wp:positionV>
            <wp:extent cx="2228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-4070985</wp:posOffset>
            </wp:positionV>
            <wp:extent cx="2228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-4088130</wp:posOffset>
            </wp:positionV>
            <wp:extent cx="1631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-4070985</wp:posOffset>
            </wp:positionV>
            <wp:extent cx="1631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-3402330</wp:posOffset>
            </wp:positionV>
            <wp:extent cx="2311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-3385185</wp:posOffset>
            </wp:positionV>
            <wp:extent cx="2311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-3402330</wp:posOffset>
            </wp:positionV>
            <wp:extent cx="2228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-3385185</wp:posOffset>
            </wp:positionV>
            <wp:extent cx="2228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-3402330</wp:posOffset>
            </wp:positionV>
            <wp:extent cx="2228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-3385185</wp:posOffset>
            </wp:positionV>
            <wp:extent cx="2228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-3402330</wp:posOffset>
            </wp:positionV>
            <wp:extent cx="1631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-3385185</wp:posOffset>
            </wp:positionV>
            <wp:extent cx="1631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-1393825</wp:posOffset>
            </wp:positionV>
            <wp:extent cx="23177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-1393825</wp:posOffset>
            </wp:positionV>
            <wp:extent cx="2311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-1393825</wp:posOffset>
            </wp:positionV>
            <wp:extent cx="9461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-1393825</wp:posOffset>
            </wp:positionV>
            <wp:extent cx="16319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-708025</wp:posOffset>
            </wp:positionV>
            <wp:extent cx="23177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-708025</wp:posOffset>
            </wp:positionV>
            <wp:extent cx="2311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622" w:gutter="0" w:footer="0" w:header="0"/>
        </w:sectPr>
      </w:pPr>
    </w:p>
    <w:bookmarkStart w:id="36" w:name="page37"/>
    <w:bookmarkEnd w:id="36"/>
    <w:p>
      <w:pPr>
        <w:jc w:val="both"/>
        <w:ind w:right="20" w:firstLine="509"/>
        <w:spacing w:after="0" w:line="293" w:lineRule="auto"/>
        <w:rPr>
          <w:sz w:val="20"/>
          <w:szCs w:val="20"/>
          <w:color w:val="auto"/>
        </w:rPr>
      </w:pPr>
      <w:r>
        <w:rPr>
          <w:rFonts w:ascii="Arial" w:cs="Arial" w:eastAsia="Arial" w:hAnsi="Arial"/>
          <w:sz w:val="18"/>
          <w:szCs w:val="18"/>
          <w:color w:val="auto"/>
        </w:rPr>
        <w:t>Overall revenue increased by $75.4 million, or 51%, in the three months ended September 30, 2021 compared to the three months ended September 30, 2020. Wholesale and other revenue increased by 347% and marketplace subscription revenue increased by 11%.</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Marketplace subscription revenue increased by $14.6 million in the three months ended September 30, 2021 compared to the three months ended September 30, 2020 and represented 65% of total revenue for the three months ended September 30, 2021 and 88% of total revenue for the three months ended September 30, 2020. The increase in marketplace subscription revenue was due primarily to a 9% growth in our QARSD for paying dealers to $4,704 at September 30, 2021 from $4,302 at September 30, 2020. The increase in QARSD was due primarily to expansion across our dealer base. The expansion was driven by rate increases since the third quarter of 2020 and product upgrades for existing dealers and signing on new dealers with higher average monthly recurring revenue.</w:t>
      </w:r>
    </w:p>
    <w:p>
      <w:pPr>
        <w:spacing w:after="0" w:line="27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Wholesale and other revenue increased by $60.8 million in the three months ended September 30, 2021 compared to the three months ended September 30, 2020 and represented 35% of total revenue for the three months ended September 30, 2021 and 12% of total revenue for the three months ended September 30, 2020. The increase was due primarily to a $63.0 million increase in wholesale revenue due to our acquisition of a 51% interest in CarOffer and was offset in part by a $2.0 million decrease in advertising and consumer financing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211,554</w:t>
            </w:r>
          </w:p>
        </w:tc>
        <w:tc>
          <w:tcPr>
            <w:tcW w:w="3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138,412</w:t>
            </w:r>
          </w:p>
        </w:tc>
        <w:tc>
          <w:tcPr>
            <w:tcW w:w="3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73,142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53 %</w:t>
            </w:r>
          </w:p>
        </w:tc>
      </w:tr>
      <w:tr>
        <w:trPr>
          <w:trHeight w:val="25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9"/>
              </w:rPr>
              <w:t>25</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222,915</w:t>
            </w:r>
          </w:p>
        </w:tc>
        <w:tc>
          <w:tcPr>
            <w:tcW w:w="3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147,472</w:t>
            </w:r>
          </w:p>
        </w:tc>
        <w:tc>
          <w:tcPr>
            <w:tcW w:w="3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75,443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51 %</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94 %</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5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-879475</wp:posOffset>
            </wp:positionV>
            <wp:extent cx="2311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-879475</wp:posOffset>
            </wp:positionV>
            <wp:extent cx="23177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-879475</wp:posOffset>
            </wp:positionV>
            <wp:extent cx="939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-879475</wp:posOffset>
            </wp:positionV>
            <wp:extent cx="16319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-193675</wp:posOffset>
            </wp:positionV>
            <wp:extent cx="2311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wp:posOffset>
            </wp:positionV>
            <wp:extent cx="23177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1775" cy="571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United States revenue increased $73.1 million, or 53%, in the three months ended September 30, 2021 compared to the three months ended September 30, 2020. The increase was due primarily to a $63.0 million increase in wholesale revenue due to our acquisition of a 51% interest in CarOffer. The increase in United States revenue was also due in part to a 9% growth in our QARSD for United States dealers to $5,602 at September 30, 2021 from $5,133 at September 30, 2020. The increase in QARSD was due primarily to expansion across our dealer base. The expansion was driven by rate increases and product upgrades for existing dealers and signing on new dealers with higher average monthly recurring revenue.</w:t>
      </w:r>
    </w:p>
    <w:p>
      <w:pPr>
        <w:spacing w:after="0" w:line="28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International revenue increased $2.3 million, or 25%, in the three months ended September 30, 2021 compared to the three months ended September 30, 2020. The increase was due primarily to a 21% growth in our QARSD for international dealers to $1,524 at September 30, 2021 from $1,256 at September 30, 2020. The increase in QARSD was due primarily to expansion across our dealer base. The expansion was driven by rate increases and product upgrades for existing dealers and signing on new dealers with higher average monthly recurring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6"/>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60,033</w:t>
            </w: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50,271</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515 %</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27 %</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Cost of revenue increased $50.3 million, or 515%, in the three months ended September 30, 2021 compared to the three months ended September 30, 2020. The increase was due primarily to $48.3 million in cost of revenue attributable to our wholesale offerings from CarOffer. The increase was also due in part to a $1.0 million increase in fees related to provisioning advertising campaigns on our websites and a $0.5 million increase in amortization expense included in cost of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66,626</w:t>
            </w: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57,618</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9,008</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30 %</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39 %</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Sales and marketing expenses increased $9.0 million, or 16%, in the three months ended September 30, 2021 compared to the three months ended September 30, 2020. The increase was due primarily to a $7.3 million increase in salaries and employee-related expense. The increase in salaries and employee-related expense was primarily driven by an increase in commissions expense, resulting from a 20% increase in headcount due to our acquisition of CarOffer, marketplace sales growth and a decrease of capitalizable costs to obtain contracts and an increase of non-capitalizable costs to obtain contracts. The increase in sales and marketing expenses was also due in part to a $1.3 million increase in marketing expense relative to marketing expense in the third quarter of 2020, which was impacted by the Expense Reduction Plan. The increase for the three months ended September 30, 2021 is inclusive of a $4.7 million increase in sales and marketing expenses associated with CarOffer.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2"/>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26,539</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20,758</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Product, technology, and development expenses increased $5.8 million, or 28%, in the three months ended September 30, 2021 compared to the three months ended September 30, 2020. The increase was due primarily to a $3.7 million increase in salaries and employee-related expense. The increase in salaries and employee-related expense was due primarily to a 39% increase in headcount. The increase in product, technology and development expenses was also due to a $0.9 million increase in expense due to write off of certain capitalized development projects for which the Company has decided to cease investment in, net of incremental additions, and a $0.8 million increase in rent and onboarding expenses driven by higher expense allocations resulting from increased headcount.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2"/>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14,279</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43 %</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9 %</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General and administrative expenses increased $6.1 million, or 43%, in the three months ended September 30, 2021 compared to the three months ended September 30, 2020. The increase was due primarily to a $1.1 million increase in salaries and employee-related expense, exclusive of stock-based compensation expense, which increased $3.5 million. The increase in salaries and employee-related expense was due primarily to a 31% increase in headcount due primarily to our acquisition of CarOffer. The increase in stock-based compensation expense was due primarily to annual retention grants and the revaluation of certain liability-based stock awards. The increase in general and administrative expenses was also due in part to a $0.4 million increase in consulting expense, a $0.3 million increase in insurance expense and a $0.3 million increase in bad debt expense. The increase for the three months ended September 30, 2021 is inclusive of a $2.1 million increase in general and administrative expenses associated with CarOffer.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520 %</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50"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Depreciation and amortization expenses increased $7.7 million, or 520%, in the three months ended September 30, 2021 compared to the three months ended September 30, 2020, due primarily to an increase in amortization of intangible assets related to the acquired intangible assets from CarOffer.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3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Total other income, net decreased $0.1 million, or 30%, in the three months ended September 30, 2021 compared to the three months ended September 30, 2020, due primarily to a decrease in interest income as a result of a decline in interest rates associated with our investments in certificates of deposit during the three months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2"/>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(257 )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provision for income taxes recorded during the three months ended September 30, 2021, as compared to the provision for income taxes recorded during the three months ended September 30, 2020 was principally due to increased profitability in excess of tax attributes available to offset.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4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thousands)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2"/>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41,931</w:t>
            </w: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46,462</w:t>
            </w: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(4,531 )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(1,855 )</w:t>
            </w:r>
          </w:p>
        </w:tc>
        <w:tc>
          <w:tcPr>
            <w:tcW w:w="30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(2,895 )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0"/>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40,076</w:t>
            </w:r>
          </w:p>
        </w:tc>
        <w:tc>
          <w:tcPr>
            <w:tcW w:w="4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43,567</w:t>
            </w:r>
          </w:p>
        </w:tc>
        <w:tc>
          <w:tcPr>
            <w:tcW w:w="4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(3,491 )</w:t>
            </w:r>
          </w:p>
        </w:tc>
        <w:tc>
          <w:tcPr>
            <w:tcW w:w="220" w:type="dxa"/>
            <w:vAlign w:val="bottom"/>
            <w:shd w:val="clear" w:color="auto" w:fill="CFF0FC"/>
          </w:tcPr>
          <w:p>
            <w:pPr>
              <w:spacing w:after="0"/>
              <w:rPr>
                <w:sz w:val="24"/>
                <w:szCs w:val="2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r>
      <w:tr>
        <w:trPr>
          <w:trHeight w:val="237"/>
        </w:trPr>
        <w:tc>
          <w:tcPr>
            <w:tcW w:w="4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Percentage of segment revenue: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r>
      <w:tr>
        <w:trPr>
          <w:trHeight w:val="26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20 %</w:t>
            </w: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34 %</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(16 )%</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(32 )%</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-504825</wp:posOffset>
            </wp:positionV>
            <wp:extent cx="2914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-487680</wp:posOffset>
            </wp:positionV>
            <wp:extent cx="2914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-504825</wp:posOffset>
            </wp:positionV>
            <wp:extent cx="2825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-487680</wp:posOffset>
            </wp:positionV>
            <wp:extent cx="2825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-504825</wp:posOffset>
            </wp:positionV>
            <wp:extent cx="1028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-487680</wp:posOffset>
            </wp:positionV>
            <wp:extent cx="1028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-504825</wp:posOffset>
            </wp:positionV>
            <wp:extent cx="2317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-487680</wp:posOffset>
            </wp:positionV>
            <wp:extent cx="231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United States income from operations decreased $4.5 million, or 10%, in the three months ended September 30, 2021 compared to the three months ended September 30, 2020. The decrease was due to increases in operating expenses of $27.3 million and cost of revenue of $50.3 million, offset in part by an increase in revenue by $73.1 million.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right="20" w:firstLine="509"/>
        <w:spacing w:after="0" w:line="279" w:lineRule="auto"/>
        <w:rPr>
          <w:sz w:val="20"/>
          <w:szCs w:val="20"/>
          <w:color w:val="auto"/>
        </w:rPr>
      </w:pPr>
      <w:r>
        <w:rPr>
          <w:rFonts w:ascii="Arial" w:cs="Arial" w:eastAsia="Arial" w:hAnsi="Arial"/>
          <w:sz w:val="18"/>
          <w:szCs w:val="18"/>
          <w:color w:val="auto"/>
        </w:rPr>
        <w:t>International loss from operations decreased $1.0 million, or 36%, in the three months ended September 30, 2021 compared to the three months ended September 30, 2020. The decrease was due to an increase in revenue of $2.3 million, offset in part by an increase in operating expenses of $1.3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2021 and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428,394</w:t>
            </w:r>
          </w:p>
        </w:tc>
        <w:tc>
          <w:tcPr>
            <w:tcW w:w="3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351,772</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76,622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r>
      <w:tr>
        <w:trPr>
          <w:trHeight w:val="257"/>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Wholesale and other revenue</w:t>
            </w: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183,637</w:t>
            </w:r>
          </w:p>
        </w:tc>
        <w:tc>
          <w:tcPr>
            <w:tcW w:w="3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135,511</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612,031</w:t>
            </w:r>
          </w:p>
        </w:tc>
        <w:tc>
          <w:tcPr>
            <w:tcW w:w="3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399,898</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212,133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53 %</w:t>
            </w:r>
          </w:p>
        </w:tc>
      </w:tr>
      <w:tr>
        <w:trPr>
          <w:trHeight w:val="20"/>
        </w:trPr>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70 %</w:t>
            </w:r>
          </w:p>
        </w:tc>
        <w:tc>
          <w:tcPr>
            <w:tcW w:w="3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57"/>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Wholesale and other revenue</w:t>
            </w: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3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-879475</wp:posOffset>
            </wp:positionV>
            <wp:extent cx="2311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-879475</wp:posOffset>
            </wp:positionV>
            <wp:extent cx="23177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-879475</wp:posOffset>
            </wp:positionV>
            <wp:extent cx="9461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-879475</wp:posOffset>
            </wp:positionV>
            <wp:extent cx="16319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-193675</wp:posOffset>
            </wp:positionV>
            <wp:extent cx="2311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-193675</wp:posOffset>
            </wp:positionV>
            <wp:extent cx="23177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1775" cy="571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Overall revenue increased by $212.1 million, or 53%, in the nine months ended September 30, 2021 compared to the nine months ended September 30, 2020. Wholesale and other revenue increased by 282% and marketplace subscription revenue increased by 22%.</w:t>
      </w:r>
    </w:p>
    <w:p>
      <w:pPr>
        <w:spacing w:after="0" w:line="30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Marketplace subscription revenue increased by $76.6 million in the nine months ended September 30, 2021 compared to the nine months ended September 30, 2020 and represented 70% of total revenue for the nine months ended September 30, 2021 and 88% of total revenue for the nine months ended September 30, 2020. The increase was due primarily to the approximately $50 million impact of fee reductions that we provided to our paying dealers during the second quarter of 2020 in response to the COVID-19 pandemic, of which approximately $47 million resulted in revenue reductions during such quarter, with the remaining impact spread over the life of the contract term. The increase in marketplace subscription revenue was also due in part to a 9% growth in our QARSD for paying dealers to $4,704 at September 30, 2021 from $4,302 at September 30, 2020. The increase in QARSD was due primarily to expansion across our dealer base. The expansion was driven by rate increases since the third quarter of 2020 and product upgrades for existing dealers and signing on new dealers with higher average monthly recurring revenue.</w:t>
      </w:r>
    </w:p>
    <w:p>
      <w:pPr>
        <w:spacing w:after="0" w:line="26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Wholesale and other revenue increased by $135.5 million in the nine months ended September 30, 2021 compared to the nine months ended September 30, 2020 and represented 30% of total revenue for the nine months ended September 30, 2021 and 12% of total revenue for the nine months ended September 30, 2020. The increase was due primarily to a $135.8 million increase in wholesale revenue due to our acquisition of a 51% interest in CarOffer.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2"/>
        </w:trPr>
        <w:tc>
          <w:tcPr>
            <w:tcW w:w="580" w:type="dxa"/>
            <w:vAlign w:val="bottom"/>
          </w:tcPr>
          <w:p>
            <w:pPr>
              <w:spacing w:after="0"/>
              <w:rPr>
                <w:sz w:val="22"/>
                <w:szCs w:val="22"/>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581,149</w:t>
            </w:r>
          </w:p>
        </w:tc>
        <w:tc>
          <w:tcPr>
            <w:tcW w:w="3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376,164</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204,985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54 %</w:t>
            </w: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30,882</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23,734</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7,148</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9"/>
              </w:rPr>
              <w:t>30</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612,031</w:t>
            </w:r>
          </w:p>
        </w:tc>
        <w:tc>
          <w:tcPr>
            <w:tcW w:w="3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399,898</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212,133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53 %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94 %</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100 %</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6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35"/>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-1393825</wp:posOffset>
            </wp:positionV>
            <wp:extent cx="2311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-1393825</wp:posOffset>
            </wp:positionV>
            <wp:extent cx="21463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-1393825</wp:posOffset>
            </wp:positionV>
            <wp:extent cx="939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-1393825</wp:posOffset>
            </wp:positionV>
            <wp:extent cx="16319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-708025</wp:posOffset>
            </wp:positionV>
            <wp:extent cx="2311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-708025</wp:posOffset>
            </wp:positionV>
            <wp:extent cx="21463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ind w:firstLine="509"/>
        <w:spacing w:after="0" w:line="288" w:lineRule="auto"/>
        <w:rPr>
          <w:sz w:val="20"/>
          <w:szCs w:val="20"/>
          <w:color w:val="auto"/>
        </w:rPr>
      </w:pPr>
      <w:r>
        <w:rPr>
          <w:rFonts w:ascii="Arial" w:cs="Arial" w:eastAsia="Arial" w:hAnsi="Arial"/>
          <w:sz w:val="17"/>
          <w:szCs w:val="17"/>
          <w:color w:val="auto"/>
        </w:rPr>
        <w:t>United States revenue increased $205.0 million, or 54%, in the nine months ended September 30, 2021 compared to the nine months ended September 30, 2020. The increase was due primarily to a $135.8 million increase in wholesale revenue due to our acquisition of a 51% interest in CarOffer. Additionally, the increase was due to approximately $44 million in revenue reductions during the second quarter of 2020 as a result of the impact of fee reductions that we provided to our United States paying dealers during such quarter in response to the COVID-19 pandemic. The increase in United States revenue was also due in part to a 9% growth in our QARSD for United States dealers to $5,602 at September 30, 2021 from $5,133 at September 30, 2020. The increase in QARSD was due primarily to expansion across our dealer base. The expansion was driven by rate increases and product upgrades for existing dealers and signing on new dealers with higher average monthly recurring revenue.</w:t>
      </w:r>
    </w:p>
    <w:p>
      <w:pPr>
        <w:spacing w:after="0" w:line="2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International revenue increased $7.1 million, or 30%, in the nine months ended September 30, 2021 compared to the nine months ended September 30, 2020. The increase was due primarily to approximately $3 million in revenue reductions during the second quarter of 2020 as a result of the impact of fee reductions that we provided to our international paying dealers during such quarter in response to the COVID-19 pandemic. The increase in international revenue was also due in part to a 21% growth in our QARSD for international dealers to $1,524 at September 30, 2021 from $1,256 at September 30, 2020. The increase in QARSD was due primarily to expansion across our dealer base. The expansion was driven by rate increases and product upgrades for existing dealers and signing on new dealers with higher average monthly recurring revenue.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134,408</w:t>
            </w: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31,252</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103,156</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330 %</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22 %</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Cost of revenue increased $103.2 million, or 330%, in the nine months ended September 30, 2021 compared to the nine months ended September 30, 2020. The increase was due primarily to $100.4 million in cost of revenue attributable to our wholesale offerings from CarOffer. The increase was also due in part to a $4.4 million increase in expense related to provisioning advertising campaigns on our websites, offset in part by a $1.1 million decrease in salaries and employee-related expense, driven by a 35% decrease in the average CarGurus headcount.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200,935</w:t>
            </w: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189,796</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6 %</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33 %</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47 %</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Sales and marketing expenses increased $11.1 million, or 6%, in the nine months ended September 30, 2021 compared to the nine months ended September 30, 2020. The increase was due primarily to a $11.9 million increase in salaries and employee-related expense. The increase in salaries and employee-related expense was primarily driven by an increase in commissions expense, resulting from a 20% increase in headcount due to our acquisition of CarOffer, marketplace sales growth and a decrease of capitalizable costs to obtain contracts and an increase of non-capitalizable costs to obtain contracts. The increase in sales and marketing expenses was also due in part to a $1.5 million increase in software subscription expense. These increases in sales and marketing expenses were offset in part by a $2.4 million decrease in advertising and marketing expenses due to a gain in efficiency of algorithmic traffic acquisition and a deliberate reduction in spend as a result of macroeconomic conditions such as strong consumer demand for cars, and automotive inventory supply issues due to the global semiconductor chip shortage. The decrease in advertising and marketing expenses is net of an increase in marketing expense relative to marketing expense in the nine months ended September 30, 2020, which was impacted by the Expense Reduction Plan. The increase for the nine months ended September 30, 2021 is inclusive of a $9.8 million increase in sales and marketing expenses associated with CarOffer.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79,333</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65,729</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13,604</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Product, technology, and development expenses increased $13.6 million, or 21%, in the nine months ended September 30, 2021 compared to the nine months ended September 30, 2020. The increase was due primarily to a $9.1 million increase in salaries and employee-related expense, exclusive of stock-based compensation expense, which increased $1.8 million. The increase in salaries and employee-related expense was due primarily to a 39% increase in headcount and an increase in expected bonus attainment in comparison to the nine months ended September 30, 2020 due to improved performance since the outset of the COVID-19 pandemic. The increase in stock-based compensation expense was due to the increase in headcount and revaluation of certain liability-based stock awards. The increase in product, technology, and development expenses was also due in part to a $1.8 million increase in consulting expense and a $0.8 million increase in rent expense driven by higher expense allocations resulting from increased headcount. The increase for the nine months ended September 30, 2021 is inclusive of a $3.0 million increase in product, technology, and development expenses associated with CarOffer.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67,095</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44,297</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22,798</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General and administrative expenses increased $22.8 million, or 51%, in the nine months ended September 30, 2021 compared to the nine months ended September 30, 2020. The increase was due primarily to a $3.3 million increase in salaries and employee-related expense, exclusive of stock-based compensation expense, which increased $15.9 million. The increase in salaries and employee-related expense was due primarily to a 31% increase in headcount, due primarily to our acquisition of CarOffer, and an increase in expected bonus attainment in comparison to the nine months ended September 30, 2020 due to improved performance since the outset of the COVID-19 pandemic. The increase in stock-based compensation expense was due primarily to annual retention grants and the revaluation of certain liability-based stock awards. The increase in general and administrative expenses was also due in part to a $1.3 million increase in consulting expense, a $1.2 million increase in insurance expense, and a $1.0 million increase in expense related to payment processing and billing due to increased customer transactions as a result of increased revenue. The increase for the nine months ended September 30, 2021 is inclusive of a $11.3 million increase in general and administrative expenses associated with CarOffer.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(dollars in thousands)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2"/>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25,916</w:t>
            </w:r>
          </w:p>
        </w:tc>
        <w:tc>
          <w:tcPr>
            <w:tcW w:w="3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3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21,387</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472 %</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23"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Depreciation and amortization expenses increased $21.4 million, or 472%, in the nine months ended September 30, 2021 compared to the nine months ended September 30, 2020, due primarily to an increase in amortization of intangible assets related to the acquired intangible assets from CarOffer.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(981 )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(70 )%</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323"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Total other income, net decreased $1.0 million, or 70%, in the nine months ended September 30, 2021 compared to the nine months ended September 30, 2020, due primarily to a $1.0 million decrease in interest income as a result of a decline in interest rates associated with our investments in certificates of deposit during the nine months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4"/>
              </w:rPr>
              <w:t>Nine Months Ended</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thousands)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3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3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115 %</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provision for income taxes recorded during the nine months ended September 30, 2021, as compared to the provision for income taxes recorded during the nine months ended September 30, 2020 was principally due to increased profitability in excess of tax attributes available to offset. Additionally, there was $1.0 million tax expense related to excess stock-based compensation deductions recorded during the nine months ended September 30, 2021, compared to $0.3 million tax benefit recorded during the nine months ended September 30, 2020. Furthermore, a $0.5 million tax expense was recorded during the nine months ended September 30, 2021 in connection with the Section 162(m) excess officer compensation limitation, which became applicable in May 2021 upon the expiration of the transition period permitted following our IPO.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111,515</w:t>
            </w: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82,061</w:t>
            </w:r>
          </w:p>
        </w:tc>
        <w:tc>
          <w:tcPr>
            <w:tcW w:w="4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36 %</w:t>
            </w:r>
          </w:p>
        </w:tc>
      </w:tr>
      <w:tr>
        <w:trPr>
          <w:trHeight w:val="250"/>
        </w:trPr>
        <w:tc>
          <w:tcPr>
            <w:tcW w:w="468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(7,171 )</w:t>
            </w:r>
          </w:p>
        </w:tc>
        <w:tc>
          <w:tcPr>
            <w:tcW w:w="2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(17,766 )</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60</w:t>
            </w:r>
          </w:p>
        </w:tc>
        <w:tc>
          <w:tcPr>
            <w:tcW w:w="26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0"/>
        </w:trPr>
        <w:tc>
          <w:tcPr>
            <w:tcW w:w="4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104,344</w:t>
            </w:r>
          </w:p>
        </w:tc>
        <w:tc>
          <w:tcPr>
            <w:tcW w:w="4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64,295</w:t>
            </w:r>
          </w:p>
        </w:tc>
        <w:tc>
          <w:tcPr>
            <w:tcW w:w="44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40,049</w:t>
            </w:r>
          </w:p>
        </w:tc>
        <w:tc>
          <w:tcPr>
            <w:tcW w:w="1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9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62 %</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2914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2914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274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274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1631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1631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b w:val="1"/>
          <w:bCs w:val="1"/>
          <w:color w:val="auto"/>
        </w:rPr>
        <w:t>Percentage of segment revenue:</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19 %</w:t>
            </w:r>
          </w:p>
        </w:tc>
        <w:tc>
          <w:tcPr>
            <w:tcW w:w="3560" w:type="dxa"/>
            <w:vAlign w:val="bottom"/>
            <w:shd w:val="clear" w:color="auto" w:fill="CFF0FC"/>
          </w:tcPr>
          <w:p>
            <w:pPr>
              <w:jc w:val="right"/>
              <w:ind w:right="2510"/>
              <w:spacing w:after="0"/>
              <w:rPr>
                <w:sz w:val="20"/>
                <w:szCs w:val="20"/>
                <w:color w:val="auto"/>
              </w:rPr>
            </w:pPr>
            <w:r>
              <w:rPr>
                <w:rFonts w:ascii="Arial" w:cs="Arial" w:eastAsia="Arial" w:hAnsi="Arial"/>
                <w:sz w:val="18"/>
                <w:szCs w:val="18"/>
                <w:color w:val="auto"/>
              </w:rPr>
              <w:t>22 %</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International</w:t>
            </w:r>
          </w:p>
        </w:tc>
        <w:tc>
          <w:tcPr>
            <w:tcW w:w="3280" w:type="dxa"/>
            <w:vAlign w:val="bottom"/>
          </w:tcPr>
          <w:p>
            <w:pPr>
              <w:jc w:val="right"/>
              <w:ind w:right="450"/>
              <w:spacing w:after="0"/>
              <w:rPr>
                <w:sz w:val="20"/>
                <w:szCs w:val="20"/>
                <w:color w:val="auto"/>
              </w:rPr>
            </w:pPr>
            <w:r>
              <w:rPr>
                <w:rFonts w:ascii="Arial" w:cs="Arial" w:eastAsia="Arial" w:hAnsi="Arial"/>
                <w:sz w:val="18"/>
                <w:szCs w:val="18"/>
                <w:color w:val="auto"/>
              </w:rPr>
              <w:t>(23 )%</w:t>
            </w:r>
          </w:p>
        </w:tc>
        <w:tc>
          <w:tcPr>
            <w:tcW w:w="3560" w:type="dxa"/>
            <w:vAlign w:val="bottom"/>
          </w:tcPr>
          <w:p>
            <w:pPr>
              <w:jc w:val="right"/>
              <w:ind w:right="2450"/>
              <w:spacing w:after="0"/>
              <w:rPr>
                <w:sz w:val="20"/>
                <w:szCs w:val="20"/>
                <w:color w:val="auto"/>
              </w:rPr>
            </w:pPr>
            <w:r>
              <w:rPr>
                <w:rFonts w:ascii="Arial" w:cs="Arial" w:eastAsia="Arial" w:hAnsi="Arial"/>
                <w:sz w:val="18"/>
                <w:szCs w:val="18"/>
                <w:color w:val="auto"/>
              </w:rPr>
              <w:t>(75 )%</w:t>
            </w:r>
          </w:p>
        </w:tc>
      </w:tr>
    </w:tbl>
    <w:p>
      <w:pPr>
        <w:spacing w:after="0" w:line="32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United States income from operations increased $29.5 million, or 36%, in the nine months ended September 30, 2021 compared to the nine months ended September 30, 2020. This increase was due to increases in revenue of $205.0 million, offset in part by increases in cost of revenue of $105.0 million and increases in operating expenses of $70.5 million.</w:t>
      </w:r>
    </w:p>
    <w:p>
      <w:pPr>
        <w:spacing w:after="0" w:line="3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International loss from operations decreased $10.6 million, or 60%, in the nine months ended September 30, 2021 compared to the nine months ended September 30, 2020. The decrease was due to increases in revenue of $7.1 million, decreases in cost of revenue of $1.9 million and decreases in operating expenses of $1.6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At September 30, 2021 and December 31, 2020, our principal sources of liquidity were cash and cash equivalents of $231.1 million and $190.3 million, respectively, and investments in certificates of deposit with terms of greater than 90 days but less than one year of $90.0 million and $100.0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Nine Months Ended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135,063</w:t>
            </w:r>
          </w:p>
        </w:tc>
        <w:tc>
          <w:tcPr>
            <w:tcW w:w="26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108,806</w:t>
            </w:r>
          </w:p>
        </w:tc>
        <w:tc>
          <w:tcPr>
            <w:tcW w:w="120" w:type="dxa"/>
            <w:vAlign w:val="bottom"/>
            <w:shd w:val="clear" w:color="auto" w:fill="CFF0FC"/>
          </w:tcPr>
          <w:p>
            <w:pPr>
              <w:spacing w:after="0"/>
              <w:rPr>
                <w:sz w:val="22"/>
                <w:szCs w:val="22"/>
                <w:color w:val="auto"/>
              </w:rPr>
            </w:pP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(63,353 )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84,859</w:t>
            </w:r>
          </w:p>
        </w:tc>
        <w:tc>
          <w:tcPr>
            <w:tcW w:w="120" w:type="dxa"/>
            <w:vAlign w:val="bottom"/>
          </w:tcPr>
          <w:p>
            <w:pPr>
              <w:spacing w:after="0"/>
              <w:rPr>
                <w:sz w:val="21"/>
                <w:szCs w:val="21"/>
                <w:color w:val="auto"/>
              </w:rPr>
            </w:pPr>
          </w:p>
        </w:tc>
      </w:tr>
      <w:tr>
        <w:trPr>
          <w:trHeight w:val="26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(25,056 )</w:t>
            </w: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(7,741 )</w:t>
            </w: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9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(359 )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r>
      <w:tr>
        <w:trPr>
          <w:trHeight w:val="290"/>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46,295</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186,095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1631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1631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operations have been financed primarily from operating activities. We generated cash from operating activities of $135.1 million during the nine months ended September 30, 2021, and $108.8 million during the nine months ended September 30, 2020.</w:t>
      </w:r>
    </w:p>
    <w:p>
      <w:pPr>
        <w:spacing w:after="0" w:line="170"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from the date of the filing of this Quarterly Report. Our future capital requirements will depend on many factors, including the further impact of the COVID-19 pandemic, our revenue, expenses associated with our sales and marketing activities and the support of our product, technology, and development efforts, our investments in international markets, the extent of our cost savings related to the Expense Reduction Plan and the potential exercise of call rights in the second of half of 2022 related to acquiring additional equity interests in CarOffer. Cash from operations could also be affected by various risks and uncertainties, including, but not limited to, the effects of the COVID-19 pandemic and other risks detailed in the “Risk Factors” section of this Quarterly Report.</w:t>
      </w:r>
    </w:p>
    <w:p>
      <w:pPr>
        <w:spacing w:after="0" w:line="163"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Cash provided by operating activities of $135.1 million during the nine months ended September 30, 2021 was due primarily to consolidated net income of $76.2 million, adjusted for $42.5 million of stock-based compensation expense for equity classified awards, $29.5 million of depreciation and amortization, $9.6 million of amortization of deferred contract costs, $5.8 million of deferred taxes, $2.4 million of impairment of website development costs, and $0.7 million of provision for doubtful accounts. Cash provided by operating activities was also attributable to a $24.5 million increase in accounts payable, a $4.8 million increase in accrued expenses, accrued income taxes, and other liabilities, a $3.4 million increase in deferred revenue, and a $0.8 million increase in lease obligations. The increases in cash flow from operations were partially offset by a $51.6 million increase in accounts receivable, a $6.5 million increase in deferred contract costs, a $4.1 million increase in inventory, and a $3.0 million increase in prepaid expenses, prepaid income taxes, and other assets.</w:t>
      </w:r>
    </w:p>
    <w:p>
      <w:pPr>
        <w:spacing w:after="0" w:line="19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Cash provided by operating activities of $108.8 million during the nine months ended September 30, 2020 was due primarily to net income of $52.4 million, adjusted for $34.4 million of stock-based compensation expense for equity classified awards, $14.8 million of deferred taxes, $8.8 million of depreciation and amortization, $8.6 million of amortization of deferred contract costs, and $1.7 million of provision for doubtful accounts. Cash provided by operating activities was also attributable to a $7.1 decrease in prepaid expenses, prepaid income taxes, and other assets, $6.0 million decrease in accounts receivable, and a $1.7 million increase in accrued expenses, accrued income taxes, and other liabilities. The increases in cash flow from operations were partially offset by a $19.7 million decrease in accounts payable, and a $6.9 million increase in deferred contract costs.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ind w:right="20" w:firstLine="509"/>
        <w:spacing w:after="0" w:line="303" w:lineRule="auto"/>
        <w:rPr>
          <w:sz w:val="20"/>
          <w:szCs w:val="20"/>
          <w:color w:val="auto"/>
        </w:rPr>
      </w:pPr>
      <w:r>
        <w:rPr>
          <w:rFonts w:ascii="Arial" w:cs="Arial" w:eastAsia="Arial" w:hAnsi="Arial"/>
          <w:sz w:val="17"/>
          <w:szCs w:val="17"/>
          <w:color w:val="auto"/>
        </w:rPr>
        <w:t>Cash used in investing activities of $63.4 million during the nine months ended September 30, 2021 was due to $64.3 million of cash paid for acquisitions, net of cash acquired, $4.9 million of purchases of property and equipment and $4.1 million related to the capitalization of website development costs, offset in part by $100.0 million of maturities of certificates of deposit, net of investments in certificates of deposit of $90.0 million.</w:t>
      </w:r>
    </w:p>
    <w:p>
      <w:pPr>
        <w:spacing w:after="0" w:line="16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Cash provided by investing activities of $84.9 million during the nine months ended September 30, 2020 was due to maturities of certificates of deposit of $111.7 million, offset in part by $21.1 million of cash paid for an acquisition, net of cash acquired, $3.0 million related to the capitalization of website development costs, and $2.7 million of purchases of property and equipment.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Cash used in financing activities of $25.1 million during the nine months ended September 30, 2021 was due primarily to CarOffer’s repayment of a line of credit of $14.3 million and our payment of withholding taxes on net share settlements of restricted stock units of $11.3 million, partially offset by $0.5 million related to the proceeds from the issuance of common stock related to the exercise of vested stock options.</w:t>
      </w:r>
    </w:p>
    <w:p>
      <w:pPr>
        <w:spacing w:after="0" w:line="16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Cash used in financing activities of $7.7 million during the nine months ended September 30, 2020 was due primarily to the payment of withholding taxes on net share settlements of restricted stock units of $8.7 million, partially offset by $1.0 million related to the proceeds from the issuance of common stock related to the exercise of vested stock options.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35"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As of September 30, 2021,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As of September 30, 2021 and December 31, 2020, we did not have any off-balance sheet arrangements, or leases that are less than twelve months in duration, other than leases signed but not commenced, that have or are reasonably likely to have a current or future material effect on our financial condition, changes in financial condition, revenues or expenses, results of operations, liquidity, capital expenditures, or capital resources.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5"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Significant estimates relied upon in preparing the Unaudited Condensed Consolidated Financial Statements include the determination of sales allowance and variable consideration in our revenue recognition, allowance for doubtful accounts, the valuation of redeemable noncontrolling interest, valuation of equity and liability-classified compensation awards under ASC 718, the expensing and capitalization of product, technology, and development costs for website development and internal-use software, the valuation and recoverability of goodwill, intangible assets and other long-lived assets, and the recoverability of our net deferred tax assets and related valuation allowance. Accordingly, we consider these to be our critical accounting policies.</w:t>
      </w:r>
    </w:p>
    <w:p>
      <w:pPr>
        <w:spacing w:after="0" w:line="16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September 30, 2021 or at December 31, 2020.</w:t>
      </w:r>
    </w:p>
    <w:p>
      <w:pPr>
        <w:spacing w:after="0" w:line="239"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color w:val="auto"/>
        </w:rPr>
        <w:t>We had cash, cash equivalents, and investments of $321.1 million and $290.3 million at September 30, 2021 and December 31, 2020, respectively, which consisted of bank deposits, money market funds and certificates of deposit with maturity dates ranging from six to nine months.</w:t>
      </w:r>
    </w:p>
    <w:p>
      <w:pPr>
        <w:spacing w:after="0" w:line="17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September 30, 2021 and December 31, 2020, we had foreign currency exposures in the British pound, the Euro and the Canadian dollar, although such exposure is not significant.</w:t>
      </w:r>
    </w:p>
    <w:p>
      <w:pPr>
        <w:spacing w:after="0" w:line="1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Exchange rate fluctuations on long-term intercompany accounts are recorded in our Unaudited Condensed Consolidated Balance Sheets under the heading accumulated other comprehensive income.</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509"/>
        <w:spacing w:after="0" w:line="230" w:lineRule="exact"/>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unaudited condensed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we expect it to continue to be, adversely affected by the COVID-19 pandemic.</w:t>
      </w:r>
    </w:p>
    <w:p>
      <w:pPr>
        <w:spacing w:after="0" w:line="171"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(subject to limited exceptions) until further notice, which has disrupted and may continue to disrupt how we operate our business. In addition, in an effort to limit the spread of COVID-19, many countries, as well as states and localities in the United States, implemented or mandated, and some continue to implement or mandate,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10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automotive industry is also facing, and may continue to face, inventory supply problems, including for reasons attributable to the COVID-19 pandemic and other macroeconomic issues, such as the global semiconductor chip shortage.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and have contributed to higher prices and reduced lease options for new vehicles, which in turn has reduced, and may continue to reduce, consumer demand, which could contribute to a decline in the number of consumer visits to our websites and/or the number of connections between consumers and dealers through our marketplaces. These inventory-related issues resulting from the COVID-19 pandemic and other macroeconomic issues may materially and adversely impact our business, financial condition and results of operations.</w:t>
      </w:r>
    </w:p>
    <w:p>
      <w:pPr>
        <w:spacing w:after="0" w:line="10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Additionally, in response to the increasing cancelations and the drop in consumer demand at the beginning of the COVID-19 pandemic, we reduced our spending on brand advertising and traffic acquisition, which contributed to fewer consumers using our platform during the year ended December 31, 2020 and for the three and nine month periods ended September 30, 2021 compared to the same periods for the prior year, which in turn has, and may continue to, materially and adversely affect our business. While we have since restored a portion of that historical consumer spend, we may not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jc w:val="both"/>
        <w:spacing w:after="0" w:line="275" w:lineRule="auto"/>
        <w:rPr>
          <w:sz w:val="20"/>
          <w:szCs w:val="20"/>
          <w:color w:val="auto"/>
        </w:rPr>
      </w:pPr>
      <w:r>
        <w:rPr>
          <w:rFonts w:ascii="Arial" w:cs="Arial" w:eastAsia="Arial" w:hAnsi="Arial"/>
          <w:sz w:val="18"/>
          <w:szCs w:val="18"/>
          <w:color w:val="auto"/>
        </w:rPr>
        <w:t>in the future 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104"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Further, because of the significant financial challenges that dealerships have faced and continue to face as a result of the COVID-19 pandemic,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may again in the future experience increased cancellations and/or slowed paying dealer additions and as a result may decide to re-institute further billings relief as we continue to assess the effects of the COVID-19 pandemic on our paying dealers and business operations. During the COVID-19 pandemic, we have also experienced, and may continue to experience, increased account delinquencies from dealer customers challenged by the COVID-19 pandemic that failed to pay us on time or at all.</w:t>
      </w:r>
    </w:p>
    <w:p>
      <w:pPr>
        <w:spacing w:after="0" w:line="10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that included a reduction in our workforce, a limitation in discretionary spend across our business and our ceasing of certain international operations and expansion efforts. We also reduced consumer marketing across both algorithmic traffic acquisition and brand spend during the year ended December 31, 2020 in comparison to the prior year in an effort to reduce expenses and as a result of suppressed dealer inventory and resulting reduced demand for leads from dealers. Despite these measures, we may not achieve the costs savings or attract consumer visits at the levels we expect, which would adversely impact our cash flows and financial condition. These expense reduction activities, and any future cost savings actions that we may take, may yield unintended consequences, such as loss of key employees, undesired attrition, and the risk that we may not achieve the anticipated cost savings at the levels we expect, any of which may have a material adverse effect on our results of operations and/or financial condition. If the COVID-19 pandemic materially impacts our revenues in the future, we may also decide that additional disruptive measures are necessary to reduce our operating expenses.</w:t>
      </w:r>
    </w:p>
    <w:p>
      <w:pPr>
        <w:spacing w:after="0" w:line="9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global nature of the COVID-19 pandemic has also had, and will continue to have, a significant impact on our international businesses. Due to the crisis,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markets, however, would materially and adversely affect our business and potential growth.</w:t>
      </w:r>
    </w:p>
    <w:p>
      <w:pPr>
        <w:spacing w:after="0" w:line="8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and acceptance of vaccines, shifts in behavior going forward, and the length or severity of the travel and commerce restrictions imposed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10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10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at the end of the committed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10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As a result of the COVID-19 pandemic, many paying dealers cancelled their subscriptions with us (including, in some cases, with our permission prior to the end of the applicable contract term and notice period), which caused a material adverse impact on our revenues during the year ended December 31, 2020, and it is possible that additional dealers will cancel their subscriptions in the future for a variety of reasons, including as a result of the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at the conclusion of the committed term. If we fail to maintain or expand our base of paying dealers or fail to maintain or increase the level of fees that we receive from them, our business and financial results would be materially and adversely affected.</w:t>
      </w:r>
    </w:p>
    <w:p>
      <w:pPr>
        <w:spacing w:after="0" w:line="8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allow dealers to list their inventory in CarGurus marketplaces for free; however, we impose certain limitations on such free listings, such as capping the number of leads that non-paying dealers in the U.S. may receive,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10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 significant amount of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11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COVID-19 pandemic, some advertisers have cancelled or reduced their advertising with us, which has caused a material adverse impact on our revenues during the year ended December 31, 2020 compared to the prior period, and it is possible that advertising customers will cancel or reduce their advertising with us in the future for a variety of reasons, including as a result of the effects of the COVID-19 pandemic. In addition, a reduction in consumer visits to our sites as a result of the COVID-19 pandemic resulted in the delivery of fewer impressions for our advertising customers than anticipated during the year ended December 31, 2020 and the three and nine months ended September 30, 2021 compared to the same periods for the prior year,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If we fail to fully realize anticipated transaction synergies from our acquisition of a 51% interest in CarOffer, or if the CarOffer business fails to grow at the rate we expect, our revenue and business would be harmed.</w:t>
      </w:r>
    </w:p>
    <w:p>
      <w:pPr>
        <w:spacing w:after="0" w:line="10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January 2021 we completed our acquisition of a 51% interest in CarOffer, which adds wholesale vehicle acquisition and selling capabilities to our portfolio of dealer offerings. Achievement of our anticipated transaction synergies and our ability to grow the CarOffer business depends on a number of factors, including, but not limited to, our ability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If our anticipated transaction synergies do not fully materialize and/or the CarOffer business fails to grow at the rate we expect, our revenue and business would be harmed.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jc w:val="both"/>
        <w:ind w:firstLine="509"/>
        <w:spacing w:after="0" w:line="308" w:lineRule="auto"/>
        <w:rPr>
          <w:sz w:val="20"/>
          <w:szCs w:val="20"/>
          <w:color w:val="auto"/>
        </w:rPr>
      </w:pPr>
      <w:r>
        <w:rPr>
          <w:rFonts w:ascii="Arial" w:cs="Arial" w:eastAsia="Arial" w:hAnsi="Arial"/>
          <w:sz w:val="16"/>
          <w:szCs w:val="16"/>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Inventory challenges in the automotive industry, including for reasons attributable to the COVID-19 pandemic, could also contribute to a decrease in the supply of vehicles coming to the wholesale market and reduce the number of vehicles sold on the CarOffer platform. An inability by CarOffer to retain customers and/or increase or find alternative sources of vehicle supply would adversely impact our revenue and business.</w:t>
      </w:r>
    </w:p>
    <w:p>
      <w:pPr>
        <w:spacing w:after="0" w:line="82"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57"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8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10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For example, as we transition to a more digitally-initiated environment, we recently launched CarGurus Instant Max Cash Offer, a new offering that allows consumers in certain states to sell their vehicles to dealers entirely online. In addition to introducing new offerings within our existing products, we anticipate that over time we may reach a point when investments in our current products are less productive and the growth of our revenue will require more focus on developing new products for consumers and dealers. These new products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impact of the COVID-19 pandemic and our cost-savings initiatives on our business. These product, technology, and development expenses may include costs of hiring additional personnel,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jc w:val="both"/>
        <w:spacing w:after="0" w:line="286" w:lineRule="auto"/>
        <w:rPr>
          <w:sz w:val="20"/>
          <w:szCs w:val="20"/>
          <w:color w:val="auto"/>
        </w:rPr>
      </w:pPr>
      <w:r>
        <w:rPr>
          <w:rFonts w:ascii="Arial" w:cs="Arial" w:eastAsia="Arial" w:hAnsi="Arial"/>
          <w:sz w:val="17"/>
          <w:szCs w:val="17"/>
          <w:color w:val="auto"/>
        </w:rPr>
        <w:t>engaging third-party service providers and conducting other research and development activities. There can be no assurance that innovations to our products like CarGurus Instant Max Cash Offer,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10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10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89"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as a result of suppressed dealer inventory and resulting reduced demand for leads by dealers since the onset of the COVID-19 pandemic, we reduced our brand spend during the year ended December 31, 2020 in comparison to the year ended December 31, 2019. While we have since increased our consumer marketing expenses, we may decide to suppress our brand spend in the future depending on the continued impact of the COVID-19 pandemic or other macro-economic effects.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10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12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10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revenue decreased to $551.5 million for the year ended December 31, 2020 from $588.9 million for the year ended December 31, 2019, representing a 6% decrease between such periods – which we primarily attribute to the approximately $50 million impact of fee reductions that we provided to our paying dealers during the second quarter of 2020 in response to the COVID-19 pandemic – and increased to $612.0 million for the nine months ended September 30, 2021 from $399.9 million for the nine months ended September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70" w:lineRule="auto"/>
        <w:rPr>
          <w:sz w:val="20"/>
          <w:szCs w:val="20"/>
          <w:color w:val="auto"/>
        </w:rPr>
      </w:pPr>
      <w:r>
        <w:rPr>
          <w:rFonts w:ascii="Arial" w:cs="Arial" w:eastAsia="Arial" w:hAnsi="Arial"/>
          <w:sz w:val="18"/>
          <w:szCs w:val="18"/>
          <w:color w:val="auto"/>
        </w:rPr>
        <w:t>30, 2020, representing a 53% increase between such periods. Our revenue for the remainder of 2021 and beyond may continue to be impacted by the COVID-19 pandemic.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5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to continue to incur losses in the United Kingdom and Canada, and face various other challenges in those jurisdictions.</w:t>
      </w:r>
    </w:p>
    <w:p>
      <w:pPr>
        <w:spacing w:after="0" w:line="10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For example, 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10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7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jc w:val="both"/>
        <w:ind w:right="20"/>
        <w:spacing w:after="0" w:line="293" w:lineRule="auto"/>
        <w:rPr>
          <w:sz w:val="20"/>
          <w:szCs w:val="20"/>
          <w:color w:val="auto"/>
        </w:rPr>
      </w:pPr>
      <w:r>
        <w:rPr>
          <w:rFonts w:ascii="Arial" w:cs="Arial" w:eastAsia="Arial" w:hAnsi="Arial"/>
          <w:sz w:val="18"/>
          <w:szCs w:val="18"/>
          <w:color w:val="auto"/>
        </w:rPr>
        <w:t>services. If dealership closures and consolidations occur in the future, our business, financial position and results of operations could be materially and adversely affected.</w:t>
      </w:r>
    </w:p>
    <w:p>
      <w:pPr>
        <w:spacing w:after="0" w:line="8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57"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We believe our success has depended, and continues to depend, on the efforts and talents of our executives and employees. Our future success depends on our continuing ability to attract, develop, motivate, and retain highly qualified and skilled employees. During the COVID-19 pandemic, we have encountered increased rates of turnover of our employee base and encountered intense competition for retaining and attracting qualified and skilled employees. Accordingly, we have incurred, and we may continue to incur, significant costs to attract new employees and retain existing ones, and we may become less competitive in attracting and retaining employees as a result of our expense reduction efforts due to the COVID-19 pandemic. 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0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January 2021, we announced the promotion of Jason Trevisan from Chief Financial Officer and President, International to the role of Chief Executive Officer, and the transition of Langley Steinert from Chief Executive Officer to Executive Chairman. Additionally, Scot Fredo, our former Senior Vice President, Financial Planning &amp; Analysis, was appointed to succeed Jason Trevisan in the role of Chief Financial Officer. Furthermore, effective July 1, 2021, Kyle Lomeli separated from the Company in his role as Chief Technology Officer. We may face risks related to these and other transitions in our leadership team, including the disruption of our operations and the depletion of our institutional knowledge base.</w:t>
      </w:r>
    </w:p>
    <w:p>
      <w:pPr>
        <w:spacing w:after="0" w:line="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10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marketplaces and could result in legal disputes.</w:t>
      </w:r>
    </w:p>
    <w:p>
      <w:pPr>
        <w:spacing w:after="0" w:line="11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7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ind w:firstLine="509"/>
        <w:spacing w:after="0" w:line="290"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12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8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7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1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89"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8"/>
          <w:szCs w:val="18"/>
          <w:color w:val="auto"/>
        </w:rPr>
        <w:t>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10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1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addition, our business has been and may continue to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marketplaces may cause us to forgo short-term gains in pursuit of potential but uncertain long-term growth.</w:t>
      </w:r>
    </w:p>
    <w:p>
      <w:pPr>
        <w:spacing w:after="0" w:line="89"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marketplaces, even if such decisions negatively impact our results of operations in the short term. For example, during select monthly service periods in 2020 and 2021, we provided paying dealers with marketplace subscriptions at no cost or at a discount in an effort to help our paying dealers maintain their business health during the COVID-19 pandemic. However, such strategies may not result in the long-term benefits that we expect, in which case our user traffic and engagement, business, and financial results could be harmed.</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10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or electronic break-ins,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0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United States near each of Boston, Massachusetts and Dallas, Texas, and internationally near each of London, England and Dublin, Ireland. Although we can host our U.S. CarGurus’ marketplace from two alternative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0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12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jc w:val="both"/>
        <w:spacing w:after="0" w:line="359"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57"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8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9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marketplaces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10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8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and the Virginia Consumer Data Protection Act, or the VCDPA, each of which goes into effect on January 1, 2023. The GDPR and CCPA in particular have already required, and along with the CPRA and VCDPA,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CPRA or VCDPA requirements.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jc w:val="both"/>
        <w:ind w:firstLine="509"/>
        <w:spacing w:after="0" w:line="287"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01" w:lineRule="exact"/>
        <w:rPr>
          <w:sz w:val="20"/>
          <w:szCs w:val="20"/>
          <w:color w:val="auto"/>
        </w:rPr>
      </w:pPr>
    </w:p>
    <w:p>
      <w:pPr>
        <w:jc w:val="both"/>
        <w:spacing w:after="0" w:line="399"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34"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CPRA and VCDPA;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10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102"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88"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8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7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8"/>
          <w:szCs w:val="18"/>
          <w:color w:val="auto"/>
        </w:rPr>
        <w:t>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0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our trademarks. We have registered the CARGURUS and CG logos, as well as the word-mark CARGURUS, in the U.S., Canada and the United Kingdom.</w:t>
      </w:r>
    </w:p>
    <w:p>
      <w:pPr>
        <w:spacing w:after="0" w:line="11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58"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7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reduction of our marketing spend in response to COVID-19-related expense management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and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10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8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304" w:lineRule="auto"/>
        <w:rPr>
          <w:sz w:val="20"/>
          <w:szCs w:val="20"/>
          <w:color w:val="auto"/>
        </w:rPr>
      </w:pPr>
      <w:r>
        <w:rPr>
          <w:rFonts w:ascii="Arial" w:cs="Arial" w:eastAsia="Arial" w:hAnsi="Arial"/>
          <w:sz w:val="16"/>
          <w:szCs w:val="16"/>
          <w:color w:val="auto"/>
        </w:rPr>
        <w:t>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8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10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11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10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COVID-19 pandemic.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jc w:val="both"/>
        <w:spacing w:after="0" w:line="293"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10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205"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103"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7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11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10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Our success depends upon our relationships with third parties, including, among others, our payment processor, our data center hosts, our information technology providers and our data providers for inventory and vehicle information.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8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jc w:val="both"/>
        <w:spacing w:after="0" w:line="324"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8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75"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9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5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7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 xml:space="preserve">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7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180"/>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92"/>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5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6"/>
                <w:szCs w:val="16"/>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499"/>
        </w:trPr>
        <w:tc>
          <w:tcPr>
            <w:tcW w:w="840" w:type="dxa"/>
            <w:vAlign w:val="bottom"/>
          </w:tcPr>
          <w:p>
            <w:pPr>
              <w:ind w:left="12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120" w:type="dxa"/>
            <w:vAlign w:val="bottom"/>
            <w:gridSpan w:val="6"/>
          </w:tcPr>
          <w:p>
            <w:pPr>
              <w:spacing w:after="0"/>
              <w:rPr>
                <w:rFonts w:ascii="Arial" w:cs="Arial" w:eastAsia="Arial" w:hAnsi="Arial"/>
                <w:sz w:val="18"/>
                <w:szCs w:val="18"/>
                <w:color w:val="0000FF"/>
                <w:w w:val="98"/>
              </w:rPr>
            </w:pPr>
            <w:hyperlink w:anchor="page65">
              <w:r>
                <w:rPr>
                  <w:rFonts w:ascii="Arial" w:cs="Arial" w:eastAsia="Arial" w:hAnsi="Arial"/>
                  <w:sz w:val="18"/>
                  <w:szCs w:val="18"/>
                  <w:color w:val="0000FF"/>
                  <w:w w:val="98"/>
                </w:rPr>
                <w:t>Certification of Principal Executive Officer Pursuant to Rules 13a-</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14(a) and 15d-14(a) under the Securities Exchange Act of 1934, as</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Adopted Pursuant to Section 302 of the Sarbanes-Oxley Act of 2002.</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40" w:type="dxa"/>
            <w:vAlign w:val="bottom"/>
          </w:tcPr>
          <w:p>
            <w:pPr>
              <w:ind w:left="12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0"/>
                <w:szCs w:val="20"/>
                <w:color w:val="auto"/>
              </w:rPr>
            </w:pPr>
          </w:p>
        </w:tc>
        <w:tc>
          <w:tcPr>
            <w:tcW w:w="5120" w:type="dxa"/>
            <w:vAlign w:val="bottom"/>
            <w:gridSpan w:val="6"/>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Certification of Principal Financial Officer Pursuant to Rules 13a-</w:t>
              </w:r>
            </w:hyperlink>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14(a) and 15d-14(a) under the Securities Exchange Act of 1934, as</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Adopted Pursuant to Section 302 of the Sarbanes-Oxley Act of 2002.</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40" w:type="dxa"/>
            <w:vAlign w:val="bottom"/>
          </w:tcPr>
          <w:p>
            <w:pPr>
              <w:ind w:left="12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c>
          <w:tcPr>
            <w:tcW w:w="5120" w:type="dxa"/>
            <w:vAlign w:val="bottom"/>
            <w:gridSpan w:val="6"/>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Certification of Principal Executive Officer Pursuant to 18 U.S.C.</w:t>
              </w:r>
            </w:hyperlink>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4"/>
              </w:rPr>
            </w:pPr>
            <w:hyperlink w:anchor="page67">
              <w:r>
                <w:rPr>
                  <w:rFonts w:ascii="Arial" w:cs="Arial" w:eastAsia="Arial" w:hAnsi="Arial"/>
                  <w:sz w:val="18"/>
                  <w:szCs w:val="18"/>
                  <w:color w:val="0000FF"/>
                  <w:w w:val="94"/>
                </w:rPr>
                <w:t>Section 1350, as Adopted Pursuant to Section 906 of the Sarbanes-</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Oxley Act of 2002.</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40" w:type="dxa"/>
            <w:vAlign w:val="bottom"/>
          </w:tcPr>
          <w:p>
            <w:pPr>
              <w:ind w:left="12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5120" w:type="dxa"/>
            <w:vAlign w:val="bottom"/>
            <w:gridSpan w:val="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Principal Financial Officer Pursuant to 18 U.S.C.</w:t>
              </w:r>
            </w:hyperlink>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w w:val="94"/>
              </w:rPr>
            </w:pPr>
            <w:hyperlink w:anchor="page68">
              <w:r>
                <w:rPr>
                  <w:rFonts w:ascii="Arial" w:cs="Arial" w:eastAsia="Arial" w:hAnsi="Arial"/>
                  <w:sz w:val="18"/>
                  <w:szCs w:val="18"/>
                  <w:color w:val="0000FF"/>
                  <w:w w:val="94"/>
                </w:rPr>
                <w:t>Section 1350, as Adopted Pursuant to Section 906 of the Sarbanes-</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Oxley Act of 2002.</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6"/>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embedded with the Inline XBRL document.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6"/>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6"/>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6"/>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2"/>
                <w:szCs w:val="22"/>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2"/>
              </w:rPr>
              <w:t>The cover page from the Registrant’s Quarterly Report on Form 10-Q</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w w:val="93"/>
              </w:rPr>
              <w:t>for the quarter ended September 30, 2021, formatted in Inline XBRL.</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5" w:lineRule="exact"/>
        <w:rPr>
          <w:sz w:val="20"/>
          <w:szCs w:val="20"/>
          <w:color w:val="auto"/>
        </w:rPr>
      </w:pPr>
    </w:p>
    <w:p>
      <w:pPr>
        <w:jc w:val="both"/>
        <w:ind w:firstLine="8"/>
        <w:spacing w:after="0" w:line="359" w:lineRule="auto"/>
        <w:tabs>
          <w:tab w:leader="none" w:pos="14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1860"/>
              <w:spacing w:after="0"/>
              <w:rPr>
                <w:sz w:val="20"/>
                <w:szCs w:val="20"/>
                <w:color w:val="auto"/>
              </w:rPr>
            </w:pPr>
            <w:r>
              <w:rPr>
                <w:rFonts w:ascii="Arial" w:cs="Arial" w:eastAsia="Arial" w:hAnsi="Arial"/>
                <w:sz w:val="18"/>
                <w:szCs w:val="18"/>
                <w:b w:val="1"/>
                <w:bCs w:val="1"/>
                <w:color w:val="auto"/>
              </w:rPr>
              <w:t>CarGurus, Inc.</w:t>
            </w:r>
          </w:p>
        </w:tc>
      </w:tr>
      <w:tr>
        <w:trPr>
          <w:trHeight w:val="796"/>
        </w:trPr>
        <w:tc>
          <w:tcPr>
            <w:tcW w:w="3660" w:type="dxa"/>
            <w:vAlign w:val="bottom"/>
          </w:tcPr>
          <w:p>
            <w:pPr>
              <w:spacing w:after="0"/>
              <w:rPr>
                <w:sz w:val="20"/>
                <w:szCs w:val="20"/>
                <w:color w:val="auto"/>
              </w:rPr>
            </w:pPr>
            <w:r>
              <w:rPr>
                <w:rFonts w:ascii="Arial" w:cs="Arial" w:eastAsia="Arial" w:hAnsi="Arial"/>
                <w:sz w:val="18"/>
                <w:szCs w:val="18"/>
                <w:color w:val="auto"/>
              </w:rPr>
              <w:t>Date: November 9, 2021</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Trevisan</w:t>
            </w:r>
          </w:p>
        </w:tc>
      </w:tr>
      <w:tr>
        <w:trPr>
          <w:trHeight w:val="224"/>
        </w:trPr>
        <w:tc>
          <w:tcPr>
            <w:tcW w:w="3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Jason Trevisan</w:t>
            </w:r>
          </w:p>
        </w:tc>
      </w:tr>
      <w:tr>
        <w:trPr>
          <w:trHeight w:val="241"/>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96"/>
        </w:trPr>
        <w:tc>
          <w:tcPr>
            <w:tcW w:w="3660" w:type="dxa"/>
            <w:vAlign w:val="bottom"/>
          </w:tcPr>
          <w:p>
            <w:pPr>
              <w:spacing w:after="0"/>
              <w:rPr>
                <w:sz w:val="20"/>
                <w:szCs w:val="20"/>
                <w:color w:val="auto"/>
              </w:rPr>
            </w:pPr>
            <w:r>
              <w:rPr>
                <w:rFonts w:ascii="Arial" w:cs="Arial" w:eastAsia="Arial" w:hAnsi="Arial"/>
                <w:sz w:val="18"/>
                <w:szCs w:val="18"/>
                <w:color w:val="auto"/>
              </w:rPr>
              <w:t>Date: November 9, 2021</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 Fredo</w:t>
            </w:r>
          </w:p>
        </w:tc>
      </w:tr>
      <w:tr>
        <w:trPr>
          <w:trHeight w:val="224"/>
        </w:trPr>
        <w:tc>
          <w:tcPr>
            <w:tcW w:w="3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Scot Fredo</w:t>
            </w:r>
          </w:p>
        </w:tc>
      </w:tr>
    </w:tbl>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39"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Jason Trevisan</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Trevisan</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0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3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Scot Fredo</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Scot Fredo</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80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firstLine="509"/>
        <w:spacing w:after="0" w:line="303"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2021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64" w:lineRule="exact"/>
        <w:rPr>
          <w:sz w:val="20"/>
          <w:szCs w:val="20"/>
          <w:color w:val="auto"/>
        </w:rPr>
      </w:pPr>
    </w:p>
    <w:p>
      <w:pPr>
        <w:ind w:left="960" w:hanging="44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Jason Trevisan</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Trevisan</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88"/>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80" w:firstLine="509"/>
        <w:spacing w:after="0" w:line="303"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2021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64" w:lineRule="exact"/>
        <w:rPr>
          <w:sz w:val="20"/>
          <w:szCs w:val="20"/>
          <w:color w:val="auto"/>
        </w:rPr>
      </w:pPr>
    </w:p>
    <w:p>
      <w:pPr>
        <w:ind w:left="960" w:hanging="44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Scot Fredo</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Scot Fredo</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80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endash "/>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2021-11-09T15:56:15Z</dcterms:created>
  <dcterms:modified xsi:type="dcterms:W3CDTF">2021-11-09T15:56:15Z</dcterms:modified>
</cp:coreProperties>
</file>