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 w:lineRule="exact"/>
        <w:rPr>
          <w:sz w:val="24"/>
          <w:szCs w:val="24"/>
          <w:color w:val="auto"/>
        </w:rPr>
      </w:pPr>
    </w:p>
    <w:p>
      <w:pPr>
        <w:ind w:left="480" w:right="260" w:hanging="459"/>
        <w:spacing w:after="0" w:line="243" w:lineRule="auto"/>
        <w:tabs>
          <w:tab w:leader="none" w:pos="4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2023</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480" w:right="260" w:hanging="459"/>
        <w:spacing w:after="0" w:line="256" w:lineRule="auto"/>
        <w:tabs>
          <w:tab w:leader="none" w:pos="4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50" w:lineRule="exact"/>
        <w:rPr>
          <w:sz w:val="24"/>
          <w:szCs w:val="24"/>
          <w:color w:val="auto"/>
        </w:rPr>
      </w:pPr>
    </w:p>
    <w:p>
      <w:pPr>
        <w:ind w:left="2780"/>
        <w:spacing w:after="0"/>
        <w:rPr>
          <w:sz w:val="20"/>
          <w:szCs w:val="20"/>
          <w:color w:val="auto"/>
        </w:rPr>
      </w:pPr>
      <w:r>
        <w:rPr>
          <w:rFonts w:ascii="Arial" w:cs="Arial" w:eastAsia="Arial" w:hAnsi="Arial"/>
          <w:sz w:val="18"/>
          <w:szCs w:val="18"/>
          <w:b w:val="1"/>
          <w:bCs w:val="1"/>
          <w:color w:val="auto"/>
        </w:rPr>
        <w:t>For the transition period from _________________ to _________________</w:t>
      </w:r>
    </w:p>
    <w:p>
      <w:pPr>
        <w:sectPr>
          <w:pgSz w:w="11900" w:h="16838" w:orient="portrait"/>
          <w:cols w:equalWidth="0" w:num="1">
            <w:col w:w="11240"/>
          </w:cols>
          <w:pgMar w:left="320" w:top="463" w:right="339" w:bottom="1440" w:gutter="0" w:footer="0" w:header="0"/>
        </w:sectPr>
      </w:pPr>
    </w:p>
    <w:p>
      <w:pPr>
        <w:spacing w:after="0" w:line="77" w:lineRule="exact"/>
        <w:rPr>
          <w:sz w:val="24"/>
          <w:szCs w:val="24"/>
          <w:color w:val="auto"/>
        </w:rPr>
      </w:pPr>
    </w:p>
    <w:p>
      <w:pPr>
        <w:jc w:val="center"/>
        <w:ind w:left="3560"/>
        <w:spacing w:after="0"/>
        <w:rPr>
          <w:sz w:val="20"/>
          <w:szCs w:val="20"/>
          <w:color w:val="auto"/>
        </w:rPr>
      </w:pPr>
      <w:r>
        <w:rPr>
          <w:rFonts w:ascii="Arial" w:cs="Arial" w:eastAsia="Arial" w:hAnsi="Arial"/>
          <w:sz w:val="18"/>
          <w:szCs w:val="18"/>
          <w:b w:val="1"/>
          <w:bCs w:val="1"/>
          <w:color w:val="auto"/>
        </w:rPr>
        <w:t>Commission File Number: 001-38233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3" w:lineRule="exact"/>
        <w:rPr>
          <w:sz w:val="24"/>
          <w:szCs w:val="24"/>
          <w:color w:val="auto"/>
        </w:rPr>
      </w:pPr>
    </w:p>
    <w:p>
      <w:pPr>
        <w:jc w:val="center"/>
        <w:ind w:left="3560"/>
        <w:spacing w:after="0"/>
        <w:rPr>
          <w:sz w:val="20"/>
          <w:szCs w:val="20"/>
          <w:color w:val="auto"/>
        </w:rPr>
      </w:pPr>
      <w:r>
        <w:rPr>
          <w:rFonts w:ascii="Arial" w:cs="Arial" w:eastAsia="Arial" w:hAnsi="Arial"/>
          <w:sz w:val="43"/>
          <w:szCs w:val="43"/>
          <w:b w:val="1"/>
          <w:bCs w:val="1"/>
          <w:color w:val="auto"/>
        </w:rPr>
        <w:t>CARGURUS, INC.</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2"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Delaware</w:t>
      </w:r>
    </w:p>
    <w:p>
      <w:pPr>
        <w:spacing w:after="0" w:line="32" w:lineRule="exact"/>
        <w:rPr>
          <w:sz w:val="24"/>
          <w:szCs w:val="24"/>
          <w:color w:val="auto"/>
        </w:rPr>
      </w:pPr>
    </w:p>
    <w:p>
      <w:pPr>
        <w:ind w:left="1920"/>
        <w:spacing w:after="0"/>
        <w:rPr>
          <w:sz w:val="20"/>
          <w:szCs w:val="20"/>
          <w:color w:val="auto"/>
        </w:rPr>
      </w:pPr>
      <w:r>
        <w:rPr>
          <w:rFonts w:ascii="Arial" w:cs="Arial" w:eastAsia="Arial" w:hAnsi="Arial"/>
          <w:sz w:val="14"/>
          <w:szCs w:val="14"/>
          <w:b w:val="1"/>
          <w:bCs w:val="1"/>
          <w:color w:val="auto"/>
        </w:rPr>
        <w:t>(State or other jurisdiction of</w:t>
      </w:r>
    </w:p>
    <w:p>
      <w:pPr>
        <w:spacing w:after="0" w:line="4" w:lineRule="exact"/>
        <w:rPr>
          <w:sz w:val="24"/>
          <w:szCs w:val="24"/>
          <w:color w:val="auto"/>
        </w:rPr>
      </w:pPr>
    </w:p>
    <w:p>
      <w:pPr>
        <w:ind w:left="188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ind w:right="2240"/>
        <w:spacing w:after="0"/>
        <w:rPr>
          <w:sz w:val="20"/>
          <w:szCs w:val="20"/>
          <w:color w:val="auto"/>
        </w:rPr>
      </w:pPr>
      <w:r>
        <w:rPr>
          <w:rFonts w:ascii="Arial" w:cs="Arial" w:eastAsia="Arial" w:hAnsi="Arial"/>
          <w:sz w:val="18"/>
          <w:szCs w:val="18"/>
          <w:b w:val="1"/>
          <w:bCs w:val="1"/>
          <w:color w:val="auto"/>
        </w:rPr>
        <w:t>04-3843478</w:t>
      </w:r>
    </w:p>
    <w:p>
      <w:pPr>
        <w:spacing w:after="0" w:line="45"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22" w:lineRule="exact"/>
        <w:rPr>
          <w:sz w:val="24"/>
          <w:szCs w:val="24"/>
          <w:color w:val="auto"/>
        </w:rPr>
      </w:pPr>
    </w:p>
    <w:p>
      <w:pPr>
        <w:sectPr>
          <w:pgSz w:w="11900" w:h="16838" w:orient="portrait"/>
          <w:cols w:equalWidth="0" w:num="2">
            <w:col w:w="7700" w:space="160"/>
            <w:col w:w="3380"/>
          </w:cols>
          <w:pgMar w:left="320" w:top="463" w:right="339" w:bottom="1440" w:gutter="0" w:footer="0" w:header="0"/>
          <w:type w:val="continuous"/>
        </w:sectPr>
      </w:pPr>
    </w:p>
    <w:tbl>
      <w:tblPr>
        <w:tblLayout w:type="fixed"/>
        <w:tblInd w:w="52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420" w:type="dxa"/>
            <w:vAlign w:val="bottom"/>
            <w:gridSpan w:val="2"/>
          </w:tcPr>
          <w:p>
            <w:pPr>
              <w:jc w:val="center"/>
              <w:ind w:right="1039"/>
              <w:spacing w:after="0"/>
              <w:rPr>
                <w:sz w:val="20"/>
                <w:szCs w:val="20"/>
                <w:color w:val="auto"/>
              </w:rPr>
            </w:pPr>
            <w:r>
              <w:rPr>
                <w:rFonts w:ascii="Arial" w:cs="Arial" w:eastAsia="Arial" w:hAnsi="Arial"/>
                <w:sz w:val="18"/>
                <w:szCs w:val="18"/>
                <w:b w:val="1"/>
                <w:bCs w:val="1"/>
                <w:color w:val="auto"/>
                <w:w w:val="93"/>
              </w:rPr>
              <w:t>2 Canal Park, 4th Floor</w:t>
            </w: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8"/>
        </w:trPr>
        <w:tc>
          <w:tcPr>
            <w:tcW w:w="1140" w:type="dxa"/>
            <w:vAlign w:val="bottom"/>
          </w:tcPr>
          <w:p>
            <w:pPr>
              <w:spacing w:after="0"/>
              <w:rPr>
                <w:sz w:val="21"/>
                <w:szCs w:val="21"/>
                <w:color w:val="auto"/>
              </w:rPr>
            </w:pPr>
          </w:p>
        </w:tc>
        <w:tc>
          <w:tcPr>
            <w:tcW w:w="3420" w:type="dxa"/>
            <w:vAlign w:val="bottom"/>
            <w:gridSpan w:val="2"/>
          </w:tcPr>
          <w:p>
            <w:pPr>
              <w:jc w:val="center"/>
              <w:ind w:right="1079"/>
              <w:spacing w:after="0"/>
              <w:rPr>
                <w:sz w:val="20"/>
                <w:szCs w:val="20"/>
                <w:color w:val="auto"/>
              </w:rPr>
            </w:pPr>
            <w:r>
              <w:rPr>
                <w:rFonts w:ascii="Arial" w:cs="Arial" w:eastAsia="Arial" w:hAnsi="Arial"/>
                <w:sz w:val="18"/>
                <w:szCs w:val="18"/>
                <w:b w:val="1"/>
                <w:bCs w:val="1"/>
                <w:color w:val="auto"/>
                <w:w w:val="88"/>
              </w:rPr>
              <w:t>Cambridge, Massachusetts</w:t>
            </w: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720" w:type="dxa"/>
            <w:vAlign w:val="bottom"/>
            <w:gridSpan w:val="2"/>
          </w:tcPr>
          <w:p>
            <w:pPr>
              <w:jc w:val="right"/>
              <w:ind w:right="1584"/>
              <w:spacing w:after="0"/>
              <w:rPr>
                <w:sz w:val="20"/>
                <w:szCs w:val="20"/>
                <w:color w:val="auto"/>
              </w:rPr>
            </w:pPr>
            <w:r>
              <w:rPr>
                <w:rFonts w:ascii="Arial" w:cs="Arial" w:eastAsia="Arial" w:hAnsi="Arial"/>
                <w:sz w:val="18"/>
                <w:szCs w:val="18"/>
                <w:b w:val="1"/>
                <w:bCs w:val="1"/>
                <w:color w:val="auto"/>
              </w:rPr>
              <w:t>02141</w:t>
            </w:r>
          </w:p>
        </w:tc>
        <w:tc>
          <w:tcPr>
            <w:tcW w:w="560" w:type="dxa"/>
            <w:vAlign w:val="bottom"/>
          </w:tcPr>
          <w:p>
            <w:pPr>
              <w:spacing w:after="0"/>
              <w:rPr>
                <w:sz w:val="21"/>
                <w:szCs w:val="21"/>
                <w:color w:val="auto"/>
              </w:rPr>
            </w:pPr>
          </w:p>
        </w:tc>
      </w:tr>
      <w:tr>
        <w:trPr>
          <w:trHeight w:val="190"/>
        </w:trPr>
        <w:tc>
          <w:tcPr>
            <w:tcW w:w="4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340" w:type="dxa"/>
            <w:vAlign w:val="bottom"/>
            <w:gridSpan w:val="2"/>
          </w:tcPr>
          <w:p>
            <w:pPr>
              <w:jc w:val="center"/>
              <w:ind w:right="1560"/>
              <w:spacing w:after="0"/>
              <w:rPr>
                <w:sz w:val="20"/>
                <w:szCs w:val="20"/>
                <w:color w:val="auto"/>
              </w:rPr>
            </w:pPr>
            <w:r>
              <w:rPr>
                <w:rFonts w:ascii="Arial" w:cs="Arial" w:eastAsia="Arial" w:hAnsi="Arial"/>
                <w:sz w:val="14"/>
                <w:szCs w:val="14"/>
                <w:b w:val="1"/>
                <w:bCs w:val="1"/>
                <w:color w:val="auto"/>
                <w:w w:val="95"/>
              </w:rPr>
              <w:t>(Zip Code)</w:t>
            </w:r>
          </w:p>
        </w:tc>
      </w:tr>
      <w:tr>
        <w:trPr>
          <w:trHeight w:val="235"/>
        </w:trPr>
        <w:tc>
          <w:tcPr>
            <w:tcW w:w="1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3"/>
              </w:rPr>
              <w:t>(617) 354-0068</w:t>
            </w: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920" w:type="dxa"/>
            <w:vAlign w:val="bottom"/>
            <w:gridSpan w:val="6"/>
          </w:tcPr>
          <w:p>
            <w:pPr>
              <w:jc w:val="center"/>
              <w:ind w:right="2600"/>
              <w:spacing w:after="0"/>
              <w:rPr>
                <w:sz w:val="20"/>
                <w:szCs w:val="20"/>
                <w:color w:val="auto"/>
              </w:rPr>
            </w:pPr>
            <w:r>
              <w:rPr>
                <w:rFonts w:ascii="Arial" w:cs="Arial" w:eastAsia="Arial" w:hAnsi="Arial"/>
                <w:sz w:val="16"/>
                <w:szCs w:val="16"/>
                <w:color w:val="auto"/>
                <w:w w:val="91"/>
              </w:rPr>
              <w:t>(Registrant’s telephone number, including area code)</w:t>
            </w:r>
          </w:p>
        </w:tc>
      </w:tr>
      <w:tr>
        <w:trPr>
          <w:trHeight w:val="290"/>
        </w:trPr>
        <w:tc>
          <w:tcPr>
            <w:tcW w:w="4560" w:type="dxa"/>
            <w:vAlign w:val="bottom"/>
            <w:gridSpan w:val="3"/>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56"/>
        </w:trPr>
        <w:tc>
          <w:tcPr>
            <w:tcW w:w="1140" w:type="dxa"/>
            <w:vAlign w:val="bottom"/>
          </w:tcPr>
          <w:p>
            <w:pPr>
              <w:spacing w:after="0"/>
              <w:rPr>
                <w:sz w:val="22"/>
                <w:szCs w:val="22"/>
                <w:color w:val="auto"/>
              </w:rPr>
            </w:pPr>
          </w:p>
        </w:tc>
        <w:tc>
          <w:tcPr>
            <w:tcW w:w="3420" w:type="dxa"/>
            <w:vAlign w:val="bottom"/>
            <w:gridSpan w:val="2"/>
          </w:tcPr>
          <w:p>
            <w:pPr>
              <w:jc w:val="center"/>
              <w:ind w:right="2039"/>
              <w:spacing w:after="0"/>
              <w:rPr>
                <w:sz w:val="20"/>
                <w:szCs w:val="20"/>
                <w:color w:val="auto"/>
              </w:rPr>
            </w:pPr>
            <w:r>
              <w:rPr>
                <w:rFonts w:ascii="Arial" w:cs="Arial" w:eastAsia="Arial" w:hAnsi="Arial"/>
                <w:sz w:val="16"/>
                <w:szCs w:val="16"/>
                <w:b w:val="1"/>
                <w:bCs w:val="1"/>
                <w:color w:val="auto"/>
                <w:w w:val="91"/>
              </w:rPr>
              <w:t>Title of Each Class</w:t>
            </w:r>
          </w:p>
        </w:tc>
        <w:tc>
          <w:tcPr>
            <w:tcW w:w="15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Trading Symbol</w:t>
            </w:r>
          </w:p>
        </w:tc>
        <w:tc>
          <w:tcPr>
            <w:tcW w:w="940" w:type="dxa"/>
            <w:vAlign w:val="bottom"/>
          </w:tcPr>
          <w:p>
            <w:pPr>
              <w:spacing w:after="0"/>
              <w:rPr>
                <w:sz w:val="22"/>
                <w:szCs w:val="22"/>
                <w:color w:val="auto"/>
              </w:rPr>
            </w:pPr>
          </w:p>
        </w:tc>
        <w:tc>
          <w:tcPr>
            <w:tcW w:w="334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90"/>
              </w:rPr>
              <w:t>Name of Exchange on Which Registered</w:t>
            </w:r>
          </w:p>
        </w:tc>
      </w:tr>
      <w:tr>
        <w:trPr>
          <w:trHeight w:val="20"/>
        </w:trPr>
        <w:tc>
          <w:tcPr>
            <w:tcW w:w="11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1"/>
        </w:trPr>
        <w:tc>
          <w:tcPr>
            <w:tcW w:w="4560" w:type="dxa"/>
            <w:vAlign w:val="bottom"/>
            <w:gridSpan w:val="3"/>
          </w:tcPr>
          <w:p>
            <w:pPr>
              <w:jc w:val="center"/>
              <w:ind w:right="899"/>
              <w:spacing w:after="0"/>
              <w:rPr>
                <w:sz w:val="20"/>
                <w:szCs w:val="20"/>
                <w:color w:val="auto"/>
              </w:rPr>
            </w:pPr>
            <w:r>
              <w:rPr>
                <w:rFonts w:ascii="Arial" w:cs="Arial" w:eastAsia="Arial" w:hAnsi="Arial"/>
                <w:sz w:val="14"/>
                <w:szCs w:val="14"/>
                <w:b w:val="1"/>
                <w:bCs w:val="1"/>
                <w:color w:val="auto"/>
                <w:w w:val="92"/>
              </w:rPr>
              <w:t>Class A Common Stock, par value $0.001 per share</w:t>
            </w: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CARG</w:t>
            </w:r>
          </w:p>
        </w:tc>
        <w:tc>
          <w:tcPr>
            <w:tcW w:w="4280" w:type="dxa"/>
            <w:vAlign w:val="bottom"/>
            <w:gridSpan w:val="3"/>
          </w:tcPr>
          <w:p>
            <w:pPr>
              <w:jc w:val="center"/>
              <w:ind w:left="319"/>
              <w:spacing w:after="0"/>
              <w:rPr>
                <w:sz w:val="20"/>
                <w:szCs w:val="20"/>
                <w:color w:val="auto"/>
              </w:rPr>
            </w:pPr>
            <w:r>
              <w:rPr>
                <w:rFonts w:ascii="Arial" w:cs="Arial" w:eastAsia="Arial" w:hAnsi="Arial"/>
                <w:sz w:val="14"/>
                <w:szCs w:val="14"/>
                <w:b w:val="1"/>
                <w:bCs w:val="1"/>
                <w:color w:val="auto"/>
                <w:w w:val="95"/>
              </w:rPr>
              <w:t>The Nasdaq Stock Market LLC (Nasdaq Global Select Market)</w:t>
            </w:r>
          </w:p>
        </w:tc>
      </w:tr>
    </w:tbl>
    <w:p>
      <w:pPr>
        <w:spacing w:after="0" w:line="119" w:lineRule="exact"/>
        <w:rPr>
          <w:sz w:val="24"/>
          <w:szCs w:val="24"/>
          <w:color w:val="auto"/>
        </w:rPr>
      </w:pPr>
    </w:p>
    <w:p>
      <w:pPr>
        <w:ind w:right="60" w:firstLine="50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40" w:firstLine="50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140" w:firstLine="509"/>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660"/>
              <w:spacing w:after="0"/>
              <w:rPr>
                <w:sz w:val="20"/>
                <w:szCs w:val="20"/>
                <w:color w:val="auto"/>
              </w:rPr>
            </w:pPr>
            <w:r>
              <w:rPr>
                <w:rFonts w:ascii="Arial" w:cs="Arial" w:eastAsia="Arial" w:hAnsi="Arial"/>
                <w:sz w:val="18"/>
                <w:szCs w:val="18"/>
                <w:color w:val="auto"/>
              </w:rPr>
              <w:t>Accelerated filer</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31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660"/>
              <w:spacing w:after="0"/>
              <w:rPr>
                <w:sz w:val="20"/>
                <w:szCs w:val="20"/>
                <w:color w:val="auto"/>
              </w:rPr>
            </w:pPr>
            <w:r>
              <w:rPr>
                <w:rFonts w:ascii="Arial" w:cs="Arial" w:eastAsia="Arial" w:hAnsi="Arial"/>
                <w:sz w:val="18"/>
                <w:szCs w:val="18"/>
                <w:color w:val="auto"/>
              </w:rPr>
              <w:t>Small reporting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280" w:type="dxa"/>
            <w:vAlign w:val="bottom"/>
          </w:tcPr>
          <w:p>
            <w:pPr>
              <w:ind w:left="2660"/>
              <w:spacing w:after="0"/>
              <w:rPr>
                <w:sz w:val="20"/>
                <w:szCs w:val="20"/>
                <w:color w:val="auto"/>
              </w:rPr>
            </w:pPr>
            <w:r>
              <w:rPr>
                <w:rFonts w:ascii="Arial" w:cs="Arial" w:eastAsia="Arial" w:hAnsi="Arial"/>
                <w:sz w:val="18"/>
                <w:szCs w:val="18"/>
                <w:color w:val="auto"/>
              </w:rPr>
              <w:t>Emerging growth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0" w:lineRule="exact"/>
        <w:rPr>
          <w:sz w:val="24"/>
          <w:szCs w:val="24"/>
          <w:color w:val="auto"/>
        </w:rPr>
      </w:pPr>
    </w:p>
    <w:p>
      <w:pPr>
        <w:ind w:firstLine="509"/>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spacing w:after="0" w:line="207" w:lineRule="exact"/>
        <w:tabs>
          <w:tab w:leader="none" w:pos="8860" w:val="left"/>
          <w:tab w:leader="none" w:pos="95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23" w:lineRule="exact"/>
        <w:rPr>
          <w:sz w:val="24"/>
          <w:szCs w:val="24"/>
          <w:color w:val="auto"/>
        </w:rPr>
      </w:pPr>
    </w:p>
    <w:p>
      <w:pPr>
        <w:ind w:right="280" w:firstLine="509"/>
        <w:spacing w:after="0" w:line="277" w:lineRule="auto"/>
        <w:rPr>
          <w:sz w:val="20"/>
          <w:szCs w:val="20"/>
          <w:color w:val="auto"/>
        </w:rPr>
      </w:pPr>
      <w:r>
        <w:rPr>
          <w:rFonts w:ascii="Arial" w:cs="Arial" w:eastAsia="Arial" w:hAnsi="Arial"/>
          <w:sz w:val="18"/>
          <w:szCs w:val="18"/>
          <w:color w:val="auto"/>
        </w:rPr>
        <w:t>As of May 4, 2023, the registrant had 97,319,091 shares of Class A common stock, $0.001 par value per share, and 15,999,173 shares of Class B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30" w:type="dxa"/>
        <w:tblCellMar>
          <w:top w:w="0" w:type="dxa"/>
          <w:left w:w="0" w:type="dxa"/>
          <w:bottom w:w="0" w:type="dxa"/>
          <w:right w:w="0" w:type="dxa"/>
        </w:tblCellMar>
      </w:tblPr>
      <w:tr>
        <w:trPr>
          <w:trHeight w:val="185"/>
        </w:trPr>
        <w:tc>
          <w:tcPr>
            <w:tcW w:w="1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gridSpan w:val="8"/>
            <w:vMerge w:val="restart"/>
          </w:tcPr>
          <w:p>
            <w:pPr>
              <w:spacing w:after="0"/>
              <w:rPr>
                <w:sz w:val="20"/>
                <w:szCs w:val="20"/>
                <w:color w:val="auto"/>
              </w:rPr>
            </w:pPr>
            <w:r>
              <w:rPr>
                <w:rFonts w:ascii="Arial" w:cs="Arial" w:eastAsia="Arial" w:hAnsi="Arial"/>
                <w:sz w:val="18"/>
                <w:szCs w:val="18"/>
                <w:b w:val="1"/>
                <w:bCs w:val="1"/>
                <w:color w:val="0000FF"/>
              </w:rPr>
              <w:t>FINANCIAL INFORMATION</w:t>
            </w:r>
          </w:p>
        </w:tc>
        <w:tc>
          <w:tcPr>
            <w:tcW w:w="7020" w:type="dxa"/>
            <w:vAlign w:val="bottom"/>
            <w:gridSpan w:val="13"/>
            <w:vMerge w:val="restart"/>
          </w:tcPr>
          <w:p>
            <w:pPr>
              <w:spacing w:after="0"/>
              <w:rPr>
                <w:sz w:val="16"/>
                <w:szCs w:val="16"/>
                <w:color w:val="auto"/>
              </w:rPr>
            </w:pPr>
          </w:p>
        </w:tc>
        <w:tc>
          <w:tcPr>
            <w:tcW w:w="6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200" w:type="dxa"/>
            <w:vAlign w:val="bottom"/>
            <w:gridSpan w:val="2"/>
            <w:vMerge w:val="continue"/>
          </w:tcPr>
          <w:p>
            <w:pPr>
              <w:spacing w:after="0"/>
              <w:rPr>
                <w:sz w:val="14"/>
                <w:szCs w:val="14"/>
                <w:color w:val="auto"/>
              </w:rPr>
            </w:pPr>
          </w:p>
        </w:tc>
        <w:tc>
          <w:tcPr>
            <w:tcW w:w="2400" w:type="dxa"/>
            <w:vAlign w:val="bottom"/>
            <w:tcBorders>
              <w:bottom w:val="single" w:sz="8" w:color="0000FF"/>
            </w:tcBorders>
            <w:gridSpan w:val="8"/>
            <w:vMerge w:val="continue"/>
          </w:tcPr>
          <w:p>
            <w:pPr>
              <w:spacing w:after="0"/>
              <w:rPr>
                <w:sz w:val="14"/>
                <w:szCs w:val="14"/>
                <w:color w:val="auto"/>
              </w:rPr>
            </w:pPr>
          </w:p>
        </w:tc>
        <w:tc>
          <w:tcPr>
            <w:tcW w:w="7020" w:type="dxa"/>
            <w:vAlign w:val="bottom"/>
            <w:gridSpan w:val="13"/>
            <w:vMerge w:val="continue"/>
          </w:tcPr>
          <w:p>
            <w:pPr>
              <w:spacing w:after="0"/>
              <w:rPr>
                <w:sz w:val="14"/>
                <w:szCs w:val="14"/>
                <w:color w:val="auto"/>
              </w:rPr>
            </w:pPr>
          </w:p>
        </w:tc>
        <w:tc>
          <w:tcPr>
            <w:tcW w:w="60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420" w:type="dxa"/>
            <w:vAlign w:val="bottom"/>
            <w:gridSpan w:val="21"/>
          </w:tcPr>
          <w:p>
            <w:pPr>
              <w:spacing w:after="0"/>
              <w:rPr>
                <w:sz w:val="20"/>
                <w:szCs w:val="20"/>
                <w:color w:val="auto"/>
              </w:rPr>
            </w:pPr>
            <w:r>
              <w:rPr>
                <w:rFonts w:ascii="Arial" w:cs="Arial" w:eastAsia="Arial" w:hAnsi="Arial"/>
                <w:sz w:val="18"/>
                <w:szCs w:val="18"/>
                <w:color w:val="0000FF"/>
              </w:rPr>
              <w:t>Financial Statements</w:t>
            </w: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7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8"/>
              </w:rPr>
              <w:t>Unaudited Condensed Consolidated Balance Sheets</w:t>
            </w:r>
          </w:p>
        </w:tc>
        <w:tc>
          <w:tcPr>
            <w:tcW w:w="20" w:type="dxa"/>
            <w:vAlign w:val="bottom"/>
            <w:tcBorders>
              <w:bottom w:val="single" w:sz="8" w:color="0000EE"/>
            </w:tcBorders>
          </w:tcPr>
          <w:p>
            <w:pPr>
              <w:spacing w:after="0"/>
              <w:rPr>
                <w:sz w:val="18"/>
                <w:szCs w:val="18"/>
                <w:color w:val="auto"/>
              </w:rPr>
            </w:pPr>
          </w:p>
        </w:tc>
        <w:tc>
          <w:tcPr>
            <w:tcW w:w="5660" w:type="dxa"/>
            <w:vAlign w:val="bottom"/>
            <w:gridSpan w:val="11"/>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2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9"/>
              </w:rPr>
              <w:t>Unaudited Condensed Consolidated Income Statements</w:t>
            </w:r>
          </w:p>
        </w:tc>
        <w:tc>
          <w:tcPr>
            <w:tcW w:w="5400" w:type="dxa"/>
            <w:vAlign w:val="bottom"/>
            <w:gridSpan w:val="10"/>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9"/>
              </w:rPr>
              <w:t>Unaudited Condensed Consolidated Statements of Comprehensive Income</w:t>
            </w:r>
          </w:p>
        </w:tc>
        <w:tc>
          <w:tcPr>
            <w:tcW w:w="20" w:type="dxa"/>
            <w:vAlign w:val="bottom"/>
            <w:tcBorders>
              <w:bottom w:val="single" w:sz="8" w:color="0000EE"/>
            </w:tcBorders>
          </w:tcPr>
          <w:p>
            <w:pPr>
              <w:spacing w:after="0"/>
              <w:rPr>
                <w:sz w:val="18"/>
                <w:szCs w:val="18"/>
                <w:color w:val="auto"/>
              </w:rPr>
            </w:pPr>
          </w:p>
        </w:tc>
        <w:tc>
          <w:tcPr>
            <w:tcW w:w="4020" w:type="dxa"/>
            <w:vAlign w:val="bottom"/>
            <w:gridSpan w:val="3"/>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16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0"/>
              </w:rPr>
              <w:t>Unaudited Condensed Consolidated Statements of Redeemable Noncontrolling Interest and Stockholders’ Equity</w:t>
            </w:r>
          </w:p>
        </w:tc>
        <w:tc>
          <w:tcPr>
            <w:tcW w:w="1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52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9"/>
              </w:rPr>
              <w:t>Unaudited Condensed Consolidated Statements of Cash Flows</w:t>
            </w:r>
          </w:p>
        </w:tc>
        <w:tc>
          <w:tcPr>
            <w:tcW w:w="20" w:type="dxa"/>
            <w:vAlign w:val="bottom"/>
            <w:tcBorders>
              <w:bottom w:val="single" w:sz="8" w:color="0000EE"/>
            </w:tcBorders>
          </w:tcPr>
          <w:p>
            <w:pPr>
              <w:spacing w:after="0"/>
              <w:rPr>
                <w:sz w:val="18"/>
                <w:szCs w:val="18"/>
                <w:color w:val="auto"/>
              </w:rPr>
            </w:pPr>
          </w:p>
        </w:tc>
        <w:tc>
          <w:tcPr>
            <w:tcW w:w="4880" w:type="dxa"/>
            <w:vAlign w:val="bottom"/>
            <w:gridSpan w:val="7"/>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9"/>
              </w:rPr>
              <w:t>Notes to Unaudited Condensed Consolidated Financial Statements</w:t>
            </w:r>
          </w:p>
        </w:tc>
        <w:tc>
          <w:tcPr>
            <w:tcW w:w="20" w:type="dxa"/>
            <w:vAlign w:val="bottom"/>
            <w:tcBorders>
              <w:bottom w:val="single" w:sz="8" w:color="0000EE"/>
            </w:tcBorders>
          </w:tcPr>
          <w:p>
            <w:pPr>
              <w:spacing w:after="0"/>
              <w:rPr>
                <w:sz w:val="18"/>
                <w:szCs w:val="18"/>
                <w:color w:val="auto"/>
              </w:rPr>
            </w:pPr>
          </w:p>
        </w:tc>
        <w:tc>
          <w:tcPr>
            <w:tcW w:w="4600" w:type="dxa"/>
            <w:vAlign w:val="bottom"/>
            <w:gridSpan w:val="5"/>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960" w:type="dxa"/>
            <w:vAlign w:val="bottom"/>
            <w:gridSpan w:val="2"/>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420" w:type="dxa"/>
            <w:vAlign w:val="bottom"/>
            <w:gridSpan w:val="21"/>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88"/>
              </w:rPr>
              <w:t>Controls and Procedures</w:t>
            </w:r>
          </w:p>
        </w:tc>
        <w:tc>
          <w:tcPr>
            <w:tcW w:w="20" w:type="dxa"/>
            <w:vAlign w:val="bottom"/>
            <w:tcBorders>
              <w:top w:val="single" w:sz="8" w:color="0000FF"/>
              <w:bottom w:val="single" w:sz="8" w:color="0000EE"/>
            </w:tcBorders>
          </w:tcPr>
          <w:p>
            <w:pPr>
              <w:spacing w:after="0"/>
              <w:rPr>
                <w:sz w:val="18"/>
                <w:szCs w:val="18"/>
                <w:color w:val="auto"/>
              </w:rPr>
            </w:pPr>
          </w:p>
        </w:tc>
        <w:tc>
          <w:tcPr>
            <w:tcW w:w="2560" w:type="dxa"/>
            <w:vAlign w:val="bottom"/>
            <w:tcBorders>
              <w:top w:val="single" w:sz="8" w:color="0000FF"/>
            </w:tcBorders>
            <w:gridSpan w:val="6"/>
          </w:tcPr>
          <w:p>
            <w:pPr>
              <w:spacing w:after="0"/>
              <w:rPr>
                <w:sz w:val="18"/>
                <w:szCs w:val="18"/>
                <w:color w:val="auto"/>
              </w:rPr>
            </w:pPr>
          </w:p>
        </w:tc>
        <w:tc>
          <w:tcPr>
            <w:tcW w:w="5060" w:type="dxa"/>
            <w:vAlign w:val="bottom"/>
            <w:gridSpan w:val="9"/>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72"/>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420" w:type="dxa"/>
            <w:vAlign w:val="bottom"/>
            <w:gridSpan w:val="21"/>
          </w:tcPr>
          <w:p>
            <w:pPr>
              <w:spacing w:after="0"/>
              <w:rPr>
                <w:sz w:val="20"/>
                <w:szCs w:val="20"/>
                <w:color w:val="auto"/>
              </w:rPr>
            </w:pPr>
            <w:r>
              <w:rPr>
                <w:rFonts w:ascii="Arial" w:cs="Arial" w:eastAsia="Arial" w:hAnsi="Arial"/>
                <w:sz w:val="18"/>
                <w:szCs w:val="18"/>
                <w:b w:val="1"/>
                <w:bCs w:val="1"/>
                <w:color w:val="0000FF"/>
              </w:rPr>
              <w:t>OTHER INFORMATION</w:t>
            </w:r>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88"/>
              </w:rPr>
              <w:t>Legal Proceedings</w:t>
            </w:r>
          </w:p>
        </w:tc>
        <w:tc>
          <w:tcPr>
            <w:tcW w:w="680" w:type="dxa"/>
            <w:vAlign w:val="bottom"/>
            <w:tcBorders>
              <w:top w:val="single" w:sz="8" w:color="0000FF"/>
            </w:tcBorders>
            <w:gridSpan w:val="4"/>
          </w:tcPr>
          <w:p>
            <w:pPr>
              <w:spacing w:after="0"/>
              <w:rPr>
                <w:sz w:val="18"/>
                <w:szCs w:val="18"/>
                <w:color w:val="auto"/>
              </w:rPr>
            </w:pPr>
          </w:p>
        </w:tc>
        <w:tc>
          <w:tcPr>
            <w:tcW w:w="7400" w:type="dxa"/>
            <w:vAlign w:val="bottom"/>
            <w:gridSpan w:val="14"/>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420" w:type="dxa"/>
            <w:vAlign w:val="bottom"/>
            <w:gridSpan w:val="21"/>
          </w:tcPr>
          <w:p>
            <w:pPr>
              <w:spacing w:after="0"/>
              <w:rPr>
                <w:sz w:val="20"/>
                <w:szCs w:val="20"/>
                <w:color w:val="auto"/>
              </w:rPr>
            </w:pPr>
            <w:r>
              <w:rPr>
                <w:rFonts w:ascii="Arial" w:cs="Arial" w:eastAsia="Arial" w:hAnsi="Arial"/>
                <w:sz w:val="18"/>
                <w:szCs w:val="18"/>
                <w:color w:val="0000FF"/>
              </w:rPr>
              <w:t>Risk Factors</w:t>
            </w:r>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0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rPr>
              <w:t>Exhibits</w:t>
            </w:r>
          </w:p>
        </w:tc>
        <w:tc>
          <w:tcPr>
            <w:tcW w:w="8520" w:type="dxa"/>
            <w:vAlign w:val="bottom"/>
            <w:gridSpan w:val="19"/>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line="207" w:lineRule="exact"/>
        <w:rPr>
          <w:sz w:val="20"/>
          <w:szCs w:val="20"/>
          <w:color w:val="auto"/>
        </w:rPr>
      </w:pPr>
      <w:r>
        <w:rPr>
          <w:rFonts w:ascii="Arial" w:cs="Arial" w:eastAsia="Arial" w:hAnsi="Arial"/>
          <w:sz w:val="18"/>
          <w:szCs w:val="18"/>
          <w:b w:val="1"/>
          <w:bCs w:val="1"/>
          <w:color w:val="auto"/>
        </w:rPr>
        <w:t>SPECIAL NOTE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121" w:lineRule="exact"/>
        <w:rPr>
          <w:sz w:val="20"/>
          <w:szCs w:val="20"/>
          <w:color w:val="auto"/>
        </w:rPr>
      </w:pPr>
    </w:p>
    <w:p>
      <w:pPr>
        <w:jc w:val="both"/>
        <w:ind w:firstLine="509"/>
        <w:spacing w:after="0" w:line="219" w:lineRule="exact"/>
        <w:rPr>
          <w:sz w:val="20"/>
          <w:szCs w:val="20"/>
          <w:color w:val="auto"/>
        </w:rPr>
      </w:pPr>
      <w:r>
        <w:rPr>
          <w:rFonts w:ascii="Arial" w:cs="Arial" w:eastAsia="Arial" w:hAnsi="Arial"/>
          <w:sz w:val="17"/>
          <w:szCs w:val="17"/>
          <w:color w:val="auto"/>
        </w:rPr>
        <w:t>This report contains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the federal securities laws, which statements involve substantial risks and uncertainties.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generally relate to future events or our future financial or operating performance. In some cases, you can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because they contain words such as “anticipates,” “believes,” “could,” “estimates,” “expects,” “intends,” “likely,” “may,” “might,” “plans,” “potential,” “predicts,” “projects,” “seeks,” “should,” “target,” “goal,” “will,” “would,” or similar expressions and the negatives of those terms. Forward-looking statements contained in this report include, but are not limited to, statements about:</w:t>
      </w:r>
    </w:p>
    <w:p>
      <w:pPr>
        <w:spacing w:after="0" w:line="97" w:lineRule="exact"/>
        <w:rPr>
          <w:sz w:val="20"/>
          <w:szCs w:val="20"/>
          <w:color w:val="auto"/>
        </w:rPr>
      </w:pPr>
    </w:p>
    <w:p>
      <w:pPr>
        <w:ind w:left="90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of revenue, gross profit or gross margin, operating expenses, ability to generate cash flow, and ability to achieve, and maintain, future profitability;</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growth strategies and our ability to effectively manage any growth;</w:t>
      </w:r>
    </w:p>
    <w:p>
      <w:pPr>
        <w:spacing w:after="0" w:line="117"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value proposition of our product offerings for dealers and consumers, and the return on investment that our dealers realize from our products;</w:t>
      </w:r>
    </w:p>
    <w:p>
      <w:pPr>
        <w:spacing w:after="0" w:line="62"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evolution to becoming a transaction-enabled platform where consumers can shop, buy, seek financing, and sell their cars and dealers can source, market, and sell their vehicles;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benefits from our acquisitions and successfully implement the integration strategies in connection therewith;</w:t>
      </w:r>
    </w:p>
    <w:p>
      <w:pPr>
        <w:spacing w:after="0" w:line="117" w:lineRule="exact"/>
        <w:rPr>
          <w:rFonts w:ascii="Arial" w:cs="Arial" w:eastAsia="Arial" w:hAnsi="Arial"/>
          <w:sz w:val="18"/>
          <w:szCs w:val="18"/>
          <w:color w:val="auto"/>
        </w:rPr>
      </w:pPr>
    </w:p>
    <w:p>
      <w:pPr>
        <w:ind w:left="900" w:hanging="383"/>
        <w:spacing w:after="0" w:line="308"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future share issuances and the exercise of put and call rights in connection with potentially acquiring additional equity interests in CarOffer, LLC, or CarOffer, as well as the associated valuation of redeemable noncontrolling interests;</w:t>
      </w:r>
    </w:p>
    <w:p>
      <w:pPr>
        <w:spacing w:after="0" w:line="38" w:lineRule="exact"/>
        <w:rPr>
          <w:rFonts w:ascii="Arial" w:cs="Arial" w:eastAsia="Arial" w:hAnsi="Arial"/>
          <w:sz w:val="17"/>
          <w:szCs w:val="17"/>
          <w:color w:val="auto"/>
        </w:rPr>
      </w:pPr>
    </w:p>
    <w:p>
      <w:pPr>
        <w:ind w:left="900" w:hanging="383"/>
        <w:spacing w:after="0" w:line="308"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value proposition of the CarOffer online wholesale platform, including our belief that as dealer enrollments increase, dealers will see a corresponding increase in inventory on the platform, further enabling liquidity, selection, choice and business efficiencies;</w:t>
      </w:r>
    </w:p>
    <w:p>
      <w:pPr>
        <w:spacing w:after="0" w:line="38" w:lineRule="exact"/>
        <w:rPr>
          <w:rFonts w:ascii="Arial" w:cs="Arial" w:eastAsia="Arial" w:hAnsi="Arial"/>
          <w:sz w:val="17"/>
          <w:szCs w:val="17"/>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for CarGurus Instant Max Cash Offer, as well as our digital retail offerings and continued investments;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competition in our industry and innovation by our competitors;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accounting pronouncements;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litigation;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necessary qualified employees to expand our operations;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117"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stay abreast of, and effectively comply with, new or modified laws and regulations that currently apply or become applicable to our business and our beliefs regarding our compliance therewith;</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domestic economic conditions;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economic conditions affecting us or our customers;</w:t>
      </w:r>
    </w:p>
    <w:p>
      <w:pPr>
        <w:spacing w:after="0" w:line="117"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overcome challenges facing the automotive industry ecosystem, including inventory supply problems, global supply chain challenges, changes to trade policies and other macroeconomic issues;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cash generation and the sufficiency of our cash to fund our operations;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regarding the funding of our share repurchase program;</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trading prices of our Class A common stock;</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regarding deferred tax assets;</w:t>
      </w:r>
    </w:p>
    <w:p>
      <w:pPr>
        <w:spacing w:after="0" w:line="117"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material weakness in our internal control over financial reporting that we have identified, and our ability to remediate such weakness and enhance our internal control environment;</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an effective system of internal controls necessary to accurately report our financial results and prevent fraud;</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revolving credit facility;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returns on investments.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both"/>
        <w:ind w:firstLine="509"/>
        <w:spacing w:after="0" w:line="218" w:lineRule="exact"/>
        <w:rPr>
          <w:sz w:val="20"/>
          <w:szCs w:val="20"/>
          <w:color w:val="auto"/>
        </w:rPr>
      </w:pPr>
      <w:r>
        <w:rPr>
          <w:rFonts w:ascii="Arial" w:cs="Arial" w:eastAsia="Arial" w:hAnsi="Arial"/>
          <w:sz w:val="17"/>
          <w:szCs w:val="17"/>
          <w:color w:val="auto"/>
        </w:rPr>
        <w:t>You should not rely upon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as predictions of future events. We have based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report primarily on our current expectations and projections about future events and trends that we believe may affect our business, financial condition, operating results, and growth prospects. The outcome of the events described in these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is subject to risks, uncertainties, and other factors described in the section titled “Risk Factors” and elsewhere in this report. Moreover, we operate in a very competitive and rapidly changing environment. New risks and uncertainties emerge from time to time, and it is not possible for us to predict all risks and uncertainties that could have an impact on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report. Further, our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do not reflect the potential impact of any future acquisitions, mergers, dispositions or joint ventures in which we may be involved, or investments we may make. We cannot assure you that the results, events, and circumstances reflected in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will be achieved or occur, and actual results, events, or circumstances could differ materially from those described in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w:t>
      </w:r>
    </w:p>
    <w:p>
      <w:pPr>
        <w:spacing w:after="0" w:line="203" w:lineRule="exact"/>
        <w:rPr>
          <w:sz w:val="20"/>
          <w:szCs w:val="20"/>
          <w:color w:val="auto"/>
        </w:rPr>
      </w:pPr>
    </w:p>
    <w:p>
      <w:pPr>
        <w:jc w:val="both"/>
        <w:ind w:firstLine="509"/>
        <w:spacing w:after="0" w:line="220" w:lineRule="exact"/>
        <w:rPr>
          <w:sz w:val="20"/>
          <w:szCs w:val="20"/>
          <w:color w:val="auto"/>
        </w:rPr>
      </w:pPr>
      <w:r>
        <w:rPr>
          <w:rFonts w:ascii="Arial" w:cs="Arial" w:eastAsia="Arial" w:hAnsi="Arial"/>
          <w:sz w:val="18"/>
          <w:szCs w:val="18"/>
          <w:color w:val="auto"/>
        </w:rPr>
        <w:t>The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made in this report relate only to events as of the date on which the statements are made. We undertake no obligation to update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 made in this report to reflect events or circumstances after the date of this report or to reflect new information or the occurrence of unanticipated events, except as required by law.</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CarGurus, Inc.</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2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7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85"/>
        </w:trPr>
        <w:tc>
          <w:tcPr>
            <w:tcW w:w="7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96"/>
              </w:rPr>
              <w:t>2023</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r>
      <w:tr>
        <w:trPr>
          <w:trHeight w:val="237"/>
        </w:trPr>
        <w:tc>
          <w:tcPr>
            <w:tcW w:w="7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64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6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456,696</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469,517</w:t>
            </w:r>
          </w:p>
        </w:tc>
        <w:tc>
          <w:tcPr>
            <w:tcW w:w="100" w:type="dxa"/>
            <w:vAlign w:val="bottom"/>
            <w:shd w:val="clear" w:color="auto" w:fill="CFF0FC"/>
          </w:tcPr>
          <w:p>
            <w:pPr>
              <w:spacing w:after="0"/>
              <w:rPr>
                <w:sz w:val="21"/>
                <w:szCs w:val="21"/>
                <w:color w:val="auto"/>
              </w:rPr>
            </w:pPr>
          </w:p>
        </w:tc>
      </w:tr>
      <w:tr>
        <w:trPr>
          <w:trHeight w:val="215"/>
        </w:trPr>
        <w:tc>
          <w:tcPr>
            <w:tcW w:w="7640" w:type="dxa"/>
            <w:vAlign w:val="bottom"/>
          </w:tcPr>
          <w:p>
            <w:pPr>
              <w:ind w:left="180"/>
              <w:spacing w:after="0"/>
              <w:rPr>
                <w:sz w:val="20"/>
                <w:szCs w:val="20"/>
                <w:color w:val="auto"/>
              </w:rPr>
            </w:pPr>
            <w:r>
              <w:rPr>
                <w:rFonts w:ascii="Arial" w:cs="Arial" w:eastAsia="Arial" w:hAnsi="Arial"/>
                <w:sz w:val="18"/>
                <w:szCs w:val="18"/>
                <w:color w:val="auto"/>
              </w:rPr>
              <w:t>Accounts receivable, net of allowance for doubtful accounts of $1,054</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640" w:type="dxa"/>
            <w:vAlign w:val="bottom"/>
          </w:tcPr>
          <w:p>
            <w:pPr>
              <w:ind w:left="320"/>
              <w:spacing w:after="0"/>
              <w:rPr>
                <w:sz w:val="20"/>
                <w:szCs w:val="20"/>
                <w:color w:val="auto"/>
              </w:rPr>
            </w:pPr>
            <w:r>
              <w:rPr>
                <w:rFonts w:ascii="Arial" w:cs="Arial" w:eastAsia="Arial" w:hAnsi="Arial"/>
                <w:sz w:val="18"/>
                <w:szCs w:val="18"/>
                <w:color w:val="auto"/>
              </w:rPr>
              <w:t>and $1,809, respectively</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42,395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46,817</w:t>
            </w:r>
          </w:p>
        </w:tc>
        <w:tc>
          <w:tcPr>
            <w:tcW w:w="100" w:type="dxa"/>
            <w:vAlign w:val="bottom"/>
          </w:tcPr>
          <w:p>
            <w:pPr>
              <w:spacing w:after="0"/>
              <w:rPr>
                <w:sz w:val="20"/>
                <w:szCs w:val="20"/>
                <w:color w:val="auto"/>
              </w:rPr>
            </w:pPr>
          </w:p>
        </w:tc>
      </w:tr>
      <w:tr>
        <w:trPr>
          <w:trHeight w:val="250"/>
        </w:trPr>
        <w:tc>
          <w:tcPr>
            <w:tcW w:w="76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Inventory</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1,637</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5,282</w:t>
            </w:r>
          </w:p>
        </w:tc>
        <w:tc>
          <w:tcPr>
            <w:tcW w:w="100" w:type="dxa"/>
            <w:vAlign w:val="bottom"/>
            <w:shd w:val="clear" w:color="auto" w:fill="CFF0FC"/>
          </w:tcPr>
          <w:p>
            <w:pPr>
              <w:spacing w:after="0"/>
              <w:rPr>
                <w:sz w:val="21"/>
                <w:szCs w:val="21"/>
                <w:color w:val="auto"/>
              </w:rPr>
            </w:pPr>
          </w:p>
        </w:tc>
      </w:tr>
      <w:tr>
        <w:trPr>
          <w:trHeight w:val="237"/>
        </w:trPr>
        <w:tc>
          <w:tcPr>
            <w:tcW w:w="7640" w:type="dxa"/>
            <w:vAlign w:val="bottom"/>
          </w:tcPr>
          <w:p>
            <w:pPr>
              <w:ind w:left="180"/>
              <w:spacing w:after="0"/>
              <w:rPr>
                <w:sz w:val="20"/>
                <w:szCs w:val="20"/>
                <w:color w:val="auto"/>
              </w:rPr>
            </w:pPr>
            <w:r>
              <w:rPr>
                <w:rFonts w:ascii="Arial" w:cs="Arial" w:eastAsia="Arial" w:hAnsi="Arial"/>
                <w:sz w:val="18"/>
                <w:szCs w:val="18"/>
                <w:color w:val="auto"/>
              </w:rPr>
              <w:t>Prepaid expenses, prepaid income taxes and other current assets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18,114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21,972</w:t>
            </w:r>
          </w:p>
        </w:tc>
        <w:tc>
          <w:tcPr>
            <w:tcW w:w="100" w:type="dxa"/>
            <w:vAlign w:val="bottom"/>
          </w:tcPr>
          <w:p>
            <w:pPr>
              <w:spacing w:after="0"/>
              <w:rPr>
                <w:sz w:val="20"/>
                <w:szCs w:val="20"/>
                <w:color w:val="auto"/>
              </w:rPr>
            </w:pPr>
          </w:p>
        </w:tc>
      </w:tr>
      <w:tr>
        <w:trPr>
          <w:trHeight w:val="249"/>
        </w:trPr>
        <w:tc>
          <w:tcPr>
            <w:tcW w:w="76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Deferred contract costs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9,387</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8,541</w:t>
            </w:r>
          </w:p>
        </w:tc>
        <w:tc>
          <w:tcPr>
            <w:tcW w:w="100" w:type="dxa"/>
            <w:vAlign w:val="bottom"/>
            <w:shd w:val="clear" w:color="auto" w:fill="CFF0FC"/>
          </w:tcPr>
          <w:p>
            <w:pPr>
              <w:spacing w:after="0"/>
              <w:rPr>
                <w:sz w:val="21"/>
                <w:szCs w:val="21"/>
                <w:color w:val="auto"/>
              </w:rPr>
            </w:pPr>
          </w:p>
        </w:tc>
      </w:tr>
      <w:tr>
        <w:trPr>
          <w:trHeight w:val="237"/>
        </w:trPr>
        <w:tc>
          <w:tcPr>
            <w:tcW w:w="764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14,985</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5,237</w:t>
            </w:r>
          </w:p>
        </w:tc>
        <w:tc>
          <w:tcPr>
            <w:tcW w:w="100" w:type="dxa"/>
            <w:vAlign w:val="bottom"/>
          </w:tcPr>
          <w:p>
            <w:pPr>
              <w:spacing w:after="0"/>
              <w:rPr>
                <w:sz w:val="20"/>
                <w:szCs w:val="20"/>
                <w:color w:val="auto"/>
              </w:rPr>
            </w:pPr>
          </w:p>
        </w:tc>
      </w:tr>
      <w:tr>
        <w:trPr>
          <w:trHeight w:val="243"/>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543,214</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557,366</w:t>
            </w:r>
          </w:p>
        </w:tc>
        <w:tc>
          <w:tcPr>
            <w:tcW w:w="100" w:type="dxa"/>
            <w:vAlign w:val="bottom"/>
            <w:shd w:val="clear" w:color="auto" w:fill="CFF0FC"/>
          </w:tcPr>
          <w:p>
            <w:pPr>
              <w:spacing w:after="0"/>
              <w:rPr>
                <w:sz w:val="21"/>
                <w:szCs w:val="21"/>
                <w:color w:val="auto"/>
              </w:rPr>
            </w:pPr>
          </w:p>
        </w:tc>
      </w:tr>
      <w:tr>
        <w:trPr>
          <w:trHeight w:val="237"/>
        </w:trPr>
        <w:tc>
          <w:tcPr>
            <w:tcW w:w="76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42,748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40,128</w:t>
            </w:r>
          </w:p>
        </w:tc>
        <w:tc>
          <w:tcPr>
            <w:tcW w:w="100" w:type="dxa"/>
            <w:vAlign w:val="bottom"/>
          </w:tcPr>
          <w:p>
            <w:pPr>
              <w:spacing w:after="0"/>
              <w:rPr>
                <w:sz w:val="20"/>
                <w:szCs w:val="20"/>
                <w:color w:val="auto"/>
              </w:rPr>
            </w:pPr>
          </w:p>
        </w:tc>
      </w:tr>
      <w:tr>
        <w:trPr>
          <w:trHeight w:val="24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45,552</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53,054</w:t>
            </w:r>
          </w:p>
        </w:tc>
        <w:tc>
          <w:tcPr>
            <w:tcW w:w="100" w:type="dxa"/>
            <w:vAlign w:val="bottom"/>
            <w:shd w:val="clear" w:color="auto" w:fill="CFF0FC"/>
          </w:tcPr>
          <w:p>
            <w:pPr>
              <w:spacing w:after="0"/>
              <w:rPr>
                <w:sz w:val="21"/>
                <w:szCs w:val="21"/>
                <w:color w:val="auto"/>
              </w:rPr>
            </w:pPr>
          </w:p>
        </w:tc>
      </w:tr>
      <w:tr>
        <w:trPr>
          <w:trHeight w:val="237"/>
        </w:trPr>
        <w:tc>
          <w:tcPr>
            <w:tcW w:w="7640" w:type="dxa"/>
            <w:vAlign w:val="bottom"/>
          </w:tcPr>
          <w:p>
            <w:pPr>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157,689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157,467</w:t>
            </w:r>
          </w:p>
        </w:tc>
        <w:tc>
          <w:tcPr>
            <w:tcW w:w="100" w:type="dxa"/>
            <w:vAlign w:val="bottom"/>
          </w:tcPr>
          <w:p>
            <w:pPr>
              <w:spacing w:after="0"/>
              <w:rPr>
                <w:sz w:val="20"/>
                <w:szCs w:val="20"/>
                <w:color w:val="auto"/>
              </w:rPr>
            </w:pPr>
          </w:p>
        </w:tc>
      </w:tr>
      <w:tr>
        <w:trPr>
          <w:trHeight w:val="24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196,413</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56,869</w:t>
            </w:r>
          </w:p>
        </w:tc>
        <w:tc>
          <w:tcPr>
            <w:tcW w:w="100" w:type="dxa"/>
            <w:vAlign w:val="bottom"/>
            <w:shd w:val="clear" w:color="auto" w:fill="CFF0FC"/>
          </w:tcPr>
          <w:p>
            <w:pPr>
              <w:spacing w:after="0"/>
              <w:rPr>
                <w:sz w:val="21"/>
                <w:szCs w:val="21"/>
                <w:color w:val="auto"/>
              </w:rPr>
            </w:pPr>
          </w:p>
        </w:tc>
      </w:tr>
      <w:tr>
        <w:trPr>
          <w:trHeight w:val="237"/>
        </w:trPr>
        <w:tc>
          <w:tcPr>
            <w:tcW w:w="7640" w:type="dxa"/>
            <w:vAlign w:val="bottom"/>
          </w:tcPr>
          <w:p>
            <w:pPr>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9,378</w:t>
            </w:r>
          </w:p>
        </w:tc>
        <w:tc>
          <w:tcPr>
            <w:tcW w:w="100" w:type="dxa"/>
            <w:vAlign w:val="bottom"/>
          </w:tcPr>
          <w:p>
            <w:pPr>
              <w:spacing w:after="0"/>
              <w:rPr>
                <w:sz w:val="20"/>
                <w:szCs w:val="20"/>
                <w:color w:val="auto"/>
              </w:rPr>
            </w:pPr>
          </w:p>
        </w:tc>
      </w:tr>
      <w:tr>
        <w:trPr>
          <w:trHeight w:val="24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47,385</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35,488</w:t>
            </w:r>
          </w:p>
        </w:tc>
        <w:tc>
          <w:tcPr>
            <w:tcW w:w="100" w:type="dxa"/>
            <w:vAlign w:val="bottom"/>
            <w:shd w:val="clear" w:color="auto" w:fill="CFF0FC"/>
          </w:tcPr>
          <w:p>
            <w:pPr>
              <w:spacing w:after="0"/>
              <w:rPr>
                <w:sz w:val="21"/>
                <w:szCs w:val="21"/>
                <w:color w:val="auto"/>
              </w:rPr>
            </w:pPr>
          </w:p>
        </w:tc>
      </w:tr>
      <w:tr>
        <w:trPr>
          <w:trHeight w:val="237"/>
        </w:trPr>
        <w:tc>
          <w:tcPr>
            <w:tcW w:w="7640" w:type="dxa"/>
            <w:vAlign w:val="bottom"/>
          </w:tcPr>
          <w:p>
            <w:pPr>
              <w:spacing w:after="0"/>
              <w:rPr>
                <w:sz w:val="20"/>
                <w:szCs w:val="20"/>
                <w:color w:val="auto"/>
              </w:rPr>
            </w:pPr>
            <w:r>
              <w:rPr>
                <w:rFonts w:ascii="Arial" w:cs="Arial" w:eastAsia="Arial" w:hAnsi="Arial"/>
                <w:sz w:val="18"/>
                <w:szCs w:val="18"/>
                <w:color w:val="auto"/>
              </w:rPr>
              <w:t>Deferred contract costs, net of current portion</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10,446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8,853</w:t>
            </w:r>
          </w:p>
        </w:tc>
        <w:tc>
          <w:tcPr>
            <w:tcW w:w="100" w:type="dxa"/>
            <w:vAlign w:val="bottom"/>
          </w:tcPr>
          <w:p>
            <w:pPr>
              <w:spacing w:after="0"/>
              <w:rPr>
                <w:sz w:val="20"/>
                <w:szCs w:val="20"/>
                <w:color w:val="auto"/>
              </w:rPr>
            </w:pPr>
          </w:p>
        </w:tc>
      </w:tr>
      <w:tr>
        <w:trPr>
          <w:trHeight w:val="243"/>
        </w:trPr>
        <w:tc>
          <w:tcPr>
            <w:tcW w:w="7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8,132</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40" w:type="dxa"/>
            <w:vAlign w:val="bottom"/>
          </w:tcPr>
          <w:p>
            <w:pPr>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1,051,579</w:t>
            </w:r>
          </w:p>
        </w:tc>
        <w:tc>
          <w:tcPr>
            <w:tcW w:w="2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927,102</w:t>
            </w:r>
          </w:p>
        </w:tc>
        <w:tc>
          <w:tcPr>
            <w:tcW w:w="100" w:type="dxa"/>
            <w:vAlign w:val="bottom"/>
          </w:tcPr>
          <w:p>
            <w:pPr>
              <w:spacing w:after="0"/>
              <w:rPr>
                <w:sz w:val="20"/>
                <w:szCs w:val="20"/>
                <w:color w:val="auto"/>
              </w:rPr>
            </w:pPr>
          </w:p>
        </w:tc>
      </w:tr>
      <w:tr>
        <w:trPr>
          <w:trHeight w:val="20"/>
        </w:trPr>
        <w:tc>
          <w:tcPr>
            <w:tcW w:w="7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redeemable noncontrolling interest and stockholders’ equity</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764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6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42,701</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32,529</w:t>
            </w:r>
          </w:p>
        </w:tc>
        <w:tc>
          <w:tcPr>
            <w:tcW w:w="100" w:type="dxa"/>
            <w:vAlign w:val="bottom"/>
            <w:shd w:val="clear" w:color="auto" w:fill="CFF0FC"/>
          </w:tcPr>
          <w:p>
            <w:pPr>
              <w:spacing w:after="0"/>
              <w:rPr>
                <w:sz w:val="21"/>
                <w:szCs w:val="21"/>
                <w:color w:val="auto"/>
              </w:rPr>
            </w:pPr>
          </w:p>
        </w:tc>
      </w:tr>
      <w:tr>
        <w:trPr>
          <w:trHeight w:val="237"/>
        </w:trPr>
        <w:tc>
          <w:tcPr>
            <w:tcW w:w="7640" w:type="dxa"/>
            <w:vAlign w:val="bottom"/>
          </w:tcPr>
          <w:p>
            <w:pPr>
              <w:ind w:left="180"/>
              <w:spacing w:after="0"/>
              <w:rPr>
                <w:sz w:val="20"/>
                <w:szCs w:val="20"/>
                <w:color w:val="auto"/>
              </w:rPr>
            </w:pPr>
            <w:r>
              <w:rPr>
                <w:rFonts w:ascii="Arial" w:cs="Arial" w:eastAsia="Arial" w:hAnsi="Arial"/>
                <w:sz w:val="18"/>
                <w:szCs w:val="18"/>
                <w:color w:val="auto"/>
              </w:rPr>
              <w:t>Accrued expenses, accrued income taxes and other current liabilities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45,010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39,193</w:t>
            </w:r>
          </w:p>
        </w:tc>
        <w:tc>
          <w:tcPr>
            <w:tcW w:w="100" w:type="dxa"/>
            <w:vAlign w:val="bottom"/>
          </w:tcPr>
          <w:p>
            <w:pPr>
              <w:spacing w:after="0"/>
              <w:rPr>
                <w:sz w:val="20"/>
                <w:szCs w:val="20"/>
                <w:color w:val="auto"/>
              </w:rPr>
            </w:pPr>
          </w:p>
        </w:tc>
      </w:tr>
      <w:tr>
        <w:trPr>
          <w:trHeight w:val="249"/>
        </w:trPr>
        <w:tc>
          <w:tcPr>
            <w:tcW w:w="76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20,808</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12,249</w:t>
            </w:r>
          </w:p>
        </w:tc>
        <w:tc>
          <w:tcPr>
            <w:tcW w:w="100" w:type="dxa"/>
            <w:vAlign w:val="bottom"/>
            <w:shd w:val="clear" w:color="auto" w:fill="CFF0FC"/>
          </w:tcPr>
          <w:p>
            <w:pPr>
              <w:spacing w:after="0"/>
              <w:rPr>
                <w:sz w:val="21"/>
                <w:szCs w:val="21"/>
                <w:color w:val="auto"/>
              </w:rPr>
            </w:pPr>
          </w:p>
        </w:tc>
      </w:tr>
      <w:tr>
        <w:trPr>
          <w:trHeight w:val="237"/>
        </w:trPr>
        <w:tc>
          <w:tcPr>
            <w:tcW w:w="764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15,480</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14,762</w:t>
            </w:r>
          </w:p>
        </w:tc>
        <w:tc>
          <w:tcPr>
            <w:tcW w:w="100" w:type="dxa"/>
            <w:vAlign w:val="bottom"/>
          </w:tcPr>
          <w:p>
            <w:pPr>
              <w:spacing w:after="0"/>
              <w:rPr>
                <w:sz w:val="20"/>
                <w:szCs w:val="20"/>
                <w:color w:val="auto"/>
              </w:rPr>
            </w:pPr>
          </w:p>
        </w:tc>
      </w:tr>
      <w:tr>
        <w:trPr>
          <w:trHeight w:val="243"/>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123,999</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98,733</w:t>
            </w:r>
          </w:p>
        </w:tc>
        <w:tc>
          <w:tcPr>
            <w:tcW w:w="100" w:type="dxa"/>
            <w:vAlign w:val="bottom"/>
            <w:shd w:val="clear" w:color="auto" w:fill="CFF0FC"/>
          </w:tcPr>
          <w:p>
            <w:pPr>
              <w:spacing w:after="0"/>
              <w:rPr>
                <w:sz w:val="21"/>
                <w:szCs w:val="21"/>
                <w:color w:val="auto"/>
              </w:rPr>
            </w:pPr>
          </w:p>
        </w:tc>
      </w:tr>
      <w:tr>
        <w:trPr>
          <w:trHeight w:val="237"/>
        </w:trPr>
        <w:tc>
          <w:tcPr>
            <w:tcW w:w="764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194,931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51,656</w:t>
            </w:r>
          </w:p>
        </w:tc>
        <w:tc>
          <w:tcPr>
            <w:tcW w:w="100" w:type="dxa"/>
            <w:vAlign w:val="bottom"/>
          </w:tcPr>
          <w:p>
            <w:pPr>
              <w:spacing w:after="0"/>
              <w:rPr>
                <w:sz w:val="20"/>
                <w:szCs w:val="20"/>
                <w:color w:val="auto"/>
              </w:rPr>
            </w:pPr>
          </w:p>
        </w:tc>
      </w:tr>
      <w:tr>
        <w:trPr>
          <w:trHeight w:val="24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21"/>
                <w:szCs w:val="21"/>
                <w:color w:val="auto"/>
              </w:rPr>
            </w:pPr>
          </w:p>
        </w:tc>
      </w:tr>
      <w:tr>
        <w:trPr>
          <w:trHeight w:val="237"/>
        </w:trPr>
        <w:tc>
          <w:tcPr>
            <w:tcW w:w="76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4,336</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5,301</w:t>
            </w:r>
          </w:p>
        </w:tc>
        <w:tc>
          <w:tcPr>
            <w:tcW w:w="100" w:type="dxa"/>
            <w:vAlign w:val="bottom"/>
          </w:tcPr>
          <w:p>
            <w:pPr>
              <w:spacing w:after="0"/>
              <w:rPr>
                <w:sz w:val="20"/>
                <w:szCs w:val="20"/>
                <w:color w:val="auto"/>
              </w:rPr>
            </w:pPr>
          </w:p>
        </w:tc>
      </w:tr>
      <w:tr>
        <w:trPr>
          <w:trHeight w:val="243"/>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323,296</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155,744</w:t>
            </w:r>
          </w:p>
        </w:tc>
        <w:tc>
          <w:tcPr>
            <w:tcW w:w="100" w:type="dxa"/>
            <w:vAlign w:val="bottom"/>
            <w:shd w:val="clear" w:color="auto" w:fill="CFF0FC"/>
          </w:tcPr>
          <w:p>
            <w:pPr>
              <w:spacing w:after="0"/>
              <w:rPr>
                <w:sz w:val="21"/>
                <w:szCs w:val="21"/>
                <w:color w:val="auto"/>
              </w:rPr>
            </w:pPr>
          </w:p>
        </w:tc>
      </w:tr>
      <w:tr>
        <w:trPr>
          <w:trHeight w:val="237"/>
        </w:trPr>
        <w:tc>
          <w:tcPr>
            <w:tcW w:w="764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Redeemable noncontrolling interest</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32,475</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36,749</w:t>
            </w:r>
          </w:p>
        </w:tc>
        <w:tc>
          <w:tcPr>
            <w:tcW w:w="100" w:type="dxa"/>
            <w:vAlign w:val="bottom"/>
            <w:shd w:val="clear" w:color="auto" w:fill="CFF0FC"/>
          </w:tcPr>
          <w:p>
            <w:pPr>
              <w:spacing w:after="0"/>
              <w:rPr>
                <w:sz w:val="21"/>
                <w:szCs w:val="21"/>
                <w:color w:val="auto"/>
              </w:rPr>
            </w:pPr>
          </w:p>
        </w:tc>
      </w:tr>
      <w:tr>
        <w:trPr>
          <w:trHeight w:val="237"/>
        </w:trPr>
        <w:tc>
          <w:tcPr>
            <w:tcW w:w="7640" w:type="dxa"/>
            <w:vAlign w:val="bottom"/>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76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Preferred stock, $0.001 par value per share; 10,000,000 shares authorized;</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6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 shares issued and outstanding</w:t>
            </w:r>
          </w:p>
        </w:tc>
        <w:tc>
          <w:tcPr>
            <w:tcW w:w="30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640" w:type="dxa"/>
            <w:vAlign w:val="bottom"/>
          </w:tcPr>
          <w:p>
            <w:pPr>
              <w:ind w:left="180"/>
              <w:spacing w:after="0"/>
              <w:rPr>
                <w:sz w:val="20"/>
                <w:szCs w:val="20"/>
                <w:color w:val="auto"/>
              </w:rPr>
            </w:pPr>
            <w:r>
              <w:rPr>
                <w:rFonts w:ascii="Arial" w:cs="Arial" w:eastAsia="Arial" w:hAnsi="Arial"/>
                <w:sz w:val="18"/>
                <w:szCs w:val="18"/>
                <w:color w:val="auto"/>
              </w:rPr>
              <w:t>Class A common stock, $0.001 par value per share; 500,000,000 shares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tcPr>
          <w:p>
            <w:pPr>
              <w:ind w:left="320"/>
              <w:spacing w:after="0"/>
              <w:rPr>
                <w:sz w:val="20"/>
                <w:szCs w:val="20"/>
                <w:color w:val="auto"/>
              </w:rPr>
            </w:pPr>
            <w:r>
              <w:rPr>
                <w:rFonts w:ascii="Arial" w:cs="Arial" w:eastAsia="Arial" w:hAnsi="Arial"/>
                <w:sz w:val="18"/>
                <w:szCs w:val="18"/>
                <w:color w:val="auto"/>
              </w:rPr>
              <w:t>authorized; 98,278,975 and 101,636,649 shares issued and outstanding</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640" w:type="dxa"/>
            <w:vAlign w:val="bottom"/>
          </w:tcPr>
          <w:p>
            <w:pPr>
              <w:ind w:left="320"/>
              <w:spacing w:after="0"/>
              <w:rPr>
                <w:sz w:val="20"/>
                <w:szCs w:val="20"/>
                <w:color w:val="auto"/>
              </w:rPr>
            </w:pPr>
            <w:r>
              <w:rPr>
                <w:rFonts w:ascii="Arial" w:cs="Arial" w:eastAsia="Arial" w:hAnsi="Arial"/>
                <w:sz w:val="18"/>
                <w:szCs w:val="18"/>
                <w:color w:val="auto"/>
              </w:rPr>
              <w:t>at March 31, 2023 and December 31, 2022, respectively</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r>
      <w:tr>
        <w:trPr>
          <w:trHeight w:val="222"/>
        </w:trPr>
        <w:tc>
          <w:tcPr>
            <w:tcW w:w="76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Class B common stock, $0.001 par value per share; 100,000,000 shares</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6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authorized; 15,999,173 and 15,999,173 shares issued and outstanding</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76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at March 31, 2023 and December 31, 2022, respectively</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21"/>
                <w:szCs w:val="21"/>
                <w:color w:val="auto"/>
              </w:rPr>
            </w:pPr>
          </w:p>
        </w:tc>
      </w:tr>
      <w:tr>
        <w:trPr>
          <w:trHeight w:val="237"/>
        </w:trPr>
        <w:tc>
          <w:tcPr>
            <w:tcW w:w="76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357,748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413,092</w:t>
            </w:r>
          </w:p>
        </w:tc>
        <w:tc>
          <w:tcPr>
            <w:tcW w:w="100" w:type="dxa"/>
            <w:vAlign w:val="bottom"/>
          </w:tcPr>
          <w:p>
            <w:pPr>
              <w:spacing w:after="0"/>
              <w:rPr>
                <w:sz w:val="20"/>
                <w:szCs w:val="20"/>
                <w:color w:val="auto"/>
              </w:rPr>
            </w:pPr>
          </w:p>
        </w:tc>
      </w:tr>
      <w:tr>
        <w:trPr>
          <w:trHeight w:val="249"/>
        </w:trPr>
        <w:tc>
          <w:tcPr>
            <w:tcW w:w="76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339,175</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323,043</w:t>
            </w:r>
          </w:p>
        </w:tc>
        <w:tc>
          <w:tcPr>
            <w:tcW w:w="100" w:type="dxa"/>
            <w:vAlign w:val="bottom"/>
            <w:shd w:val="clear" w:color="auto" w:fill="CFF0FC"/>
          </w:tcPr>
          <w:p>
            <w:pPr>
              <w:spacing w:after="0"/>
              <w:rPr>
                <w:sz w:val="21"/>
                <w:szCs w:val="21"/>
                <w:color w:val="auto"/>
              </w:rPr>
            </w:pPr>
          </w:p>
        </w:tc>
      </w:tr>
      <w:tr>
        <w:trPr>
          <w:trHeight w:val="237"/>
        </w:trPr>
        <w:tc>
          <w:tcPr>
            <w:tcW w:w="764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(1,229 )</w:t>
            </w: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(1,644 )</w:t>
            </w:r>
          </w:p>
        </w:tc>
      </w:tr>
      <w:tr>
        <w:trPr>
          <w:trHeight w:val="237"/>
        </w:trPr>
        <w:tc>
          <w:tcPr>
            <w:tcW w:w="7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695,808</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734,609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640" w:type="dxa"/>
            <w:vAlign w:val="bottom"/>
          </w:tcPr>
          <w:p>
            <w:pPr>
              <w:spacing w:after="0"/>
              <w:rPr>
                <w:sz w:val="20"/>
                <w:szCs w:val="20"/>
                <w:color w:val="auto"/>
              </w:rPr>
            </w:pPr>
            <w:r>
              <w:rPr>
                <w:rFonts w:ascii="Arial" w:cs="Arial" w:eastAsia="Arial" w:hAnsi="Arial"/>
                <w:sz w:val="18"/>
                <w:szCs w:val="18"/>
                <w:color w:val="auto"/>
              </w:rPr>
              <w:t>Total liabilities, redeemable noncontrolling interest and stockholders’ equity</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1,051,579</w:t>
            </w:r>
          </w:p>
        </w:tc>
        <w:tc>
          <w:tcPr>
            <w:tcW w:w="2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927,102</w:t>
            </w:r>
          </w:p>
        </w:tc>
        <w:tc>
          <w:tcPr>
            <w:tcW w:w="100" w:type="dxa"/>
            <w:vAlign w:val="bottom"/>
          </w:tcPr>
          <w:p>
            <w:pPr>
              <w:spacing w:after="0"/>
              <w:rPr>
                <w:sz w:val="20"/>
                <w:szCs w:val="20"/>
                <w:color w:val="auto"/>
              </w:rPr>
            </w:pPr>
          </w:p>
        </w:tc>
      </w:tr>
      <w:tr>
        <w:trPr>
          <w:trHeight w:val="20"/>
        </w:trPr>
        <w:tc>
          <w:tcPr>
            <w:tcW w:w="7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-4328160</wp:posOffset>
            </wp:positionV>
            <wp:extent cx="6858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-4328160</wp:posOffset>
            </wp:positionV>
            <wp:extent cx="6858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-187960</wp:posOffset>
            </wp:positionV>
            <wp:extent cx="6858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Unaudited Condensed Consolidated Income Statements</w:t>
      </w:r>
    </w:p>
    <w:p>
      <w:pPr>
        <w:spacing w:after="0" w:line="11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7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Marketplace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167,127</w:t>
            </w:r>
          </w:p>
        </w:tc>
        <w:tc>
          <w:tcPr>
            <w:tcW w:w="30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163,289</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Wholesale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25,186</w:t>
            </w: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90,994</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Product</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39,650</w:t>
            </w:r>
          </w:p>
        </w:tc>
        <w:tc>
          <w:tcPr>
            <w:tcW w:w="3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176,325</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Total revenue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231,963</w:t>
            </w: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430,608</w:t>
            </w:r>
          </w:p>
        </w:tc>
        <w:tc>
          <w:tcPr>
            <w:tcW w:w="100" w:type="dxa"/>
            <w:vAlign w:val="bottom"/>
            <w:shd w:val="clear" w:color="auto" w:fill="CFF0FC"/>
          </w:tcPr>
          <w:p>
            <w:pPr>
              <w:spacing w:after="0"/>
              <w:rPr>
                <w:sz w:val="21"/>
                <w:szCs w:val="21"/>
                <w:color w:val="auto"/>
              </w:rPr>
            </w:pPr>
          </w:p>
        </w:tc>
      </w:tr>
      <w:tr>
        <w:trPr>
          <w:trHeight w:val="243"/>
        </w:trPr>
        <w:tc>
          <w:tcPr>
            <w:tcW w:w="772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Cost of revenue </w:t>
            </w:r>
            <w:r>
              <w:rPr>
                <w:rFonts w:ascii="Arial" w:cs="Arial" w:eastAsia="Arial" w:hAnsi="Arial"/>
                <w:sz w:val="24"/>
                <w:szCs w:val="24"/>
                <w:color w:val="auto"/>
                <w:vertAlign w:val="superscript"/>
              </w:rPr>
              <w:t>(1)</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Marketplace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15,533</w:t>
            </w: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12,209</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Wholesale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22,068</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58,182</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Product</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39,382</w:t>
            </w:r>
          </w:p>
        </w:tc>
        <w:tc>
          <w:tcPr>
            <w:tcW w:w="3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178,342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300"/>
              <w:spacing w:after="0"/>
              <w:rPr>
                <w:sz w:val="20"/>
                <w:szCs w:val="20"/>
                <w:color w:val="auto"/>
              </w:rPr>
            </w:pPr>
            <w:r>
              <w:rPr>
                <w:rFonts w:ascii="Arial" w:cs="Arial" w:eastAsia="Arial" w:hAnsi="Arial"/>
                <w:sz w:val="18"/>
                <w:szCs w:val="18"/>
                <w:color w:val="auto"/>
              </w:rPr>
              <w:t>Total cost of revenue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76,983</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248,733</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154,980</w:t>
            </w: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181,875</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Sales and marketing</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75,577</w:t>
            </w: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87,581</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Product, technology, and development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36,607</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30,653</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24,919</w:t>
            </w: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33,121</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3,818</w:t>
            </w:r>
          </w:p>
        </w:tc>
        <w:tc>
          <w:tcPr>
            <w:tcW w:w="3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3,861</w:t>
            </w:r>
          </w:p>
        </w:tc>
        <w:tc>
          <w:tcPr>
            <w:tcW w:w="100" w:type="dxa"/>
            <w:vAlign w:val="bottom"/>
          </w:tcPr>
          <w:p>
            <w:pPr>
              <w:spacing w:after="0"/>
              <w:rPr>
                <w:sz w:val="20"/>
                <w:szCs w:val="20"/>
                <w:color w:val="auto"/>
              </w:rPr>
            </w:pPr>
          </w:p>
        </w:tc>
      </w:tr>
      <w:tr>
        <w:trPr>
          <w:trHeight w:val="236"/>
        </w:trPr>
        <w:tc>
          <w:tcPr>
            <w:tcW w:w="77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140,921</w:t>
            </w:r>
          </w:p>
        </w:tc>
        <w:tc>
          <w:tcPr>
            <w:tcW w:w="30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155,216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14,059</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26,659</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3,743</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income (expense), net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(156 )</w:t>
            </w:r>
          </w:p>
        </w:tc>
      </w:tr>
      <w:tr>
        <w:trPr>
          <w:trHeight w:val="20"/>
        </w:trPr>
        <w:tc>
          <w:tcPr>
            <w:tcW w:w="77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20" w:type="dxa"/>
            <w:vAlign w:val="bottom"/>
          </w:tcPr>
          <w:p>
            <w:pPr>
              <w:ind w:left="300"/>
              <w:spacing w:after="0"/>
              <w:rPr>
                <w:sz w:val="20"/>
                <w:szCs w:val="20"/>
                <w:color w:val="auto"/>
              </w:rPr>
            </w:pPr>
            <w:r>
              <w:rPr>
                <w:rFonts w:ascii="Arial" w:cs="Arial" w:eastAsia="Arial" w:hAnsi="Arial"/>
                <w:sz w:val="18"/>
                <w:szCs w:val="18"/>
                <w:color w:val="auto"/>
              </w:rPr>
              <w:t>Total other income (expense), net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4,338</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(119 )</w:t>
            </w: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income taxes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18,397</w:t>
            </w: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26,540</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6,531</w:t>
            </w:r>
          </w:p>
        </w:tc>
        <w:tc>
          <w:tcPr>
            <w:tcW w:w="3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7,702</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Consolidated net income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11,866</w:t>
            </w: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18,838</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Net loss attributable to redeemable noncontrolling interest</w:t>
            </w:r>
          </w:p>
        </w:tc>
        <w:tc>
          <w:tcPr>
            <w:tcW w:w="36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(4,266 )</w:t>
            </w:r>
          </w:p>
        </w:tc>
        <w:tc>
          <w:tcPr>
            <w:tcW w:w="5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(1,072 )</w:t>
            </w:r>
          </w:p>
        </w:tc>
      </w:tr>
      <w:tr>
        <w:trPr>
          <w:trHeight w:val="24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attributable to CarGurus, Inc.</w:t>
            </w:r>
          </w:p>
        </w:tc>
        <w:tc>
          <w:tcPr>
            <w:tcW w:w="36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16,132</w:t>
            </w:r>
          </w:p>
        </w:tc>
        <w:tc>
          <w:tcPr>
            <w:tcW w:w="300" w:type="dxa"/>
            <w:vAlign w:val="bottom"/>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19,910</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Accretion of redeemable noncontrolling interest to redemption value</w:t>
            </w:r>
          </w:p>
        </w:tc>
        <w:tc>
          <w:tcPr>
            <w:tcW w:w="36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82,000</w:t>
            </w:r>
          </w:p>
        </w:tc>
        <w:tc>
          <w:tcPr>
            <w:tcW w:w="100" w:type="dxa"/>
            <w:vAlign w:val="bottom"/>
          </w:tcPr>
          <w:p>
            <w:pPr>
              <w:spacing w:after="0"/>
              <w:rPr>
                <w:sz w:val="20"/>
                <w:szCs w:val="20"/>
                <w:color w:val="auto"/>
              </w:rPr>
            </w:pPr>
          </w:p>
        </w:tc>
      </w:tr>
      <w:tr>
        <w:trPr>
          <w:trHeight w:val="277"/>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16,132</w:t>
            </w:r>
          </w:p>
        </w:tc>
        <w:tc>
          <w:tcPr>
            <w:tcW w:w="30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top w:val="single" w:sz="8" w:color="auto"/>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(62,090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Net income (loss) per share attributable to common stockholders: (Note 10)</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300" w:type="dxa"/>
            <w:vAlign w:val="bottom"/>
            <w:shd w:val="clear" w:color="auto" w:fill="CFF0FC"/>
          </w:tcPr>
          <w:p>
            <w:pPr>
              <w:spacing w:after="0"/>
              <w:rPr>
                <w:sz w:val="22"/>
                <w:szCs w:val="22"/>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(0.53 )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4"/>
        </w:trPr>
        <w:tc>
          <w:tcPr>
            <w:tcW w:w="7720" w:type="dxa"/>
            <w:vAlign w:val="bottom"/>
          </w:tcPr>
          <w:p>
            <w:pPr>
              <w:ind w:left="2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0.10</w:t>
            </w:r>
          </w:p>
        </w:tc>
        <w:tc>
          <w:tcPr>
            <w:tcW w:w="3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(0.53 )</w:t>
            </w: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Weighted-average number of shares of common stock used in</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44"/>
        </w:trPr>
        <w:tc>
          <w:tcPr>
            <w:tcW w:w="77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computing net income (loss) per share attributable to common stockholders: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115,358,475</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118,031,325</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115,915,737</w:t>
            </w: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118,031,325</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-4285615</wp:posOffset>
            </wp:positionV>
            <wp:extent cx="6858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-4285615</wp:posOffset>
            </wp:positionV>
            <wp:extent cx="6858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-3034030</wp:posOffset>
            </wp:positionV>
            <wp:extent cx="6858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-3034030</wp:posOffset>
            </wp:positionV>
            <wp:extent cx="6858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-2407920</wp:posOffset>
            </wp:positionV>
            <wp:extent cx="6858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-1139190</wp:posOffset>
            </wp:positionV>
            <wp:extent cx="124333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43330" cy="1797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-805180</wp:posOffset>
            </wp:positionV>
            <wp:extent cx="1243330"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43330" cy="205740"/>
                    </a:xfrm>
                    <a:prstGeom prst="rect">
                      <a:avLst/>
                    </a:prstGeom>
                    <a:noFill/>
                  </pic:spPr>
                </pic:pic>
              </a:graphicData>
            </a:graphic>
          </wp:anchor>
        </w:drawing>
      </w:r>
    </w:p>
    <w:p>
      <w:pPr>
        <w:ind w:left="520" w:hanging="512"/>
        <w:spacing w:after="0" w:line="219" w:lineRule="auto"/>
        <w:tabs>
          <w:tab w:leader="none" w:pos="520" w:val="left"/>
        </w:tabs>
        <w:numPr>
          <w:ilvl w:val="0"/>
          <w:numId w:val="4"/>
        </w:numPr>
        <w:rPr>
          <w:rFonts w:ascii="Arial" w:cs="Arial" w:eastAsia="Arial" w:hAnsi="Arial"/>
          <w:sz w:val="24"/>
          <w:szCs w:val="24"/>
          <w:color w:val="auto"/>
          <w:vertAlign w:val="subscript"/>
        </w:rPr>
      </w:pPr>
      <w:r>
        <w:rPr>
          <w:rFonts w:ascii="Arial" w:cs="Arial" w:eastAsia="Arial" w:hAnsi="Arial"/>
          <w:sz w:val="12"/>
          <w:szCs w:val="12"/>
          <w:color w:val="auto"/>
        </w:rPr>
        <w:t>Includes depreciation and amortization expense for the three months ended March 31, 2023 and 2022 of $7,758 and $7,324, respectively.</w:t>
      </w: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77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Consolidated net income</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11,866</w:t>
            </w:r>
          </w:p>
        </w:tc>
        <w:tc>
          <w:tcPr>
            <w:tcW w:w="30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18,838</w:t>
            </w:r>
          </w:p>
        </w:tc>
        <w:tc>
          <w:tcPr>
            <w:tcW w:w="100" w:type="dxa"/>
            <w:vAlign w:val="bottom"/>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(489 )</w:t>
            </w:r>
          </w:p>
        </w:tc>
      </w:tr>
      <w:tr>
        <w:trPr>
          <w:trHeight w:val="237"/>
        </w:trPr>
        <w:tc>
          <w:tcPr>
            <w:tcW w:w="77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Consolidated comprehensive income</w:t>
            </w:r>
          </w:p>
        </w:tc>
        <w:tc>
          <w:tcPr>
            <w:tcW w:w="9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12,281</w:t>
            </w:r>
          </w:p>
        </w:tc>
        <w:tc>
          <w:tcPr>
            <w:tcW w:w="300" w:type="dxa"/>
            <w:vAlign w:val="bottom"/>
            <w:tcBorders>
              <w:top w:val="single" w:sz="8" w:color="CFF0FC"/>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18,349</w:t>
            </w:r>
          </w:p>
        </w:tc>
        <w:tc>
          <w:tcPr>
            <w:tcW w:w="100" w:type="dxa"/>
            <w:vAlign w:val="bottom"/>
            <w:tcBorders>
              <w:top w:val="single" w:sz="8" w:color="CFF0FC"/>
            </w:tcBorders>
          </w:tcPr>
          <w:p>
            <w:pPr>
              <w:spacing w:after="0"/>
              <w:rPr>
                <w:sz w:val="20"/>
                <w:szCs w:val="20"/>
                <w:color w:val="auto"/>
              </w:rPr>
            </w:pPr>
          </w:p>
        </w:tc>
      </w:tr>
      <w:tr>
        <w:trPr>
          <w:trHeight w:val="243"/>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Comprehensive loss attributable to redeemable noncontrolling interests</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(4,266 )</w:t>
            </w:r>
          </w:p>
        </w:tc>
        <w:tc>
          <w:tcPr>
            <w:tcW w:w="5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(1,072 )</w:t>
            </w:r>
          </w:p>
        </w:tc>
      </w:tr>
      <w:tr>
        <w:trPr>
          <w:trHeight w:val="236"/>
        </w:trPr>
        <w:tc>
          <w:tcPr>
            <w:tcW w:w="77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Comprehensive income attributable to CarGurus, Inc.</w:t>
            </w: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16,547</w:t>
            </w:r>
          </w:p>
        </w:tc>
        <w:tc>
          <w:tcPr>
            <w:tcW w:w="300" w:type="dxa"/>
            <w:vAlign w:val="bottom"/>
            <w:tcBorders>
              <w:top w:val="single" w:sz="8" w:color="CFF0FC"/>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19,421</w:t>
            </w:r>
          </w:p>
        </w:tc>
        <w:tc>
          <w:tcPr>
            <w:tcW w:w="100" w:type="dxa"/>
            <w:vAlign w:val="bottom"/>
            <w:tcBorders>
              <w:top w:val="single" w:sz="8" w:color="CFF0FC"/>
            </w:tcBorders>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-505460</wp:posOffset>
            </wp:positionV>
            <wp:extent cx="6858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Statements of Redeemable Noncontrolling Interest and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74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Redeema</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740" w:type="dxa"/>
            <w:vAlign w:val="bottom"/>
            <w:tcBorders>
              <w:right w:val="single" w:sz="8" w:color="auto"/>
            </w:tcBorders>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Addition</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ated</w:t>
            </w:r>
          </w:p>
        </w:tc>
        <w:tc>
          <w:tcPr>
            <w:tcW w:w="100" w:type="dxa"/>
            <w:vAlign w:val="bottom"/>
          </w:tcPr>
          <w:p>
            <w:pPr>
              <w:spacing w:after="0"/>
              <w:rPr>
                <w:sz w:val="12"/>
                <w:szCs w:val="12"/>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ble</w:t>
            </w:r>
          </w:p>
        </w:tc>
        <w:tc>
          <w:tcPr>
            <w:tcW w:w="100" w:type="dxa"/>
            <w:vAlign w:val="bottom"/>
          </w:tcPr>
          <w:p>
            <w:pPr>
              <w:spacing w:after="0"/>
              <w:rPr>
                <w:sz w:val="12"/>
                <w:szCs w:val="12"/>
                <w:color w:val="auto"/>
              </w:rPr>
            </w:pPr>
          </w:p>
        </w:tc>
        <w:tc>
          <w:tcPr>
            <w:tcW w:w="1300" w:type="dxa"/>
            <w:vAlign w:val="bottom"/>
            <w:gridSpan w:val="3"/>
            <w:vMerge w:val="restart"/>
          </w:tcPr>
          <w:p>
            <w:pPr>
              <w:jc w:val="right"/>
              <w:ind w:right="208"/>
              <w:spacing w:after="0"/>
              <w:rPr>
                <w:sz w:val="20"/>
                <w:szCs w:val="20"/>
                <w:color w:val="auto"/>
              </w:rPr>
            </w:pPr>
            <w:r>
              <w:rPr>
                <w:rFonts w:ascii="Arial" w:cs="Arial" w:eastAsia="Arial" w:hAnsi="Arial"/>
                <w:sz w:val="14"/>
                <w:szCs w:val="14"/>
                <w:b w:val="1"/>
                <w:bCs w:val="1"/>
                <w:color w:val="auto"/>
              </w:rPr>
              <w:t>Class A</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3"/>
            <w:vMerge w:val="restart"/>
          </w:tcPr>
          <w:p>
            <w:pPr>
              <w:jc w:val="right"/>
              <w:ind w:right="248"/>
              <w:spacing w:after="0"/>
              <w:rPr>
                <w:sz w:val="20"/>
                <w:szCs w:val="20"/>
                <w:color w:val="auto"/>
              </w:rPr>
            </w:pPr>
            <w:r>
              <w:rPr>
                <w:rFonts w:ascii="Arial" w:cs="Arial" w:eastAsia="Arial" w:hAnsi="Arial"/>
                <w:sz w:val="14"/>
                <w:szCs w:val="14"/>
                <w:b w:val="1"/>
                <w:bCs w:val="1"/>
                <w:color w:val="auto"/>
              </w:rPr>
              <w:t>Class B</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60" w:type="dxa"/>
            <w:vAlign w:val="bottom"/>
          </w:tcPr>
          <w:p>
            <w:pPr>
              <w:spacing w:after="0"/>
              <w:rPr>
                <w:sz w:val="12"/>
                <w:szCs w:val="12"/>
                <w:color w:val="auto"/>
              </w:rPr>
            </w:pPr>
          </w:p>
        </w:tc>
        <w:tc>
          <w:tcPr>
            <w:tcW w:w="740" w:type="dxa"/>
            <w:vAlign w:val="bottom"/>
            <w:tcBorders>
              <w:right w:val="single" w:sz="8" w:color="auto"/>
            </w:tcBorders>
            <w:gridSpan w:val="3"/>
          </w:tcPr>
          <w:p>
            <w:pPr>
              <w:jc w:val="center"/>
              <w:ind w:right="140"/>
              <w:spacing w:after="0" w:line="145" w:lineRule="exact"/>
              <w:rPr>
                <w:sz w:val="20"/>
                <w:szCs w:val="20"/>
                <w:color w:val="auto"/>
              </w:rPr>
            </w:pPr>
            <w:r>
              <w:rPr>
                <w:rFonts w:ascii="Arial" w:cs="Arial" w:eastAsia="Arial" w:hAnsi="Arial"/>
                <w:sz w:val="14"/>
                <w:szCs w:val="14"/>
                <w:b w:val="1"/>
                <w:bCs w:val="1"/>
                <w:color w:val="auto"/>
                <w:w w:val="91"/>
              </w:rPr>
              <w:t>Noncont</w:t>
            </w:r>
          </w:p>
        </w:tc>
        <w:tc>
          <w:tcPr>
            <w:tcW w:w="1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5"/>
              </w:rPr>
              <w:t>al</w:t>
            </w:r>
          </w:p>
        </w:tc>
        <w:tc>
          <w:tcPr>
            <w:tcW w:w="8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84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rPr>
              <w:t>Compreh</w:t>
            </w:r>
          </w:p>
        </w:tc>
        <w:tc>
          <w:tcPr>
            <w:tcW w:w="76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w w:val="88"/>
              </w:rPr>
              <w:t>Stockhold</w:t>
            </w:r>
          </w:p>
        </w:tc>
        <w:tc>
          <w:tcPr>
            <w:tcW w:w="0" w:type="dxa"/>
            <w:vAlign w:val="bottom"/>
          </w:tcPr>
          <w:p>
            <w:pPr>
              <w:spacing w:after="0"/>
              <w:rPr>
                <w:sz w:val="1"/>
                <w:szCs w:val="1"/>
                <w:color w:val="auto"/>
              </w:rPr>
            </w:pPr>
          </w:p>
        </w:tc>
      </w:tr>
      <w:tr>
        <w:trPr>
          <w:trHeight w:val="176"/>
        </w:trPr>
        <w:tc>
          <w:tcPr>
            <w:tcW w:w="3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rolling</w:t>
            </w:r>
          </w:p>
        </w:tc>
        <w:tc>
          <w:tcPr>
            <w:tcW w:w="100" w:type="dxa"/>
            <w:vAlign w:val="bottom"/>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Paid–in</w:t>
            </w:r>
          </w:p>
        </w:tc>
        <w:tc>
          <w:tcPr>
            <w:tcW w:w="8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ensive</w:t>
            </w:r>
          </w:p>
        </w:tc>
        <w:tc>
          <w:tcPr>
            <w:tcW w:w="100" w:type="dxa"/>
            <w:vAlign w:val="bottom"/>
          </w:tcPr>
          <w:p>
            <w:pPr>
              <w:spacing w:after="0"/>
              <w:rPr>
                <w:sz w:val="15"/>
                <w:szCs w:val="15"/>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ers’</w:t>
            </w:r>
          </w:p>
        </w:tc>
        <w:tc>
          <w:tcPr>
            <w:tcW w:w="0" w:type="dxa"/>
            <w:vAlign w:val="bottom"/>
          </w:tcPr>
          <w:p>
            <w:pPr>
              <w:spacing w:after="0"/>
              <w:rPr>
                <w:sz w:val="1"/>
                <w:szCs w:val="1"/>
                <w:color w:val="auto"/>
              </w:rPr>
            </w:pPr>
          </w:p>
        </w:tc>
      </w:tr>
      <w:tr>
        <w:trPr>
          <w:trHeight w:val="169"/>
        </w:trPr>
        <w:tc>
          <w:tcPr>
            <w:tcW w:w="3560" w:type="dxa"/>
            <w:vAlign w:val="bottom"/>
          </w:tcPr>
          <w:p>
            <w:pPr>
              <w:spacing w:after="0"/>
              <w:rPr>
                <w:sz w:val="14"/>
                <w:szCs w:val="14"/>
                <w:color w:val="auto"/>
              </w:rPr>
            </w:pPr>
          </w:p>
        </w:tc>
        <w:tc>
          <w:tcPr>
            <w:tcW w:w="740" w:type="dxa"/>
            <w:vAlign w:val="bottom"/>
            <w:tcBorders>
              <w:right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37"/>
        </w:trPr>
        <w:tc>
          <w:tcPr>
            <w:tcW w:w="3560" w:type="dxa"/>
            <w:vAlign w:val="bottom"/>
            <w:shd w:val="clear" w:color="auto" w:fill="CFF0FC"/>
          </w:tcPr>
          <w:p>
            <w:pPr>
              <w:ind w:left="20"/>
              <w:spacing w:after="0" w:line="137" w:lineRule="exact"/>
              <w:rPr>
                <w:sz w:val="20"/>
                <w:szCs w:val="20"/>
                <w:color w:val="auto"/>
              </w:rPr>
            </w:pPr>
            <w:r>
              <w:rPr>
                <w:rFonts w:ascii="Arial" w:cs="Arial" w:eastAsia="Arial" w:hAnsi="Arial"/>
                <w:sz w:val="14"/>
                <w:szCs w:val="14"/>
                <w:color w:val="auto"/>
              </w:rPr>
              <w:t>Balance as of December 31, 2022</w:t>
            </w:r>
          </w:p>
        </w:tc>
        <w:tc>
          <w:tcPr>
            <w:tcW w:w="10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rPr>
              <w:t>101,636,</w:t>
            </w:r>
          </w:p>
        </w:tc>
        <w:tc>
          <w:tcPr>
            <w:tcW w:w="240" w:type="dxa"/>
            <w:vAlign w:val="bottom"/>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rPr>
              <w:t>15,999,1</w:t>
            </w:r>
          </w:p>
        </w:tc>
        <w:tc>
          <w:tcPr>
            <w:tcW w:w="220" w:type="dxa"/>
            <w:vAlign w:val="bottom"/>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660" w:type="dxa"/>
            <w:vAlign w:val="bottom"/>
            <w:gridSpan w:val="2"/>
            <w:shd w:val="clear" w:color="auto" w:fill="CFF0FC"/>
          </w:tcPr>
          <w:p>
            <w:pPr>
              <w:ind w:left="3580"/>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36,749</w:t>
            </w:r>
          </w:p>
        </w:tc>
        <w:tc>
          <w:tcPr>
            <w:tcW w:w="1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649</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102</w:t>
            </w:r>
          </w:p>
        </w:tc>
        <w:tc>
          <w:tcPr>
            <w:tcW w:w="2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w:t>
            </w:r>
          </w:p>
        </w:tc>
        <w:tc>
          <w:tcPr>
            <w:tcW w:w="620" w:type="dxa"/>
            <w:vAlign w:val="bottom"/>
            <w:gridSpan w:val="2"/>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$ 413,092</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323,043</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(1,644 )</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734,609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gridSpan w:val="2"/>
          </w:tcPr>
          <w:p>
            <w:pPr>
              <w:ind w:left="20"/>
              <w:spacing w:after="0"/>
              <w:rPr>
                <w:sz w:val="20"/>
                <w:szCs w:val="20"/>
                <w:color w:val="auto"/>
              </w:rPr>
            </w:pPr>
            <w:r>
              <w:rPr>
                <w:rFonts w:ascii="Arial" w:cs="Arial" w:eastAsia="Arial" w:hAnsi="Arial"/>
                <w:sz w:val="14"/>
                <w:szCs w:val="14"/>
                <w:color w:val="auto"/>
              </w:rPr>
              <w:t>Net (loss) income</w:t>
            </w:r>
          </w:p>
        </w:tc>
        <w:tc>
          <w:tcPr>
            <w:tcW w:w="6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(4,266 )</w:t>
            </w:r>
          </w:p>
        </w:tc>
        <w:tc>
          <w:tcPr>
            <w:tcW w:w="10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16,132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16,132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Stock–based compensation expense</w:t>
            </w:r>
          </w:p>
        </w:tc>
        <w:tc>
          <w:tcPr>
            <w:tcW w:w="6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16,049</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16,049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60" w:type="dxa"/>
            <w:vAlign w:val="bottom"/>
            <w:gridSpan w:val="2"/>
          </w:tcPr>
          <w:p>
            <w:pPr>
              <w:ind w:left="20"/>
              <w:spacing w:after="0"/>
              <w:rPr>
                <w:sz w:val="20"/>
                <w:szCs w:val="20"/>
                <w:color w:val="auto"/>
              </w:rPr>
            </w:pPr>
            <w:r>
              <w:rPr>
                <w:rFonts w:ascii="Arial" w:cs="Arial" w:eastAsia="Arial" w:hAnsi="Arial"/>
                <w:sz w:val="14"/>
                <w:szCs w:val="14"/>
                <w:color w:val="auto"/>
              </w:rPr>
              <w:t>Issuance of common stock upon exercise of stock options</w:t>
            </w: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7,700</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660" w:type="dxa"/>
            <w:vAlign w:val="bottom"/>
            <w:gridSpan w:val="2"/>
            <w:shd w:val="clear" w:color="auto" w:fill="CFF0FC"/>
          </w:tcPr>
          <w:p>
            <w:pPr>
              <w:ind w:left="20"/>
              <w:spacing w:after="0" w:line="143" w:lineRule="exact"/>
              <w:rPr>
                <w:sz w:val="20"/>
                <w:szCs w:val="20"/>
                <w:color w:val="auto"/>
              </w:rPr>
            </w:pPr>
            <w:r>
              <w:rPr>
                <w:rFonts w:ascii="Arial" w:cs="Arial" w:eastAsia="Arial" w:hAnsi="Arial"/>
                <w:sz w:val="14"/>
                <w:szCs w:val="14"/>
                <w:color w:val="auto"/>
                <w:w w:val="99"/>
              </w:rPr>
              <w:t>Issuance of common stock upon vesting of restricted stock</w:t>
            </w:r>
          </w:p>
        </w:tc>
        <w:tc>
          <w:tcPr>
            <w:tcW w:w="50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units</w:t>
            </w:r>
          </w:p>
        </w:tc>
        <w:tc>
          <w:tcPr>
            <w:tcW w:w="6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959,935</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66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Payment of withholding taxes on net share settlements of</w:t>
            </w:r>
          </w:p>
        </w:tc>
        <w:tc>
          <w:tcPr>
            <w:tcW w:w="5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60" w:type="dxa"/>
            <w:vAlign w:val="bottom"/>
            <w:gridSpan w:val="2"/>
          </w:tcPr>
          <w:p>
            <w:pPr>
              <w:ind w:left="20"/>
              <w:spacing w:after="0"/>
              <w:rPr>
                <w:sz w:val="20"/>
                <w:szCs w:val="20"/>
                <w:color w:val="auto"/>
              </w:rPr>
            </w:pPr>
            <w:r>
              <w:rPr>
                <w:rFonts w:ascii="Arial" w:cs="Arial" w:eastAsia="Arial" w:hAnsi="Arial"/>
                <w:sz w:val="14"/>
                <w:szCs w:val="14"/>
                <w:color w:val="auto"/>
              </w:rPr>
              <w:t>restricted stock units</w:t>
            </w: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(335,448 )</w:t>
            </w:r>
          </w:p>
        </w:tc>
        <w:tc>
          <w:tcPr>
            <w:tcW w:w="340" w:type="dxa"/>
            <w:vAlign w:val="bottom"/>
          </w:tcPr>
          <w:p>
            <w:pPr>
              <w:spacing w:after="0"/>
              <w:rPr>
                <w:sz w:val="15"/>
                <w:szCs w:val="15"/>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160"/>
              <w:spacing w:after="0"/>
              <w:rPr>
                <w:sz w:val="20"/>
                <w:szCs w:val="20"/>
                <w:color w:val="auto"/>
              </w:rPr>
            </w:pPr>
            <w:r>
              <w:rPr>
                <w:rFonts w:ascii="Arial" w:cs="Arial" w:eastAsia="Arial" w:hAnsi="Arial"/>
                <w:sz w:val="14"/>
                <w:szCs w:val="14"/>
                <w:color w:val="auto"/>
              </w:rPr>
              <w:t>(5,652 )</w:t>
            </w:r>
          </w:p>
        </w:tc>
        <w:tc>
          <w:tcPr>
            <w:tcW w:w="10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(5,652 )</w:t>
            </w:r>
          </w:p>
        </w:tc>
        <w:tc>
          <w:tcPr>
            <w:tcW w:w="0" w:type="dxa"/>
            <w:vAlign w:val="bottom"/>
          </w:tcPr>
          <w:p>
            <w:pPr>
              <w:spacing w:after="0"/>
              <w:rPr>
                <w:sz w:val="1"/>
                <w:szCs w:val="1"/>
                <w:color w:val="auto"/>
              </w:rPr>
            </w:pPr>
          </w:p>
        </w:tc>
      </w:tr>
      <w:tr>
        <w:trPr>
          <w:trHeight w:val="143"/>
        </w:trPr>
        <w:tc>
          <w:tcPr>
            <w:tcW w:w="3660" w:type="dxa"/>
            <w:vAlign w:val="bottom"/>
            <w:gridSpan w:val="2"/>
            <w:shd w:val="clear" w:color="auto" w:fill="CFF0FC"/>
          </w:tcPr>
          <w:p>
            <w:pPr>
              <w:ind w:left="20"/>
              <w:spacing w:after="0" w:line="143" w:lineRule="exact"/>
              <w:rPr>
                <w:sz w:val="20"/>
                <w:szCs w:val="20"/>
                <w:color w:val="auto"/>
              </w:rPr>
            </w:pPr>
            <w:r>
              <w:rPr>
                <w:rFonts w:ascii="Arial" w:cs="Arial" w:eastAsia="Arial" w:hAnsi="Arial"/>
                <w:sz w:val="14"/>
                <w:szCs w:val="14"/>
                <w:color w:val="auto"/>
              </w:rPr>
              <w:t>Repurchase of common stock</w:t>
            </w:r>
          </w:p>
        </w:tc>
        <w:tc>
          <w:tcPr>
            <w:tcW w:w="50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(3,989,86</w:t>
            </w: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1 )</w:t>
            </w:r>
          </w:p>
        </w:tc>
        <w:tc>
          <w:tcPr>
            <w:tcW w:w="34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(4 )</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FF0FC"/>
          </w:tcPr>
          <w:p>
            <w:pPr>
              <w:jc w:val="right"/>
              <w:ind w:right="160"/>
              <w:spacing w:after="0"/>
              <w:rPr>
                <w:sz w:val="20"/>
                <w:szCs w:val="20"/>
                <w:color w:val="auto"/>
              </w:rPr>
            </w:pPr>
            <w:r>
              <w:rPr>
                <w:rFonts w:ascii="Arial" w:cs="Arial" w:eastAsia="Arial" w:hAnsi="Arial"/>
                <w:sz w:val="14"/>
                <w:szCs w:val="14"/>
                <w:color w:val="auto"/>
              </w:rPr>
              <w:t>(65,760 )</w:t>
            </w:r>
          </w:p>
        </w:tc>
        <w:tc>
          <w:tcPr>
            <w:tcW w:w="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(65,764 )</w:t>
            </w:r>
          </w:p>
        </w:tc>
        <w:tc>
          <w:tcPr>
            <w:tcW w:w="0" w:type="dxa"/>
            <w:vAlign w:val="bottom"/>
          </w:tcPr>
          <w:p>
            <w:pPr>
              <w:spacing w:after="0"/>
              <w:rPr>
                <w:sz w:val="1"/>
                <w:szCs w:val="1"/>
                <w:color w:val="auto"/>
              </w:rPr>
            </w:pPr>
          </w:p>
        </w:tc>
      </w:tr>
      <w:tr>
        <w:trPr>
          <w:trHeight w:val="143"/>
        </w:trPr>
        <w:tc>
          <w:tcPr>
            <w:tcW w:w="366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Accretion of redeemable noncontrolling interest to</w:t>
            </w:r>
          </w:p>
        </w:tc>
        <w:tc>
          <w:tcPr>
            <w:tcW w:w="5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60" w:type="dxa"/>
            <w:vAlign w:val="bottom"/>
            <w:gridSpan w:val="2"/>
          </w:tcPr>
          <w:p>
            <w:pPr>
              <w:ind w:left="20"/>
              <w:spacing w:after="0"/>
              <w:rPr>
                <w:sz w:val="20"/>
                <w:szCs w:val="20"/>
                <w:color w:val="auto"/>
              </w:rPr>
            </w:pPr>
            <w:r>
              <w:rPr>
                <w:rFonts w:ascii="Arial" w:cs="Arial" w:eastAsia="Arial" w:hAnsi="Arial"/>
                <w:sz w:val="14"/>
                <w:szCs w:val="14"/>
                <w:color w:val="auto"/>
              </w:rPr>
              <w:t>redemption value</w:t>
            </w: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660" w:type="dxa"/>
            <w:vAlign w:val="bottom"/>
            <w:gridSpan w:val="2"/>
            <w:shd w:val="clear" w:color="auto" w:fill="CFF0FC"/>
          </w:tcPr>
          <w:p>
            <w:pPr>
              <w:ind w:left="20"/>
              <w:spacing w:after="0" w:line="143" w:lineRule="exact"/>
              <w:rPr>
                <w:sz w:val="20"/>
                <w:szCs w:val="20"/>
                <w:color w:val="auto"/>
              </w:rPr>
            </w:pPr>
            <w:r>
              <w:rPr>
                <w:rFonts w:ascii="Arial" w:cs="Arial" w:eastAsia="Arial" w:hAnsi="Arial"/>
                <w:sz w:val="14"/>
                <w:szCs w:val="14"/>
                <w:color w:val="auto"/>
              </w:rPr>
              <w:t>Tax distributions to redeemable noncontrolling interest</w:t>
            </w:r>
          </w:p>
        </w:tc>
        <w:tc>
          <w:tcPr>
            <w:tcW w:w="50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holders</w:t>
            </w:r>
          </w:p>
        </w:tc>
        <w:tc>
          <w:tcPr>
            <w:tcW w:w="64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(8 )</w:t>
            </w:r>
          </w:p>
        </w:tc>
        <w:tc>
          <w:tcPr>
            <w:tcW w:w="1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660" w:type="dxa"/>
            <w:vAlign w:val="bottom"/>
            <w:gridSpan w:val="2"/>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415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3560" w:type="dxa"/>
            <w:vAlign w:val="bottom"/>
            <w:shd w:val="clear" w:color="auto" w:fill="CFF0FC"/>
          </w:tcPr>
          <w:p>
            <w:pPr>
              <w:ind w:left="20"/>
              <w:spacing w:after="0" w:line="137" w:lineRule="exact"/>
              <w:rPr>
                <w:sz w:val="20"/>
                <w:szCs w:val="20"/>
                <w:color w:val="auto"/>
              </w:rPr>
            </w:pPr>
            <w:r>
              <w:rPr>
                <w:rFonts w:ascii="Arial" w:cs="Arial" w:eastAsia="Arial" w:hAnsi="Arial"/>
                <w:sz w:val="14"/>
                <w:szCs w:val="14"/>
                <w:color w:val="auto"/>
              </w:rPr>
              <w:t>Balance as of March 31, 2023</w:t>
            </w:r>
          </w:p>
        </w:tc>
        <w:tc>
          <w:tcPr>
            <w:tcW w:w="10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rPr>
              <w:t>98,278,9</w:t>
            </w:r>
          </w:p>
        </w:tc>
        <w:tc>
          <w:tcPr>
            <w:tcW w:w="240" w:type="dxa"/>
            <w:vAlign w:val="bottom"/>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rPr>
              <w:t>15,999,1</w:t>
            </w:r>
          </w:p>
        </w:tc>
        <w:tc>
          <w:tcPr>
            <w:tcW w:w="220" w:type="dxa"/>
            <w:vAlign w:val="bottom"/>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3560" w:type="dxa"/>
            <w:vAlign w:val="bottom"/>
            <w:shd w:val="clear" w:color="auto" w:fill="CFF0FC"/>
          </w:tcPr>
          <w:p>
            <w:pPr>
              <w:spacing w:after="0"/>
              <w:rPr>
                <w:sz w:val="19"/>
                <w:szCs w:val="19"/>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32,475</w:t>
            </w:r>
          </w:p>
        </w:tc>
        <w:tc>
          <w:tcPr>
            <w:tcW w:w="14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w w:val="76"/>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3"/>
              </w:rPr>
              <w:t>$ 357,748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339,175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(1,229 )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695,808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56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40" w:type="dxa"/>
            <w:vAlign w:val="bottom"/>
            <w:tcBorders>
              <w:top w:val="single" w:sz="8" w:color="CFF0FC"/>
              <w:right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660" w:type="dxa"/>
            <w:vAlign w:val="bottom"/>
            <w:gridSpan w:val="2"/>
            <w:shd w:val="clear" w:color="auto" w:fill="CFF0FC"/>
          </w:tcPr>
          <w:p>
            <w:pPr>
              <w:ind w:left="20"/>
              <w:spacing w:after="0" w:line="143" w:lineRule="exact"/>
              <w:rPr>
                <w:sz w:val="20"/>
                <w:szCs w:val="20"/>
                <w:color w:val="auto"/>
              </w:rPr>
            </w:pPr>
            <w:r>
              <w:rPr>
                <w:rFonts w:ascii="Arial" w:cs="Arial" w:eastAsia="Arial" w:hAnsi="Arial"/>
                <w:sz w:val="14"/>
                <w:szCs w:val="14"/>
                <w:color w:val="auto"/>
              </w:rPr>
              <w:t>Balance as of December 31, 2021</w:t>
            </w:r>
          </w:p>
        </w:tc>
        <w:tc>
          <w:tcPr>
            <w:tcW w:w="50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162,80</w:t>
            </w: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101,773,</w:t>
            </w: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15,999,1</w:t>
            </w: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60" w:type="dxa"/>
            <w:vAlign w:val="bottom"/>
            <w:gridSpan w:val="2"/>
            <w:shd w:val="clear" w:color="auto" w:fill="CFF0FC"/>
          </w:tcPr>
          <w:p>
            <w:pPr>
              <w:ind w:left="3580"/>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1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034</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102</w:t>
            </w:r>
          </w:p>
        </w:tc>
        <w:tc>
          <w:tcPr>
            <w:tcW w:w="2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w:t>
            </w:r>
          </w:p>
        </w:tc>
        <w:tc>
          <w:tcPr>
            <w:tcW w:w="620" w:type="dxa"/>
            <w:vAlign w:val="bottom"/>
            <w:gridSpan w:val="2"/>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$ 387,868</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129,258</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(403 )</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516,841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60" w:type="dxa"/>
            <w:vAlign w:val="bottom"/>
            <w:gridSpan w:val="2"/>
          </w:tcPr>
          <w:p>
            <w:pPr>
              <w:ind w:left="20"/>
              <w:spacing w:after="0"/>
              <w:rPr>
                <w:sz w:val="20"/>
                <w:szCs w:val="20"/>
                <w:color w:val="auto"/>
              </w:rPr>
            </w:pPr>
            <w:r>
              <w:rPr>
                <w:rFonts w:ascii="Arial" w:cs="Arial" w:eastAsia="Arial" w:hAnsi="Arial"/>
                <w:sz w:val="14"/>
                <w:szCs w:val="14"/>
                <w:color w:val="auto"/>
              </w:rPr>
              <w:t>Net (loss) income</w:t>
            </w:r>
          </w:p>
        </w:tc>
        <w:tc>
          <w:tcPr>
            <w:tcW w:w="6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(1,072 )</w:t>
            </w:r>
          </w:p>
        </w:tc>
        <w:tc>
          <w:tcPr>
            <w:tcW w:w="10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19,910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19,910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Stock–based compensation expense</w:t>
            </w:r>
          </w:p>
        </w:tc>
        <w:tc>
          <w:tcPr>
            <w:tcW w:w="6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15,353</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15,353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60" w:type="dxa"/>
            <w:vAlign w:val="bottom"/>
            <w:gridSpan w:val="2"/>
          </w:tcPr>
          <w:p>
            <w:pPr>
              <w:ind w:left="20"/>
              <w:spacing w:after="0"/>
              <w:rPr>
                <w:sz w:val="20"/>
                <w:szCs w:val="20"/>
                <w:color w:val="auto"/>
              </w:rPr>
            </w:pPr>
            <w:r>
              <w:rPr>
                <w:rFonts w:ascii="Arial" w:cs="Arial" w:eastAsia="Arial" w:hAnsi="Arial"/>
                <w:sz w:val="14"/>
                <w:szCs w:val="14"/>
                <w:color w:val="auto"/>
              </w:rPr>
              <w:t>Issuance of common stock upon exercise of stock options</w:t>
            </w: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74,163</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680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660" w:type="dxa"/>
            <w:vAlign w:val="bottom"/>
            <w:gridSpan w:val="2"/>
            <w:shd w:val="clear" w:color="auto" w:fill="CFF0FC"/>
          </w:tcPr>
          <w:p>
            <w:pPr>
              <w:ind w:left="20"/>
              <w:spacing w:after="0" w:line="143" w:lineRule="exact"/>
              <w:rPr>
                <w:sz w:val="20"/>
                <w:szCs w:val="20"/>
                <w:color w:val="auto"/>
              </w:rPr>
            </w:pPr>
            <w:r>
              <w:rPr>
                <w:rFonts w:ascii="Arial" w:cs="Arial" w:eastAsia="Arial" w:hAnsi="Arial"/>
                <w:sz w:val="14"/>
                <w:szCs w:val="14"/>
                <w:color w:val="auto"/>
                <w:w w:val="99"/>
              </w:rPr>
              <w:t>Issuance of common stock upon vesting of restricted stock</w:t>
            </w:r>
          </w:p>
        </w:tc>
        <w:tc>
          <w:tcPr>
            <w:tcW w:w="50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units</w:t>
            </w:r>
          </w:p>
        </w:tc>
        <w:tc>
          <w:tcPr>
            <w:tcW w:w="6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451,084</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66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Payment of withholding taxes on net share settlements of</w:t>
            </w:r>
          </w:p>
        </w:tc>
        <w:tc>
          <w:tcPr>
            <w:tcW w:w="5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60" w:type="dxa"/>
            <w:vAlign w:val="bottom"/>
            <w:gridSpan w:val="2"/>
          </w:tcPr>
          <w:p>
            <w:pPr>
              <w:ind w:left="20"/>
              <w:spacing w:after="0"/>
              <w:rPr>
                <w:sz w:val="20"/>
                <w:szCs w:val="20"/>
                <w:color w:val="auto"/>
              </w:rPr>
            </w:pPr>
            <w:r>
              <w:rPr>
                <w:rFonts w:ascii="Arial" w:cs="Arial" w:eastAsia="Arial" w:hAnsi="Arial"/>
                <w:sz w:val="14"/>
                <w:szCs w:val="14"/>
                <w:color w:val="auto"/>
              </w:rPr>
              <w:t>restricted stock units</w:t>
            </w: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(155,736 )</w:t>
            </w:r>
          </w:p>
        </w:tc>
        <w:tc>
          <w:tcPr>
            <w:tcW w:w="340" w:type="dxa"/>
            <w:vAlign w:val="bottom"/>
          </w:tcPr>
          <w:p>
            <w:pPr>
              <w:spacing w:after="0"/>
              <w:rPr>
                <w:sz w:val="15"/>
                <w:szCs w:val="15"/>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160"/>
              <w:spacing w:after="0"/>
              <w:rPr>
                <w:sz w:val="20"/>
                <w:szCs w:val="20"/>
                <w:color w:val="auto"/>
              </w:rPr>
            </w:pPr>
            <w:r>
              <w:rPr>
                <w:rFonts w:ascii="Arial" w:cs="Arial" w:eastAsia="Arial" w:hAnsi="Arial"/>
                <w:sz w:val="14"/>
                <w:szCs w:val="14"/>
                <w:color w:val="auto"/>
              </w:rPr>
              <w:t>(5,430 )</w:t>
            </w:r>
          </w:p>
        </w:tc>
        <w:tc>
          <w:tcPr>
            <w:tcW w:w="10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(5,430 )</w:t>
            </w:r>
          </w:p>
        </w:tc>
        <w:tc>
          <w:tcPr>
            <w:tcW w:w="0" w:type="dxa"/>
            <w:vAlign w:val="bottom"/>
          </w:tcPr>
          <w:p>
            <w:pPr>
              <w:spacing w:after="0"/>
              <w:rPr>
                <w:sz w:val="1"/>
                <w:szCs w:val="1"/>
                <w:color w:val="auto"/>
              </w:rPr>
            </w:pPr>
          </w:p>
        </w:tc>
      </w:tr>
      <w:tr>
        <w:trPr>
          <w:trHeight w:val="143"/>
        </w:trPr>
        <w:tc>
          <w:tcPr>
            <w:tcW w:w="3660" w:type="dxa"/>
            <w:vAlign w:val="bottom"/>
            <w:gridSpan w:val="2"/>
            <w:shd w:val="clear" w:color="auto" w:fill="CFF0FC"/>
          </w:tcPr>
          <w:p>
            <w:pPr>
              <w:ind w:left="20"/>
              <w:spacing w:after="0" w:line="143" w:lineRule="exact"/>
              <w:rPr>
                <w:sz w:val="20"/>
                <w:szCs w:val="20"/>
                <w:color w:val="auto"/>
              </w:rPr>
            </w:pPr>
            <w:r>
              <w:rPr>
                <w:rFonts w:ascii="Arial" w:cs="Arial" w:eastAsia="Arial" w:hAnsi="Arial"/>
                <w:sz w:val="14"/>
                <w:szCs w:val="14"/>
                <w:color w:val="auto"/>
              </w:rPr>
              <w:t>Accretion of redeemable noncontrolling interest to</w:t>
            </w:r>
          </w:p>
        </w:tc>
        <w:tc>
          <w:tcPr>
            <w:tcW w:w="50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redemption value</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82,000</w:t>
            </w:r>
          </w:p>
        </w:tc>
        <w:tc>
          <w:tcPr>
            <w:tcW w:w="1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9"/>
              </w:rPr>
              <w:t>(82,000 )</w:t>
            </w:r>
          </w:p>
        </w:tc>
        <w:tc>
          <w:tcPr>
            <w:tcW w:w="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(82,000 )</w:t>
            </w:r>
          </w:p>
        </w:tc>
        <w:tc>
          <w:tcPr>
            <w:tcW w:w="0" w:type="dxa"/>
            <w:vAlign w:val="bottom"/>
          </w:tcPr>
          <w:p>
            <w:pPr>
              <w:spacing w:after="0"/>
              <w:rPr>
                <w:sz w:val="1"/>
                <w:szCs w:val="1"/>
                <w:color w:val="auto"/>
              </w:rPr>
            </w:pPr>
          </w:p>
        </w:tc>
      </w:tr>
      <w:tr>
        <w:trPr>
          <w:trHeight w:val="143"/>
        </w:trPr>
        <w:tc>
          <w:tcPr>
            <w:tcW w:w="366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Tax distributions to redeemable noncontrolling interest</w:t>
            </w:r>
          </w:p>
        </w:tc>
        <w:tc>
          <w:tcPr>
            <w:tcW w:w="5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60" w:type="dxa"/>
            <w:vAlign w:val="bottom"/>
            <w:gridSpan w:val="2"/>
          </w:tcPr>
          <w:p>
            <w:pPr>
              <w:ind w:left="20"/>
              <w:spacing w:after="0"/>
              <w:rPr>
                <w:sz w:val="20"/>
                <w:szCs w:val="20"/>
                <w:color w:val="auto"/>
              </w:rPr>
            </w:pPr>
            <w:r>
              <w:rPr>
                <w:rFonts w:ascii="Arial" w:cs="Arial" w:eastAsia="Arial" w:hAnsi="Arial"/>
                <w:sz w:val="14"/>
                <w:szCs w:val="14"/>
                <w:color w:val="auto"/>
              </w:rPr>
              <w:t>holders</w:t>
            </w:r>
          </w:p>
        </w:tc>
        <w:tc>
          <w:tcPr>
            <w:tcW w:w="6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(3,986 )</w:t>
            </w:r>
          </w:p>
        </w:tc>
        <w:tc>
          <w:tcPr>
            <w:tcW w:w="10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(489 )</w:t>
            </w:r>
          </w:p>
        </w:tc>
        <w:tc>
          <w:tcPr>
            <w:tcW w:w="1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(489 )</w:t>
            </w:r>
          </w:p>
        </w:tc>
        <w:tc>
          <w:tcPr>
            <w:tcW w:w="0" w:type="dxa"/>
            <w:vAlign w:val="bottom"/>
          </w:tcPr>
          <w:p>
            <w:pPr>
              <w:spacing w:after="0"/>
              <w:rPr>
                <w:sz w:val="1"/>
                <w:szCs w:val="1"/>
                <w:color w:val="auto"/>
              </w:rPr>
            </w:pPr>
          </w:p>
        </w:tc>
      </w:tr>
      <w:tr>
        <w:trPr>
          <w:trHeight w:val="137"/>
        </w:trPr>
        <w:tc>
          <w:tcPr>
            <w:tcW w:w="3560" w:type="dxa"/>
            <w:vAlign w:val="bottom"/>
            <w:tcBorders>
              <w:top w:val="single" w:sz="8" w:color="CFF0FC"/>
            </w:tcBorders>
          </w:tcPr>
          <w:p>
            <w:pPr>
              <w:ind w:left="20"/>
              <w:spacing w:after="0" w:line="137" w:lineRule="exact"/>
              <w:rPr>
                <w:sz w:val="20"/>
                <w:szCs w:val="20"/>
                <w:color w:val="auto"/>
              </w:rPr>
            </w:pPr>
            <w:r>
              <w:rPr>
                <w:rFonts w:ascii="Arial" w:cs="Arial" w:eastAsia="Arial" w:hAnsi="Arial"/>
                <w:sz w:val="14"/>
                <w:szCs w:val="14"/>
                <w:color w:val="auto"/>
              </w:rPr>
              <w:t>Balance as of March 31, 2022</w:t>
            </w: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239,75</w:t>
            </w:r>
          </w:p>
        </w:tc>
        <w:tc>
          <w:tcPr>
            <w:tcW w:w="140" w:type="dxa"/>
            <w:vAlign w:val="bottom"/>
            <w:tcBorders>
              <w:top w:val="single" w:sz="8" w:color="CFF0FC"/>
              <w:right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7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102,142,</w:t>
            </w:r>
          </w:p>
        </w:tc>
        <w:tc>
          <w:tcPr>
            <w:tcW w:w="240" w:type="dxa"/>
            <w:vAlign w:val="bottom"/>
            <w:tcBorders>
              <w:top w:val="single" w:sz="8" w:color="CFF0FC"/>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7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15,999,1</w:t>
            </w:r>
          </w:p>
        </w:tc>
        <w:tc>
          <w:tcPr>
            <w:tcW w:w="220" w:type="dxa"/>
            <w:vAlign w:val="bottom"/>
            <w:tcBorders>
              <w:top w:val="single" w:sz="8" w:color="CFF0FC"/>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660" w:type="dxa"/>
            <w:vAlign w:val="bottom"/>
            <w:gridSpan w:val="2"/>
          </w:tcPr>
          <w:p>
            <w:pPr>
              <w:ind w:left="3580"/>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545</w:t>
            </w:r>
          </w:p>
        </w:tc>
        <w:tc>
          <w:tcPr>
            <w:tcW w:w="24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260" w:type="dxa"/>
            <w:vAlign w:val="bottom"/>
          </w:tcPr>
          <w:p>
            <w:pPr>
              <w:jc w:val="right"/>
              <w:spacing w:after="0"/>
              <w:rPr>
                <w:sz w:val="20"/>
                <w:szCs w:val="20"/>
                <w:color w:val="auto"/>
              </w:rPr>
            </w:pPr>
            <w:r>
              <w:rPr>
                <w:rFonts w:ascii="Arial" w:cs="Arial" w:eastAsia="Arial" w:hAnsi="Arial"/>
                <w:sz w:val="14"/>
                <w:szCs w:val="14"/>
                <w:color w:val="auto"/>
                <w:w w:val="94"/>
              </w:rPr>
              <w:t>102</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73</w:t>
            </w:r>
          </w:p>
        </w:tc>
        <w:tc>
          <w:tcPr>
            <w:tcW w:w="62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16</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$ 398,471</w:t>
            </w:r>
          </w:p>
        </w:tc>
        <w:tc>
          <w:tcPr>
            <w:tcW w:w="22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67,168</w:t>
            </w:r>
          </w:p>
        </w:tc>
        <w:tc>
          <w:tcPr>
            <w:tcW w:w="22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(892 )</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464,865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-1851025</wp:posOffset>
            </wp:positionV>
            <wp:extent cx="449199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491990" cy="13716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-239395</wp:posOffset>
            </wp:positionV>
            <wp:extent cx="76835" cy="2400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-239395</wp:posOffset>
            </wp:positionV>
            <wp:extent cx="77470" cy="240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24003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-239395</wp:posOffset>
            </wp:positionV>
            <wp:extent cx="77470" cy="240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24003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-239395</wp:posOffset>
            </wp:positionV>
            <wp:extent cx="68580" cy="240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-239395</wp:posOffset>
            </wp:positionV>
            <wp:extent cx="68580" cy="2400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-239395</wp:posOffset>
            </wp:positionV>
            <wp:extent cx="68580" cy="240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-239395</wp:posOffset>
            </wp:positionV>
            <wp:extent cx="68580" cy="2400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-239395</wp:posOffset>
            </wp:positionV>
            <wp:extent cx="68580" cy="2400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-239395</wp:posOffset>
            </wp:positionV>
            <wp:extent cx="68580" cy="240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240030"/>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77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7700" w:type="dxa"/>
            <w:vAlign w:val="bottom"/>
          </w:tcPr>
          <w:p>
            <w:pPr>
              <w:ind w:left="20"/>
              <w:spacing w:after="0"/>
              <w:rPr>
                <w:sz w:val="20"/>
                <w:szCs w:val="20"/>
                <w:color w:val="auto"/>
              </w:rPr>
            </w:pPr>
            <w:r>
              <w:rPr>
                <w:rFonts w:ascii="Arial" w:cs="Arial" w:eastAsia="Arial" w:hAnsi="Arial"/>
                <w:sz w:val="14"/>
                <w:szCs w:val="14"/>
                <w:color w:val="auto"/>
              </w:rPr>
              <w:t>Consolidated net income</w:t>
            </w: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11,866</w:t>
            </w:r>
          </w:p>
        </w:tc>
        <w:tc>
          <w:tcPr>
            <w:tcW w:w="280" w:type="dxa"/>
            <w:vAlign w:val="bottom"/>
          </w:tcPr>
          <w:p>
            <w:pPr>
              <w:spacing w:after="0"/>
              <w:rPr>
                <w:sz w:val="15"/>
                <w:szCs w:val="15"/>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18,838</w:t>
            </w:r>
          </w:p>
        </w:tc>
        <w:tc>
          <w:tcPr>
            <w:tcW w:w="100" w:type="dxa"/>
            <w:vAlign w:val="bottom"/>
          </w:tcPr>
          <w:p>
            <w:pPr>
              <w:spacing w:after="0"/>
              <w:rPr>
                <w:sz w:val="15"/>
                <w:szCs w:val="15"/>
                <w:color w:val="auto"/>
              </w:rPr>
            </w:pPr>
          </w:p>
        </w:tc>
      </w:tr>
      <w:tr>
        <w:trPr>
          <w:trHeight w:val="143"/>
        </w:trPr>
        <w:tc>
          <w:tcPr>
            <w:tcW w:w="77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Adjustments to reconcile consolidated net income to net cash provided</w:t>
            </w: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1"/>
        </w:trPr>
        <w:tc>
          <w:tcPr>
            <w:tcW w:w="77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by operating activities:</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77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11,576</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11,185</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Gain on sale of property and equipment</w:t>
            </w:r>
          </w:p>
        </w:tc>
        <w:tc>
          <w:tcPr>
            <w:tcW w:w="10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(460 )</w:t>
            </w:r>
          </w:p>
        </w:tc>
        <w:tc>
          <w:tcPr>
            <w:tcW w:w="5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7700" w:type="dxa"/>
            <w:vAlign w:val="bottom"/>
          </w:tcPr>
          <w:p>
            <w:pPr>
              <w:ind w:left="20"/>
              <w:spacing w:after="0"/>
              <w:rPr>
                <w:sz w:val="20"/>
                <w:szCs w:val="20"/>
                <w:color w:val="auto"/>
              </w:rPr>
            </w:pPr>
            <w:r>
              <w:rPr>
                <w:rFonts w:ascii="Arial" w:cs="Arial" w:eastAsia="Arial" w:hAnsi="Arial"/>
                <w:sz w:val="14"/>
                <w:szCs w:val="14"/>
                <w:color w:val="auto"/>
              </w:rPr>
              <w:t>Currency (gain) loss on foreign denominated transactions</w:t>
            </w:r>
          </w:p>
        </w:tc>
        <w:tc>
          <w:tcPr>
            <w:tcW w:w="100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(198 )</w:t>
            </w: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5"/>
                <w:szCs w:val="15"/>
                <w:color w:val="auto"/>
              </w:rPr>
            </w:pPr>
          </w:p>
        </w:tc>
      </w:tr>
      <w:tr>
        <w:trPr>
          <w:trHeight w:val="176"/>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Deferred taxes</w:t>
            </w:r>
          </w:p>
        </w:tc>
        <w:tc>
          <w:tcPr>
            <w:tcW w:w="10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(11,921 )</w:t>
            </w:r>
          </w:p>
        </w:tc>
        <w:tc>
          <w:tcPr>
            <w:tcW w:w="5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(13,091 )</w:t>
            </w:r>
          </w:p>
        </w:tc>
      </w:tr>
      <w:tr>
        <w:trPr>
          <w:trHeight w:val="175"/>
        </w:trPr>
        <w:tc>
          <w:tcPr>
            <w:tcW w:w="7700" w:type="dxa"/>
            <w:vAlign w:val="bottom"/>
          </w:tcPr>
          <w:p>
            <w:pPr>
              <w:ind w:left="20"/>
              <w:spacing w:after="0"/>
              <w:rPr>
                <w:sz w:val="20"/>
                <w:szCs w:val="20"/>
                <w:color w:val="auto"/>
              </w:rPr>
            </w:pPr>
            <w:r>
              <w:rPr>
                <w:rFonts w:ascii="Arial" w:cs="Arial" w:eastAsia="Arial" w:hAnsi="Arial"/>
                <w:sz w:val="14"/>
                <w:szCs w:val="14"/>
                <w:color w:val="auto"/>
              </w:rPr>
              <w:t>Provision for doubtful accounts</w:t>
            </w:r>
          </w:p>
        </w:tc>
        <w:tc>
          <w:tcPr>
            <w:tcW w:w="100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(300 )</w:t>
            </w: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5"/>
                <w:szCs w:val="15"/>
                <w:color w:val="auto"/>
              </w:rPr>
            </w:pPr>
          </w:p>
        </w:tc>
      </w:tr>
      <w:tr>
        <w:trPr>
          <w:trHeight w:val="176"/>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 expense</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14,904</w:t>
            </w:r>
          </w:p>
        </w:tc>
        <w:tc>
          <w:tcPr>
            <w:tcW w:w="2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14,147</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
              <w:spacing w:after="0"/>
              <w:rPr>
                <w:sz w:val="20"/>
                <w:szCs w:val="20"/>
                <w:color w:val="auto"/>
              </w:rPr>
            </w:pPr>
            <w:r>
              <w:rPr>
                <w:rFonts w:ascii="Arial" w:cs="Arial" w:eastAsia="Arial" w:hAnsi="Arial"/>
                <w:sz w:val="14"/>
                <w:szCs w:val="14"/>
                <w:color w:val="auto"/>
              </w:rPr>
              <w:t>Amortization of deferred financing costs</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129</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Amortization of deferred contract costs</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2,737</w:t>
            </w:r>
          </w:p>
        </w:tc>
        <w:tc>
          <w:tcPr>
            <w:tcW w:w="2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2,806</w:t>
            </w:r>
          </w:p>
        </w:tc>
        <w:tc>
          <w:tcPr>
            <w:tcW w:w="100" w:type="dxa"/>
            <w:vAlign w:val="bottom"/>
            <w:shd w:val="clear" w:color="auto" w:fill="CFF0FC"/>
          </w:tcPr>
          <w:p>
            <w:pPr>
              <w:spacing w:after="0"/>
              <w:rPr>
                <w:sz w:val="15"/>
                <w:szCs w:val="15"/>
                <w:color w:val="auto"/>
              </w:rPr>
            </w:pPr>
          </w:p>
        </w:tc>
      </w:tr>
      <w:tr>
        <w:trPr>
          <w:trHeight w:val="176"/>
        </w:trPr>
        <w:tc>
          <w:tcPr>
            <w:tcW w:w="7700" w:type="dxa"/>
            <w:vAlign w:val="bottom"/>
          </w:tcPr>
          <w:p>
            <w:pPr>
              <w:ind w:left="20"/>
              <w:spacing w:after="0"/>
              <w:rPr>
                <w:sz w:val="20"/>
                <w:szCs w:val="20"/>
                <w:color w:val="auto"/>
              </w:rPr>
            </w:pPr>
            <w:r>
              <w:rPr>
                <w:rFonts w:ascii="Arial" w:cs="Arial" w:eastAsia="Arial" w:hAnsi="Arial"/>
                <w:sz w:val="14"/>
                <w:szCs w:val="14"/>
                <w:color w:val="auto"/>
              </w:rPr>
              <w:t>Impairment of long-lived assets</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175</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7700" w:type="dxa"/>
            <w:vAlign w:val="bottom"/>
          </w:tcPr>
          <w:p>
            <w:pPr>
              <w:ind w:left="200"/>
              <w:spacing w:after="0"/>
              <w:rPr>
                <w:sz w:val="20"/>
                <w:szCs w:val="20"/>
                <w:color w:val="auto"/>
              </w:rPr>
            </w:pPr>
            <w:r>
              <w:rPr>
                <w:rFonts w:ascii="Arial" w:cs="Arial" w:eastAsia="Arial" w:hAnsi="Arial"/>
                <w:sz w:val="14"/>
                <w:szCs w:val="14"/>
                <w:color w:val="auto"/>
              </w:rPr>
              <w:t>Accounts receivable</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6,858</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39,973</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Inventory</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3,645</w:t>
            </w:r>
          </w:p>
        </w:tc>
        <w:tc>
          <w:tcPr>
            <w:tcW w:w="2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(1,336 )</w:t>
            </w:r>
          </w:p>
        </w:tc>
      </w:tr>
      <w:tr>
        <w:trPr>
          <w:trHeight w:val="176"/>
        </w:trPr>
        <w:tc>
          <w:tcPr>
            <w:tcW w:w="7700" w:type="dxa"/>
            <w:vAlign w:val="bottom"/>
          </w:tcPr>
          <w:p>
            <w:pPr>
              <w:ind w:left="200"/>
              <w:spacing w:after="0"/>
              <w:rPr>
                <w:sz w:val="20"/>
                <w:szCs w:val="20"/>
                <w:color w:val="auto"/>
              </w:rPr>
            </w:pPr>
            <w:r>
              <w:rPr>
                <w:rFonts w:ascii="Arial" w:cs="Arial" w:eastAsia="Arial" w:hAnsi="Arial"/>
                <w:sz w:val="14"/>
                <w:szCs w:val="14"/>
                <w:color w:val="auto"/>
              </w:rPr>
              <w:t>Prepaid expenses, prepaid income taxes, and other assets</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4,652</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(2,127 )</w:t>
            </w:r>
          </w:p>
        </w:tc>
      </w:tr>
      <w:tr>
        <w:trPr>
          <w:trHeight w:val="176"/>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Deferred contract costs</w:t>
            </w:r>
          </w:p>
        </w:tc>
        <w:tc>
          <w:tcPr>
            <w:tcW w:w="10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(5,138 )</w:t>
            </w:r>
          </w:p>
        </w:tc>
        <w:tc>
          <w:tcPr>
            <w:tcW w:w="5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(2,997 )</w:t>
            </w:r>
          </w:p>
        </w:tc>
      </w:tr>
      <w:tr>
        <w:trPr>
          <w:trHeight w:val="175"/>
        </w:trPr>
        <w:tc>
          <w:tcPr>
            <w:tcW w:w="7700" w:type="dxa"/>
            <w:vAlign w:val="bottom"/>
          </w:tcPr>
          <w:p>
            <w:pPr>
              <w:ind w:left="200"/>
              <w:spacing w:after="0"/>
              <w:rPr>
                <w:sz w:val="20"/>
                <w:szCs w:val="20"/>
                <w:color w:val="auto"/>
              </w:rPr>
            </w:pPr>
            <w:r>
              <w:rPr>
                <w:rFonts w:ascii="Arial" w:cs="Arial" w:eastAsia="Arial" w:hAnsi="Arial"/>
                <w:sz w:val="14"/>
                <w:szCs w:val="14"/>
                <w:color w:val="auto"/>
              </w:rPr>
              <w:t>Accounts payable</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10,268</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(4,062 )</w:t>
            </w:r>
          </w:p>
        </w:tc>
      </w:tr>
      <w:tr>
        <w:trPr>
          <w:trHeight w:val="176"/>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Accrued expenses, accrued income taxes, and other liabilities</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4,542</w:t>
            </w:r>
          </w:p>
        </w:tc>
        <w:tc>
          <w:tcPr>
            <w:tcW w:w="2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30,087</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4"/>
                <w:szCs w:val="14"/>
                <w:color w:val="auto"/>
              </w:rPr>
              <w:t>Deferred revenue</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8,557</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(5 )</w:t>
            </w:r>
          </w:p>
        </w:tc>
      </w:tr>
      <w:tr>
        <w:trPr>
          <w:trHeight w:val="176"/>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Lease obligations</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4,453</w:t>
            </w:r>
          </w:p>
        </w:tc>
        <w:tc>
          <w:tcPr>
            <w:tcW w:w="2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(592 )</w:t>
            </w:r>
          </w:p>
        </w:tc>
      </w:tr>
      <w:tr>
        <w:trPr>
          <w:trHeight w:val="169"/>
        </w:trPr>
        <w:tc>
          <w:tcPr>
            <w:tcW w:w="770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0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66,345</w:t>
            </w:r>
          </w:p>
        </w:tc>
        <w:tc>
          <w:tcPr>
            <w:tcW w:w="280" w:type="dxa"/>
            <w:vAlign w:val="bottom"/>
            <w:tcBorders>
              <w:top w:val="single" w:sz="8" w:color="CFF0FC"/>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93,060</w:t>
            </w:r>
          </w:p>
        </w:tc>
        <w:tc>
          <w:tcPr>
            <w:tcW w:w="100" w:type="dxa"/>
            <w:vAlign w:val="bottom"/>
            <w:tcBorders>
              <w:top w:val="single" w:sz="8" w:color="CFF0FC"/>
            </w:tcBorders>
          </w:tcPr>
          <w:p>
            <w:pPr>
              <w:spacing w:after="0"/>
              <w:rPr>
                <w:sz w:val="14"/>
                <w:szCs w:val="14"/>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7700" w:type="dxa"/>
            <w:vAlign w:val="bottom"/>
          </w:tcPr>
          <w:p>
            <w:pPr>
              <w:ind w:left="20"/>
              <w:spacing w:after="0"/>
              <w:rPr>
                <w:sz w:val="20"/>
                <w:szCs w:val="20"/>
                <w:color w:val="auto"/>
              </w:rPr>
            </w:pPr>
            <w:r>
              <w:rPr>
                <w:rFonts w:ascii="Arial" w:cs="Arial" w:eastAsia="Arial" w:hAnsi="Arial"/>
                <w:sz w:val="14"/>
                <w:szCs w:val="14"/>
                <w:color w:val="auto"/>
              </w:rPr>
              <w:t>Purchases of property and equipment</w:t>
            </w:r>
          </w:p>
        </w:tc>
        <w:tc>
          <w:tcPr>
            <w:tcW w:w="100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(2,398 )</w:t>
            </w:r>
          </w:p>
        </w:tc>
        <w:tc>
          <w:tcPr>
            <w:tcW w:w="56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(1,230 )</w:t>
            </w:r>
          </w:p>
        </w:tc>
      </w:tr>
      <w:tr>
        <w:trPr>
          <w:trHeight w:val="176"/>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Capitalization of website development costs</w:t>
            </w:r>
          </w:p>
        </w:tc>
        <w:tc>
          <w:tcPr>
            <w:tcW w:w="10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(3,489 )</w:t>
            </w:r>
          </w:p>
        </w:tc>
        <w:tc>
          <w:tcPr>
            <w:tcW w:w="5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(2,506 )</w:t>
            </w:r>
          </w:p>
        </w:tc>
      </w:tr>
      <w:tr>
        <w:trPr>
          <w:trHeight w:val="175"/>
        </w:trPr>
        <w:tc>
          <w:tcPr>
            <w:tcW w:w="7700" w:type="dxa"/>
            <w:vAlign w:val="bottom"/>
          </w:tcPr>
          <w:p>
            <w:pPr>
              <w:ind w:left="20"/>
              <w:spacing w:after="0"/>
              <w:rPr>
                <w:sz w:val="20"/>
                <w:szCs w:val="20"/>
                <w:color w:val="auto"/>
              </w:rPr>
            </w:pPr>
            <w:r>
              <w:rPr>
                <w:rFonts w:ascii="Arial" w:cs="Arial" w:eastAsia="Arial" w:hAnsi="Arial"/>
                <w:sz w:val="14"/>
                <w:szCs w:val="14"/>
                <w:color w:val="auto"/>
              </w:rPr>
              <w:t>Maturities of certificates of deposit</w:t>
            </w:r>
          </w:p>
        </w:tc>
        <w:tc>
          <w:tcPr>
            <w:tcW w:w="1000" w:type="dxa"/>
            <w:vAlign w:val="bottom"/>
          </w:tcPr>
          <w:p>
            <w:pPr>
              <w:spacing w:after="0"/>
              <w:rPr>
                <w:sz w:val="15"/>
                <w:szCs w:val="15"/>
                <w:color w:val="auto"/>
              </w:rPr>
            </w:pPr>
          </w:p>
        </w:tc>
        <w:tc>
          <w:tcPr>
            <w:tcW w:w="86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15"/>
                <w:szCs w:val="15"/>
                <w:color w:val="auto"/>
              </w:rPr>
            </w:pPr>
          </w:p>
        </w:tc>
      </w:tr>
      <w:tr>
        <w:trPr>
          <w:trHeight w:val="169"/>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cash (used in) provided by investing activities</w:t>
            </w:r>
          </w:p>
        </w:tc>
        <w:tc>
          <w:tcPr>
            <w:tcW w:w="1000" w:type="dxa"/>
            <w:vAlign w:val="bottom"/>
            <w:tcBorders>
              <w:top w:val="single" w:sz="8" w:color="auto"/>
              <w:bottom w:val="single" w:sz="8" w:color="auto"/>
            </w:tcBorders>
            <w:shd w:val="clear" w:color="auto" w:fill="CFF0FC"/>
          </w:tcPr>
          <w:p>
            <w:pPr>
              <w:spacing w:after="0"/>
              <w:rPr>
                <w:sz w:val="14"/>
                <w:szCs w:val="14"/>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(5,887</w:t>
            </w:r>
          </w:p>
        </w:tc>
        <w:tc>
          <w:tcPr>
            <w:tcW w:w="280" w:type="dxa"/>
            <w:vAlign w:val="bottom"/>
            <w:tcBorders>
              <w:bottom w:val="single" w:sz="8" w:color="CFF0FC"/>
            </w:tcBorders>
            <w:shd w:val="clear" w:color="auto" w:fill="CFF0FC"/>
          </w:tcPr>
          <w:p>
            <w:pPr>
              <w:jc w:val="right"/>
              <w:ind w:right="148"/>
              <w:spacing w:after="0"/>
              <w:rPr>
                <w:sz w:val="20"/>
                <w:szCs w:val="20"/>
                <w:color w:val="auto"/>
              </w:rPr>
            </w:pPr>
            <w:r>
              <w:rPr>
                <w:rFonts w:ascii="Arial" w:cs="Arial" w:eastAsia="Arial" w:hAnsi="Arial"/>
                <w:sz w:val="14"/>
                <w:szCs w:val="14"/>
                <w:color w:val="auto"/>
                <w:w w:val="84"/>
              </w:rPr>
              <w:t>)</w:t>
            </w:r>
          </w:p>
        </w:tc>
        <w:tc>
          <w:tcPr>
            <w:tcW w:w="56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26,264</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70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issuance of common stock upon exercise of stock options</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2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680</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
              <w:spacing w:after="0"/>
              <w:rPr>
                <w:sz w:val="20"/>
                <w:szCs w:val="20"/>
                <w:color w:val="auto"/>
              </w:rPr>
            </w:pPr>
            <w:r>
              <w:rPr>
                <w:rFonts w:ascii="Arial" w:cs="Arial" w:eastAsia="Arial" w:hAnsi="Arial"/>
                <w:sz w:val="14"/>
                <w:szCs w:val="14"/>
                <w:color w:val="auto"/>
              </w:rPr>
              <w:t>Payment of finance lease obligations</w:t>
            </w:r>
          </w:p>
        </w:tc>
        <w:tc>
          <w:tcPr>
            <w:tcW w:w="100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(17 )</w:t>
            </w:r>
          </w:p>
        </w:tc>
        <w:tc>
          <w:tcPr>
            <w:tcW w:w="56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(19 )</w:t>
            </w:r>
          </w:p>
        </w:tc>
      </w:tr>
      <w:tr>
        <w:trPr>
          <w:trHeight w:val="175"/>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Payment of withholding taxes on net share settlements of restricted stock units</w:t>
            </w:r>
          </w:p>
        </w:tc>
        <w:tc>
          <w:tcPr>
            <w:tcW w:w="10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(2,066 )</w:t>
            </w:r>
          </w:p>
        </w:tc>
        <w:tc>
          <w:tcPr>
            <w:tcW w:w="5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(5,430 )</w:t>
            </w:r>
          </w:p>
        </w:tc>
      </w:tr>
      <w:tr>
        <w:trPr>
          <w:trHeight w:val="175"/>
        </w:trPr>
        <w:tc>
          <w:tcPr>
            <w:tcW w:w="7700" w:type="dxa"/>
            <w:vAlign w:val="bottom"/>
          </w:tcPr>
          <w:p>
            <w:pPr>
              <w:ind w:left="20"/>
              <w:spacing w:after="0"/>
              <w:rPr>
                <w:sz w:val="20"/>
                <w:szCs w:val="20"/>
                <w:color w:val="auto"/>
              </w:rPr>
            </w:pPr>
            <w:r>
              <w:rPr>
                <w:rFonts w:ascii="Arial" w:cs="Arial" w:eastAsia="Arial" w:hAnsi="Arial"/>
                <w:sz w:val="14"/>
                <w:szCs w:val="14"/>
                <w:color w:val="auto"/>
              </w:rPr>
              <w:t>Repurchase of common stock</w:t>
            </w:r>
          </w:p>
        </w:tc>
        <w:tc>
          <w:tcPr>
            <w:tcW w:w="100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(69,024 )</w:t>
            </w:r>
          </w:p>
        </w:tc>
        <w:tc>
          <w:tcPr>
            <w:tcW w:w="560" w:type="dxa"/>
            <w:vAlign w:val="bottom"/>
          </w:tcPr>
          <w:p>
            <w:pPr>
              <w:spacing w:after="0"/>
              <w:rPr>
                <w:sz w:val="15"/>
                <w:szCs w:val="15"/>
                <w:color w:val="auto"/>
              </w:rPr>
            </w:pP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Payment of tax distributions to redeemable noncontrolling interest holders</w:t>
            </w:r>
          </w:p>
        </w:tc>
        <w:tc>
          <w:tcPr>
            <w:tcW w:w="10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(28 )</w:t>
            </w:r>
          </w:p>
        </w:tc>
        <w:tc>
          <w:tcPr>
            <w:tcW w:w="5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(8,519 )</w:t>
            </w:r>
          </w:p>
        </w:tc>
      </w:tr>
      <w:tr>
        <w:trPr>
          <w:trHeight w:val="175"/>
        </w:trPr>
        <w:tc>
          <w:tcPr>
            <w:tcW w:w="7700" w:type="dxa"/>
            <w:vAlign w:val="bottom"/>
          </w:tcPr>
          <w:p>
            <w:pPr>
              <w:ind w:left="20"/>
              <w:spacing w:after="0"/>
              <w:rPr>
                <w:sz w:val="20"/>
                <w:szCs w:val="20"/>
                <w:color w:val="auto"/>
              </w:rPr>
            </w:pPr>
            <w:r>
              <w:rPr>
                <w:rFonts w:ascii="Arial" w:cs="Arial" w:eastAsia="Arial" w:hAnsi="Arial"/>
                <w:sz w:val="14"/>
                <w:szCs w:val="14"/>
                <w:color w:val="auto"/>
              </w:rPr>
              <w:t>Change in gross advance payments received from third-party transaction processor</w:t>
            </w:r>
          </w:p>
        </w:tc>
        <w:tc>
          <w:tcPr>
            <w:tcW w:w="100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(2,122 )</w:t>
            </w:r>
          </w:p>
        </w:tc>
        <w:tc>
          <w:tcPr>
            <w:tcW w:w="56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(23,606 )</w:t>
            </w:r>
          </w:p>
        </w:tc>
      </w:tr>
      <w:tr>
        <w:trPr>
          <w:trHeight w:val="169"/>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cash used in financing activities</w:t>
            </w:r>
          </w:p>
        </w:tc>
        <w:tc>
          <w:tcPr>
            <w:tcW w:w="1000" w:type="dxa"/>
            <w:vAlign w:val="bottom"/>
            <w:tcBorders>
              <w:top w:val="single" w:sz="8" w:color="auto"/>
              <w:bottom w:val="single" w:sz="8" w:color="auto"/>
            </w:tcBorders>
            <w:shd w:val="clear" w:color="auto" w:fill="CFF0FC"/>
          </w:tcPr>
          <w:p>
            <w:pPr>
              <w:spacing w:after="0"/>
              <w:rPr>
                <w:sz w:val="14"/>
                <w:szCs w:val="14"/>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(73,238</w:t>
            </w:r>
          </w:p>
        </w:tc>
        <w:tc>
          <w:tcPr>
            <w:tcW w:w="280" w:type="dxa"/>
            <w:vAlign w:val="bottom"/>
            <w:tcBorders>
              <w:bottom w:val="single" w:sz="8" w:color="CFF0FC"/>
            </w:tcBorders>
            <w:shd w:val="clear" w:color="auto" w:fill="CFF0FC"/>
          </w:tcPr>
          <w:p>
            <w:pPr>
              <w:jc w:val="right"/>
              <w:ind w:right="148"/>
              <w:spacing w:after="0"/>
              <w:rPr>
                <w:sz w:val="20"/>
                <w:szCs w:val="20"/>
                <w:color w:val="auto"/>
              </w:rPr>
            </w:pPr>
            <w:r>
              <w:rPr>
                <w:rFonts w:ascii="Arial" w:cs="Arial" w:eastAsia="Arial" w:hAnsi="Arial"/>
                <w:sz w:val="14"/>
                <w:szCs w:val="14"/>
                <w:color w:val="auto"/>
                <w:w w:val="84"/>
              </w:rPr>
              <w:t>)</w:t>
            </w:r>
          </w:p>
        </w:tc>
        <w:tc>
          <w:tcPr>
            <w:tcW w:w="56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(36,894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69"/>
        </w:trPr>
        <w:tc>
          <w:tcPr>
            <w:tcW w:w="7700" w:type="dxa"/>
            <w:vAlign w:val="bottom"/>
          </w:tcPr>
          <w:p>
            <w:pPr>
              <w:ind w:left="20"/>
              <w:spacing w:after="0"/>
              <w:rPr>
                <w:sz w:val="20"/>
                <w:szCs w:val="20"/>
                <w:color w:val="auto"/>
              </w:rPr>
            </w:pPr>
            <w:r>
              <w:rPr>
                <w:rFonts w:ascii="Arial" w:cs="Arial" w:eastAsia="Arial" w:hAnsi="Arial"/>
                <w:sz w:val="14"/>
                <w:szCs w:val="14"/>
                <w:color w:val="auto"/>
              </w:rPr>
              <w:t>Impact of foreign currency on cash, cash equivalents, and restricted cash</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329</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(212 )</w:t>
            </w:r>
          </w:p>
        </w:tc>
      </w:tr>
      <w:tr>
        <w:trPr>
          <w:trHeight w:val="175"/>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(decrease) increase in cash, cash equivalents, and restricted cash</w:t>
            </w:r>
          </w:p>
        </w:tc>
        <w:tc>
          <w:tcPr>
            <w:tcW w:w="10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(12,451 )</w:t>
            </w: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82,218</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10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484,132</w:t>
            </w:r>
          </w:p>
        </w:tc>
        <w:tc>
          <w:tcPr>
            <w:tcW w:w="2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248,280</w:t>
            </w:r>
          </w:p>
        </w:tc>
        <w:tc>
          <w:tcPr>
            <w:tcW w:w="100" w:type="dxa"/>
            <w:vAlign w:val="bottom"/>
          </w:tcPr>
          <w:p>
            <w:pPr>
              <w:spacing w:after="0"/>
              <w:rPr>
                <w:sz w:val="15"/>
                <w:szCs w:val="15"/>
                <w:color w:val="auto"/>
              </w:rPr>
            </w:pPr>
          </w:p>
        </w:tc>
      </w:tr>
      <w:tr>
        <w:trPr>
          <w:trHeight w:val="209"/>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1000" w:type="dxa"/>
            <w:vAlign w:val="bottom"/>
            <w:tcBorders>
              <w:bottom w:val="single" w:sz="8" w:color="auto"/>
            </w:tcBorders>
            <w:shd w:val="clear" w:color="auto" w:fill="CFF0FC"/>
          </w:tcPr>
          <w:p>
            <w:pPr>
              <w:jc w:val="right"/>
              <w:ind w:right="84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471,681</w:t>
            </w:r>
          </w:p>
        </w:tc>
        <w:tc>
          <w:tcPr>
            <w:tcW w:w="2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3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330,498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70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paid for income taxes</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2,410</w:t>
            </w:r>
          </w:p>
        </w:tc>
        <w:tc>
          <w:tcPr>
            <w:tcW w:w="2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1,066</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
              <w:spacing w:after="0"/>
              <w:rPr>
                <w:sz w:val="20"/>
                <w:szCs w:val="20"/>
                <w:color w:val="auto"/>
              </w:rPr>
            </w:pPr>
            <w:r>
              <w:rPr>
                <w:rFonts w:ascii="Arial" w:cs="Arial" w:eastAsia="Arial" w:hAnsi="Arial"/>
                <w:sz w:val="14"/>
                <w:szCs w:val="14"/>
                <w:color w:val="auto"/>
              </w:rPr>
              <w:t>Cash paid for operating lease liabilities</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4,129</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4,737</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paid for interest</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w:t>
            </w:r>
          </w:p>
        </w:tc>
        <w:tc>
          <w:tcPr>
            <w:tcW w:w="2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7700" w:type="dxa"/>
            <w:vAlign w:val="bottom"/>
          </w:tcPr>
          <w:p>
            <w:pPr>
              <w:ind w:left="20"/>
              <w:spacing w:after="0"/>
              <w:rPr>
                <w:sz w:val="20"/>
                <w:szCs w:val="20"/>
                <w:color w:val="auto"/>
              </w:rPr>
            </w:pPr>
            <w:r>
              <w:rPr>
                <w:rFonts w:ascii="Arial" w:cs="Arial" w:eastAsia="Arial" w:hAnsi="Arial"/>
                <w:sz w:val="14"/>
                <w:szCs w:val="14"/>
                <w:b w:val="1"/>
                <w:bCs w:val="1"/>
                <w:color w:val="auto"/>
              </w:rPr>
              <w:t>Supplemental noncash disclosure of cash flow information:</w:t>
            </w: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3"/>
        </w:trPr>
        <w:tc>
          <w:tcPr>
            <w:tcW w:w="77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Unpaid purchases of property and equipment, capitalized website</w:t>
            </w: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70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development, capitalized internal-use software and capitalized hosting</w:t>
            </w: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1"/>
        </w:trPr>
        <w:tc>
          <w:tcPr>
            <w:tcW w:w="7700" w:type="dxa"/>
            <w:vAlign w:val="bottom"/>
            <w:shd w:val="clear" w:color="auto" w:fill="CFF0FC"/>
          </w:tcPr>
          <w:p>
            <w:pPr>
              <w:ind w:left="100"/>
              <w:spacing w:after="0"/>
              <w:rPr>
                <w:sz w:val="20"/>
                <w:szCs w:val="20"/>
                <w:color w:val="auto"/>
              </w:rPr>
            </w:pPr>
            <w:r>
              <w:rPr>
                <w:rFonts w:ascii="Arial" w:cs="Arial" w:eastAsia="Arial" w:hAnsi="Arial"/>
                <w:sz w:val="14"/>
                <w:szCs w:val="14"/>
                <w:color w:val="auto"/>
              </w:rPr>
              <w:t>arrangements</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1,822</w:t>
            </w:r>
          </w:p>
        </w:tc>
        <w:tc>
          <w:tcPr>
            <w:tcW w:w="2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269</w:t>
            </w:r>
          </w:p>
        </w:tc>
        <w:tc>
          <w:tcPr>
            <w:tcW w:w="100" w:type="dxa"/>
            <w:vAlign w:val="bottom"/>
            <w:shd w:val="clear" w:color="auto" w:fill="CFF0FC"/>
          </w:tcPr>
          <w:p>
            <w:pPr>
              <w:spacing w:after="0"/>
              <w:rPr>
                <w:sz w:val="15"/>
                <w:szCs w:val="15"/>
                <w:color w:val="auto"/>
              </w:rPr>
            </w:pPr>
          </w:p>
        </w:tc>
      </w:tr>
      <w:tr>
        <w:trPr>
          <w:trHeight w:val="176"/>
        </w:trPr>
        <w:tc>
          <w:tcPr>
            <w:tcW w:w="7700" w:type="dxa"/>
            <w:vAlign w:val="bottom"/>
          </w:tcPr>
          <w:p>
            <w:pPr>
              <w:ind w:left="20"/>
              <w:spacing w:after="0"/>
              <w:rPr>
                <w:sz w:val="20"/>
                <w:szCs w:val="20"/>
                <w:color w:val="auto"/>
              </w:rPr>
            </w:pPr>
            <w:r>
              <w:rPr>
                <w:rFonts w:ascii="Arial" w:cs="Arial" w:eastAsia="Arial" w:hAnsi="Arial"/>
                <w:sz w:val="14"/>
                <w:szCs w:val="14"/>
                <w:color w:val="auto"/>
              </w:rPr>
              <w:t>Receivable from sale of property and equipment</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460</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Unpaid withholding taxes on net share settlement of restricted stock units</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3,590</w:t>
            </w:r>
          </w:p>
        </w:tc>
        <w:tc>
          <w:tcPr>
            <w:tcW w:w="2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700" w:type="dxa"/>
            <w:vAlign w:val="bottom"/>
          </w:tcPr>
          <w:p>
            <w:pPr>
              <w:ind w:left="20"/>
              <w:spacing w:after="0"/>
              <w:rPr>
                <w:sz w:val="20"/>
                <w:szCs w:val="20"/>
                <w:color w:val="auto"/>
              </w:rPr>
            </w:pPr>
            <w:r>
              <w:rPr>
                <w:rFonts w:ascii="Arial" w:cs="Arial" w:eastAsia="Arial" w:hAnsi="Arial"/>
                <w:sz w:val="14"/>
                <w:szCs w:val="14"/>
                <w:color w:val="auto"/>
              </w:rPr>
              <w:t>Unpaid repurchases of common stock</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1,030</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43"/>
        </w:trPr>
        <w:tc>
          <w:tcPr>
            <w:tcW w:w="77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Capitalized stock-based compensation expense in website development and</w:t>
            </w: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1"/>
        </w:trPr>
        <w:tc>
          <w:tcPr>
            <w:tcW w:w="77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internal-use software costs and hosting arrangements</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1,145</w:t>
            </w:r>
          </w:p>
        </w:tc>
        <w:tc>
          <w:tcPr>
            <w:tcW w:w="2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1,206</w:t>
            </w:r>
          </w:p>
        </w:tc>
        <w:tc>
          <w:tcPr>
            <w:tcW w:w="100" w:type="dxa"/>
            <w:vAlign w:val="bottom"/>
            <w:shd w:val="clear" w:color="auto" w:fill="CFF0FC"/>
          </w:tcPr>
          <w:p>
            <w:pPr>
              <w:spacing w:after="0"/>
              <w:rPr>
                <w:sz w:val="15"/>
                <w:szCs w:val="15"/>
                <w:color w:val="auto"/>
              </w:rPr>
            </w:pPr>
          </w:p>
        </w:tc>
      </w:tr>
      <w:tr>
        <w:trPr>
          <w:trHeight w:val="176"/>
        </w:trPr>
        <w:tc>
          <w:tcPr>
            <w:tcW w:w="7700" w:type="dxa"/>
            <w:vAlign w:val="bottom"/>
          </w:tcPr>
          <w:p>
            <w:pPr>
              <w:ind w:left="20"/>
              <w:spacing w:after="0"/>
              <w:rPr>
                <w:sz w:val="20"/>
                <w:szCs w:val="20"/>
                <w:color w:val="auto"/>
              </w:rPr>
            </w:pPr>
            <w:r>
              <w:rPr>
                <w:rFonts w:ascii="Arial" w:cs="Arial" w:eastAsia="Arial" w:hAnsi="Arial"/>
                <w:sz w:val="14"/>
                <w:szCs w:val="14"/>
                <w:color w:val="auto"/>
              </w:rPr>
              <w:t>Obtaining a right-of-use asset in exchange for an operating lease liability</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144,556</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Accretion of redeemable noncontrolling interest to redemption value</w:t>
            </w:r>
          </w:p>
        </w:tc>
        <w:tc>
          <w:tcPr>
            <w:tcW w:w="10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82,000</w:t>
            </w:r>
          </w:p>
        </w:tc>
        <w:tc>
          <w:tcPr>
            <w:tcW w:w="100" w:type="dxa"/>
            <w:vAlign w:val="bottom"/>
            <w:shd w:val="clear" w:color="auto" w:fill="CFF0FC"/>
          </w:tcPr>
          <w:p>
            <w:pPr>
              <w:spacing w:after="0"/>
              <w:rPr>
                <w:sz w:val="15"/>
                <w:szCs w:val="15"/>
                <w:color w:val="auto"/>
              </w:rPr>
            </w:pPr>
          </w:p>
        </w:tc>
      </w:tr>
      <w:tr>
        <w:trPr>
          <w:trHeight w:val="182"/>
        </w:trPr>
        <w:tc>
          <w:tcPr>
            <w:tcW w:w="7700" w:type="dxa"/>
            <w:vAlign w:val="bottom"/>
          </w:tcPr>
          <w:p>
            <w:pPr>
              <w:ind w:left="20"/>
              <w:spacing w:after="0"/>
              <w:rPr>
                <w:sz w:val="20"/>
                <w:szCs w:val="20"/>
                <w:color w:val="auto"/>
              </w:rPr>
            </w:pPr>
            <w:r>
              <w:rPr>
                <w:rFonts w:ascii="Arial" w:cs="Arial" w:eastAsia="Arial" w:hAnsi="Arial"/>
                <w:sz w:val="14"/>
                <w:szCs w:val="14"/>
                <w:color w:val="auto"/>
              </w:rPr>
              <w:t>Accrued tax (refunds from) distributions to redeemable noncontrolling interest holders</w:t>
            </w:r>
          </w:p>
        </w:tc>
        <w:tc>
          <w:tcPr>
            <w:tcW w:w="100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(4 )</w:t>
            </w: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4,168</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-3827145</wp:posOffset>
            </wp:positionV>
            <wp:extent cx="68580"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-3827145</wp:posOffset>
            </wp:positionV>
            <wp:extent cx="6858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-3132455</wp:posOffset>
            </wp:positionV>
            <wp:extent cx="68580" cy="1200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-3132455</wp:posOffset>
            </wp:positionV>
            <wp:extent cx="68580" cy="1200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-2223770</wp:posOffset>
            </wp:positionV>
            <wp:extent cx="68580" cy="1200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-2223770</wp:posOffset>
            </wp:positionV>
            <wp:extent cx="68580" cy="1200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-1760855</wp:posOffset>
            </wp:positionV>
            <wp:extent cx="124333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43330" cy="13716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CarGurus,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(dollars in thousands, except share and per share data,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 Description</w:t>
      </w:r>
    </w:p>
    <w:p>
      <w:pPr>
        <w:spacing w:after="0" w:line="22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CarGurus, Inc. (the "Company") is a multinational, online automotive platform for buying and selling vehicles that is building upon its industry-leading listings marketplace with both digital retail solutions and the CarOffer, LLC ("CarOffer") digital wholesale platform. The CarGurus platform gives consumers the confidence to buy and/or sell a vehicle either online or in-person, and it gives dealerships the power to accurately price, instantly acquire, effectively market, and quickly sell vehicles, all with a nationwide reach. The Company uses proprietary technology, search algorithms and data analytics to bring trust, transparency and competitive pricing to the automotive shopping experience.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is headquartered in Cambridge, Massachusetts and was incorporated in the State of Delaware on June 26, 2015.</w:t>
      </w:r>
    </w:p>
    <w:p>
      <w:pPr>
        <w:spacing w:after="0" w:line="22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Company operates principally in the United States. In the United States, it also operates as independent brands the Autolist online marketplace, which it wholly owns, and the CarOffer digital wholesale platform, in which it holds a 51% equity interest. In addition to the United States, the Company operates online marketplaces under the CarGurus brand in Canada and the United Kingdom. In the United Kingdom, it also operates as an independent brand the PistonHeads online marketplace, which it wholly owns.</w:t>
      </w:r>
    </w:p>
    <w:p>
      <w:pPr>
        <w:spacing w:after="0" w:line="18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The Company has subsidiaries in the United States, Canada, Ireland, and the United Kingdom. Effective as of the fourth quarter of 2022, the Company revised its segment reporting from one reportable segment to two reportable segments – U.S. Marketplace and Digital Wholesale. See Note 12 of these Unaudited Condensed Consolidated Financial Statements for further segment reporting and geographic information.</w:t>
      </w:r>
    </w:p>
    <w:p>
      <w:pPr>
        <w:spacing w:after="0" w:line="16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 is subject to a number of risks and uncertainties common to companies in its and similar industries and stages of development including, but not limited to, rapid technological changes, competition from substitute products and services from larger companies, management of international activities, protection of proprietary rights, patent litigation, and dependence on key individuals.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The accompanying interim condensed consolidated financial statements (the “Unaudited Condensed Consolidated Financial Statements”) are unaudited. The Unaudited Condensed Consolidated Financial Statements and related disclosures have been prepared in conformity with accounting principles generally accepted in the United States of America (“GAAP”). Any reference in these notes to applicable guidance is meant to refer to GAAP as found in the Accounting Standards Codification (“ASC”) and Accounting Standards Update of the Financial Accounting Standards Board (“FASB”).</w:t>
      </w:r>
    </w:p>
    <w:p>
      <w:pPr>
        <w:spacing w:after="0" w:line="15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The Unaudited Condensed Consolidated Financial Statements have also been prepared pursuant to the rules and regulations of the Securities and Exchange Commission (“SEC”). Accordingly, certain information and footnote disclosures normally included in financial statements prepared in accordance with GAAP have been condensed or omitted pursuant to such rules and regulations. The Unaudited Condensed Consolidated Financial Statements reflect all adjustments, consisting of only normal recurring adjustments, necessary for the fair presentation of the Company’s financial position as of March 31, 2023 and December 31, 2022, results of operations, comprehensive income, and changes in shareholders’ equity for the three months ended March 31, 2023 and 2022 and cash flows for the three months ended March 31, 2023 and 2022. These interim period results are not necessarily indicative of the results to be expected for any other interim period or the full year.</w:t>
      </w:r>
    </w:p>
    <w:p>
      <w:pPr>
        <w:spacing w:after="0" w:line="17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Unaudited Condensed Consolidated Financial Statements should be read in conjunction with the Company’s audited consolidated financial statements and the notes thereto included in the Company’s Annual Report on Form 10-K for the year ended December 31, 2022, filed with the SEC on March 1, 2023 (the “Annual Report”).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jc w:val="both"/>
        <w:ind w:firstLine="509"/>
        <w:spacing w:after="0" w:line="279" w:lineRule="auto"/>
        <w:rPr>
          <w:sz w:val="20"/>
          <w:szCs w:val="20"/>
          <w:color w:val="auto"/>
        </w:rPr>
      </w:pPr>
      <w:r>
        <w:rPr>
          <w:rFonts w:ascii="Arial" w:cs="Arial" w:eastAsia="Arial" w:hAnsi="Arial"/>
          <w:sz w:val="17"/>
          <w:szCs w:val="17"/>
          <w:color w:val="auto"/>
        </w:rPr>
        <w:t>While the Company disclosed interest income within other income (expense), net in the Unaudited Condensed Consolidated Income Statements in the Company's Quarterly Report on Form 10-Q for the quarter ended March 31, 2022, filed with the SEC on May 9, 2022, the accompanying Unaudited Condensed Consolidated Income Statements for the quarter ended March 31, 2022 present interest income separately from other income (expense), net to conform to the current year presentation, as interest income met the threshold for separate disclosure.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Unaudited Condensed Consolidated Financial Statements include the accounts of the Company and its subsidiaries. All intercompany balances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 Considerations</w:t>
      </w:r>
    </w:p>
    <w:p>
      <w:pPr>
        <w:spacing w:after="0" w:line="225"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The Company considers events or transactions that occur after the balance sheet date but prior to the issuance of the financial statements to provide additional evidence for certain estimates or to identify matters that require additional disclosure. The Company has evaluated all subsequent events and determined that there are no material recognized or unrecognized subsequent events requiring disclosure.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preparation of the Unaudited Condensed Consolidated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revenue and expenses during the reporting period.</w:t>
      </w:r>
    </w:p>
    <w:p>
      <w:pPr>
        <w:spacing w:after="0" w:line="184"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Although the Company regularly assesses these estimates, actual results could differ materially from these estimates. The Company bases its estimates on historical experience and various other assumptions that it believes to be reasonable under the circumstances. Actual results may differ from management’s estimates if these results differ from historical experience, or other assumptions do not turn out to be substantially accurate, even if such assumptions are reasonable when made. Changes in estimates are recognized in the period in which they become known.</w:t>
      </w:r>
    </w:p>
    <w:p>
      <w:pPr>
        <w:spacing w:after="0" w:line="17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Critical estimates relied upon in preparing the Unaudited Condensed Consolidated Financial Statements include the determination of sales allowance and variable consideration in the Company’s revenue recognition, allowance for doubtful accounts, the impairment of long-lived assets, the capitalization of product, technology, and development costs for website development, internal-use software and hosting arrangements, the valuation of acquired assets and liabilities, the valuation and recoverability of intangible assets and goodwill, the valuation of redeemable noncontrolling interest, the recoverability of the Company’s net deferred tax assets and related valuation allowance, the valuation of inventory, and the valuation of equity and liability-classified compensation awards. Accordingly, the Company considers these to be its critical accounting estimates, and believes that of the Company’s significant accounting policies, these involve the greatest degree of judgment and complexity.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22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and trade accounts receivable.</w:t>
      </w:r>
    </w:p>
    <w:p>
      <w:pPr>
        <w:spacing w:after="0" w:line="18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 maintains its cash, and cash equivalents principally with accredited financial institutions of high credit standing. Although the Company deposits its cash and cash equivalents with multiple financial institutions, its deposits with each such financial institution exceed governmental insured limits.</w:t>
      </w:r>
    </w:p>
    <w:p>
      <w:pPr>
        <w:spacing w:after="0" w:line="184"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Company routinely assesses the creditworthiness of its customers and does not require collateral. The Company generally has not experienced any material losses related to receivables from individual customers, or groups of customers. The majority of the Company's accounts receivable results from wholesale and product revenue transactions. The Company has had no material losses related to wholesale and product receivables as the third-party transaction processor does not release the title to the vehicle until successfully collecting funds from the buying dealer. Titling is handled by the Company's third-party transaction processor and is held in escrow until it collects funds from the buying dealer (i.e., title is legally transferred from the selling party to the buying party upon signing of bill of sale, but title is held in escrow by the third-party transaction processor until payment is received). Due to these factors, no additional credit risk beyond amounts provided for collection losses is believed by management to be probable in the Company’s accounts receivable.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jc w:val="both"/>
        <w:ind w:firstLine="509"/>
        <w:spacing w:after="0" w:line="273" w:lineRule="auto"/>
        <w:rPr>
          <w:sz w:val="20"/>
          <w:szCs w:val="20"/>
          <w:color w:val="auto"/>
        </w:rPr>
      </w:pPr>
      <w:r>
        <w:rPr>
          <w:rFonts w:ascii="Arial" w:cs="Arial" w:eastAsia="Arial" w:hAnsi="Arial"/>
          <w:sz w:val="17"/>
          <w:szCs w:val="17"/>
          <w:color w:val="auto"/>
        </w:rPr>
        <w:t>As of March 31, 2023, no customers accounted for more than 10% of net accounts receivable. As of December 31, 2022, one customer accounted for 13% of net accounts receivable. The remainder of the accounts receivable was dispersed among more than 1,000 customers. The customer who accounted for greater than 10% of net accounts receivable are related to wholesale and product receivables. The collection risk associated with these customers is mitigated because, as discussed above, the third-party transaction processor does not release the title on vehicles until funds are successfully collected. Furthermore, there is no significant credit risk with respect to accounts receivable because, other than the receivables associated with these customers, credit risk with respect to accounts receivable is dispersed due to the large number of customers.</w:t>
      </w:r>
    </w:p>
    <w:p>
      <w:pPr>
        <w:spacing w:after="0" w:line="17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For the three months ended March 31, 2023, no individual customer accounted for more than 10% of total revenue. For the three months ended March 31, 2022, one customer accounted for 13% of total revenue due to the continued growth of the CarOffer business.</w:t>
      </w:r>
    </w:p>
    <w:p>
      <w:pPr>
        <w:spacing w:after="0" w:line="17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The Company is exposed to credit losses primarily through its trade accounts receivable, which includes receivables in transit, net of payables due, from a third-party transaction processor. The third-party transaction processor collects customer payments on the Company's behalf and remits them to the Company. Customer payments received by the third-party transaction processor, but not remitted to the Company as of period end are deemed to be receivables in transit, net of payables due. Additionally, the third-party transaction processor provides payments in advance for certain selling dealers. If the third-party transaction processor does not receive buying dealer payments associated with the transaction paid in advance, the Company would guarantee losses incurred by the third-party transaction processor and the balance would be deducted from future remittances to the Company. To date, losses associated with these guarantees have not been material. Payments received in advance are presented as cash flows from financing activities in the Unaudited Condensed Consolidated Statements of Cash Flows.</w:t>
      </w:r>
    </w:p>
    <w:p>
      <w:pPr>
        <w:spacing w:after="0" w:line="178"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Company offsets trade accounts receivables in transit, net of payables due, from the third-party transaction processor with payments received in advance from the third-party transaction processor as it has the right of offset. At any point in time, the Company could have amounts due from the third-party transaction processor for funds the third-party transaction processor has collected from buying dealers and has not yet remitted to the Company (i.e. receivables in transit, net of payables due), as well as amounts paid by the third-party transaction processor to the Company in advance of collecting payments from buying dealers (i.e. payments received in advance). Therefore, as the Company has the right to offset, the Company can either have a net receivable balance due from the third-party transaction processor which is recognized within accounts receivable, or the Company can have a net liability which is recognized within accrued expenses if the advance payments exceed the receivable position from the third-party transaction processor as of the balance sheet date.</w:t>
      </w:r>
    </w:p>
    <w:p>
      <w:pPr>
        <w:spacing w:after="0" w:line="19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As of March 31, 2023, trade accounts receivable from receivables in transit, net of payables due, from the third-party transaction processor was $5,142, offset by payments received in advance of $4,368, which resulted in a net receivable of $774 recognized within accounts receivable, net in the Unaudited Condensed Consolidated Balance Sheets. As of December 31, 2022, trade accounts receivable from receivables in transit, net of payables due, from the third-party transaction processor was $7,122, offset by payments received in advance of $6,490, which resulted in a net receivable of $632 recognized within accounts receivable, net in the Unaudited Condensed Consolidated Balance Sheets.</w:t>
      </w:r>
    </w:p>
    <w:p>
      <w:pPr>
        <w:spacing w:after="0" w:line="176"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As of March 31, 2023 and December 31, 2022, $7,950 and $7,150, respectively, was included in net accounts receivable, representing unbilled accounts receivable relating primarily to advertising customers invoiced in the period subsequent to services rendered.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22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Unaudited Condensed Consolidated Financial Statements reflect the application of certain significant accounting policies as described below and elsewhere in these notes to the Unaudited Condensed Consolidated Financial Statements. As of March 31, 2023, there have been no material changes in the Company’s significant accounting policies, which are detailed in the Annual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22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the Company on or prior to the specified effective date. Unless otherwise discussed, the Company believes that the impact of recently issued standards that are not yet effective will not have a material impact on its financial position or results of operations upon adoption. As of March 31, 2023, there are no new material accounting pronouncements that the Company is considering adopting.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3. Revenue Recognition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revenue from contracts with customers by services and products for the three months ended March 31,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7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7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518"/>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jc w:val="right"/>
              <w:ind w:right="494"/>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7"/>
                <w:szCs w:val="17"/>
                <w:color w:val="auto"/>
              </w:rPr>
            </w:pPr>
          </w:p>
        </w:tc>
      </w:tr>
      <w:tr>
        <w:trPr>
          <w:trHeight w:val="26"/>
        </w:trPr>
        <w:tc>
          <w:tcPr>
            <w:tcW w:w="7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Marketplace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167,127</w:t>
            </w:r>
          </w:p>
        </w:tc>
        <w:tc>
          <w:tcPr>
            <w:tcW w:w="26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163,289</w:t>
            </w:r>
          </w:p>
        </w:tc>
        <w:tc>
          <w:tcPr>
            <w:tcW w:w="100" w:type="dxa"/>
            <w:vAlign w:val="bottom"/>
            <w:shd w:val="clear" w:color="auto" w:fill="CFF0FC"/>
          </w:tcPr>
          <w:p>
            <w:pPr>
              <w:spacing w:after="0"/>
              <w:rPr>
                <w:sz w:val="20"/>
                <w:szCs w:val="20"/>
                <w:color w:val="auto"/>
              </w:rPr>
            </w:pPr>
          </w:p>
        </w:tc>
      </w:tr>
      <w:tr>
        <w:trPr>
          <w:trHeight w:val="237"/>
        </w:trPr>
        <w:tc>
          <w:tcPr>
            <w:tcW w:w="7100" w:type="dxa"/>
            <w:vAlign w:val="bottom"/>
          </w:tcPr>
          <w:p>
            <w:pPr>
              <w:ind w:left="20"/>
              <w:spacing w:after="0"/>
              <w:rPr>
                <w:sz w:val="20"/>
                <w:szCs w:val="20"/>
                <w:color w:val="auto"/>
              </w:rPr>
            </w:pPr>
            <w:r>
              <w:rPr>
                <w:rFonts w:ascii="Arial" w:cs="Arial" w:eastAsia="Arial" w:hAnsi="Arial"/>
                <w:sz w:val="18"/>
                <w:szCs w:val="18"/>
                <w:color w:val="auto"/>
              </w:rPr>
              <w:t>Dealer-to-Dealer</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28,705</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105,491</w:t>
            </w:r>
          </w:p>
        </w:tc>
        <w:tc>
          <w:tcPr>
            <w:tcW w:w="100" w:type="dxa"/>
            <w:vAlign w:val="bottom"/>
          </w:tcPr>
          <w:p>
            <w:pPr>
              <w:spacing w:after="0"/>
              <w:rPr>
                <w:sz w:val="20"/>
                <w:szCs w:val="20"/>
                <w:color w:val="auto"/>
              </w:rPr>
            </w:pPr>
          </w:p>
        </w:tc>
      </w:tr>
      <w:tr>
        <w:trPr>
          <w:trHeight w:val="243"/>
        </w:trPr>
        <w:tc>
          <w:tcPr>
            <w:tcW w:w="7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Instant Max Cash Offer</w:t>
            </w:r>
          </w:p>
        </w:tc>
        <w:tc>
          <w:tcPr>
            <w:tcW w:w="3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36,131</w:t>
            </w:r>
          </w:p>
        </w:tc>
        <w:tc>
          <w:tcPr>
            <w:tcW w:w="2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161,828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231,963</w:t>
            </w:r>
          </w:p>
        </w:tc>
        <w:tc>
          <w:tcPr>
            <w:tcW w:w="78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430,608</w:t>
            </w:r>
          </w:p>
        </w:tc>
        <w:tc>
          <w:tcPr>
            <w:tcW w:w="100" w:type="dxa"/>
            <w:vAlign w:val="bottom"/>
          </w:tcPr>
          <w:p>
            <w:pPr>
              <w:spacing w:after="0"/>
              <w:rPr>
                <w:sz w:val="21"/>
                <w:szCs w:val="21"/>
                <w:color w:val="auto"/>
              </w:rPr>
            </w:pPr>
          </w:p>
        </w:tc>
      </w:tr>
      <w:tr>
        <w:trPr>
          <w:trHeight w:val="20"/>
        </w:trPr>
        <w:tc>
          <w:tcPr>
            <w:tcW w:w="7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-187960</wp:posOffset>
            </wp:positionV>
            <wp:extent cx="60325"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-187960</wp:posOffset>
            </wp:positionV>
            <wp:extent cx="59690"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provides disaggregation of revenue by services and products, by income statement presentation, by segment, and by geographic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region.</w:t>
      </w:r>
    </w:p>
    <w:p>
      <w:pPr>
        <w:spacing w:after="0" w:line="21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Revenue by services and products is disaggregated by (i) marketplace services, (ii) Dealer-to-Dealer services and products, and (iii) Instant Max Cash Offer ("IMCO"), services and products as disclosed above.</w:t>
      </w:r>
    </w:p>
    <w:p>
      <w:pPr>
        <w:spacing w:after="0" w:line="17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Revenue by income statement presentation is disaggregated by (i) marketplace, (ii) wholesale, and (iii) product revenue sources as disclosed in the Unaudited Condensed Consolidated Income Statements. Marketplace services are included within marketplace revenue in the consolidated income statements. Dealer-to-Dealer and IMCO services and products are included within both wholesale revenue and product revenue in the consolidated income statements.</w:t>
      </w:r>
    </w:p>
    <w:p>
      <w:pPr>
        <w:spacing w:after="0" w:line="18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Revenue by segment is disaggregated by (i) U.S. Marketplace and (ii) Digital Wholesale segments as disclosed in Note 12 of these Unaudited Condensed Consolidated Financial Statements. Marketplace services are included in the U.S. Marketplace segment and in the Other category of segment reporting. Dealer-to-Dealer and IMCO services and products are included in the Digital Wholesale segment.</w:t>
      </w:r>
    </w:p>
    <w:p>
      <w:pPr>
        <w:spacing w:after="0" w:line="18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Revenue by geographic region is disaggregated by (i) United States and (ii) International regions as disclosed in Note 12 of these Unaudited Condensed Consolidated Financial Statements. Marketplace services are provided in the United States and International regions. Dealer-to-Dealer and IMCO services and products are provided in the United States region.</w:t>
      </w:r>
    </w:p>
    <w:p>
      <w:pPr>
        <w:spacing w:after="0" w:line="18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 believes these categories best depict how the nature, amount, timing and uncertainty of revenue and cash flows are affected by economic factors.</w:t>
      </w:r>
    </w:p>
    <w:p>
      <w:pPr>
        <w:spacing w:after="0" w:line="17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 xml:space="preserve">ASC Topic 606, </w:t>
      </w:r>
      <w:r>
        <w:rPr>
          <w:rFonts w:ascii="Arial" w:cs="Arial" w:eastAsia="Arial" w:hAnsi="Arial"/>
          <w:sz w:val="18"/>
          <w:szCs w:val="18"/>
          <w:i w:val="1"/>
          <w:iCs w:val="1"/>
          <w:color w:val="auto"/>
        </w:rPr>
        <w:t>Revenue from Contracts with Customer</w:t>
      </w:r>
      <w:r>
        <w:rPr>
          <w:rFonts w:ascii="Arial" w:cs="Arial" w:eastAsia="Arial" w:hAnsi="Arial"/>
          <w:sz w:val="18"/>
          <w:szCs w:val="18"/>
          <w:color w:val="auto"/>
        </w:rPr>
        <w:t>s (“ASC 606”) requires that the Company disclose the aggregate amount of transaction price that is allocated to performance obligations that have not yet been satisfied as of the relevant quarter end.</w:t>
      </w:r>
    </w:p>
    <w:p>
      <w:pPr>
        <w:spacing w:after="0" w:line="17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For contracts with an original expected duration greater than one year, the aggregate amount of the transaction price allocated to the performance obligations that were unsatisfied as of March 31, 2023 was approximately $14.2 million, which the Company expects to recognize over the next twelve months.</w:t>
      </w:r>
    </w:p>
    <w:p>
      <w:pPr>
        <w:spacing w:after="0" w:line="184"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For contracts with an original expected duration of one year or less, the Company has applied the practical expedient available under ASC 606 to not disclose the amount of transaction price allocated to unsatisfied performance obligations as of March 31, 2023. For performance obligations not satisfied as of March 31, 2023, and to which this expedient applies, the nature of the performance obligations, the variable consideration and any consideration from contracts with customers not included in the transaction price is consistent with performance obligations satisfied as of March 31, 2023.</w:t>
      </w:r>
    </w:p>
    <w:p>
      <w:pPr>
        <w:spacing w:after="0" w:line="15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For the three months ended March 31, 2023 and 2022, revenue recognized from amounts included in deferred revenue at the beginning of the period, was $12,249 and $12,784,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2023 and December 31, 2022, assets measured at fair value on a recurring basis consist of the following:</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39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center"/>
              <w:ind w:right="188"/>
              <w:spacing w:after="0"/>
              <w:rPr>
                <w:sz w:val="20"/>
                <w:szCs w:val="20"/>
                <w:color w:val="auto"/>
              </w:rPr>
            </w:pPr>
            <w:r>
              <w:rPr>
                <w:rFonts w:ascii="Arial" w:cs="Arial" w:eastAsia="Arial" w:hAnsi="Arial"/>
                <w:sz w:val="14"/>
                <w:szCs w:val="14"/>
                <w:b w:val="1"/>
                <w:bCs w:val="1"/>
                <w:color w:val="auto"/>
                <w:w w:val="93"/>
              </w:rPr>
              <w:t>As of March 31, 2023</w:t>
            </w: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jc w:val="center"/>
              <w:ind w:right="42"/>
              <w:spacing w:after="0" w:line="133" w:lineRule="exact"/>
              <w:rPr>
                <w:sz w:val="20"/>
                <w:szCs w:val="20"/>
                <w:color w:val="auto"/>
              </w:rPr>
            </w:pPr>
            <w:r>
              <w:rPr>
                <w:rFonts w:ascii="Arial" w:cs="Arial" w:eastAsia="Arial" w:hAnsi="Arial"/>
                <w:sz w:val="14"/>
                <w:szCs w:val="14"/>
                <w:b w:val="1"/>
                <w:bCs w:val="1"/>
                <w:color w:val="auto"/>
                <w:w w:val="92"/>
              </w:rPr>
              <w:t>Quoted Prices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w w:val="95"/>
              </w:rPr>
              <w:t>Significant Other</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7"/>
              </w:rPr>
              <w:t>in Active Markets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for Identical Assets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(Level 1 Inputs)</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3"/>
              </w:rPr>
              <w:t>(Level 2 Inputs)</w:t>
            </w: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95"/>
              </w:rPr>
              <w:t>(Level 3 Inputs)</w:t>
            </w: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202,359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ind w:left="1080"/>
              <w:spacing w:after="0"/>
              <w:rPr>
                <w:sz w:val="20"/>
                <w:szCs w:val="20"/>
                <w:color w:val="auto"/>
              </w:rPr>
            </w:pPr>
            <w:r>
              <w:rPr>
                <w:rFonts w:ascii="Arial" w:cs="Arial" w:eastAsia="Arial" w:hAnsi="Arial"/>
                <w:sz w:val="18"/>
                <w:szCs w:val="18"/>
                <w:color w:val="auto"/>
                <w:w w:val="88"/>
              </w:rPr>
              <w:t>—</w:t>
            </w:r>
          </w:p>
        </w:tc>
        <w:tc>
          <w:tcPr>
            <w:tcW w:w="1460" w:type="dxa"/>
            <w:vAlign w:val="bottom"/>
            <w:gridSpan w:val="3"/>
          </w:tcPr>
          <w:p>
            <w:pPr>
              <w:jc w:val="right"/>
              <w:ind w:right="1068"/>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4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202,359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202,359</w:t>
            </w:r>
          </w:p>
        </w:tc>
        <w:tc>
          <w:tcPr>
            <w:tcW w:w="2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ind w:left="108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top w:val="single" w:sz="8" w:color="auto"/>
              <w:bottom w:val="single" w:sz="8" w:color="auto"/>
            </w:tcBorders>
            <w:gridSpan w:val="2"/>
            <w:shd w:val="clear" w:color="auto" w:fill="CFF0FC"/>
          </w:tcPr>
          <w:p>
            <w:pPr>
              <w:jc w:val="right"/>
              <w:ind w:right="1068"/>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gridSpan w:val="2"/>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202,359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center"/>
              <w:ind w:right="188"/>
              <w:spacing w:after="0"/>
              <w:rPr>
                <w:sz w:val="20"/>
                <w:szCs w:val="20"/>
                <w:color w:val="auto"/>
              </w:rPr>
            </w:pPr>
            <w:r>
              <w:rPr>
                <w:rFonts w:ascii="Arial" w:cs="Arial" w:eastAsia="Arial" w:hAnsi="Arial"/>
                <w:sz w:val="14"/>
                <w:szCs w:val="14"/>
                <w:b w:val="1"/>
                <w:bCs w:val="1"/>
                <w:color w:val="auto"/>
                <w:w w:val="90"/>
              </w:rPr>
              <w:t>As of December 31, 2022</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jc w:val="center"/>
              <w:ind w:right="42"/>
              <w:spacing w:after="0" w:line="133" w:lineRule="exact"/>
              <w:rPr>
                <w:sz w:val="20"/>
                <w:szCs w:val="20"/>
                <w:color w:val="auto"/>
              </w:rPr>
            </w:pPr>
            <w:r>
              <w:rPr>
                <w:rFonts w:ascii="Arial" w:cs="Arial" w:eastAsia="Arial" w:hAnsi="Arial"/>
                <w:sz w:val="14"/>
                <w:szCs w:val="14"/>
                <w:b w:val="1"/>
                <w:bCs w:val="1"/>
                <w:color w:val="auto"/>
                <w:w w:val="92"/>
              </w:rPr>
              <w:t>Quoted Prices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w w:val="95"/>
              </w:rPr>
              <w:t>Significant Other</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7"/>
              </w:rPr>
              <w:t>in Active Markets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for Identical Assets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(Level 1 Inputs)</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3"/>
              </w:rPr>
              <w:t>(Level 2 Inputs)</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95"/>
              </w:rPr>
              <w:t>(Level 3 Inputs)</w:t>
            </w:r>
          </w:p>
        </w:tc>
        <w:tc>
          <w:tcPr>
            <w:tcW w:w="2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175,486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ind w:left="1080"/>
              <w:spacing w:after="0"/>
              <w:rPr>
                <w:sz w:val="20"/>
                <w:szCs w:val="20"/>
                <w:color w:val="auto"/>
              </w:rPr>
            </w:pPr>
            <w:r>
              <w:rPr>
                <w:rFonts w:ascii="Arial" w:cs="Arial" w:eastAsia="Arial" w:hAnsi="Arial"/>
                <w:sz w:val="18"/>
                <w:szCs w:val="18"/>
                <w:color w:val="auto"/>
                <w:w w:val="88"/>
              </w:rPr>
              <w:t>—</w:t>
            </w:r>
          </w:p>
        </w:tc>
        <w:tc>
          <w:tcPr>
            <w:tcW w:w="1460" w:type="dxa"/>
            <w:vAlign w:val="bottom"/>
            <w:gridSpan w:val="3"/>
          </w:tcPr>
          <w:p>
            <w:pPr>
              <w:jc w:val="right"/>
              <w:ind w:right="1068"/>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175,486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3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175,486</w:t>
            </w:r>
          </w:p>
        </w:tc>
        <w:tc>
          <w:tcPr>
            <w:tcW w:w="2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ind w:left="108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gridSpan w:val="2"/>
            <w:shd w:val="clear" w:color="auto" w:fill="CFF0FC"/>
          </w:tcPr>
          <w:p>
            <w:pPr>
              <w:spacing w:after="0"/>
              <w:rPr>
                <w:sz w:val="24"/>
                <w:szCs w:val="24"/>
                <w:color w:val="auto"/>
              </w:rPr>
            </w:pPr>
          </w:p>
        </w:tc>
        <w:tc>
          <w:tcPr>
            <w:tcW w:w="1220" w:type="dxa"/>
            <w:vAlign w:val="bottom"/>
            <w:tcBorders>
              <w:top w:val="single" w:sz="8" w:color="auto"/>
              <w:bottom w:val="single" w:sz="8" w:color="auto"/>
            </w:tcBorders>
            <w:shd w:val="clear" w:color="auto" w:fill="CFF0FC"/>
          </w:tcPr>
          <w:p>
            <w:pPr>
              <w:jc w:val="right"/>
              <w:ind w:right="1068"/>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175,486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-1199515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-1182370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-1199515</wp:posOffset>
            </wp:positionV>
            <wp:extent cx="603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-1182370</wp:posOffset>
            </wp:positionV>
            <wp:extent cx="603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-1199515</wp:posOffset>
            </wp:positionV>
            <wp:extent cx="60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-1182370</wp:posOffset>
            </wp:positionV>
            <wp:extent cx="603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-1199515</wp:posOffset>
            </wp:positionV>
            <wp:extent cx="603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-1182370</wp:posOffset>
            </wp:positionV>
            <wp:extent cx="603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0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2023 and December 31, 2022, property and equipment, net consist of the following:</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As of</w:t>
            </w:r>
          </w:p>
        </w:tc>
        <w:tc>
          <w:tcPr>
            <w:tcW w:w="20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6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85"/>
        </w:trPr>
        <w:tc>
          <w:tcPr>
            <w:tcW w:w="6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2023</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r>
      <w:tr>
        <w:trPr>
          <w:trHeight w:val="236"/>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Capitalized equipment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1,293</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7,877</w:t>
            </w:r>
          </w:p>
        </w:tc>
        <w:tc>
          <w:tcPr>
            <w:tcW w:w="100" w:type="dxa"/>
            <w:vAlign w:val="bottom"/>
            <w:shd w:val="clear" w:color="auto" w:fill="CFF0FC"/>
          </w:tcPr>
          <w:p>
            <w:pPr>
              <w:spacing w:after="0"/>
              <w:rPr>
                <w:sz w:val="20"/>
                <w:szCs w:val="20"/>
                <w:color w:val="auto"/>
              </w:rPr>
            </w:pPr>
          </w:p>
        </w:tc>
      </w:tr>
      <w:tr>
        <w:trPr>
          <w:trHeight w:val="237"/>
        </w:trPr>
        <w:tc>
          <w:tcPr>
            <w:tcW w:w="6920" w:type="dxa"/>
            <w:vAlign w:val="bottom"/>
          </w:tcPr>
          <w:p>
            <w:pPr>
              <w:spacing w:after="0"/>
              <w:rPr>
                <w:sz w:val="20"/>
                <w:szCs w:val="20"/>
                <w:color w:val="auto"/>
              </w:rPr>
            </w:pPr>
            <w:r>
              <w:rPr>
                <w:rFonts w:ascii="Arial" w:cs="Arial" w:eastAsia="Arial" w:hAnsi="Arial"/>
                <w:sz w:val="18"/>
                <w:szCs w:val="18"/>
                <w:color w:val="auto"/>
              </w:rPr>
              <w:t>Capitalized internal-use software</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8,434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7,429</w:t>
            </w:r>
          </w:p>
        </w:tc>
        <w:tc>
          <w:tcPr>
            <w:tcW w:w="100" w:type="dxa"/>
            <w:vAlign w:val="bottom"/>
          </w:tcPr>
          <w:p>
            <w:pPr>
              <w:spacing w:after="0"/>
              <w:rPr>
                <w:sz w:val="20"/>
                <w:szCs w:val="20"/>
                <w:color w:val="auto"/>
              </w:rPr>
            </w:pPr>
          </w:p>
        </w:tc>
      </w:tr>
      <w:tr>
        <w:trPr>
          <w:trHeight w:val="249"/>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Capitalized website development</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40,569</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36,369</w:t>
            </w:r>
          </w:p>
        </w:tc>
        <w:tc>
          <w:tcPr>
            <w:tcW w:w="100" w:type="dxa"/>
            <w:vAlign w:val="bottom"/>
            <w:shd w:val="clear" w:color="auto" w:fill="CFF0FC"/>
          </w:tcPr>
          <w:p>
            <w:pPr>
              <w:spacing w:after="0"/>
              <w:rPr>
                <w:sz w:val="21"/>
                <w:szCs w:val="21"/>
                <w:color w:val="auto"/>
              </w:rPr>
            </w:pPr>
          </w:p>
        </w:tc>
      </w:tr>
      <w:tr>
        <w:trPr>
          <w:trHeight w:val="237"/>
        </w:trPr>
        <w:tc>
          <w:tcPr>
            <w:tcW w:w="69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8,620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8,615</w:t>
            </w:r>
          </w:p>
        </w:tc>
        <w:tc>
          <w:tcPr>
            <w:tcW w:w="100" w:type="dxa"/>
            <w:vAlign w:val="bottom"/>
          </w:tcPr>
          <w:p>
            <w:pPr>
              <w:spacing w:after="0"/>
              <w:rPr>
                <w:sz w:val="20"/>
                <w:szCs w:val="20"/>
                <w:color w:val="auto"/>
              </w:rPr>
            </w:pPr>
          </w:p>
        </w:tc>
      </w:tr>
      <w:tr>
        <w:trPr>
          <w:trHeight w:val="249"/>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24,301</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24,225</w:t>
            </w:r>
          </w:p>
        </w:tc>
        <w:tc>
          <w:tcPr>
            <w:tcW w:w="100" w:type="dxa"/>
            <w:vAlign w:val="bottom"/>
            <w:shd w:val="clear" w:color="auto" w:fill="CFF0FC"/>
          </w:tcPr>
          <w:p>
            <w:pPr>
              <w:spacing w:after="0"/>
              <w:rPr>
                <w:sz w:val="21"/>
                <w:szCs w:val="21"/>
                <w:color w:val="auto"/>
              </w:rPr>
            </w:pPr>
          </w:p>
        </w:tc>
      </w:tr>
      <w:tr>
        <w:trPr>
          <w:trHeight w:val="237"/>
        </w:trPr>
        <w:tc>
          <w:tcPr>
            <w:tcW w:w="69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5,483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4,161</w:t>
            </w:r>
          </w:p>
        </w:tc>
        <w:tc>
          <w:tcPr>
            <w:tcW w:w="100" w:type="dxa"/>
            <w:vAlign w:val="bottom"/>
          </w:tcPr>
          <w:p>
            <w:pPr>
              <w:spacing w:after="0"/>
              <w:rPr>
                <w:sz w:val="20"/>
                <w:szCs w:val="20"/>
                <w:color w:val="auto"/>
              </w:rPr>
            </w:pPr>
          </w:p>
        </w:tc>
      </w:tr>
      <w:tr>
        <w:trPr>
          <w:trHeight w:val="243"/>
        </w:trPr>
        <w:tc>
          <w:tcPr>
            <w:tcW w:w="6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Finance lease right-of-use assets</w:t>
            </w: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89,087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89,096</w:t>
            </w:r>
          </w:p>
        </w:tc>
        <w:tc>
          <w:tcPr>
            <w:tcW w:w="100" w:type="dxa"/>
            <w:vAlign w:val="bottom"/>
          </w:tcPr>
          <w:p>
            <w:pPr>
              <w:spacing w:after="0"/>
              <w:rPr>
                <w:sz w:val="20"/>
                <w:szCs w:val="20"/>
                <w:color w:val="auto"/>
              </w:rPr>
            </w:pPr>
          </w:p>
        </w:tc>
      </w:tr>
      <w:tr>
        <w:trPr>
          <w:trHeight w:val="243"/>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(46,339 )</w:t>
            </w: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(48,968 )</w:t>
            </w:r>
          </w:p>
        </w:tc>
      </w:tr>
      <w:tr>
        <w:trPr>
          <w:trHeight w:val="236"/>
        </w:trPr>
        <w:tc>
          <w:tcPr>
            <w:tcW w:w="692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42,748</w:t>
            </w:r>
          </w:p>
        </w:tc>
        <w:tc>
          <w:tcPr>
            <w:tcW w:w="26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40,128</w:t>
            </w:r>
          </w:p>
        </w:tc>
        <w:tc>
          <w:tcPr>
            <w:tcW w:w="100" w:type="dxa"/>
            <w:vAlign w:val="bottom"/>
            <w:tcBorders>
              <w:top w:val="single" w:sz="8" w:color="CFF0FC"/>
            </w:tcBorders>
          </w:tcPr>
          <w:p>
            <w:pPr>
              <w:spacing w:after="0"/>
              <w:rPr>
                <w:sz w:val="20"/>
                <w:szCs w:val="20"/>
                <w:color w:val="auto"/>
              </w:rPr>
            </w:pPr>
          </w:p>
        </w:tc>
      </w:tr>
      <w:tr>
        <w:trPr>
          <w:trHeight w:val="20"/>
        </w:trPr>
        <w:tc>
          <w:tcPr>
            <w:tcW w:w="6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-504825</wp:posOffset>
            </wp:positionV>
            <wp:extent cx="6858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-504825</wp:posOffset>
            </wp:positionV>
            <wp:extent cx="60325"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-187960</wp:posOffset>
            </wp:positionV>
            <wp:extent cx="68580" cy="1885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For the three months ended March 31, 2023 and 2022, depreciation and amortization expense, excluding amortization of intangible assets, amortization of capitalized hosting arrangements, and write-offs, was $4,042 and $3,480, respectively.</w:t>
      </w:r>
    </w:p>
    <w:p>
      <w:pPr>
        <w:spacing w:after="0" w:line="17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For the three months ended March 31, 2023, the Company wrote off $175 of Digital Wholesale segment capitalized website development costs within wholesale cost of revenue in the consolidated income statements related to certain developed technology in which the Company has decided to cease investment. For the three months ended March 31, 2022, the Company did not have any write-offs.</w:t>
      </w:r>
    </w:p>
    <w:p>
      <w:pPr>
        <w:spacing w:after="0" w:line="18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During the three months ended March 31, 2023, capitalized equipment decreased $6,584 due primarily to disposal of the data center assets as a result of the Company's migration onto a cloud-based hosting platform.</w:t>
      </w:r>
    </w:p>
    <w:p>
      <w:pPr>
        <w:spacing w:after="0" w:line="17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During the three months ended March 31, 2023, capitalized website development costs increased $4,200 due to continued investment in the Company's product offerings, offset by the write off Digital Wholesale segment capitalized website development costs.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6. Accrued Expenses, Accrued Income Taxes and Other Current Liabilities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March 31, 2023 and December 31, 2022, accrued expenses, accrued income taxes and other current liabilities consist of the following:</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58"/>
              <w:spacing w:after="0"/>
              <w:rPr>
                <w:sz w:val="20"/>
                <w:szCs w:val="20"/>
                <w:color w:val="auto"/>
              </w:rPr>
            </w:pPr>
            <w:r>
              <w:rPr>
                <w:rFonts w:ascii="Arial" w:cs="Arial" w:eastAsia="Arial" w:hAnsi="Arial"/>
                <w:sz w:val="14"/>
                <w:szCs w:val="14"/>
                <w:b w:val="1"/>
                <w:bCs w:val="1"/>
                <w:color w:val="auto"/>
                <w:w w:val="85"/>
              </w:rPr>
              <w:t>As of</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As of</w:t>
            </w:r>
          </w:p>
        </w:tc>
        <w:tc>
          <w:tcPr>
            <w:tcW w:w="100" w:type="dxa"/>
            <w:vAlign w:val="bottom"/>
          </w:tcPr>
          <w:p>
            <w:pPr>
              <w:spacing w:after="0"/>
              <w:rPr>
                <w:sz w:val="14"/>
                <w:szCs w:val="14"/>
                <w:color w:val="auto"/>
              </w:rPr>
            </w:pPr>
          </w:p>
        </w:tc>
      </w:tr>
      <w:tr>
        <w:trPr>
          <w:trHeight w:val="148"/>
        </w:trPr>
        <w:tc>
          <w:tcPr>
            <w:tcW w:w="6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5"/>
              </w:rPr>
              <w:t>March 31,</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r>
      <w:tr>
        <w:trPr>
          <w:trHeight w:val="185"/>
        </w:trPr>
        <w:tc>
          <w:tcPr>
            <w:tcW w:w="6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6"/>
              </w:rPr>
              <w:t>2023</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r>
      <w:tr>
        <w:trPr>
          <w:trHeight w:val="237"/>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Accrued bonus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5,736</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11,007</w:t>
            </w:r>
          </w:p>
        </w:tc>
        <w:tc>
          <w:tcPr>
            <w:tcW w:w="100" w:type="dxa"/>
            <w:vAlign w:val="bottom"/>
            <w:shd w:val="clear" w:color="auto" w:fill="CFF0FC"/>
          </w:tcPr>
          <w:p>
            <w:pPr>
              <w:spacing w:after="0"/>
              <w:rPr>
                <w:sz w:val="20"/>
                <w:szCs w:val="20"/>
                <w:color w:val="auto"/>
              </w:rPr>
            </w:pPr>
          </w:p>
        </w:tc>
      </w:tr>
      <w:tr>
        <w:trPr>
          <w:trHeight w:val="237"/>
        </w:trPr>
        <w:tc>
          <w:tcPr>
            <w:tcW w:w="6920" w:type="dxa"/>
            <w:vAlign w:val="bottom"/>
          </w:tcPr>
          <w:p>
            <w:pPr>
              <w:spacing w:after="0"/>
              <w:rPr>
                <w:sz w:val="20"/>
                <w:szCs w:val="20"/>
                <w:color w:val="auto"/>
              </w:rPr>
            </w:pPr>
            <w:r>
              <w:rPr>
                <w:rFonts w:ascii="Arial" w:cs="Arial" w:eastAsia="Arial" w:hAnsi="Arial"/>
                <w:sz w:val="18"/>
                <w:szCs w:val="18"/>
                <w:color w:val="auto"/>
              </w:rPr>
              <w:t>Accrued income taxes</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16,477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2,063</w:t>
            </w:r>
          </w:p>
        </w:tc>
        <w:tc>
          <w:tcPr>
            <w:tcW w:w="100" w:type="dxa"/>
            <w:vAlign w:val="bottom"/>
          </w:tcPr>
          <w:p>
            <w:pPr>
              <w:spacing w:after="0"/>
              <w:rPr>
                <w:sz w:val="20"/>
                <w:szCs w:val="20"/>
                <w:color w:val="auto"/>
              </w:rPr>
            </w:pPr>
          </w:p>
        </w:tc>
      </w:tr>
      <w:tr>
        <w:trPr>
          <w:trHeight w:val="243"/>
        </w:trPr>
        <w:tc>
          <w:tcPr>
            <w:tcW w:w="6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accrued expenses and other current liabilities</w:t>
            </w: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22,797</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26,123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920" w:type="dxa"/>
            <w:vAlign w:val="bottom"/>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45,010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39,193</w:t>
            </w:r>
          </w:p>
        </w:tc>
        <w:tc>
          <w:tcPr>
            <w:tcW w:w="100" w:type="dxa"/>
            <w:vAlign w:val="bottom"/>
          </w:tcPr>
          <w:p>
            <w:pPr>
              <w:spacing w:after="0"/>
              <w:rPr>
                <w:sz w:val="20"/>
                <w:szCs w:val="20"/>
                <w:color w:val="auto"/>
              </w:rPr>
            </w:pPr>
          </w:p>
        </w:tc>
      </w:tr>
      <w:tr>
        <w:trPr>
          <w:trHeight w:val="20"/>
        </w:trPr>
        <w:tc>
          <w:tcPr>
            <w:tcW w:w="6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-187960</wp:posOffset>
            </wp:positionV>
            <wp:extent cx="68580"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decrease of $5,271 in accrued bonus is due primarily to the payout of the second portion of the fiscal year 2022 bonuses in the first quarter of 2023, offset in part by the accrual for the fiscal year 2023 bonuses.</w:t>
      </w:r>
    </w:p>
    <w:p>
      <w:pPr>
        <w:spacing w:after="0" w:line="17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increase of $14,414 in accrued income taxes is due primarily to the impact of the amended IRC Section 174 research and expenditure (“R&amp;E”) rules for U.S. income tax purposes and the lack of carryover tax attributes as the majority of the carryover tax attributes was utilized in the year 2022. The Tax Cuts and Jobs Act amended the R&amp;E rules to require capitalization and amortization of product, technology and software development costs paid or incurred in tax years beginning after December 31, 2021.</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decrease of $3,326 in other accrued expenses and other current liabilities is due to individually immaterial fluctuations.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2023 and December 31, 2022, the Company had no long-term debt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225"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On September 26, 2022, the Company entered into a Credit Agreement (the “Credit Agreement”) by and among the Company, PNC Bank, National Association, as administrative agent and collateral agent and an L/C Issuer (as defined in the Credit Agreement), and the other lenders, L/C Issuers and parties thereto from time to time. The Credit Agreement consists of a revolving credit facility (the “2022 Revolver”), which allows the Company to borrow up to $400.0 million, $50.0 million of which may be comprised of a letter of credit sub-facility (the "2022 Revolver Sub-facility"). The borrowing capacity under the Credit Agreement may be increased in accordance with the terms and subject to the adjustments as set forth in the Credit Agreement. For example, the borrowing capacity may be increased by an amount up to the greater of $250.0 million or 100% of Four Quarter Consolidated EBITDA (as defined in the Credit Agreement) if certain criteria are met and subject to certain restrictions. Any such increase requires lender approval. Proceeds of any borrowings may be used for general corporate purposes. The 2022 Revolver is scheduled to mature on September 26, 2027.</w:t>
      </w:r>
    </w:p>
    <w:p>
      <w:pPr>
        <w:spacing w:after="0" w:line="16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applicable interest rate is, at the Company's option, based on a number of different benchmark rates and applicable spreads, based on the ratio of the outstanding principal amount of the Company’s secured indebtedness to the trailing four quarters of consolidated EBITDA (as determined under the Credit Agreement, the “Consolidated Secured Net Leverage Ratio”). The Credit Agreement also requires the Company to pay a commitment fee to the lenders with respect of the unutilized revolving commitments at a rate ranging from 0.125% to 0.175% per annum based on the Consolidated Secured Net Leverage Ratio, as determined on a quarterly basis.</w:t>
      </w:r>
    </w:p>
    <w:p>
      <w:pPr>
        <w:spacing w:after="0" w:line="188"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The 2022 Revolver is secured by a first priority lien on substantially all tangible and intangible property of the Company and its subsidiary, AutoList, Inc., as well as any future guarantors, and pledges of the equity of CarOffer and certain wholly-owned subsidiaries, in each case subject to certain exceptions, limitations and exclusions from the collateral. The Credit Agreement includes customary events of default and requires the Company to comply with customary affirmative and negative covenants, including a financial covenant requiring that the Company not exceed certain Consolidated Secured Net Leverage Ratio ranges at the end of each fiscal quarter. The Company was in compliance with all covenants as of March 31, 2023.</w:t>
      </w:r>
    </w:p>
    <w:p>
      <w:pPr>
        <w:spacing w:after="0" w:line="161"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As of March 31, 2023, there were no borrowings and $742 in letters of credit, which reduces the borrowing capacity under the 2022 Revolver to $399,258. As of December 31, 2022, there were no borrowings and no letters of credit outstanding under the 2022 Revolver.</w:t>
      </w:r>
    </w:p>
    <w:p>
      <w:pPr>
        <w:spacing w:after="0" w:line="17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As of March 31, 2023, deferred financing costs were $2,313. As of December 31, 2022, deferred financing costs were $2,442. For the three months ended March 31, 2023, amortization expense associated with deferred financing costs was $129. For the three months ended March 31, 2022, the Company did not recognize any amortization expense associated with deferred financing costs.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color w:val="auto"/>
        </w:rPr>
        <w:t>As of March 31, 2023 and December 31, 2022, commitment fees under the 2022 Revolver were immaterial.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25" w:lineRule="exact"/>
        <w:rPr>
          <w:sz w:val="20"/>
          <w:szCs w:val="20"/>
          <w:color w:val="auto"/>
        </w:rPr>
      </w:pPr>
    </w:p>
    <w:p>
      <w:pPr>
        <w:jc w:val="both"/>
        <w:ind w:firstLine="509"/>
        <w:spacing w:after="0" w:line="280" w:lineRule="auto"/>
        <w:rPr>
          <w:sz w:val="20"/>
          <w:szCs w:val="20"/>
          <w:color w:val="auto"/>
        </w:rPr>
      </w:pPr>
      <w:r>
        <w:rPr>
          <w:rFonts w:ascii="Arial" w:cs="Arial" w:eastAsia="Arial" w:hAnsi="Arial"/>
          <w:sz w:val="17"/>
          <w:szCs w:val="17"/>
          <w:color w:val="auto"/>
        </w:rPr>
        <w:t>As of March 31, 2023, all of the Company’s property, equipment, and externally sourced internal-use software have been purchased with cash with the exception of amounts related to unpaid property and equipment, capitalized website development, capitalized internal-use software and capitalized hosting arrangements and amounts related to obligations under finance leases as disclosed in the Unaudited Condensed Consolidated Statements of Cash Flows. In connection with the 1001 Boylston Street lease, the Company expects to spend approximately $69,815, net of tenant reimbursements. As of March 31, 2023, the Company has incurred $4,363 in expenses and signed $3,582 in contract commitments, which have not yet been incurred. The Company has no other material long-term purchase obligations outstanding with any vendors or third-parties.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Company’s lease obligations consist substantially of various leases for office space in: Boston, Massachusetts; Cambridge, Massachusetts; San Francisco, California; Addison, Texas; and Dublin, Ireland.</w:t>
      </w:r>
    </w:p>
    <w:p>
      <w:pPr>
        <w:spacing w:after="0" w:line="17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As of March 31, 2023, there were no material changes in the Company’s leases from those disclosed in the Annual Report, other than those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Material Leases</w:t>
      </w:r>
    </w:p>
    <w:p>
      <w:pPr>
        <w:spacing w:after="0" w:line="225"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The Company’s operating lease agreement in Boston, Massachusetts for 225,428 square feet at 1001 Boylston Street (the "1001 Boylston Street Lease") commenced on February 3, 2023 ("Delivery Date") as the Company has been granted access to begin its build out. The “Commencement Date” of the lease term is the earlier to occur of (i) the date that is twelve months following the Delivery Date (as defined in the lease) and (ii) the date that the Company first occupies the premises for the normal conduct of business for the Permitted Use (as defined in the lease). The initial term will commence on the Commencement Date and expire on the date that is one hundred and eighty full calendar months after the Commencement Date (plus the partial month, if any, immediately following the Commencement Date). The 1001 Boylston Street Lease provides for the option to terminate early under certain circumstances and contains options to extend the lease term for two additional periods of five years. The 1001 Boylston Street Lease provides for annual rent increases through the term of the lease, leasehold improvement incentives, and variable payments related to operating expenses, management fees, taxes, utilities, insurance, and maintenance expenses. It also contains both lease and non-lease components in the contract. Non-lease components relate to operating expenses, parking, utilities, and maintenance expenses. The Company expects to move into the office space in 2024.</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2023, future minimum lease payments for all leases are as follows:</w:t>
      </w:r>
    </w:p>
    <w:p>
      <w:pPr>
        <w:spacing w:after="0" w:line="21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148"/>
        </w:trPr>
        <w:tc>
          <w:tcPr>
            <w:tcW w:w="8200" w:type="dxa"/>
            <w:vAlign w:val="bottom"/>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Lease</w:t>
            </w:r>
          </w:p>
        </w:tc>
        <w:tc>
          <w:tcPr>
            <w:tcW w:w="0" w:type="dxa"/>
            <w:vAlign w:val="bottom"/>
          </w:tcPr>
          <w:p>
            <w:pPr>
              <w:spacing w:after="0"/>
              <w:rPr>
                <w:sz w:val="1"/>
                <w:szCs w:val="1"/>
                <w:color w:val="auto"/>
              </w:rPr>
            </w:pPr>
          </w:p>
        </w:tc>
      </w:tr>
      <w:tr>
        <w:trPr>
          <w:trHeight w:val="185"/>
        </w:trPr>
        <w:tc>
          <w:tcPr>
            <w:tcW w:w="82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Commitments</w:t>
            </w:r>
          </w:p>
        </w:tc>
        <w:tc>
          <w:tcPr>
            <w:tcW w:w="0" w:type="dxa"/>
            <w:vAlign w:val="bottom"/>
          </w:tcPr>
          <w:p>
            <w:pPr>
              <w:spacing w:after="0"/>
              <w:rPr>
                <w:sz w:val="1"/>
                <w:szCs w:val="1"/>
                <w:color w:val="auto"/>
              </w:rPr>
            </w:pPr>
          </w:p>
        </w:tc>
      </w:tr>
      <w:tr>
        <w:trPr>
          <w:trHeight w:val="237"/>
        </w:trPr>
        <w:tc>
          <w:tcPr>
            <w:tcW w:w="8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Remainder of 2023</w:t>
            </w:r>
          </w:p>
        </w:tc>
        <w:tc>
          <w:tcPr>
            <w:tcW w:w="2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12,404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20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15,792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2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200" w:type="dxa"/>
            <w:vAlign w:val="bottom"/>
          </w:tcPr>
          <w:p>
            <w:pPr>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22,334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20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22,742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20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lease payments</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323,021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200" w:type="dxa"/>
            <w:vAlign w:val="bottom"/>
          </w:tcPr>
          <w:p>
            <w:pPr>
              <w:spacing w:after="0"/>
              <w:rPr>
                <w:sz w:val="20"/>
                <w:szCs w:val="20"/>
                <w:color w:val="auto"/>
              </w:rPr>
            </w:pPr>
            <w:r>
              <w:rPr>
                <w:rFonts w:ascii="Arial" w:cs="Arial" w:eastAsia="Arial" w:hAnsi="Arial"/>
                <w:sz w:val="18"/>
                <w:szCs w:val="18"/>
                <w:color w:val="auto"/>
              </w:rPr>
              <w:t>Less imputed interest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(112,610 )</w:t>
            </w:r>
          </w:p>
        </w:tc>
        <w:tc>
          <w:tcPr>
            <w:tcW w:w="0" w:type="dxa"/>
            <w:vAlign w:val="bottom"/>
          </w:tcPr>
          <w:p>
            <w:pPr>
              <w:spacing w:after="0"/>
              <w:rPr>
                <w:sz w:val="1"/>
                <w:szCs w:val="1"/>
                <w:color w:val="auto"/>
              </w:rPr>
            </w:pPr>
          </w:p>
        </w:tc>
      </w:tr>
      <w:tr>
        <w:trPr>
          <w:trHeight w:val="277"/>
        </w:trPr>
        <w:tc>
          <w:tcPr>
            <w:tcW w:w="82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210,411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6760210</wp:posOffset>
            </wp:positionH>
            <wp:positionV relativeFrom="paragraph">
              <wp:posOffset>-24765</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-7620</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three months ended March 31, 2023 and 2022, the Company recognized $7,444 and $4,052 of lease costs,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jc w:val="both"/>
        <w:ind w:firstLine="509"/>
        <w:spacing w:after="0" w:line="255" w:lineRule="auto"/>
        <w:rPr>
          <w:sz w:val="20"/>
          <w:szCs w:val="20"/>
          <w:color w:val="auto"/>
        </w:rPr>
      </w:pPr>
      <w:r>
        <w:rPr>
          <w:rFonts w:ascii="Arial" w:cs="Arial" w:eastAsia="Arial" w:hAnsi="Arial"/>
          <w:sz w:val="18"/>
          <w:szCs w:val="18"/>
          <w:color w:val="auto"/>
        </w:rPr>
        <w:t>As of March 31, 2023, the weighted average remaining lease term was 13.2 years, and the weighted average discount rate was 5.6%. As the Company's leases do not provide an implicit rate, the Company uses an estimated incremental borrowing rate based on the information available at lease commencement in determining the present value of lease payments. The Company estimated the incremental borrowing rate based on the rate of interest the Company would have to pay to borrow a similar amount on a collateralized basis over a similar term. The Company has no historical debt transactions and a collateralized rate is estimated based on a group of peer companies. The Company used the incremental borrowing rate on January 1, 2019 for leases that commenced prior to that date.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Sublease Income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2023, future minimum sublease income payments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8200" w:type="dxa"/>
            <w:vAlign w:val="bottom"/>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right"/>
              <w:ind w:right="514"/>
              <w:spacing w:after="0"/>
              <w:rPr>
                <w:sz w:val="20"/>
                <w:szCs w:val="20"/>
                <w:color w:val="auto"/>
              </w:rPr>
            </w:pPr>
            <w:r>
              <w:rPr>
                <w:rFonts w:ascii="Arial" w:cs="Arial" w:eastAsia="Arial" w:hAnsi="Arial"/>
                <w:sz w:val="14"/>
                <w:szCs w:val="14"/>
                <w:b w:val="1"/>
                <w:bCs w:val="1"/>
                <w:color w:val="auto"/>
              </w:rPr>
              <w:t>Sublease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 w:type="dxa"/>
            <w:vAlign w:val="bottom"/>
          </w:tcPr>
          <w:p>
            <w:pPr>
              <w:spacing w:after="0"/>
              <w:rPr>
                <w:sz w:val="16"/>
                <w:szCs w:val="16"/>
                <w:color w:val="auto"/>
              </w:rPr>
            </w:pPr>
          </w:p>
        </w:tc>
        <w:tc>
          <w:tcPr>
            <w:tcW w:w="82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7"/>
              </w:rPr>
              <w:t>Income Payments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0" w:type="dxa"/>
            <w:vAlign w:val="bottom"/>
          </w:tcPr>
          <w:p>
            <w:pPr>
              <w:spacing w:after="0"/>
              <w:rPr>
                <w:sz w:val="20"/>
                <w:szCs w:val="20"/>
                <w:color w:val="auto"/>
              </w:rPr>
            </w:pPr>
          </w:p>
        </w:tc>
        <w:tc>
          <w:tcPr>
            <w:tcW w:w="820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2023</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20" w:type="dxa"/>
            <w:vAlign w:val="bottom"/>
          </w:tcPr>
          <w:p>
            <w:pPr>
              <w:spacing w:after="0"/>
              <w:rPr>
                <w:sz w:val="22"/>
                <w:szCs w:val="22"/>
                <w:color w:val="auto"/>
              </w:rPr>
            </w:pPr>
          </w:p>
        </w:tc>
        <w:tc>
          <w:tcPr>
            <w:tcW w:w="82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20" w:type="dxa"/>
            <w:vAlign w:val="bottom"/>
          </w:tcPr>
          <w:p>
            <w:pPr>
              <w:spacing w:after="0"/>
              <w:rPr>
                <w:sz w:val="22"/>
                <w:szCs w:val="22"/>
                <w:color w:val="auto"/>
              </w:rPr>
            </w:pPr>
          </w:p>
        </w:tc>
        <w:tc>
          <w:tcPr>
            <w:tcW w:w="820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20" w:type="dxa"/>
            <w:vAlign w:val="bottom"/>
          </w:tcPr>
          <w:p>
            <w:pPr>
              <w:spacing w:after="0"/>
              <w:rPr>
                <w:sz w:val="24"/>
                <w:szCs w:val="24"/>
                <w:color w:val="auto"/>
              </w:rPr>
            </w:pPr>
          </w:p>
        </w:tc>
        <w:tc>
          <w:tcPr>
            <w:tcW w:w="82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720" w:type="dxa"/>
            <w:vAlign w:val="bottom"/>
            <w:gridSpan w:val="2"/>
          </w:tcPr>
          <w:p>
            <w:pPr>
              <w:spacing w:after="0"/>
              <w:rPr>
                <w:sz w:val="20"/>
                <w:szCs w:val="20"/>
                <w:color w:val="auto"/>
              </w:rPr>
            </w:pPr>
            <w:r>
              <w:rPr>
                <w:rFonts w:ascii="Arial" w:cs="Arial" w:eastAsia="Arial" w:hAnsi="Arial"/>
                <w:sz w:val="18"/>
                <w:szCs w:val="18"/>
                <w:i w:val="1"/>
                <w:iCs w:val="1"/>
                <w:color w:val="auto"/>
              </w:rPr>
              <w:t>Restricted Cash</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6760210</wp:posOffset>
            </wp:positionH>
            <wp:positionV relativeFrom="paragraph">
              <wp:posOffset>-299720</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-281940</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The 1001 Boylston Street Lease and the Company’s leases in Cambridge, Massachusetts and San Francisco, California have associated letters of credit. As of December 31, 2022, all letters of credit were collateralized by cash which was recognized as restricted cash in the Unaudited Condensed Consolidated Balance Sheets. As of March 31, 2023, $742 of letters of credit were included under the 2022 Revolver Sub-facility, as the Company canceled two letters of credit associated with the San Francisco and the Cambridge (55 Cambridge Parkway) leases and reissued these letters of credit under the 2022 Revolver Sub-facility. As of March 31, 2023, $9,385 of letters of credit associated with the 1001 Boylston Street Lease and the Cambridge (2 Canal) lease remained collateralized by cash, which was recognized as restricted cash in the Unaudited Condensed Consolidated Balance Sheets. The Company canceled a letter of credit associated with the Cambridge (2 Canal) lease, however, the cash was recognized as restricted cash as of March 31, 2023, until it is released from the bank. The Company expects to cancel the letter of credit associated with the 1001 Boylston Street Lease and reissue a new letter of credit under the 2022 Revolver Sub-facility in the next twelve months.</w:t>
      </w:r>
    </w:p>
    <w:p>
      <w:pPr>
        <w:spacing w:after="0" w:line="181" w:lineRule="exact"/>
        <w:rPr>
          <w:sz w:val="20"/>
          <w:szCs w:val="20"/>
          <w:color w:val="auto"/>
        </w:rPr>
      </w:pPr>
    </w:p>
    <w:p>
      <w:pPr>
        <w:jc w:val="both"/>
        <w:ind w:firstLine="509"/>
        <w:spacing w:after="0" w:line="218" w:lineRule="exact"/>
        <w:rPr>
          <w:sz w:val="20"/>
          <w:szCs w:val="20"/>
          <w:color w:val="auto"/>
        </w:rPr>
      </w:pPr>
      <w:r>
        <w:rPr>
          <w:rFonts w:ascii="Arial" w:cs="Arial" w:eastAsia="Arial" w:hAnsi="Arial"/>
          <w:sz w:val="17"/>
          <w:szCs w:val="17"/>
          <w:color w:val="auto"/>
        </w:rPr>
        <w:t>As of March 31, 2023 and December 31, 2022, restricted cash was $14,985 and $14,615, respectively, and primarily related to cash held at a financial institution in an interest</w:t>
      </w:r>
      <w:r>
        <w:rPr>
          <w:rFonts w:ascii="MS PGothic" w:cs="MS PGothic" w:eastAsia="MS PGothic" w:hAnsi="MS PGothic"/>
          <w:sz w:val="17"/>
          <w:szCs w:val="17"/>
          <w:color w:val="auto"/>
        </w:rPr>
        <w:t>‑</w:t>
      </w:r>
      <w:r>
        <w:rPr>
          <w:rFonts w:ascii="Arial" w:cs="Arial" w:eastAsia="Arial" w:hAnsi="Arial"/>
          <w:sz w:val="17"/>
          <w:szCs w:val="17"/>
          <w:color w:val="auto"/>
        </w:rPr>
        <w:t>bearing cash account as collateral for the letters of credit related to the contractual provisions for the Company’s building leases and pass-through payments from customers related to the Company’s wholesale business. As of December 31, 2022, portions of restricted cash were classified as a short-term asset and long</w:t>
      </w:r>
      <w:r>
        <w:rPr>
          <w:rFonts w:ascii="MS PGothic" w:cs="MS PGothic" w:eastAsia="MS PGothic" w:hAnsi="MS PGothic"/>
          <w:sz w:val="17"/>
          <w:szCs w:val="17"/>
          <w:color w:val="auto"/>
        </w:rPr>
        <w:t>‑</w:t>
      </w:r>
      <w:r>
        <w:rPr>
          <w:rFonts w:ascii="Arial" w:cs="Arial" w:eastAsia="Arial" w:hAnsi="Arial"/>
          <w:sz w:val="17"/>
          <w:szCs w:val="17"/>
          <w:color w:val="auto"/>
        </w:rPr>
        <w:t>term asset, as disclosed in the Unaudited Condensed Consolidated Balance Sheet. During the three months ended March 31, 2023, the Company reclassified $8,885 of letters of credit from a long-term asset to a short-term asset as the Company expects to cancel and reissue the remaining letters of credit under the 2022 Revolver Sub-facility in the next twelve months. As of March 31, 2023, all restricted cash was classified as a short-term asset, as disclosed in the Unaudited Condensed Consolidated Balance Sheets.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25"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On January 14, 2021 the Company completed the acquisition of a 51% interest in CarOffer, an automated instant vehicle trade platform based in Addison, Texas, with the option to acquire portions of the remaining equity in the future. During the year ended December 31, 2022, the Company determined not to exercise its call right to acquire up to an additional 25% of the fully diluted capitalization of CarOffer. In the second half of 2024, the Company will have a call right to acquire all, and not less than all, of the remaining equity interests in CarOffer and the representative of the holders of the remaining equity will have a put right to sell to the Company, all, and not less than all, of the remaining equity interests in CarOffer. Details of this acquisition are more fully described in Note 2 to the consolidated financial statements contained within the Annual Report.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From time to time the Company may become involved in legal proceedings or be subject to claims arising in the ordinary course of its business. The Company recognizes a liability when it believes that it is both probable that a liability has been incurred and the amount of loss can be reasonably estimated. Judgment is required to determine both the probability of having incurred a liability and the estimated amount of the liability. The Company is not presently subject to any pending or threatened litigation that it believes, if determined adversely to the Company, individually, or taken together, would reasonably be expected to have a material adverse effect on its business or financial results. However, litigation is inherently unpredictable and the future outcome of legal proceedings and other contingencies may be unexpected or differ from the Company’s estimated liabilities, which could have a material adverse effect on the Company’s future financial results.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 and Indemnification Obligations</w:t>
      </w:r>
    </w:p>
    <w:p>
      <w:pPr>
        <w:spacing w:after="0" w:line="22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 the ordinary course of business, the Company enters into agreements with its customers, partners and service providers that include commercial provisions with respect to licensing, infringement, guarantees, indemnification, and other common provisions.</w:t>
      </w:r>
    </w:p>
    <w:p>
      <w:pPr>
        <w:spacing w:after="0" w:line="17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 xml:space="preserve">The Company provides certain guarantees to dealers through products such as its 45-Day Guarantee and OfferGuard service offerings on the CarOffer platform, which are accounted for under ASC Topic 460, </w:t>
      </w:r>
      <w:r>
        <w:rPr>
          <w:rFonts w:ascii="Arial" w:cs="Arial" w:eastAsia="Arial" w:hAnsi="Arial"/>
          <w:sz w:val="18"/>
          <w:szCs w:val="18"/>
          <w:i w:val="1"/>
          <w:iCs w:val="1"/>
          <w:color w:val="auto"/>
        </w:rPr>
        <w:t>Guarantees</w:t>
      </w:r>
      <w:r>
        <w:rPr>
          <w:rFonts w:ascii="Arial" w:cs="Arial" w:eastAsia="Arial" w:hAnsi="Arial"/>
          <w:sz w:val="18"/>
          <w:szCs w:val="18"/>
          <w:color w:val="auto"/>
        </w:rPr>
        <w:t>.</w:t>
      </w:r>
    </w:p>
    <w:p>
      <w:pPr>
        <w:spacing w:after="0" w:line="17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45-Day Guarantee is an arrangement through which a selling dealer lists a car on the CarOffer platform, and the Company provides an offer to purchase the vehicle listed at a specified price at any time over a 45-day period. This provides the seller with a put option, where they have the right, but not the obligation, to require the Company to purchase the vehicle during this window. OfferGuard is an arrangement through which a buying dealer purchases a car on the CarOffer platform, and the Company provides an offer to purchase the vehicle at a specified price between days 1 and 3, and days 42 and 45 if the dealer is not able to sell the vehicle after 42 days.</w:t>
      </w:r>
    </w:p>
    <w:p>
      <w:pPr>
        <w:spacing w:after="0" w:line="188"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A guarantee liability is initially measured using the amount of consideration received from the dealer for the purchase of the guarantee. The initial liability is released, and guarantee income is recognized, upon the earliest of the following: the vehicle sells during the guarantee period, the seller exercises its put option during the guarantee period, or the option expires unexercised at the end of the guarantee period. Guarantee income is recognized within wholesale revenue in the Unaudited Condensed Consolidated Income Statements. Gains and losses resulting from dealers' exercise of guarantees are recognized within wholesale cost of revenue in the Unaudited Condensed Consolidated Balance Sheets. When it is probable and reasonably estimable that the Company will incur a loss on a vehicle that it is required to purchase, a liability and a corresponding charge to wholesale cost of revenue is recognized for the amount of the loss in the Unaudited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1234440</wp:posOffset>
            </wp:positionH>
            <wp:positionV relativeFrom="paragraph">
              <wp:posOffset>-452120</wp:posOffset>
            </wp:positionV>
            <wp:extent cx="262191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21915" cy="8890"/>
                    </a:xfrm>
                    <a:prstGeom prst="rect">
                      <a:avLst/>
                    </a:prstGeom>
                    <a:noFill/>
                  </pic:spPr>
                </pic:pic>
              </a:graphicData>
            </a:graphic>
          </wp:anchor>
        </w:drawing>
      </w:r>
    </w:p>
    <w:p>
      <w:pPr>
        <w:spacing w:after="0" w:line="15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For the three months ended March 31, 2023 and 2022, income for guarantees purchased by dealers was $614 and $3,303, respectively. For the three months ended March 31, 2023, the gains, net of loss, recognized within cost of revenue in the Unaudited Condensed Consolidated Income Statements resulting from dealers' exercise of guarantees was $75. For the three months ended March 31, 2022, the loss, net of gains, recognized within cost of revenue in the Unaudited Condensed Consolidated Income Statements resulting from dealers' exercise of guarantees was $1,824.</w:t>
      </w:r>
    </w:p>
    <w:p>
      <w:pPr>
        <w:spacing w:after="0" w:line="17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As of March 31, 2023, the maximum potential amount of future payments that the Company could be required to make under these guarantees was $27,594. Of the maximum potential amount of future payments, the losses that are probable were immaterial. As such, as of March 31, 2023, the Company had no material contingent loss liabilities.</w:t>
      </w:r>
    </w:p>
    <w:p>
      <w:pPr>
        <w:spacing w:after="0" w:line="18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As of December 31, 2022, the maximum potential amount of future payments that the Company could be required to make under these guarantees was $31,056. Of the maximum potential amount of future payments, the losses that were probable were immaterial. As such, as of December 31, 2022, the Company had no material contingent loss liabilities.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9. Stock-based Compensation and Common Stock Share Repurchases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For the three months ended March 31, 2023 and 2022, stock-based compensation expense by award type and where the stock-based compensation expense was recognized in the Unaudited Condensed Consolidated Income Statements is as follows: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69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2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4"/>
                <w:szCs w:val="14"/>
                <w:color w:val="auto"/>
              </w:rPr>
            </w:pPr>
          </w:p>
        </w:tc>
      </w:tr>
      <w:tr>
        <w:trPr>
          <w:trHeight w:val="237"/>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Options</w:t>
            </w:r>
          </w:p>
        </w:tc>
        <w:tc>
          <w:tcPr>
            <w:tcW w:w="860" w:type="dxa"/>
            <w:vAlign w:val="bottom"/>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26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FF0FC"/>
          </w:tcPr>
          <w:p>
            <w:pPr>
              <w:spacing w:after="0"/>
              <w:rPr>
                <w:sz w:val="20"/>
                <w:szCs w:val="20"/>
                <w:color w:val="auto"/>
              </w:rPr>
            </w:pPr>
          </w:p>
        </w:tc>
      </w:tr>
      <w:tr>
        <w:trPr>
          <w:trHeight w:val="237"/>
        </w:trPr>
        <w:tc>
          <w:tcPr>
            <w:tcW w:w="6920" w:type="dxa"/>
            <w:vAlign w:val="bottom"/>
          </w:tcPr>
          <w:p>
            <w:pPr>
              <w:spacing w:after="0"/>
              <w:rPr>
                <w:sz w:val="20"/>
                <w:szCs w:val="20"/>
                <w:color w:val="auto"/>
              </w:rPr>
            </w:pPr>
            <w:r>
              <w:rPr>
                <w:rFonts w:ascii="Arial" w:cs="Arial" w:eastAsia="Arial" w:hAnsi="Arial"/>
                <w:sz w:val="18"/>
                <w:szCs w:val="18"/>
                <w:color w:val="auto"/>
              </w:rPr>
              <w:t>Restricted Stock Units</w:t>
            </w: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14,363</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13,503</w:t>
            </w:r>
          </w:p>
        </w:tc>
        <w:tc>
          <w:tcPr>
            <w:tcW w:w="100" w:type="dxa"/>
            <w:vAlign w:val="bottom"/>
          </w:tcPr>
          <w:p>
            <w:pPr>
              <w:spacing w:after="0"/>
              <w:rPr>
                <w:sz w:val="20"/>
                <w:szCs w:val="20"/>
                <w:color w:val="auto"/>
              </w:rPr>
            </w:pPr>
          </w:p>
        </w:tc>
      </w:tr>
      <w:tr>
        <w:trPr>
          <w:trHeight w:val="243"/>
        </w:trPr>
        <w:tc>
          <w:tcPr>
            <w:tcW w:w="6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 Incentive Units and Subject Units</w:t>
            </w:r>
          </w:p>
        </w:tc>
        <w:tc>
          <w:tcPr>
            <w:tcW w:w="8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13,695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920" w:type="dxa"/>
            <w:vAlign w:val="bottom"/>
          </w:tcPr>
          <w:p>
            <w:pPr>
              <w:ind w:left="180"/>
              <w:spacing w:after="0"/>
              <w:rPr>
                <w:sz w:val="20"/>
                <w:szCs w:val="20"/>
                <w:color w:val="auto"/>
              </w:rPr>
            </w:pPr>
            <w:r>
              <w:rPr>
                <w:rFonts w:ascii="Arial" w:cs="Arial" w:eastAsia="Arial" w:hAnsi="Arial"/>
                <w:sz w:val="18"/>
                <w:szCs w:val="18"/>
                <w:color w:val="auto"/>
              </w:rPr>
              <w:t>Total</w:t>
            </w: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14,977</w:t>
            </w:r>
          </w:p>
        </w:tc>
        <w:tc>
          <w:tcPr>
            <w:tcW w:w="7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27,842</w:t>
            </w:r>
          </w:p>
        </w:tc>
        <w:tc>
          <w:tcPr>
            <w:tcW w:w="100" w:type="dxa"/>
            <w:vAlign w:val="bottom"/>
          </w:tcPr>
          <w:p>
            <w:pPr>
              <w:spacing w:after="0"/>
              <w:rPr>
                <w:sz w:val="20"/>
                <w:szCs w:val="20"/>
                <w:color w:val="auto"/>
              </w:rPr>
            </w:pPr>
          </w:p>
        </w:tc>
      </w:tr>
      <w:tr>
        <w:trPr>
          <w:trHeight w:val="20"/>
        </w:trPr>
        <w:tc>
          <w:tcPr>
            <w:tcW w:w="69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-187960</wp:posOffset>
            </wp:positionV>
            <wp:extent cx="68580"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The decrease of $13,695 for the three months ended March 31, 2023 compared to the three months ended March 31, 2022 in CO Incentive Units and Subject Units (as each term is defined in Note 2 to the consolidated financial statements contained within the Annual Report) stock-based compensation expense was due to a decrease in the valuation of the awards to zero, following the mark to market valuation adjustments.</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69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2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4"/>
                <w:szCs w:val="14"/>
                <w:color w:val="auto"/>
              </w:rPr>
            </w:pPr>
          </w:p>
        </w:tc>
      </w:tr>
      <w:tr>
        <w:trPr>
          <w:trHeight w:val="236"/>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860" w:type="dxa"/>
            <w:vAlign w:val="bottom"/>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6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FF0FC"/>
          </w:tcPr>
          <w:p>
            <w:pPr>
              <w:spacing w:after="0"/>
              <w:rPr>
                <w:sz w:val="20"/>
                <w:szCs w:val="20"/>
                <w:color w:val="auto"/>
              </w:rPr>
            </w:pPr>
          </w:p>
        </w:tc>
      </w:tr>
      <w:tr>
        <w:trPr>
          <w:trHeight w:val="237"/>
        </w:trPr>
        <w:tc>
          <w:tcPr>
            <w:tcW w:w="6920" w:type="dxa"/>
            <w:vAlign w:val="bottom"/>
          </w:tcPr>
          <w:p>
            <w:pPr>
              <w:spacing w:after="0"/>
              <w:rPr>
                <w:sz w:val="20"/>
                <w:szCs w:val="20"/>
                <w:color w:val="auto"/>
              </w:rPr>
            </w:pPr>
            <w:r>
              <w:rPr>
                <w:rFonts w:ascii="Arial" w:cs="Arial" w:eastAsia="Arial" w:hAnsi="Arial"/>
                <w:sz w:val="18"/>
                <w:szCs w:val="18"/>
                <w:color w:val="auto"/>
              </w:rPr>
              <w:t>Sales and marketing expense</w:t>
            </w: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3,084</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3,983</w:t>
            </w:r>
          </w:p>
        </w:tc>
        <w:tc>
          <w:tcPr>
            <w:tcW w:w="100" w:type="dxa"/>
            <w:vAlign w:val="bottom"/>
          </w:tcPr>
          <w:p>
            <w:pPr>
              <w:spacing w:after="0"/>
              <w:rPr>
                <w:sz w:val="20"/>
                <w:szCs w:val="20"/>
                <w:color w:val="auto"/>
              </w:rPr>
            </w:pPr>
          </w:p>
        </w:tc>
      </w:tr>
      <w:tr>
        <w:trPr>
          <w:trHeight w:val="249"/>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Product, technology, and development expense</w:t>
            </w:r>
          </w:p>
        </w:tc>
        <w:tc>
          <w:tcPr>
            <w:tcW w:w="8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6,289</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6,368</w:t>
            </w:r>
          </w:p>
        </w:tc>
        <w:tc>
          <w:tcPr>
            <w:tcW w:w="100" w:type="dxa"/>
            <w:vAlign w:val="bottom"/>
            <w:shd w:val="clear" w:color="auto" w:fill="CFF0FC"/>
          </w:tcPr>
          <w:p>
            <w:pPr>
              <w:spacing w:after="0"/>
              <w:rPr>
                <w:sz w:val="21"/>
                <w:szCs w:val="21"/>
                <w:color w:val="auto"/>
              </w:rPr>
            </w:pPr>
          </w:p>
        </w:tc>
      </w:tr>
      <w:tr>
        <w:trPr>
          <w:trHeight w:val="237"/>
        </w:trPr>
        <w:tc>
          <w:tcPr>
            <w:tcW w:w="692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5,461</w:t>
            </w:r>
          </w:p>
        </w:tc>
        <w:tc>
          <w:tcPr>
            <w:tcW w:w="2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17,355</w:t>
            </w:r>
          </w:p>
        </w:tc>
        <w:tc>
          <w:tcPr>
            <w:tcW w:w="100" w:type="dxa"/>
            <w:vAlign w:val="bottom"/>
          </w:tcPr>
          <w:p>
            <w:pPr>
              <w:spacing w:after="0"/>
              <w:rPr>
                <w:sz w:val="20"/>
                <w:szCs w:val="20"/>
                <w:color w:val="auto"/>
              </w:rPr>
            </w:pPr>
          </w:p>
        </w:tc>
      </w:tr>
      <w:tr>
        <w:trPr>
          <w:trHeight w:val="277"/>
        </w:trPr>
        <w:tc>
          <w:tcPr>
            <w:tcW w:w="69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14,977</w:t>
            </w:r>
          </w:p>
        </w:tc>
        <w:tc>
          <w:tcPr>
            <w:tcW w:w="26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27,842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For the three months ended March 31, 2023 and 2022, stock-based compensation expense excluded $1,145 and $1,206, respectively, of capitalized website development costs, capitalized internal-use software costs and capitalized hosting arrangements.</w:t>
      </w:r>
    </w:p>
    <w:p>
      <w:pPr>
        <w:spacing w:after="0" w:line="17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During the three months ended March 31, 2023 and 2022, the Company withheld 335,448, and 155,736 shares of Class A common stock, respectively, to satisfy employee tax withholding requirements for net share settlements of restricted stock units. The shares withheld return to the authorized, but unissued pool under the Company's Omnibus Incentive Compensation Plan and can be reissued by the Company. For the three months ended March 31, 2023, total payments to satisfy employee tax withholding requirements for net share settlements of restricted stock units were $5,656, of which $2,066 was paid and reflected as a financing activity in the Unaudited Condensed Consolidated Statements of Cash Flows and $3,590 was unpaid and reflected as a supplemental noncash disclosure in the Unaudited Condensed Consolidated Statements of Cash Flows. For the three months ended March 31, 2022, total payments to satisfy employee tax withholding requirements for net share settlements of restricted stock units were $5,430, all of which were paid and reflected as a financing activity in the Unaudited Condensed Consolidated Statements of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Share Repurchases</w:t>
      </w:r>
    </w:p>
    <w:p>
      <w:pPr>
        <w:spacing w:after="0" w:line="225"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On December 8, 2022, the Company announced that its Board of Directors authorized a new share repurchase program (the “Share Repurchase Program”), pursuant to which the Company may, from time to time, purchase shares of its Class A common stock for an aggregate purchase price not to exceed $250 million. Repurchases under the Share Repurchase Program may be made through a variety of methods, including but not limited to open market purchases, privately negotiated transactions and transactions that may be effected pursuant to one or more plans under Rule 10b5-1 and/or Rule 10b-18 of the Securities Exchange Act of 1934, as amended, or the Exchange Act. The Share Repurchase Program does not obligate the Company to repurchase any minimum dollar amount or number of shares. The Share Repurchase Program has an expiration date of December 31, 2023, and prior to its expiration may be modified, suspended, or discontinued by the Company’s Board of Directors at any time without prior notice. All repurchased shares will be retired. The Company expects to fund any share repurchases through cash on hand and cash generated from operations.</w:t>
      </w:r>
    </w:p>
    <w:p>
      <w:pPr>
        <w:spacing w:after="0" w:line="16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During the three months ended March 31, 2023, the Company repurchased and retired 3,989,861 shares for $65,151, exclusive of commissions and excise tax, at an average cost of $16.33 per share, under this authorization. As of March 31, 2023, the Company had remaining authorization to purchase up to $166,158 of the Company's Class A common stock under the Share Repurchase Program.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10. Earnings Per Share</w:t>
      </w:r>
    </w:p>
    <w:p>
      <w:pPr>
        <w:spacing w:after="0" w:line="229" w:lineRule="exact"/>
        <w:rPr>
          <w:sz w:val="20"/>
          <w:szCs w:val="20"/>
          <w:color w:val="auto"/>
        </w:rPr>
      </w:pPr>
    </w:p>
    <w:p>
      <w:pPr>
        <w:jc w:val="both"/>
        <w:ind w:firstLine="509"/>
        <w:spacing w:after="0" w:line="222" w:lineRule="exact"/>
        <w:rPr>
          <w:sz w:val="20"/>
          <w:szCs w:val="20"/>
          <w:color w:val="auto"/>
        </w:rPr>
      </w:pPr>
      <w:r>
        <w:rPr>
          <w:rFonts w:ascii="Arial" w:cs="Arial" w:eastAsia="Arial" w:hAnsi="Arial"/>
          <w:sz w:val="16"/>
          <w:szCs w:val="16"/>
          <w:color w:val="auto"/>
        </w:rPr>
        <w:t>The Company has two classes of common stock authorized: Class A common stock and Class B common stock. The rights of the holders of Class A and Class B common stock are identical, except with respect to voting and conversion. Each share of Class A common stock is entitled to one vote per share and each share of Class B common stock is entitled to ten votes per share. Each share of Class B common stock is convertible into one share of Class A common stock at the option of the holder at any time or automatically upon certain events described in the Company’s amended and restated certificate of incorporation, including upon either the death or voluntary termination of the Company’s Executive Chairman. The Company allocates undistributed earnings attributable to common stock between the common stock classes on a one</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one basis when computing net income per share. As a result, basic and diluted net income per share of Class A common stock and per share of Class B common stock are equivalent.</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three months ended March 31, 2023 and 2022, no shares of Class B common stock were converted into Class A common stock.</w:t>
      </w:r>
    </w:p>
    <w:p>
      <w:pPr>
        <w:spacing w:after="0" w:line="23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Basic net income (loss) per share (“Basic EPS”) is computed by dividing consolidated net income adjusted for net loss attributable to redeemable noncontrolling interest and changes in the redemption value of redeemable noncontrolling interest, if applicable, by the weighted-average number of common shares outstanding during the reporting period. The Company computes the weighted-average number of common shares outstanding during the reporting period using the total number of shares of Class A common stock and Class B common stock outstanding as of the last day of the previous year plus the weighted-average of any additional shares issued and outstanding during the reporting period, less the weighted-average of any shares repurchased during the period.</w:t>
      </w:r>
    </w:p>
    <w:p>
      <w:pPr>
        <w:spacing w:after="0" w:line="192"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Diluted net income (loss) per share (“Diluted EPS”) gives effect to all potentially dilutive securities. Diluted EPS is computed by dividing consolidated net income adjusted for net loss attributable to redeemable noncontrolling interest and changes in the redemption value of redeemable noncontrolling interest, if applicable and dilutive, by the weighted-average number of common shares outstanding during the reporting period using (i) the number of shares of common stock used in the Basic EPS calculation as indicated above, (ii) if dilutive, the incremental weighted-average common stock that the Company would issue upon the exercise of stock options and the vesting of RSUs, and (iii) if dilutive, market-based performance awards based on the number of shares that would be issuable as of the end of the reporting period assuming the end of the reporting period was also the end of the contingency period. The dilutive effect of these common stock equivalents is reflected in diluted earnings per share by application of the treasury stock method. The if-converted method is used to calculate the number of shares issuable upon exercise of the 2024 Put Right (as defined in Note 2 to the consolidated financial statements contained within the Annual Report), inclusive of CarOffer noncontrolling interest and incentive and subject units, that would be issuable as of the end of the reporting period assuming the end of the reporting period was also the end of the contingency period.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0" w:name="page21"/>
    <w:bookmarkEnd w:id="20"/>
    <w:p>
      <w:pPr>
        <w:jc w:val="both"/>
        <w:ind w:firstLine="509"/>
        <w:spacing w:after="0" w:line="277" w:lineRule="auto"/>
        <w:rPr>
          <w:sz w:val="20"/>
          <w:szCs w:val="20"/>
          <w:color w:val="auto"/>
        </w:rPr>
      </w:pPr>
      <w:r>
        <w:rPr>
          <w:rFonts w:ascii="Arial" w:cs="Arial" w:eastAsia="Arial" w:hAnsi="Arial"/>
          <w:sz w:val="18"/>
          <w:szCs w:val="18"/>
          <w:color w:val="auto"/>
        </w:rPr>
        <w:t>For the three months ended March 31, 2023 and 2022, a reconciliation of the numerator and denominator used in the calculation of basic and diluted net income per share is as follows: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80" w:type="dxa"/>
            <w:vAlign w:val="bottom"/>
            <w:gridSpan w:val="5"/>
          </w:tcPr>
          <w:p>
            <w:pPr>
              <w:jc w:val="right"/>
              <w:ind w:right="910"/>
              <w:spacing w:after="0"/>
              <w:rPr>
                <w:sz w:val="20"/>
                <w:szCs w:val="20"/>
                <w:color w:val="auto"/>
              </w:rPr>
            </w:pPr>
            <w:r>
              <w:rPr>
                <w:rFonts w:ascii="Arial" w:cs="Arial" w:eastAsia="Arial" w:hAnsi="Arial"/>
                <w:sz w:val="14"/>
                <w:szCs w:val="14"/>
                <w:b w:val="1"/>
                <w:bCs w:val="1"/>
                <w:color w:val="auto"/>
              </w:rPr>
              <w:t>Three Months Ended</w:t>
            </w:r>
          </w:p>
        </w:tc>
      </w:tr>
      <w:tr>
        <w:trPr>
          <w:trHeight w:val="185"/>
        </w:trPr>
        <w:tc>
          <w:tcPr>
            <w:tcW w:w="6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6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692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11,866</w:t>
            </w:r>
          </w:p>
        </w:tc>
        <w:tc>
          <w:tcPr>
            <w:tcW w:w="26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18,838</w:t>
            </w:r>
          </w:p>
        </w:tc>
        <w:tc>
          <w:tcPr>
            <w:tcW w:w="100" w:type="dxa"/>
            <w:vAlign w:val="bottom"/>
          </w:tcPr>
          <w:p>
            <w:pPr>
              <w:spacing w:after="0"/>
              <w:rPr>
                <w:sz w:val="20"/>
                <w:szCs w:val="20"/>
                <w:color w:val="auto"/>
              </w:rPr>
            </w:pPr>
          </w:p>
        </w:tc>
      </w:tr>
      <w:tr>
        <w:trPr>
          <w:trHeight w:val="249"/>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redeemable noncontrolling interest</w:t>
            </w:r>
          </w:p>
        </w:tc>
        <w:tc>
          <w:tcPr>
            <w:tcW w:w="3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(4,266 )</w:t>
            </w:r>
          </w:p>
        </w:tc>
        <w:tc>
          <w:tcPr>
            <w:tcW w:w="3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(1,072 )</w:t>
            </w:r>
          </w:p>
        </w:tc>
      </w:tr>
      <w:tr>
        <w:trPr>
          <w:trHeight w:val="237"/>
        </w:trPr>
        <w:tc>
          <w:tcPr>
            <w:tcW w:w="6920" w:type="dxa"/>
            <w:vAlign w:val="bottom"/>
          </w:tcPr>
          <w:p>
            <w:pPr>
              <w:spacing w:after="0"/>
              <w:rPr>
                <w:sz w:val="20"/>
                <w:szCs w:val="20"/>
                <w:color w:val="auto"/>
              </w:rPr>
            </w:pPr>
            <w:r>
              <w:rPr>
                <w:rFonts w:ascii="Arial" w:cs="Arial" w:eastAsia="Arial" w:hAnsi="Arial"/>
                <w:sz w:val="18"/>
                <w:szCs w:val="18"/>
                <w:color w:val="auto"/>
              </w:rPr>
              <w:t>Accretion of redeemable noncontrolling interest to redemption value</w:t>
            </w:r>
          </w:p>
        </w:tc>
        <w:tc>
          <w:tcPr>
            <w:tcW w:w="30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82,000</w:t>
            </w:r>
          </w:p>
        </w:tc>
        <w:tc>
          <w:tcPr>
            <w:tcW w:w="100" w:type="dxa"/>
            <w:vAlign w:val="bottom"/>
          </w:tcPr>
          <w:p>
            <w:pPr>
              <w:spacing w:after="0"/>
              <w:rPr>
                <w:sz w:val="20"/>
                <w:szCs w:val="20"/>
                <w:color w:val="auto"/>
              </w:rPr>
            </w:pPr>
          </w:p>
        </w:tc>
      </w:tr>
      <w:tr>
        <w:trPr>
          <w:trHeight w:val="276"/>
        </w:trPr>
        <w:tc>
          <w:tcPr>
            <w:tcW w:w="6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attributable to common stockholders — basic</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16,132</w:t>
            </w: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(62,090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24"/>
        </w:trPr>
        <w:tc>
          <w:tcPr>
            <w:tcW w:w="6920" w:type="dxa"/>
            <w:vAlign w:val="bottom"/>
          </w:tcPr>
          <w:p>
            <w:pPr>
              <w:spacing w:after="0"/>
              <w:rPr>
                <w:sz w:val="20"/>
                <w:szCs w:val="20"/>
                <w:color w:val="auto"/>
              </w:rPr>
            </w:pPr>
            <w:r>
              <w:rPr>
                <w:rFonts w:ascii="Arial" w:cs="Arial" w:eastAsia="Arial" w:hAnsi="Arial"/>
                <w:sz w:val="18"/>
                <w:szCs w:val="18"/>
                <w:color w:val="auto"/>
              </w:rPr>
              <w:t>Net loss attributable to redeemable noncontrolling interest</w:t>
            </w:r>
          </w:p>
        </w:tc>
        <w:tc>
          <w:tcPr>
            <w:tcW w:w="3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(4,266 )</w:t>
            </w:r>
          </w:p>
        </w:tc>
        <w:tc>
          <w:tcPr>
            <w:tcW w:w="340" w:type="dxa"/>
            <w:vAlign w:val="bottom"/>
          </w:tcPr>
          <w:p>
            <w:pPr>
              <w:spacing w:after="0"/>
              <w:rPr>
                <w:sz w:val="19"/>
                <w:szCs w:val="19"/>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r>
      <w:tr>
        <w:trPr>
          <w:trHeight w:val="276"/>
        </w:trPr>
        <w:tc>
          <w:tcPr>
            <w:tcW w:w="6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attributable to common stockholders — diluted</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11,866</w:t>
            </w:r>
          </w:p>
        </w:tc>
        <w:tc>
          <w:tcPr>
            <w:tcW w:w="260" w:type="dxa"/>
            <w:vAlign w:val="bottom"/>
            <w:tcBorders>
              <w:top w:val="single" w:sz="8" w:color="CFF0FC"/>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(62,090</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26"/>
        </w:trPr>
        <w:tc>
          <w:tcPr>
            <w:tcW w:w="692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number of shares of common stock used</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6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 computing net income per share attributable to</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6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stockholders — basic</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115,358,475</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118,031,325</w:t>
            </w:r>
          </w:p>
        </w:tc>
        <w:tc>
          <w:tcPr>
            <w:tcW w:w="100" w:type="dxa"/>
            <w:vAlign w:val="bottom"/>
            <w:shd w:val="clear" w:color="auto" w:fill="CFF0FC"/>
          </w:tcPr>
          <w:p>
            <w:pPr>
              <w:spacing w:after="0"/>
              <w:rPr>
                <w:sz w:val="21"/>
                <w:szCs w:val="21"/>
                <w:color w:val="auto"/>
              </w:rPr>
            </w:pPr>
          </w:p>
        </w:tc>
      </w:tr>
      <w:tr>
        <w:trPr>
          <w:trHeight w:val="215"/>
        </w:trPr>
        <w:tc>
          <w:tcPr>
            <w:tcW w:w="6920" w:type="dxa"/>
            <w:vAlign w:val="bottom"/>
          </w:tcPr>
          <w:p>
            <w:pPr>
              <w:ind w:left="180"/>
              <w:spacing w:after="0"/>
              <w:rPr>
                <w:sz w:val="20"/>
                <w:szCs w:val="20"/>
                <w:color w:val="auto"/>
              </w:rPr>
            </w:pPr>
            <w:r>
              <w:rPr>
                <w:rFonts w:ascii="Arial" w:cs="Arial" w:eastAsia="Arial" w:hAnsi="Arial"/>
                <w:sz w:val="18"/>
                <w:szCs w:val="18"/>
                <w:color w:val="auto"/>
              </w:rPr>
              <w:t>Dilutive effect of share equivalents resulting from stock</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920" w:type="dxa"/>
            <w:vAlign w:val="bottom"/>
          </w:tcPr>
          <w:p>
            <w:pPr>
              <w:ind w:left="320"/>
              <w:spacing w:after="0"/>
              <w:rPr>
                <w:sz w:val="20"/>
                <w:szCs w:val="20"/>
                <w:color w:val="auto"/>
              </w:rPr>
            </w:pPr>
            <w:r>
              <w:rPr>
                <w:rFonts w:ascii="Arial" w:cs="Arial" w:eastAsia="Arial" w:hAnsi="Arial"/>
                <w:sz w:val="18"/>
                <w:szCs w:val="18"/>
                <w:color w:val="auto"/>
              </w:rPr>
              <w:t>options</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229,679</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r>
      <w:tr>
        <w:trPr>
          <w:trHeight w:val="222"/>
        </w:trPr>
        <w:tc>
          <w:tcPr>
            <w:tcW w:w="69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Dilutive effect of share equivalents resulting from</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69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unvested restricted stock units</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327,583</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195"/>
        </w:trPr>
        <w:tc>
          <w:tcPr>
            <w:tcW w:w="6920" w:type="dxa"/>
            <w:vAlign w:val="bottom"/>
          </w:tcPr>
          <w:p>
            <w:pPr>
              <w:ind w:left="180"/>
              <w:spacing w:after="0" w:line="195" w:lineRule="exact"/>
              <w:rPr>
                <w:sz w:val="20"/>
                <w:szCs w:val="20"/>
                <w:color w:val="auto"/>
              </w:rPr>
            </w:pPr>
            <w:r>
              <w:rPr>
                <w:rFonts w:ascii="Arial" w:cs="Arial" w:eastAsia="Arial" w:hAnsi="Arial"/>
                <w:sz w:val="18"/>
                <w:szCs w:val="18"/>
                <w:color w:val="auto"/>
              </w:rPr>
              <w:t>Weighted-average number of shares of common stock</w:t>
            </w:r>
          </w:p>
        </w:tc>
        <w:tc>
          <w:tcPr>
            <w:tcW w:w="3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6920" w:type="dxa"/>
            <w:vAlign w:val="bottom"/>
          </w:tcPr>
          <w:p>
            <w:pPr>
              <w:ind w:left="320"/>
              <w:spacing w:after="0"/>
              <w:rPr>
                <w:sz w:val="20"/>
                <w:szCs w:val="20"/>
                <w:color w:val="auto"/>
              </w:rPr>
            </w:pPr>
            <w:r>
              <w:rPr>
                <w:rFonts w:ascii="Arial" w:cs="Arial" w:eastAsia="Arial" w:hAnsi="Arial"/>
                <w:sz w:val="18"/>
                <w:szCs w:val="18"/>
                <w:color w:val="auto"/>
              </w:rPr>
              <w:t>used in computing net income per share attributable to</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920" w:type="dxa"/>
            <w:vAlign w:val="bottom"/>
          </w:tcPr>
          <w:p>
            <w:pPr>
              <w:ind w:left="320"/>
              <w:spacing w:after="0"/>
              <w:rPr>
                <w:sz w:val="20"/>
                <w:szCs w:val="20"/>
                <w:color w:val="auto"/>
              </w:rPr>
            </w:pPr>
            <w:r>
              <w:rPr>
                <w:rFonts w:ascii="Arial" w:cs="Arial" w:eastAsia="Arial" w:hAnsi="Arial"/>
                <w:sz w:val="18"/>
                <w:szCs w:val="18"/>
                <w:color w:val="auto"/>
              </w:rPr>
              <w:t>common stockholders — diluted</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115,915,737</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118,031,325</w:t>
            </w:r>
          </w:p>
        </w:tc>
        <w:tc>
          <w:tcPr>
            <w:tcW w:w="100" w:type="dxa"/>
            <w:vAlign w:val="bottom"/>
          </w:tcPr>
          <w:p>
            <w:pPr>
              <w:spacing w:after="0"/>
              <w:rPr>
                <w:sz w:val="20"/>
                <w:szCs w:val="20"/>
                <w:color w:val="auto"/>
              </w:rPr>
            </w:pPr>
          </w:p>
        </w:tc>
      </w:tr>
      <w:tr>
        <w:trPr>
          <w:trHeight w:val="25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 attributable to common stockholders:</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920" w:type="dxa"/>
            <w:vAlign w:val="bottom"/>
          </w:tcPr>
          <w:p>
            <w:pPr>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0.14</w:t>
            </w:r>
          </w:p>
        </w:tc>
        <w:tc>
          <w:tcPr>
            <w:tcW w:w="26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(0.53 )</w:t>
            </w:r>
          </w:p>
        </w:tc>
      </w:tr>
      <w:tr>
        <w:trPr>
          <w:trHeight w:val="20"/>
        </w:trPr>
        <w:tc>
          <w:tcPr>
            <w:tcW w:w="69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6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2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-2477135</wp:posOffset>
            </wp:positionV>
            <wp:extent cx="1114425" cy="523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4425" cy="52324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For the three months ended March 31, 2023 and 2022, potentially dilutive common stock equivalents that have been excluded from the calculation of diluted weighted-average shares outstanding as their effect would have been anti-dilutive are as follows: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220" w:type="dxa"/>
            <w:vAlign w:val="bottom"/>
            <w:gridSpan w:val="3"/>
          </w:tcPr>
          <w:p>
            <w:pPr>
              <w:jc w:val="center"/>
              <w:ind w:left="779"/>
              <w:spacing w:after="0"/>
              <w:rPr>
                <w:sz w:val="20"/>
                <w:szCs w:val="20"/>
                <w:color w:val="auto"/>
              </w:rPr>
            </w:pPr>
            <w:r>
              <w:rPr>
                <w:rFonts w:ascii="Arial" w:cs="Arial" w:eastAsia="Arial" w:hAnsi="Arial"/>
                <w:sz w:val="14"/>
                <w:szCs w:val="14"/>
                <w:b w:val="1"/>
                <w:bCs w:val="1"/>
                <w:color w:val="auto"/>
                <w:w w:val="95"/>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6880" w:type="dxa"/>
            <w:vAlign w:val="bottom"/>
          </w:tcPr>
          <w:p>
            <w:pPr>
              <w:spacing w:after="0"/>
              <w:rPr>
                <w:sz w:val="16"/>
                <w:szCs w:val="16"/>
                <w:color w:val="auto"/>
              </w:rPr>
            </w:pPr>
          </w:p>
        </w:tc>
        <w:tc>
          <w:tcPr>
            <w:tcW w:w="2220" w:type="dxa"/>
            <w:vAlign w:val="bottom"/>
            <w:tcBorders>
              <w:bottom w:val="single" w:sz="8" w:color="auto"/>
            </w:tcBorders>
            <w:gridSpan w:val="3"/>
          </w:tcPr>
          <w:p>
            <w:pPr>
              <w:jc w:val="center"/>
              <w:ind w:left="819"/>
              <w:spacing w:after="0"/>
              <w:rPr>
                <w:sz w:val="20"/>
                <w:szCs w:val="20"/>
                <w:color w:val="auto"/>
              </w:rPr>
            </w:pPr>
            <w:r>
              <w:rPr>
                <w:rFonts w:ascii="Arial" w:cs="Arial" w:eastAsia="Arial" w:hAnsi="Arial"/>
                <w:sz w:val="14"/>
                <w:szCs w:val="14"/>
                <w:b w:val="1"/>
                <w:bCs w:val="1"/>
                <w:color w:val="auto"/>
                <w:w w:val="99"/>
              </w:rPr>
              <w:t>March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880" w:type="dxa"/>
            <w:vAlign w:val="bottom"/>
          </w:tcPr>
          <w:p>
            <w:pPr>
              <w:spacing w:after="0"/>
              <w:rPr>
                <w:sz w:val="14"/>
                <w:szCs w:val="14"/>
                <w:color w:val="auto"/>
              </w:rPr>
            </w:pPr>
          </w:p>
        </w:tc>
        <w:tc>
          <w:tcPr>
            <w:tcW w:w="14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4"/>
                <w:szCs w:val="14"/>
                <w:color w:val="auto"/>
              </w:rPr>
            </w:pPr>
          </w:p>
        </w:tc>
      </w:tr>
      <w:tr>
        <w:trPr>
          <w:trHeight w:val="237"/>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Stock options outstanding</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560,027</w:t>
            </w:r>
          </w:p>
        </w:tc>
        <w:tc>
          <w:tcPr>
            <w:tcW w:w="2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944,193</w:t>
            </w:r>
          </w:p>
        </w:tc>
        <w:tc>
          <w:tcPr>
            <w:tcW w:w="100" w:type="dxa"/>
            <w:vAlign w:val="bottom"/>
            <w:shd w:val="clear" w:color="auto" w:fill="CFF0FC"/>
          </w:tcPr>
          <w:p>
            <w:pPr>
              <w:spacing w:after="0"/>
              <w:rPr>
                <w:sz w:val="20"/>
                <w:szCs w:val="20"/>
                <w:color w:val="auto"/>
              </w:rPr>
            </w:pPr>
          </w:p>
        </w:tc>
      </w:tr>
      <w:tr>
        <w:trPr>
          <w:trHeight w:val="237"/>
        </w:trPr>
        <w:tc>
          <w:tcPr>
            <w:tcW w:w="6880" w:type="dxa"/>
            <w:vAlign w:val="bottom"/>
          </w:tcPr>
          <w:p>
            <w:pPr>
              <w:spacing w:after="0"/>
              <w:rPr>
                <w:sz w:val="20"/>
                <w:szCs w:val="20"/>
                <w:color w:val="auto"/>
              </w:rPr>
            </w:pPr>
            <w:r>
              <w:rPr>
                <w:rFonts w:ascii="Arial" w:cs="Arial" w:eastAsia="Arial" w:hAnsi="Arial"/>
                <w:sz w:val="18"/>
                <w:szCs w:val="18"/>
                <w:color w:val="auto"/>
              </w:rPr>
              <w:t>Restricted stock units outstanding</w:t>
            </w:r>
          </w:p>
        </w:tc>
        <w:tc>
          <w:tcPr>
            <w:tcW w:w="1460" w:type="dxa"/>
            <w:vAlign w:val="bottom"/>
          </w:tcPr>
          <w:p>
            <w:pPr>
              <w:jc w:val="right"/>
              <w:spacing w:after="0"/>
              <w:rPr>
                <w:sz w:val="20"/>
                <w:szCs w:val="20"/>
                <w:color w:val="auto"/>
              </w:rPr>
            </w:pPr>
            <w:r>
              <w:rPr>
                <w:rFonts w:ascii="Arial" w:cs="Arial" w:eastAsia="Arial" w:hAnsi="Arial"/>
                <w:sz w:val="18"/>
                <w:szCs w:val="18"/>
                <w:color w:val="auto"/>
              </w:rPr>
              <w:t>3,207,191</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4,076,681</w:t>
            </w:r>
          </w:p>
        </w:tc>
        <w:tc>
          <w:tcPr>
            <w:tcW w:w="100" w:type="dxa"/>
            <w:vAlign w:val="bottom"/>
          </w:tcPr>
          <w:p>
            <w:pPr>
              <w:spacing w:after="0"/>
              <w:rPr>
                <w:sz w:val="20"/>
                <w:szCs w:val="20"/>
                <w:color w:val="auto"/>
              </w:rPr>
            </w:pPr>
          </w:p>
        </w:tc>
      </w:tr>
      <w:tr>
        <w:trPr>
          <w:trHeight w:val="249"/>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CO Incentive Units, Subject Units and noncontrolling interest</w:t>
            </w:r>
          </w:p>
        </w:tc>
        <w:tc>
          <w:tcPr>
            <w:tcW w:w="2220" w:type="dxa"/>
            <w:vAlign w:val="bottom"/>
            <w:gridSpan w:val="3"/>
            <w:shd w:val="clear" w:color="auto" w:fill="CFF0FC"/>
          </w:tcPr>
          <w:p>
            <w:pPr>
              <w:jc w:val="right"/>
              <w:ind w:right="7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7,790,110</w:t>
            </w:r>
          </w:p>
        </w:tc>
        <w:tc>
          <w:tcPr>
            <w:tcW w:w="10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For the three months ended March 31, 2023, the number of issuable shares estimated upon exercise of the 2024 Put Right was zero. For the three months ended March 31, 2022, there was no effect of potentially dilutive shares as the numerator was negative. Additionally, during the three months ended March 31, 2022, the Company modified its market-based performance awards to contain only service-based vesting conditions in line with the Company's other restricted stock unit awards. As a result, there are no market-based RSUs outstanding as of March 31, 2023 or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During the three months ended March 31, 2023, the Company recorded an income tax provision of $6,531, representing an effective tax rate of 28.8%. The effective tax rate for the three months ended March 31, 2023 was greater than the statutory rate of 21%, principally due to state and local income taxes, shortfalls on the taxable compensation of stock-based awards and the Section 162(m) excess officer compensation limitation, partially offset by federal and state research and development tax credits.</w:t>
      </w:r>
    </w:p>
    <w:p>
      <w:pPr>
        <w:spacing w:after="0" w:line="18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During the three months ended March 31, 2022, the Company recorded an income tax provision of $7,702, representing an effective tax rate of 27.9%. The effective tax rate for the three months ended March 31, 2022 was greater than the statutory tax rate of 21%, principally due to state and local income taxes, shortfalls on the taxable compensation of stock-based awards and the Section 162(m) excess officer compensation limitation, partially offset by federal and state research and development tax credits.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jc w:val="both"/>
        <w:ind w:firstLine="509"/>
        <w:spacing w:after="0" w:line="311" w:lineRule="auto"/>
        <w:rPr>
          <w:sz w:val="20"/>
          <w:szCs w:val="20"/>
          <w:color w:val="auto"/>
        </w:rPr>
      </w:pPr>
      <w:r>
        <w:rPr>
          <w:rFonts w:ascii="Arial" w:cs="Arial" w:eastAsia="Arial" w:hAnsi="Arial"/>
          <w:sz w:val="16"/>
          <w:szCs w:val="16"/>
          <w:color w:val="auto"/>
        </w:rPr>
        <w:t>The Company and its subsidiaries are subject to various U.S. federal, state, and foreign income tax examinations. The Company is currently not subject to income tax examination for the tax years of 2018 and prior as a result of applicable statute of limitations of the Internal Revenue Service and a majority of applicable state jurisdictions. The Company is currently not subject to examination in its foreign jurisdictions for tax years 2017 and prior.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and Geographic Information</w:t>
      </w:r>
    </w:p>
    <w:p>
      <w:pPr>
        <w:spacing w:after="0" w:line="229"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Effective as of the fourth quarter of 2022, the Company revised its segment reporting from one reportable segment to two reportable segments, U.S. Marketplace and Digital Wholesale. The change in segment reporting was a triggering event for an evaluation of goodwill impairment. As such, the Company evaluated for goodwill impairment on December 31, 2022 and did not identify any impairment to its goodwill. The change in segment reporting was made to align with financial reporting results regularly provided to the Company's CODM to assess the business. The CODM reviews segment revenue and segment income (loss) from operations as a proxy for the performance of the Company’s operations.</w:t>
      </w:r>
    </w:p>
    <w:p>
      <w:pPr>
        <w:spacing w:after="0" w:line="176" w:lineRule="exact"/>
        <w:rPr>
          <w:sz w:val="20"/>
          <w:szCs w:val="20"/>
          <w:color w:val="auto"/>
        </w:rPr>
      </w:pPr>
    </w:p>
    <w:p>
      <w:pPr>
        <w:jc w:val="both"/>
        <w:ind w:firstLine="586"/>
        <w:spacing w:after="0" w:line="279" w:lineRule="auto"/>
        <w:rPr>
          <w:sz w:val="20"/>
          <w:szCs w:val="20"/>
          <w:color w:val="auto"/>
        </w:rPr>
      </w:pPr>
      <w:r>
        <w:rPr>
          <w:rFonts w:ascii="Arial" w:cs="Arial" w:eastAsia="Arial" w:hAnsi="Arial"/>
          <w:sz w:val="17"/>
          <w:szCs w:val="17"/>
          <w:color w:val="auto"/>
        </w:rPr>
        <w:t>The U.S. Marketplace segment derives revenues from marketplace services from customers within the United States. The Digital Wholesale segment derives revenues from Dealer-to-Dealer and IMCO services and products which are sold on the CarOffer platform. The Company also has two operating segments which are individually immaterial and therefore aggregated into the Other category to reconcile reportable segments to the consolidated income statements. The Other category derives revenues from marketplace services from customers outside of the United States.</w:t>
      </w:r>
    </w:p>
    <w:p>
      <w:pPr>
        <w:spacing w:after="0" w:line="17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Revenue and costs discretely incurred by reportable segments, including depreciation and amortization, are included in the calculation of reportable segment income (loss) from operations. For the year ended December 31, 2022, Digital Wholesale segment income (loss) from operations did not reflect certain Dealer-to-Dealer and IMCO related capitalized website development amortization incurred by the U.S. Marketplace segment. During the three months ended March 31, 2023, the Company updated Digital Wholesale segment income (loss) from operations to reflect certain Dealer-to-Dealer and IMCO related capitalized website development amortization incurred by the U.S. Marketplace segment and accordingly updated Digital Wholesale segment income (loss) from operations for the three months ended March 31, 2022 for comparative purposes. Digital Wholesale segment income (loss) from operations also reflects certain IMCO marketing and lead generation fees allocated from the U.S. Marketplace segment. Asset information by reportable segment is not provided to the CODM as asset information is assessed and reviewed on a consolidated basis.</w:t>
      </w:r>
    </w:p>
    <w:p>
      <w:pPr>
        <w:spacing w:after="0" w:line="17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For the three months ended March 31, 2023 and 2022, segment revenue, segment income (loss) from operations and segment depreciation and amortization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3"/>
          </w:tcPr>
          <w:p>
            <w:pPr>
              <w:jc w:val="center"/>
              <w:ind w:left="418"/>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5"/>
        </w:trPr>
        <w:tc>
          <w:tcPr>
            <w:tcW w:w="5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9"/>
              </w:rPr>
              <w:t>March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6"/>
        </w:trPr>
        <w:tc>
          <w:tcPr>
            <w:tcW w:w="580" w:type="dxa"/>
            <w:vAlign w:val="bottom"/>
          </w:tcPr>
          <w:p>
            <w:pPr>
              <w:spacing w:after="0"/>
              <w:rPr>
                <w:sz w:val="20"/>
                <w:szCs w:val="20"/>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Segment Revenue</w:t>
            </w:r>
          </w:p>
        </w:tc>
        <w:tc>
          <w:tcPr>
            <w:tcW w:w="29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3960" w:type="dxa"/>
            <w:vAlign w:val="bottom"/>
          </w:tcPr>
          <w:p>
            <w:pPr>
              <w:ind w:left="180"/>
              <w:spacing w:after="0"/>
              <w:rPr>
                <w:sz w:val="20"/>
                <w:szCs w:val="20"/>
                <w:color w:val="auto"/>
              </w:rPr>
            </w:pPr>
            <w:r>
              <w:rPr>
                <w:rFonts w:ascii="Arial" w:cs="Arial" w:eastAsia="Arial" w:hAnsi="Arial"/>
                <w:sz w:val="18"/>
                <w:szCs w:val="18"/>
                <w:color w:val="auto"/>
              </w:rPr>
              <w:t>U.S. Marketplace</w:t>
            </w:r>
          </w:p>
        </w:tc>
        <w:tc>
          <w:tcPr>
            <w:tcW w:w="33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155,621</w:t>
            </w:r>
          </w:p>
        </w:tc>
        <w:tc>
          <w:tcPr>
            <w:tcW w:w="26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151,889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3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Digital Wholesale</w:t>
            </w:r>
          </w:p>
        </w:tc>
        <w:tc>
          <w:tcPr>
            <w:tcW w:w="29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64,836</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267,319</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3960" w:type="dxa"/>
            <w:vAlign w:val="bottom"/>
          </w:tcPr>
          <w:p>
            <w:pPr>
              <w:ind w:left="180"/>
              <w:spacing w:after="0"/>
              <w:rPr>
                <w:sz w:val="20"/>
                <w:szCs w:val="20"/>
                <w:color w:val="auto"/>
              </w:rPr>
            </w:pPr>
            <w:r>
              <w:rPr>
                <w:rFonts w:ascii="Arial" w:cs="Arial" w:eastAsia="Arial" w:hAnsi="Arial"/>
                <w:sz w:val="18"/>
                <w:szCs w:val="18"/>
                <w:color w:val="auto"/>
              </w:rPr>
              <w:t>Other</w:t>
            </w:r>
          </w:p>
        </w:tc>
        <w:tc>
          <w:tcPr>
            <w:tcW w:w="29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11,506</w:t>
            </w:r>
          </w:p>
        </w:tc>
        <w:tc>
          <w:tcPr>
            <w:tcW w:w="2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6"/>
        </w:trPr>
        <w:tc>
          <w:tcPr>
            <w:tcW w:w="580" w:type="dxa"/>
            <w:vAlign w:val="bottom"/>
          </w:tcPr>
          <w:p>
            <w:pPr>
              <w:spacing w:after="0"/>
              <w:rPr>
                <w:sz w:val="24"/>
                <w:szCs w:val="24"/>
                <w:color w:val="auto"/>
              </w:rPr>
            </w:pPr>
          </w:p>
        </w:tc>
        <w:tc>
          <w:tcPr>
            <w:tcW w:w="396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29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231,963</w:t>
            </w:r>
          </w:p>
        </w:tc>
        <w:tc>
          <w:tcPr>
            <w:tcW w:w="26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430,608</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342"/>
        </w:trPr>
        <w:tc>
          <w:tcPr>
            <w:tcW w:w="5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gridSpan w:val="3"/>
          </w:tcPr>
          <w:p>
            <w:pPr>
              <w:jc w:val="center"/>
              <w:ind w:left="418"/>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5"/>
        </w:trPr>
        <w:tc>
          <w:tcPr>
            <w:tcW w:w="5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9"/>
              </w:rPr>
              <w:t>March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7"/>
        </w:trPr>
        <w:tc>
          <w:tcPr>
            <w:tcW w:w="580" w:type="dxa"/>
            <w:vAlign w:val="bottom"/>
          </w:tcPr>
          <w:p>
            <w:pPr>
              <w:spacing w:after="0"/>
              <w:rPr>
                <w:sz w:val="20"/>
                <w:szCs w:val="20"/>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Segment Income (Loss) from Operations:</w:t>
            </w:r>
          </w:p>
        </w:tc>
        <w:tc>
          <w:tcPr>
            <w:tcW w:w="29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3960" w:type="dxa"/>
            <w:vAlign w:val="bottom"/>
          </w:tcPr>
          <w:p>
            <w:pPr>
              <w:ind w:left="180"/>
              <w:spacing w:after="0"/>
              <w:rPr>
                <w:sz w:val="20"/>
                <w:szCs w:val="20"/>
                <w:color w:val="auto"/>
              </w:rPr>
            </w:pPr>
            <w:r>
              <w:rPr>
                <w:rFonts w:ascii="Arial" w:cs="Arial" w:eastAsia="Arial" w:hAnsi="Arial"/>
                <w:sz w:val="18"/>
                <w:szCs w:val="18"/>
                <w:color w:val="auto"/>
              </w:rPr>
              <w:t>U.S. Marketplace</w:t>
            </w:r>
          </w:p>
        </w:tc>
        <w:tc>
          <w:tcPr>
            <w:tcW w:w="33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26,539</w:t>
            </w:r>
          </w:p>
        </w:tc>
        <w:tc>
          <w:tcPr>
            <w:tcW w:w="26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29,836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3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Digital Wholesale</w:t>
            </w:r>
          </w:p>
        </w:tc>
        <w:tc>
          <w:tcPr>
            <w:tcW w:w="29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(11,225 )</w:t>
            </w:r>
          </w:p>
        </w:tc>
        <w:tc>
          <w:tcPr>
            <w:tcW w:w="5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(2,111 )</w:t>
            </w: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3960" w:type="dxa"/>
            <w:vAlign w:val="bottom"/>
          </w:tcPr>
          <w:p>
            <w:pPr>
              <w:ind w:left="180"/>
              <w:spacing w:after="0"/>
              <w:rPr>
                <w:sz w:val="20"/>
                <w:szCs w:val="20"/>
                <w:color w:val="auto"/>
              </w:rPr>
            </w:pPr>
            <w:r>
              <w:rPr>
                <w:rFonts w:ascii="Arial" w:cs="Arial" w:eastAsia="Arial" w:hAnsi="Arial"/>
                <w:sz w:val="18"/>
                <w:szCs w:val="18"/>
                <w:color w:val="auto"/>
              </w:rPr>
              <w:t>Other</w:t>
            </w:r>
          </w:p>
        </w:tc>
        <w:tc>
          <w:tcPr>
            <w:tcW w:w="2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(1,255 )</w:t>
            </w:r>
          </w:p>
        </w:tc>
        <w:tc>
          <w:tcPr>
            <w:tcW w:w="5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(1,066 )</w:t>
            </w:r>
          </w:p>
        </w:tc>
        <w:tc>
          <w:tcPr>
            <w:tcW w:w="560" w:type="dxa"/>
            <w:vAlign w:val="bottom"/>
          </w:tcPr>
          <w:p>
            <w:pPr>
              <w:spacing w:after="0"/>
              <w:rPr>
                <w:sz w:val="20"/>
                <w:szCs w:val="20"/>
                <w:color w:val="auto"/>
              </w:rPr>
            </w:pPr>
          </w:p>
        </w:tc>
      </w:tr>
      <w:tr>
        <w:trPr>
          <w:trHeight w:val="276"/>
        </w:trPr>
        <w:tc>
          <w:tcPr>
            <w:tcW w:w="580" w:type="dxa"/>
            <w:vAlign w:val="bottom"/>
          </w:tcPr>
          <w:p>
            <w:pPr>
              <w:spacing w:after="0"/>
              <w:rPr>
                <w:sz w:val="24"/>
                <w:szCs w:val="24"/>
                <w:color w:val="auto"/>
              </w:rPr>
            </w:pPr>
          </w:p>
        </w:tc>
        <w:tc>
          <w:tcPr>
            <w:tcW w:w="396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29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14,059</w:t>
            </w:r>
          </w:p>
        </w:tc>
        <w:tc>
          <w:tcPr>
            <w:tcW w:w="26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26,659</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342"/>
        </w:trPr>
        <w:tc>
          <w:tcPr>
            <w:tcW w:w="5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gridSpan w:val="3"/>
          </w:tcPr>
          <w:p>
            <w:pPr>
              <w:jc w:val="center"/>
              <w:ind w:left="418"/>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5"/>
        </w:trPr>
        <w:tc>
          <w:tcPr>
            <w:tcW w:w="5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9"/>
              </w:rPr>
              <w:t>March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7"/>
        </w:trPr>
        <w:tc>
          <w:tcPr>
            <w:tcW w:w="580" w:type="dxa"/>
            <w:vAlign w:val="bottom"/>
          </w:tcPr>
          <w:p>
            <w:pPr>
              <w:spacing w:after="0"/>
              <w:rPr>
                <w:sz w:val="20"/>
                <w:szCs w:val="20"/>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Segment Depreciation and Amortization:</w:t>
            </w:r>
          </w:p>
        </w:tc>
        <w:tc>
          <w:tcPr>
            <w:tcW w:w="29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3960" w:type="dxa"/>
            <w:vAlign w:val="bottom"/>
          </w:tcPr>
          <w:p>
            <w:pPr>
              <w:ind w:left="180"/>
              <w:spacing w:after="0"/>
              <w:rPr>
                <w:sz w:val="20"/>
                <w:szCs w:val="20"/>
                <w:color w:val="auto"/>
              </w:rPr>
            </w:pPr>
            <w:r>
              <w:rPr>
                <w:rFonts w:ascii="Arial" w:cs="Arial" w:eastAsia="Arial" w:hAnsi="Arial"/>
                <w:sz w:val="18"/>
                <w:szCs w:val="18"/>
                <w:color w:val="auto"/>
              </w:rPr>
              <w:t>U.S. Marketplace</w:t>
            </w:r>
          </w:p>
        </w:tc>
        <w:tc>
          <w:tcPr>
            <w:tcW w:w="33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2,740</w:t>
            </w:r>
          </w:p>
        </w:tc>
        <w:tc>
          <w:tcPr>
            <w:tcW w:w="26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2,940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3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Digital Wholesale</w:t>
            </w:r>
          </w:p>
        </w:tc>
        <w:tc>
          <w:tcPr>
            <w:tcW w:w="29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8,693</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8,122</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3960" w:type="dxa"/>
            <w:vAlign w:val="bottom"/>
          </w:tcPr>
          <w:p>
            <w:pPr>
              <w:ind w:left="180"/>
              <w:spacing w:after="0"/>
              <w:rPr>
                <w:sz w:val="20"/>
                <w:szCs w:val="20"/>
                <w:color w:val="auto"/>
              </w:rPr>
            </w:pPr>
            <w:r>
              <w:rPr>
                <w:rFonts w:ascii="Arial" w:cs="Arial" w:eastAsia="Arial" w:hAnsi="Arial"/>
                <w:sz w:val="18"/>
                <w:szCs w:val="18"/>
                <w:color w:val="auto"/>
              </w:rPr>
              <w:t>Other</w:t>
            </w:r>
          </w:p>
        </w:tc>
        <w:tc>
          <w:tcPr>
            <w:tcW w:w="29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7"/>
        </w:trPr>
        <w:tc>
          <w:tcPr>
            <w:tcW w:w="580" w:type="dxa"/>
            <w:vAlign w:val="bottom"/>
          </w:tcPr>
          <w:p>
            <w:pPr>
              <w:spacing w:after="0"/>
              <w:rPr>
                <w:sz w:val="24"/>
                <w:szCs w:val="24"/>
                <w:color w:val="auto"/>
              </w:rPr>
            </w:pPr>
          </w:p>
        </w:tc>
        <w:tc>
          <w:tcPr>
            <w:tcW w:w="396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29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11,576</w:t>
            </w:r>
          </w:p>
        </w:tc>
        <w:tc>
          <w:tcPr>
            <w:tcW w:w="26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11,185</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635"/>
        </w:trPr>
        <w:tc>
          <w:tcPr>
            <w:tcW w:w="5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960" w:type="dxa"/>
            <w:vAlign w:val="bottom"/>
          </w:tcPr>
          <w:p>
            <w:pPr>
              <w:jc w:val="right"/>
              <w:ind w:right="169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960" w:type="dxa"/>
            <w:vAlign w:val="bottom"/>
            <w:tcBorders>
              <w:bottom w:val="single" w:sz="8" w:color="9A9A9A"/>
            </w:tcBorders>
          </w:tcPr>
          <w:p>
            <w:pPr>
              <w:spacing w:after="0"/>
              <w:rPr>
                <w:sz w:val="8"/>
                <w:szCs w:val="8"/>
                <w:color w:val="auto"/>
              </w:rPr>
            </w:pPr>
          </w:p>
        </w:tc>
        <w:tc>
          <w:tcPr>
            <w:tcW w:w="29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-3068320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-3051175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-3068320</wp:posOffset>
            </wp:positionV>
            <wp:extent cx="603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-3051175</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-1790700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-1773555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-1790700</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-1773555</wp:posOffset>
            </wp:positionV>
            <wp:extent cx="603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-513715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-496570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-513715</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-496570</wp:posOffset>
            </wp:positionV>
            <wp:extent cx="603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ind w:firstLine="509"/>
        <w:spacing w:after="0" w:line="277" w:lineRule="auto"/>
        <w:rPr>
          <w:sz w:val="20"/>
          <w:szCs w:val="20"/>
          <w:color w:val="auto"/>
        </w:rPr>
      </w:pPr>
      <w:r>
        <w:rPr>
          <w:rFonts w:ascii="Arial" w:cs="Arial" w:eastAsia="Arial" w:hAnsi="Arial"/>
          <w:sz w:val="18"/>
          <w:szCs w:val="18"/>
          <w:color w:val="auto"/>
        </w:rPr>
        <w:t>For the three months ended March 31, 2023 and 2022, a reconciliation between segment income from operations to consolidated income before income taxes is as follows:</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6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6"/>
              </w:rPr>
              <w:t>2023</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13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4"/>
                <w:szCs w:val="14"/>
                <w:color w:val="auto"/>
              </w:rPr>
            </w:pPr>
          </w:p>
        </w:tc>
      </w:tr>
      <w:tr>
        <w:trPr>
          <w:trHeight w:val="237"/>
        </w:trPr>
        <w:tc>
          <w:tcPr>
            <w:tcW w:w="60" w:type="dxa"/>
            <w:vAlign w:val="bottom"/>
          </w:tcPr>
          <w:p>
            <w:pPr>
              <w:spacing w:after="0"/>
              <w:rPr>
                <w:sz w:val="20"/>
                <w:szCs w:val="20"/>
                <w:color w:val="auto"/>
              </w:rPr>
            </w:pPr>
          </w:p>
        </w:tc>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Total segment income from operations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14,059</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26,659</w:t>
            </w:r>
          </w:p>
        </w:tc>
        <w:tc>
          <w:tcPr>
            <w:tcW w:w="100" w:type="dxa"/>
            <w:vAlign w:val="bottom"/>
            <w:shd w:val="clear" w:color="auto" w:fill="CFF0FC"/>
          </w:tcPr>
          <w:p>
            <w:pPr>
              <w:spacing w:after="0"/>
              <w:rPr>
                <w:sz w:val="20"/>
                <w:szCs w:val="20"/>
                <w:color w:val="auto"/>
              </w:rPr>
            </w:pPr>
          </w:p>
        </w:tc>
      </w:tr>
      <w:tr>
        <w:trPr>
          <w:trHeight w:val="237"/>
        </w:trPr>
        <w:tc>
          <w:tcPr>
            <w:tcW w:w="60" w:type="dxa"/>
            <w:vAlign w:val="bottom"/>
          </w:tcPr>
          <w:p>
            <w:pPr>
              <w:spacing w:after="0"/>
              <w:rPr>
                <w:sz w:val="20"/>
                <w:szCs w:val="20"/>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4,338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(119 )</w:t>
            </w:r>
          </w:p>
        </w:tc>
      </w:tr>
      <w:tr>
        <w:trPr>
          <w:trHeight w:val="276"/>
        </w:trPr>
        <w:tc>
          <w:tcPr>
            <w:tcW w:w="60" w:type="dxa"/>
            <w:vAlign w:val="bottom"/>
          </w:tcPr>
          <w:p>
            <w:pPr>
              <w:spacing w:after="0"/>
              <w:rPr>
                <w:sz w:val="24"/>
                <w:szCs w:val="24"/>
                <w:color w:val="auto"/>
              </w:rPr>
            </w:pPr>
          </w:p>
        </w:tc>
        <w:tc>
          <w:tcPr>
            <w:tcW w:w="6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Consolidated income before income taxes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18,397</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FF0FC"/>
          </w:tcPr>
          <w:p>
            <w:pPr>
              <w:spacing w:after="0"/>
              <w:rPr>
                <w:sz w:val="24"/>
                <w:szCs w:val="24"/>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26,540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9"/>
        </w:trPr>
        <w:tc>
          <w:tcPr>
            <w:tcW w:w="6980" w:type="dxa"/>
            <w:vAlign w:val="bottom"/>
            <w:gridSpan w:val="2"/>
          </w:tcPr>
          <w:p>
            <w:pPr>
              <w:spacing w:after="0"/>
              <w:rPr>
                <w:sz w:val="20"/>
                <w:szCs w:val="20"/>
                <w:color w:val="auto"/>
              </w:rPr>
            </w:pPr>
            <w:r>
              <w:rPr>
                <w:rFonts w:ascii="Arial" w:cs="Arial" w:eastAsia="Arial" w:hAnsi="Arial"/>
                <w:sz w:val="18"/>
                <w:szCs w:val="18"/>
                <w:color w:val="auto"/>
              </w:rPr>
              <w:t>As of March 31, 2023 and December 31, 2022, segment assets are as follows: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5"/>
        </w:trPr>
        <w:tc>
          <w:tcPr>
            <w:tcW w:w="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center"/>
              <w:ind w:right="158"/>
              <w:spacing w:after="0"/>
              <w:rPr>
                <w:sz w:val="20"/>
                <w:szCs w:val="20"/>
                <w:color w:val="auto"/>
              </w:rPr>
            </w:pPr>
            <w:r>
              <w:rPr>
                <w:rFonts w:ascii="Arial" w:cs="Arial" w:eastAsia="Arial" w:hAnsi="Arial"/>
                <w:sz w:val="14"/>
                <w:szCs w:val="14"/>
                <w:b w:val="1"/>
                <w:bCs w:val="1"/>
                <w:color w:val="auto"/>
                <w:w w:val="85"/>
              </w:rPr>
              <w:t>As of</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As of</w:t>
            </w:r>
          </w:p>
        </w:tc>
      </w:tr>
      <w:tr>
        <w:trPr>
          <w:trHeight w:val="144"/>
        </w:trPr>
        <w:tc>
          <w:tcPr>
            <w:tcW w:w="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ind w:right="158"/>
              <w:spacing w:after="0" w:line="145" w:lineRule="exact"/>
              <w:rPr>
                <w:sz w:val="20"/>
                <w:szCs w:val="20"/>
                <w:color w:val="auto"/>
              </w:rPr>
            </w:pPr>
            <w:r>
              <w:rPr>
                <w:rFonts w:ascii="Arial" w:cs="Arial" w:eastAsia="Arial" w:hAnsi="Arial"/>
                <w:sz w:val="14"/>
                <w:szCs w:val="14"/>
                <w:b w:val="1"/>
                <w:bCs w:val="1"/>
                <w:color w:val="auto"/>
                <w:w w:val="95"/>
              </w:rPr>
              <w:t>March 31,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3"/>
          </w:tcPr>
          <w:p>
            <w:pPr>
              <w:jc w:val="center"/>
              <w:ind w:right="320"/>
              <w:spacing w:after="0" w:line="145" w:lineRule="exact"/>
              <w:rPr>
                <w:sz w:val="20"/>
                <w:szCs w:val="20"/>
                <w:color w:val="auto"/>
              </w:rPr>
            </w:pPr>
            <w:r>
              <w:rPr>
                <w:rFonts w:ascii="Arial" w:cs="Arial" w:eastAsia="Arial" w:hAnsi="Arial"/>
                <w:sz w:val="14"/>
                <w:szCs w:val="14"/>
                <w:b w:val="1"/>
                <w:bCs w:val="1"/>
                <w:color w:val="auto"/>
                <w:w w:val="92"/>
              </w:rPr>
              <w:t>December 31,</w:t>
            </w:r>
          </w:p>
        </w:tc>
      </w:tr>
      <w:tr>
        <w:trPr>
          <w:trHeight w:val="189"/>
        </w:trPr>
        <w:tc>
          <w:tcPr>
            <w:tcW w:w="6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6"/>
              </w:rPr>
              <w:t>2023</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jc w:val="right"/>
              <w:ind w:right="395"/>
              <w:spacing w:after="0"/>
              <w:rPr>
                <w:sz w:val="20"/>
                <w:szCs w:val="20"/>
                <w:color w:val="auto"/>
              </w:rPr>
            </w:pPr>
            <w:r>
              <w:rPr>
                <w:rFonts w:ascii="Arial" w:cs="Arial" w:eastAsia="Arial" w:hAnsi="Arial"/>
                <w:sz w:val="10"/>
                <w:szCs w:val="10"/>
                <w:b w:val="1"/>
                <w:bCs w:val="1"/>
                <w:color w:val="auto"/>
                <w:w w:val="97"/>
              </w:rPr>
              <w:t>(1)</w:t>
            </w:r>
          </w:p>
        </w:tc>
        <w:tc>
          <w:tcPr>
            <w:tcW w:w="100" w:type="dxa"/>
            <w:vAlign w:val="bottom"/>
          </w:tcPr>
          <w:p>
            <w:pPr>
              <w:spacing w:after="0"/>
              <w:rPr>
                <w:sz w:val="16"/>
                <w:szCs w:val="16"/>
                <w:color w:val="auto"/>
              </w:rPr>
            </w:pPr>
          </w:p>
        </w:tc>
      </w:tr>
      <w:tr>
        <w:trPr>
          <w:trHeight w:val="237"/>
        </w:trPr>
        <w:tc>
          <w:tcPr>
            <w:tcW w:w="60" w:type="dxa"/>
            <w:vAlign w:val="bottom"/>
          </w:tcPr>
          <w:p>
            <w:pPr>
              <w:spacing w:after="0"/>
              <w:rPr>
                <w:sz w:val="20"/>
                <w:szCs w:val="20"/>
                <w:color w:val="auto"/>
              </w:rPr>
            </w:pPr>
          </w:p>
        </w:tc>
        <w:tc>
          <w:tcPr>
            <w:tcW w:w="69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Segment Assets:</w:t>
            </w: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60" w:type="dxa"/>
            <w:vAlign w:val="bottom"/>
          </w:tcPr>
          <w:p>
            <w:pPr>
              <w:spacing w:after="0"/>
              <w:rPr>
                <w:sz w:val="20"/>
                <w:szCs w:val="20"/>
                <w:color w:val="auto"/>
              </w:rPr>
            </w:pPr>
          </w:p>
        </w:tc>
        <w:tc>
          <w:tcPr>
            <w:tcW w:w="6920" w:type="dxa"/>
            <w:vAlign w:val="bottom"/>
          </w:tcPr>
          <w:p>
            <w:pPr>
              <w:ind w:left="180"/>
              <w:spacing w:after="0"/>
              <w:rPr>
                <w:sz w:val="20"/>
                <w:szCs w:val="20"/>
                <w:color w:val="auto"/>
              </w:rPr>
            </w:pPr>
            <w:r>
              <w:rPr>
                <w:rFonts w:ascii="Arial" w:cs="Arial" w:eastAsia="Arial" w:hAnsi="Arial"/>
                <w:sz w:val="18"/>
                <w:szCs w:val="18"/>
                <w:color w:val="auto"/>
              </w:rPr>
              <w:t>U.S. Marketplace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710,139</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525,103</w:t>
            </w:r>
          </w:p>
        </w:tc>
        <w:tc>
          <w:tcPr>
            <w:tcW w:w="100" w:type="dxa"/>
            <w:vAlign w:val="bottom"/>
          </w:tcPr>
          <w:p>
            <w:pPr>
              <w:spacing w:after="0"/>
              <w:rPr>
                <w:sz w:val="20"/>
                <w:szCs w:val="20"/>
                <w:color w:val="auto"/>
              </w:rPr>
            </w:pPr>
          </w:p>
        </w:tc>
      </w:tr>
      <w:tr>
        <w:trPr>
          <w:trHeight w:val="249"/>
        </w:trPr>
        <w:tc>
          <w:tcPr>
            <w:tcW w:w="60" w:type="dxa"/>
            <w:vAlign w:val="bottom"/>
          </w:tcPr>
          <w:p>
            <w:pPr>
              <w:spacing w:after="0"/>
              <w:rPr>
                <w:sz w:val="21"/>
                <w:szCs w:val="21"/>
                <w:color w:val="auto"/>
              </w:rPr>
            </w:pPr>
          </w:p>
        </w:tc>
        <w:tc>
          <w:tcPr>
            <w:tcW w:w="69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Digital Wholesale</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293,329</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358,289</w:t>
            </w:r>
          </w:p>
        </w:tc>
        <w:tc>
          <w:tcPr>
            <w:tcW w:w="100" w:type="dxa"/>
            <w:vAlign w:val="bottom"/>
            <w:shd w:val="clear" w:color="auto" w:fill="CFF0FC"/>
          </w:tcPr>
          <w:p>
            <w:pPr>
              <w:spacing w:after="0"/>
              <w:rPr>
                <w:sz w:val="21"/>
                <w:szCs w:val="21"/>
                <w:color w:val="auto"/>
              </w:rPr>
            </w:pPr>
          </w:p>
        </w:tc>
      </w:tr>
      <w:tr>
        <w:trPr>
          <w:trHeight w:val="237"/>
        </w:trPr>
        <w:tc>
          <w:tcPr>
            <w:tcW w:w="60" w:type="dxa"/>
            <w:vAlign w:val="bottom"/>
          </w:tcPr>
          <w:p>
            <w:pPr>
              <w:spacing w:after="0"/>
              <w:rPr>
                <w:sz w:val="20"/>
                <w:szCs w:val="20"/>
                <w:color w:val="auto"/>
              </w:rPr>
            </w:pPr>
          </w:p>
        </w:tc>
        <w:tc>
          <w:tcPr>
            <w:tcW w:w="692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48,111</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43,710</w:t>
            </w:r>
          </w:p>
        </w:tc>
        <w:tc>
          <w:tcPr>
            <w:tcW w:w="100" w:type="dxa"/>
            <w:vAlign w:val="bottom"/>
          </w:tcPr>
          <w:p>
            <w:pPr>
              <w:spacing w:after="0"/>
              <w:rPr>
                <w:sz w:val="20"/>
                <w:szCs w:val="20"/>
                <w:color w:val="auto"/>
              </w:rPr>
            </w:pPr>
          </w:p>
        </w:tc>
      </w:tr>
      <w:tr>
        <w:trPr>
          <w:trHeight w:val="277"/>
        </w:trPr>
        <w:tc>
          <w:tcPr>
            <w:tcW w:w="60" w:type="dxa"/>
            <w:vAlign w:val="bottom"/>
          </w:tcPr>
          <w:p>
            <w:pPr>
              <w:spacing w:after="0"/>
              <w:rPr>
                <w:sz w:val="24"/>
                <w:szCs w:val="24"/>
                <w:color w:val="auto"/>
              </w:rPr>
            </w:pPr>
          </w:p>
        </w:tc>
        <w:tc>
          <w:tcPr>
            <w:tcW w:w="692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1,051,579</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927,102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-1550670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-1533525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-1550670</wp:posOffset>
            </wp:positionV>
            <wp:extent cx="603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-1533525</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9" w:lineRule="exact"/>
        <w:rPr>
          <w:sz w:val="20"/>
          <w:szCs w:val="20"/>
          <w:color w:val="auto"/>
        </w:rPr>
      </w:pPr>
    </w:p>
    <w:p>
      <w:pPr>
        <w:jc w:val="both"/>
        <w:ind w:left="1020" w:hanging="499"/>
        <w:spacing w:after="0" w:line="318" w:lineRule="auto"/>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As of December 31, 2022, Digital Wholesale assets did not reflect certain Dealer-to-Dealer and IMCO related capitalized website development assets from the U.S. Marketplace segment. During the three months ended March 31, 2023, the Company updated Digital Wholesale assets to reflect certain Dealer-to-Dealer and IMCO related capitalized website development amortization assets from the U.S. Marketplace segment and accordingly updated Digital Wholesale assets as of December 31, 2022 for comparative purposes.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three months ended March 31, 2023 and 2022, revenue by geographic region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Revenue by Geographic Region:</w:t>
            </w:r>
          </w:p>
        </w:tc>
        <w:tc>
          <w:tcPr>
            <w:tcW w:w="3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220,457</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419,208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6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International</w:t>
            </w:r>
          </w:p>
        </w:tc>
        <w:tc>
          <w:tcPr>
            <w:tcW w:w="3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11,506</w:t>
            </w:r>
          </w:p>
        </w:tc>
        <w:tc>
          <w:tcPr>
            <w:tcW w:w="2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11,400</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Total</w:t>
            </w:r>
          </w:p>
        </w:tc>
        <w:tc>
          <w:tcPr>
            <w:tcW w:w="3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231,963</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430,608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260" w:type="dxa"/>
            <w:vAlign w:val="bottom"/>
            <w:vMerge w:val="restart"/>
          </w:tcPr>
          <w:p>
            <w:pPr>
              <w:jc w:val="right"/>
              <w:ind w:right="1690"/>
              <w:spacing w:after="0"/>
              <w:rPr>
                <w:sz w:val="20"/>
                <w:szCs w:val="20"/>
                <w:color w:val="auto"/>
              </w:rPr>
            </w:pPr>
            <w:r>
              <w:rPr>
                <w:rFonts w:ascii="Arial" w:cs="Arial" w:eastAsia="Arial" w:hAnsi="Arial"/>
                <w:sz w:val="18"/>
                <w:szCs w:val="18"/>
                <w:color w:val="auto"/>
              </w:rPr>
              <w:t>19</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-685165</wp:posOffset>
            </wp:positionV>
            <wp:extent cx="68580" cy="188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-685165</wp:posOffset>
            </wp:positionV>
            <wp:extent cx="60325"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Unaudited Condensed Consolidated Financial Statements, and the related notes thereto, appearing elsewhere in this Quarterly Report on Form 10-Q, or Quarterly Report, and our consolidated financial statements and the related notes and other financial information included in our Annual Report on Form 10-K for the year ended December 31, 2022, filed with the Securities and Exchange Commission, or SEC, on March 1, 2023, or our Annual Report. Some of the information contained in this discussion and analysis or elsewhere in this Quarterly Report, including information with respect to our plans and strategy for our business and our performance and future success, includes forward-looking statements that involve risks and uncertainties. See “Special Note Regarding Forward-Looking Statements.” You should review the “Risk Factors” section of this Quarterly Report for a discussion of important factors that could cause actual results to differ materially from the results described in or implied by the forward-looking statements contained in the following discussion and analysis.</w:t>
      </w:r>
    </w:p>
    <w:p>
      <w:pPr>
        <w:spacing w:after="0" w:line="19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i w:val="1"/>
          <w:iCs w:val="1"/>
          <w:color w:val="auto"/>
        </w:rPr>
        <w:t>In this discussion, we use financial measures that are considered non-GAAP financial measures under SEC rules. These rules regarding non-GAAP financial measures require supplemental explanation and reconciliation, which are included elsewhere in this Quarterly Report. Investors should not consider non-GAAP financial measures in isolation from or in substitution for, financial information presented in compliance with United States generally accepted accounting principles, or GAAP.</w:t>
      </w:r>
    </w:p>
    <w:p>
      <w:pPr>
        <w:spacing w:after="0" w:line="187" w:lineRule="exact"/>
        <w:rPr>
          <w:sz w:val="20"/>
          <w:szCs w:val="20"/>
          <w:color w:val="auto"/>
        </w:rPr>
      </w:pPr>
    </w:p>
    <w:p>
      <w:pPr>
        <w:jc w:val="both"/>
        <w:ind w:firstLine="509"/>
        <w:spacing w:after="0" w:line="223" w:lineRule="exact"/>
        <w:rPr>
          <w:sz w:val="20"/>
          <w:szCs w:val="20"/>
          <w:color w:val="auto"/>
        </w:rPr>
      </w:pPr>
      <w:r>
        <w:rPr>
          <w:rFonts w:ascii="Arial" w:cs="Arial" w:eastAsia="Arial" w:hAnsi="Arial"/>
          <w:sz w:val="18"/>
          <w:szCs w:val="18"/>
          <w:i w:val="1"/>
          <w:iCs w:val="1"/>
          <w:color w:val="auto"/>
        </w:rPr>
        <w:t>This section of this Quarterly Report discusses 2023 and 2022 items and year-to-year comparisons between 2023 and 2022. The period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to</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period comparison of financial results is not necessarily indicative of future results.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CarGurus, Inc. is a multinational, online automotive platform for buying and selling vehicles that is building upon its industry-leading listings marketplace with both digital retail solutions and the CarOffer digital wholesale platform. The CarGurus platform gives consumers the confidence to buy and/or sell a vehicle either online or in-person, and it gives dealerships the power to accurately price, instantly acquire, effectively market, and quickly sell vehicles, all with a nationwide reach. We use proprietary technology, search algorithms and data analytics to bring trust, transparency and competitive pricing to the automotive shopping experience.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headquartered in Cambridge, Massachusetts and were incorporated in the State of Delaware on June 26, 2015.</w:t>
      </w:r>
    </w:p>
    <w:p>
      <w:pPr>
        <w:spacing w:after="0" w:line="22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operate principally in the United States. In the United States, we also operate as independent brands – the Autolist online marketplace, which we wholly own, and the CarOffer digital wholesale platform, in which we hold a 51% equity interest. In addition to the United States, we operate online marketplaces under the CarGurus brand in Canada and the United Kingdom. In the United Kingdom, we also operate as an independent brand the PistonHeads online marketplace, which we wholly own.</w:t>
      </w:r>
    </w:p>
    <w:p>
      <w:pPr>
        <w:spacing w:after="0" w:line="18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We have subsidiaries in the United States, Canada, Ireland, and the United Kingdom. Effective as of the fourth quarter of 2022, we revised our segment reporting from one reportable segment to two reportable segments – U.S. Marketplace and Digital Wholesale. See Note 12 of the Unaudited Condensed Consolidated Financial Statements included elsewhere in this Quarterly Report for further segment reporting and geographic information.</w:t>
      </w:r>
    </w:p>
    <w:p>
      <w:pPr>
        <w:spacing w:after="0" w:line="165"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derive our revenue from marketplace revenue, wholesale revenue, and product revenue. Marketplace revenue is included in the U.S. Marketplace segment and Other category of segment reporting. Wholesale revenue and product revenue are included in the Digital Wholesale segment. We generate marketplace revenue primarily from (i) dealer subscriptions to our Listings packages and Real-time Performance Marketing, or RPM, digital advertising suite, and Digital Retail, (ii) advertising revenue from auto manufacturers and other auto-related brand advertisers and (iii) revenue from partnerships with financing services companies. We generate wholesale revenue primarily from (x) transaction fees earned from facilitating the purchase and sale of vehicles between dealers, or Dealer-to-Dealer transactions, (y) transaction fees earned from sale of vehicles to dealers that we acquire at other marketplaces, and (z) transaction fees earned from performing inspection and transportation services, inclusive of Dealer-to-Dealer transactions, other marketplace to dealer transactions, and IMCO transactions (as defined below). We generate product revenue primarily from (A) aggregate proceeds received from the sale of vehicles to dealers that were acquired directly from customers, or CarGurus Instant Max Cash Offer, or IMCO, transactions, and (B) proceeds received from the sale of vehicles that were acquired through arbitration.</w:t>
      </w:r>
    </w:p>
    <w:p>
      <w:pPr>
        <w:spacing w:after="0" w:line="18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For the three months ended March 31, 2023, we generated revenue of $232.0 million, a 46% decrease from $430.6 million of revenue for the three months ended March 31, 2022. For the three months ended March 31, 2023, we generated consolidated net income of $11.9 million and Consolidated Adjusted EBITDA of $40.8 million, compared to consolidated net income of $18.8 million and Consolidated Adjusted EBITDA of $65.7 million for the three months ended March 31, 2022.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4" w:name="page25"/>
    <w:bookmarkEnd w:id="24"/>
    <w:p>
      <w:pPr>
        <w:jc w:val="both"/>
        <w:ind w:firstLine="509"/>
        <w:spacing w:after="0" w:line="263" w:lineRule="auto"/>
        <w:rPr>
          <w:sz w:val="20"/>
          <w:szCs w:val="20"/>
          <w:color w:val="auto"/>
        </w:rPr>
      </w:pPr>
      <w:r>
        <w:rPr>
          <w:rFonts w:ascii="Arial" w:cs="Arial" w:eastAsia="Arial" w:hAnsi="Arial"/>
          <w:sz w:val="18"/>
          <w:szCs w:val="18"/>
          <w:color w:val="auto"/>
        </w:rPr>
        <w:t>See “Consolidated Adjusted EBITDA, Adjusted EBITDA, and Adjusted EBITDA attributable to redeemable noncontrolling interest” below for more information regarding our use of Adjusted EBITDA, a non-GAAP financial measure, and a reconciliation of Adjusted EBITDA to our consolidated net income.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We regularly review a number of metrics, including the key metrics listed below, to evaluate our business, measure our performance, identify trends affecting our business, formulate financial projections, and make operating and strategic decisions. We believe it is important to evaluate these metrics for the United States and International geographic regions. The International region derives revenues from marketplace revenue from customers outside of the United States. International markets perform differently from the United States market due to a variety of factors, including our operating history in each market, our rate of investment, market size, market maturity, competition and other dynamics unique to each country.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Monthly Unique Users</w:t>
      </w:r>
    </w:p>
    <w:p>
      <w:pPr>
        <w:spacing w:after="0" w:line="225"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For each of our websites (excluding the CarOffer website), we define a monthly unique user as an individual who has visited any such website within a calendar month, based on data as measured by Google Analytics. We calculate average monthly unique users as the sum of the monthly unique users of each of our websites in a given period, divided by the number of months in that period. We count a unique user the first time a computer or mobile device with a unique device identifier accesses any of our websites during a calendar month. If an individual accesses a website using a different device within a given month, the first access by each such device is counted as a separate unique user. If an individual uses multiple browsers on a single device and/or clears their cookies and returns to our site within a calendar month, each such visit is counted as a separate unique user. We view our average monthly unique users as a key indicator of the quality of our user experience, the effectiveness of our advertising and traffic acquisition, and the strength of our brand awareness. Measuring unique users is important to us and we believe it provides useful information to our investors because our marketplace revenue depends, in part, on our ability to provide dealers with connections to our users and exposure to our marketplace audience. We define connections as interactions between consumers and dealers on our marketplace through phone calls, email, managed text and chat, and clicks to access the dealer’s website or map directions to the dealership.</w:t>
      </w: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3"/>
          </w:tcPr>
          <w:p>
            <w:pPr>
              <w:jc w:val="center"/>
              <w:ind w:left="800"/>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6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tcBorders>
              <w:bottom w:val="single" w:sz="8" w:color="auto"/>
            </w:tcBorders>
            <w:gridSpan w:val="3"/>
          </w:tcPr>
          <w:p>
            <w:pPr>
              <w:jc w:val="center"/>
              <w:ind w:left="800"/>
              <w:spacing w:after="0"/>
              <w:rPr>
                <w:sz w:val="20"/>
                <w:szCs w:val="20"/>
                <w:color w:val="auto"/>
              </w:rPr>
            </w:pPr>
            <w:r>
              <w:rPr>
                <w:rFonts w:ascii="Arial" w:cs="Arial" w:eastAsia="Arial" w:hAnsi="Arial"/>
                <w:sz w:val="14"/>
                <w:szCs w:val="14"/>
                <w:b w:val="1"/>
                <w:bCs w:val="1"/>
                <w:color w:val="auto"/>
                <w:w w:val="99"/>
              </w:rPr>
              <w:t>March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Average Monthly Unique Users</w:t>
            </w:r>
          </w:p>
        </w:tc>
        <w:tc>
          <w:tcPr>
            <w:tcW w:w="140" w:type="dxa"/>
            <w:vAlign w:val="bottom"/>
          </w:tcPr>
          <w:p>
            <w:pPr>
              <w:spacing w:after="0"/>
              <w:rPr>
                <w:sz w:val="14"/>
                <w:szCs w:val="14"/>
                <w:color w:val="auto"/>
              </w:rPr>
            </w:pPr>
          </w:p>
        </w:tc>
        <w:tc>
          <w:tcPr>
            <w:tcW w:w="14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4"/>
                <w:szCs w:val="14"/>
                <w:color w:val="auto"/>
              </w:rPr>
            </w:pPr>
          </w:p>
        </w:tc>
      </w:tr>
      <w:tr>
        <w:trPr>
          <w:trHeight w:val="169"/>
        </w:trPr>
        <w:tc>
          <w:tcPr>
            <w:tcW w:w="6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ind w:right="100"/>
              <w:spacing w:after="0"/>
              <w:rPr>
                <w:sz w:val="20"/>
                <w:szCs w:val="20"/>
                <w:color w:val="auto"/>
              </w:rPr>
            </w:pPr>
            <w:r>
              <w:rPr>
                <w:rFonts w:ascii="Arial" w:cs="Arial" w:eastAsia="Arial" w:hAnsi="Arial"/>
                <w:sz w:val="14"/>
                <w:szCs w:val="14"/>
                <w:b w:val="1"/>
                <w:bCs w:val="1"/>
                <w:color w:val="auto"/>
              </w:rPr>
              <w:t>(in</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thousands)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31,986</w:t>
            </w:r>
          </w:p>
        </w:tc>
        <w:tc>
          <w:tcPr>
            <w:tcW w:w="2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31,051</w:t>
            </w:r>
          </w:p>
        </w:tc>
        <w:tc>
          <w:tcPr>
            <w:tcW w:w="100" w:type="dxa"/>
            <w:vAlign w:val="bottom"/>
            <w:shd w:val="clear" w:color="auto" w:fill="CFF0FC"/>
          </w:tcPr>
          <w:p>
            <w:pPr>
              <w:spacing w:after="0"/>
              <w:rPr>
                <w:sz w:val="21"/>
                <w:szCs w:val="21"/>
                <w:color w:val="auto"/>
              </w:rPr>
            </w:pPr>
          </w:p>
        </w:tc>
      </w:tr>
      <w:tr>
        <w:trPr>
          <w:trHeight w:val="237"/>
        </w:trPr>
        <w:tc>
          <w:tcPr>
            <w:tcW w:w="688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7,191</w:t>
            </w:r>
          </w:p>
        </w:tc>
        <w:tc>
          <w:tcPr>
            <w:tcW w:w="2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6,878</w:t>
            </w:r>
          </w:p>
        </w:tc>
        <w:tc>
          <w:tcPr>
            <w:tcW w:w="100" w:type="dxa"/>
            <w:vAlign w:val="bottom"/>
          </w:tcPr>
          <w:p>
            <w:pPr>
              <w:spacing w:after="0"/>
              <w:rPr>
                <w:sz w:val="20"/>
                <w:szCs w:val="20"/>
                <w:color w:val="auto"/>
              </w:rPr>
            </w:pPr>
          </w:p>
        </w:tc>
      </w:tr>
      <w:tr>
        <w:trPr>
          <w:trHeight w:val="277"/>
        </w:trPr>
        <w:tc>
          <w:tcPr>
            <w:tcW w:w="688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39,177</w:t>
            </w:r>
          </w:p>
        </w:tc>
        <w:tc>
          <w:tcPr>
            <w:tcW w:w="22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37,929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596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96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Monthly Sessions</w:t>
      </w:r>
    </w:p>
    <w:p>
      <w:pPr>
        <w:spacing w:after="0" w:line="225"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We define monthly sessions as the number of distinct visits to our websites (excluding the CarOffer website) that take place each month within a given time frame, as measured and defined by Google Analytics. We calculate average monthly sessions as the sum of the monthly sessions in a given period, divided by the number of months in that period. A session is defined as beginning with the first page view from a computer or mobile device and ending at the earliest of when a user closes their browser window, after 30 minutes of inactivity, or each night at midnight (i) Eastern Time for our United States and Canada websites, other than the Autolist website, (ii) Pacific Time for the Autolist website, and (iii) Greenwich Mean Time for our U.K. websites. A session can be made up of multiple page views and visitor actions, such as performing a search, visiting vehicle detail pages, and connecting with a dealer. We believe that measuring the volume of sessions in a time period, when considered in conjunction with the number of unique users in that time period, is an important indicator to us of consumer satisfaction and engagement with our marketplace, and we believe it provides useful information to our investors because the more satisfied and engaged consumers we have, the more valuable our service is to dealers.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3"/>
          </w:tcPr>
          <w:p>
            <w:pPr>
              <w:jc w:val="center"/>
              <w:ind w:left="804"/>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5"/>
        </w:trPr>
        <w:tc>
          <w:tcPr>
            <w:tcW w:w="5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tcBorders>
              <w:bottom w:val="single" w:sz="8" w:color="auto"/>
            </w:tcBorders>
            <w:gridSpan w:val="3"/>
          </w:tcPr>
          <w:p>
            <w:pPr>
              <w:jc w:val="center"/>
              <w:ind w:left="804"/>
              <w:spacing w:after="0"/>
              <w:rPr>
                <w:sz w:val="20"/>
                <w:szCs w:val="20"/>
                <w:color w:val="auto"/>
              </w:rPr>
            </w:pPr>
            <w:r>
              <w:rPr>
                <w:rFonts w:ascii="Arial" w:cs="Arial" w:eastAsia="Arial" w:hAnsi="Arial"/>
                <w:sz w:val="14"/>
                <w:szCs w:val="14"/>
                <w:b w:val="1"/>
                <w:bCs w:val="1"/>
                <w:color w:val="auto"/>
                <w:w w:val="99"/>
              </w:rPr>
              <w:t>March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Average Monthly Sessions</w:t>
            </w:r>
          </w:p>
        </w:tc>
        <w:tc>
          <w:tcPr>
            <w:tcW w:w="3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ind w:right="104"/>
              <w:spacing w:after="0"/>
              <w:rPr>
                <w:sz w:val="20"/>
                <w:szCs w:val="20"/>
                <w:color w:val="auto"/>
              </w:rPr>
            </w:pPr>
            <w:r>
              <w:rPr>
                <w:rFonts w:ascii="Arial" w:cs="Arial" w:eastAsia="Arial" w:hAnsi="Arial"/>
                <w:sz w:val="14"/>
                <w:szCs w:val="14"/>
                <w:b w:val="1"/>
                <w:bCs w:val="1"/>
                <w:color w:val="auto"/>
              </w:rPr>
              <w:t>(in</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thousands)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43"/>
        </w:trPr>
        <w:tc>
          <w:tcPr>
            <w:tcW w:w="580" w:type="dxa"/>
            <w:vAlign w:val="bottom"/>
          </w:tcPr>
          <w:p>
            <w:pPr>
              <w:spacing w:after="0"/>
              <w:rPr>
                <w:sz w:val="21"/>
                <w:szCs w:val="21"/>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50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84,274</w:t>
            </w:r>
          </w:p>
        </w:tc>
        <w:tc>
          <w:tcPr>
            <w:tcW w:w="2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84,851</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International</w:t>
            </w:r>
          </w:p>
        </w:tc>
        <w:tc>
          <w:tcPr>
            <w:tcW w:w="5060" w:type="dxa"/>
            <w:vAlign w:val="bottom"/>
            <w:gridSpan w:val="3"/>
          </w:tcPr>
          <w:p>
            <w:pPr>
              <w:jc w:val="right"/>
              <w:spacing w:after="0"/>
              <w:rPr>
                <w:sz w:val="20"/>
                <w:szCs w:val="20"/>
                <w:color w:val="auto"/>
              </w:rPr>
            </w:pPr>
            <w:r>
              <w:rPr>
                <w:rFonts w:ascii="Arial" w:cs="Arial" w:eastAsia="Arial" w:hAnsi="Arial"/>
                <w:sz w:val="18"/>
                <w:szCs w:val="18"/>
                <w:color w:val="auto"/>
              </w:rPr>
              <w:t>16,672</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15,817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6"/>
        </w:trPr>
        <w:tc>
          <w:tcPr>
            <w:tcW w:w="580" w:type="dxa"/>
            <w:vAlign w:val="bottom"/>
          </w:tcPr>
          <w:p>
            <w:pPr>
              <w:spacing w:after="0"/>
              <w:rPr>
                <w:sz w:val="24"/>
                <w:szCs w:val="24"/>
                <w:color w:val="auto"/>
              </w:rPr>
            </w:pPr>
          </w:p>
        </w:tc>
        <w:tc>
          <w:tcPr>
            <w:tcW w:w="32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3600" w:type="dxa"/>
            <w:vAlign w:val="bottom"/>
            <w:tcBorders>
              <w:bottom w:val="single" w:sz="8" w:color="CFF0FC"/>
            </w:tcBorders>
            <w:gridSpan w:val="2"/>
            <w:shd w:val="clear" w:color="auto" w:fill="CFF0FC"/>
          </w:tcPr>
          <w:p>
            <w:pPr>
              <w:spacing w:after="0"/>
              <w:rPr>
                <w:sz w:val="24"/>
                <w:szCs w:val="24"/>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100,946</w:t>
            </w:r>
          </w:p>
        </w:tc>
        <w:tc>
          <w:tcPr>
            <w:tcW w:w="22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top w:val="single" w:sz="8" w:color="auto"/>
              <w:bottom w:val="single" w:sz="8" w:color="auto"/>
            </w:tcBorders>
            <w:shd w:val="clear" w:color="auto" w:fill="CFF0FC"/>
          </w:tcPr>
          <w:p>
            <w:pPr>
              <w:spacing w:after="0"/>
              <w:rPr>
                <w:sz w:val="24"/>
                <w:szCs w:val="24"/>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100,668</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635"/>
        </w:trPr>
        <w:tc>
          <w:tcPr>
            <w:tcW w:w="5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460" w:type="dxa"/>
            <w:vAlign w:val="bottom"/>
          </w:tcPr>
          <w:p>
            <w:pPr>
              <w:jc w:val="right"/>
              <w:ind w:right="151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-521970</wp:posOffset>
            </wp:positionV>
            <wp:extent cx="596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-504825</wp:posOffset>
            </wp:positionV>
            <wp:extent cx="596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-521970</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-504825</wp:posOffset>
            </wp:positionV>
            <wp:extent cx="603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Transactions</w:t>
      </w:r>
    </w:p>
    <w:p>
      <w:pPr>
        <w:spacing w:after="0" w:line="225"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We define Transactions within the Digital Wholesale segment as the number of vehicles processed from car dealers, consumers, and other marketplaces through the CarOffer website within the applicable period. Transactions consists of each unique vehicle (based on vehicle identification number) that reaches "sold and invoiced" status on the CarOffer website within the applicable period, including vehicles sold to car dealers, vehicles sold at third-party auctions, vehicles ultimately sold to a different buyer, and vehicles that are returned to their owners without completion of a sale transaction. We exclude vehicles processed within CarOffer's intra-group trading solution (Group Trade) from the definition of Transactions, and we only count any unique vehicle once even if it reaches sold status multiple times. Digital Wholesale includes Dealer-to-Dealer Transactions and IMCO Transactions. We view Transactions as a key business metric, and we believe it provides useful information to investors, because it provides insight into growth and revenue for the Digital Wholesale segment. Transactions drive a significant portion of Digital Wholesale segment revenue. We believe growth in Transactions demonstrates consumer and dealer utilization and our market share penetration in the Digital Wholesale segment.</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2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r>
      <w:tr>
        <w:trPr>
          <w:trHeight w:val="169"/>
        </w:trPr>
        <w:tc>
          <w:tcPr>
            <w:tcW w:w="6880" w:type="dxa"/>
            <w:vAlign w:val="bottom"/>
            <w:gridSpan w:val="2"/>
          </w:tcPr>
          <w:p>
            <w:pPr>
              <w:spacing w:after="0"/>
              <w:rPr>
                <w:sz w:val="20"/>
                <w:szCs w:val="20"/>
                <w:color w:val="auto"/>
              </w:rPr>
            </w:pPr>
            <w:r>
              <w:rPr>
                <w:rFonts w:ascii="Arial" w:cs="Arial" w:eastAsia="Arial" w:hAnsi="Arial"/>
                <w:sz w:val="14"/>
                <w:szCs w:val="14"/>
                <w:b w:val="1"/>
                <w:bCs w:val="1"/>
                <w:color w:val="auto"/>
              </w:rPr>
              <w:t>Transactions</w:t>
            </w:r>
          </w:p>
        </w:tc>
        <w:tc>
          <w:tcPr>
            <w:tcW w:w="1460" w:type="dxa"/>
            <w:vAlign w:val="bottom"/>
          </w:tcPr>
          <w:p>
            <w:pPr>
              <w:jc w:val="right"/>
              <w:ind w:right="502"/>
              <w:spacing w:after="0"/>
              <w:rPr>
                <w:sz w:val="20"/>
                <w:szCs w:val="20"/>
                <w:color w:val="auto"/>
              </w:rPr>
            </w:pPr>
            <w:r>
              <w:rPr>
                <w:rFonts w:ascii="Arial" w:cs="Arial" w:eastAsia="Arial" w:hAnsi="Arial"/>
                <w:sz w:val="14"/>
                <w:szCs w:val="14"/>
                <w:b w:val="1"/>
                <w:bCs w:val="1"/>
                <w:color w:val="auto"/>
              </w:rPr>
              <w:t>2023</w:t>
            </w:r>
          </w:p>
        </w:tc>
        <w:tc>
          <w:tcPr>
            <w:tcW w:w="166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6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Transactions</w:t>
            </w:r>
          </w:p>
        </w:tc>
        <w:tc>
          <w:tcPr>
            <w:tcW w:w="140" w:type="dxa"/>
            <w:vAlign w:val="bottom"/>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17,505</w:t>
            </w:r>
          </w:p>
        </w:tc>
        <w:tc>
          <w:tcPr>
            <w:tcW w:w="220" w:type="dxa"/>
            <w:vAlign w:val="bottom"/>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68,754</w:t>
            </w:r>
          </w:p>
        </w:tc>
        <w:tc>
          <w:tcPr>
            <w:tcW w:w="100" w:type="dxa"/>
            <w:vAlign w:val="bottom"/>
            <w:shd w:val="clear" w:color="auto" w:fill="CFF0FC"/>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Paying Dealers</w:t>
      </w:r>
    </w:p>
    <w:p>
      <w:pPr>
        <w:spacing w:after="0" w:line="22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define a paying dealer as a dealer account with an active, paid marketplace subscription at the end of a defined period. The number of paying dealers we have is important to us and we believe it provides valuable information to investors because it is indicative of the value proposition of our marketplace products, as well as our sales and marketing success and opportunity, including our ability to retain paying dealers and develop new dealer relationships.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As of March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880" w:type="dxa"/>
            <w:vAlign w:val="bottom"/>
            <w:gridSpan w:val="2"/>
          </w:tcPr>
          <w:p>
            <w:pPr>
              <w:spacing w:after="0"/>
              <w:rPr>
                <w:sz w:val="20"/>
                <w:szCs w:val="20"/>
                <w:color w:val="auto"/>
              </w:rPr>
            </w:pPr>
            <w:r>
              <w:rPr>
                <w:rFonts w:ascii="Arial" w:cs="Arial" w:eastAsia="Arial" w:hAnsi="Arial"/>
                <w:sz w:val="14"/>
                <w:szCs w:val="14"/>
                <w:b w:val="1"/>
                <w:bCs w:val="1"/>
                <w:color w:val="auto"/>
              </w:rPr>
              <w:t>Number of Paying Dealers</w:t>
            </w:r>
          </w:p>
        </w:tc>
        <w:tc>
          <w:tcPr>
            <w:tcW w:w="1460" w:type="dxa"/>
            <w:vAlign w:val="bottom"/>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6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24,394</w:t>
            </w:r>
          </w:p>
        </w:tc>
        <w:tc>
          <w:tcPr>
            <w:tcW w:w="220" w:type="dxa"/>
            <w:vAlign w:val="bottom"/>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24,219</w:t>
            </w:r>
          </w:p>
        </w:tc>
        <w:tc>
          <w:tcPr>
            <w:tcW w:w="100" w:type="dxa"/>
            <w:vAlign w:val="bottom"/>
            <w:shd w:val="clear" w:color="auto" w:fill="CFF0FC"/>
          </w:tcPr>
          <w:p>
            <w:pPr>
              <w:spacing w:after="0"/>
              <w:rPr>
                <w:sz w:val="20"/>
                <w:szCs w:val="20"/>
                <w:color w:val="auto"/>
              </w:rPr>
            </w:pPr>
          </w:p>
        </w:tc>
      </w:tr>
      <w:tr>
        <w:trPr>
          <w:trHeight w:val="237"/>
        </w:trPr>
        <w:tc>
          <w:tcPr>
            <w:tcW w:w="688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6,897</w:t>
            </w:r>
          </w:p>
        </w:tc>
        <w:tc>
          <w:tcPr>
            <w:tcW w:w="2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6,648</w:t>
            </w:r>
          </w:p>
        </w:tc>
        <w:tc>
          <w:tcPr>
            <w:tcW w:w="100" w:type="dxa"/>
            <w:vAlign w:val="bottom"/>
          </w:tcPr>
          <w:p>
            <w:pPr>
              <w:spacing w:after="0"/>
              <w:rPr>
                <w:sz w:val="20"/>
                <w:szCs w:val="20"/>
                <w:color w:val="auto"/>
              </w:rPr>
            </w:pPr>
          </w:p>
        </w:tc>
      </w:tr>
      <w:tr>
        <w:trPr>
          <w:trHeight w:val="277"/>
        </w:trPr>
        <w:tc>
          <w:tcPr>
            <w:tcW w:w="688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31,291</w:t>
            </w:r>
          </w:p>
        </w:tc>
        <w:tc>
          <w:tcPr>
            <w:tcW w:w="22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30,867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596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96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Average Revenue per Subscribing Dealer (QARSD)</w:t>
      </w:r>
    </w:p>
    <w:p>
      <w:pPr>
        <w:spacing w:after="0" w:line="22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We define QARSD, which is measured at the end of a fiscal quarter, as the marketplace revenue primarily from subscriptions to our Listings packages and RPM digital advertising suite during that trailing quarter divided by the average number of paying dealers in that marketplace during the quarter. We calculate the average number of paying dealers for a period by adding the number of paying dealers at the end of such period and the end of the prior period and dividing by two. This information is important to us, and we believe it provides useful information to investors, because we believe that our ability to grow QARSD is an indicator of the value proposition of our products and the return on investment, or ROI, that our paying dealers realize from our products. In addition, increases in QARSD, which we believe reflect the value of exposure to our engaged audience in relation to subscription cost, are driven in part by our ability to grow the volume of connections to our users and the quality of those connections, which result in increased opportunity to upsell package levels and cross-sell additional products to our paying dealers.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 March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4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Quarterly Average Revenue per Subscribing Dealer (QARSD)</w:t>
            </w:r>
          </w:p>
        </w:tc>
        <w:tc>
          <w:tcPr>
            <w:tcW w:w="2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6"/>
        </w:trPr>
        <w:tc>
          <w:tcPr>
            <w:tcW w:w="580" w:type="dxa"/>
            <w:vAlign w:val="bottom"/>
          </w:tcPr>
          <w:p>
            <w:pPr>
              <w:spacing w:after="0"/>
              <w:rPr>
                <w:sz w:val="20"/>
                <w:szCs w:val="20"/>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3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5,943</w:t>
            </w:r>
          </w:p>
        </w:tc>
        <w:tc>
          <w:tcPr>
            <w:tcW w:w="26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5,713</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International</w:t>
            </w:r>
          </w:p>
        </w:tc>
        <w:tc>
          <w:tcPr>
            <w:tcW w:w="28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1,550</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Consolidated</w:t>
            </w:r>
          </w:p>
        </w:tc>
        <w:tc>
          <w:tcPr>
            <w:tcW w:w="2880" w:type="dxa"/>
            <w:vAlign w:val="bottom"/>
            <w:gridSpan w:val="3"/>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4,986</w:t>
            </w:r>
          </w:p>
        </w:tc>
        <w:tc>
          <w:tcPr>
            <w:tcW w:w="72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4,806</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648"/>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360" w:type="dxa"/>
            <w:vAlign w:val="bottom"/>
          </w:tcPr>
          <w:p>
            <w:pPr>
              <w:jc w:val="right"/>
              <w:ind w:right="151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Consolidated Adjusted EBITDA, Adjusted EBITDA, and Adjusted EBITDA attributable to redeemable noncontrolling interest</w:t>
      </w:r>
    </w:p>
    <w:p>
      <w:pPr>
        <w:spacing w:after="0" w:line="225" w:lineRule="exact"/>
        <w:rPr>
          <w:sz w:val="20"/>
          <w:szCs w:val="20"/>
          <w:color w:val="auto"/>
        </w:rPr>
      </w:pPr>
    </w:p>
    <w:p>
      <w:pPr>
        <w:jc w:val="both"/>
        <w:ind w:firstLine="509"/>
        <w:spacing w:after="0" w:line="220" w:lineRule="exact"/>
        <w:rPr>
          <w:sz w:val="20"/>
          <w:szCs w:val="20"/>
          <w:color w:val="auto"/>
        </w:rPr>
      </w:pPr>
      <w:r>
        <w:rPr>
          <w:rFonts w:ascii="Arial" w:cs="Arial" w:eastAsia="Arial" w:hAnsi="Arial"/>
          <w:sz w:val="18"/>
          <w:szCs w:val="18"/>
          <w:color w:val="auto"/>
        </w:rPr>
        <w:t>To provide investors with additional information regarding our financial results, we have presented within this Quarterly Report, Consolidated Adjusted EBITDA, Adjusted EBITDA, and Adjusted EBITDA attributable to redeemable noncontrolling interest, each of which is a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 These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measures are not based on any standardized methodology prescribed by GAAP, and are not necessarily comparable to any similarly titled measures presented by other companies.</w:t>
      </w:r>
    </w:p>
    <w:p>
      <w:pPr>
        <w:spacing w:after="0" w:line="204" w:lineRule="exact"/>
        <w:rPr>
          <w:sz w:val="20"/>
          <w:szCs w:val="20"/>
          <w:color w:val="auto"/>
        </w:rPr>
      </w:pPr>
    </w:p>
    <w:p>
      <w:pPr>
        <w:jc w:val="both"/>
        <w:ind w:right="20" w:firstLine="509"/>
        <w:spacing w:after="0" w:line="223" w:lineRule="exact"/>
        <w:rPr>
          <w:sz w:val="20"/>
          <w:szCs w:val="20"/>
          <w:color w:val="auto"/>
        </w:rPr>
      </w:pPr>
      <w:r>
        <w:rPr>
          <w:rFonts w:ascii="Arial" w:cs="Arial" w:eastAsia="Arial" w:hAnsi="Arial"/>
          <w:sz w:val="18"/>
          <w:szCs w:val="18"/>
          <w:color w:val="auto"/>
        </w:rPr>
        <w:t>We define Consolidated Adjusted EBITDA as consolidated net income, adjusted to exclude: depreciation and amortization, impairment of long-lived assets,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other (income) expense, net, and provision for income taxes.</w:t>
      </w:r>
    </w:p>
    <w:p>
      <w:pPr>
        <w:spacing w:after="0" w:line="20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define Adjusted EBITDA as Consolidated Adjusted EBITDA adjusted to exclude Adjusted EBITDA attributable to redeemable noncontrolling interest.</w:t>
      </w:r>
    </w:p>
    <w:p>
      <w:pPr>
        <w:spacing w:after="0" w:line="170" w:lineRule="exact"/>
        <w:rPr>
          <w:sz w:val="20"/>
          <w:szCs w:val="20"/>
          <w:color w:val="auto"/>
        </w:rPr>
      </w:pPr>
    </w:p>
    <w:p>
      <w:pPr>
        <w:jc w:val="both"/>
        <w:ind w:firstLine="509"/>
        <w:spacing w:after="0" w:line="218" w:lineRule="exact"/>
        <w:rPr>
          <w:sz w:val="20"/>
          <w:szCs w:val="20"/>
          <w:color w:val="auto"/>
        </w:rPr>
      </w:pPr>
      <w:r>
        <w:rPr>
          <w:rFonts w:ascii="Arial" w:cs="Arial" w:eastAsia="Arial" w:hAnsi="Arial"/>
          <w:sz w:val="18"/>
          <w:szCs w:val="18"/>
          <w:color w:val="auto"/>
        </w:rPr>
        <w:t>We define Adjusted EBITDA attributable to redeemable noncontrolling interest as net loss attributable to redeemable noncontrolling interest, adjusted to exclude: depreciation and amortization, impairment of long-lived assets,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other expense, net, and provision for income taxes. These exclusions are adjusted for redeemable noncontrolling interest of 38% by taking the noncontrolling interest's full financial results and multiplying each line item in the reconciliation by 38%. We note that we use 38%, versus 49%, to allocate the share of income (loss) because it represents the portion attributable to the redeemable noncontrolling interest. The 38% is exclusive of CO Incentive Units, Subject Units, and 2021 Incentive Units (as each term is defined in Note 2 to our consolidated financial statements contained within our Annual Report) liability classified awards which do not participate in the share of income (loss).</w:t>
      </w:r>
    </w:p>
    <w:p>
      <w:pPr>
        <w:spacing w:after="0" w:line="207" w:lineRule="exact"/>
        <w:rPr>
          <w:sz w:val="20"/>
          <w:szCs w:val="20"/>
          <w:color w:val="auto"/>
        </w:rPr>
      </w:pPr>
    </w:p>
    <w:p>
      <w:pPr>
        <w:jc w:val="both"/>
        <w:ind w:firstLine="509"/>
        <w:spacing w:after="0" w:line="218" w:lineRule="exact"/>
        <w:rPr>
          <w:sz w:val="20"/>
          <w:szCs w:val="20"/>
          <w:color w:val="auto"/>
        </w:rPr>
      </w:pPr>
      <w:r>
        <w:rPr>
          <w:rFonts w:ascii="Arial" w:cs="Arial" w:eastAsia="Arial" w:hAnsi="Arial"/>
          <w:sz w:val="18"/>
          <w:szCs w:val="18"/>
          <w:color w:val="auto"/>
        </w:rPr>
        <w:t>We have presented Consolidated Adjusted EBITDA and Adjusted EBITDA within this Quarterly Report, because they are key measures used by our management and board of directors to understand and evaluate our operating performance, generate future operating plans, and make strategic decisions regarding the allocation of capital. In particular, we believe that the exclusion of certain items in calculating Consolidated Adjusted EBITDA and Adjusted EBITDA can produce a useful measure for period</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period comparisons of our business. We have presented Adjusted EBITDA attributable to redeemable noncontrolling interest because it is used by our management to reconcile Consolidated Adjusted EBITDA to Adjusted EBITDA. It represents the portion of Consolidated Adjusted EBITDA that is attributable to our noncontrolling interest. Adjusted EBITDA attributable to redeemable noncontrolling interest is not intended to be reviewed on its own.</w:t>
      </w:r>
    </w:p>
    <w:p>
      <w:pPr>
        <w:spacing w:after="0" w:line="207" w:lineRule="exact"/>
        <w:rPr>
          <w:sz w:val="20"/>
          <w:szCs w:val="20"/>
          <w:color w:val="auto"/>
        </w:rPr>
      </w:pPr>
    </w:p>
    <w:p>
      <w:pPr>
        <w:jc w:val="both"/>
        <w:ind w:firstLine="509"/>
        <w:spacing w:after="0" w:line="218" w:lineRule="exact"/>
        <w:rPr>
          <w:sz w:val="20"/>
          <w:szCs w:val="20"/>
          <w:color w:val="auto"/>
        </w:rPr>
      </w:pPr>
      <w:r>
        <w:rPr>
          <w:rFonts w:ascii="Arial" w:cs="Arial" w:eastAsia="Arial" w:hAnsi="Arial"/>
          <w:sz w:val="18"/>
          <w:szCs w:val="18"/>
          <w:color w:val="auto"/>
        </w:rPr>
        <w:t>We use Consolidated Adjusted EBITDA and Adjusted EBITDA to evaluate our operating performance and trends and make planning decisions. We believe Consolidated Adjusted EBITDA and Adjusted EBITDA help identify underlying trends in our business that could otherwise be masked by the effect of the expenses that we exclude. Accordingly, we believe that Consolidated Adjusted EBITDA and Adjusted EBITDA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w:t>
      </w:r>
      <w:r>
        <w:rPr>
          <w:rFonts w:ascii="MS PGothic" w:cs="MS PGothic" w:eastAsia="MS PGothic" w:hAnsi="MS PGothic"/>
          <w:sz w:val="18"/>
          <w:szCs w:val="18"/>
          <w:color w:val="auto"/>
        </w:rPr>
        <w:t>‑</w:t>
      </w:r>
      <w:r>
        <w:rPr>
          <w:rFonts w:ascii="Arial" w:cs="Arial" w:eastAsia="Arial" w:hAnsi="Arial"/>
          <w:sz w:val="18"/>
          <w:szCs w:val="18"/>
          <w:color w:val="auto"/>
        </w:rPr>
        <w:t>making. We use Adjusted EBITDA attributable to redeemable noncontrolling interest to reconcile Consolidated Adjusted EBITDA to Adjusted EBITDA. It enables an investor to gain a clearer understanding of the portion of Consolidated Adjusted EBITDA that is attributable to our noncontrolling interest.</w:t>
      </w:r>
    </w:p>
    <w:p>
      <w:pPr>
        <w:spacing w:after="0" w:line="20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Our Consolidated Adjusted EBITDA, Adjusted EBITDA and Adjusted EBITDA attributable to redeemable noncontrolling interest are not prepared in accordance with GAAP, and should not be considered in isolation of, or as an alternative to, measures prepared in accordance with GAAP. There are a number of limitations related to the use of Consolidated Adjusted EBITDA, Adjusted EBITDA and Adjusted EBITDA attributable to redeemable noncontrolling interest rather than consolidated net income and net loss attributable to redeemable noncontrolling interest, respectively, which are the most directly comparable GAAP equivalents. Some of these limitations are:</w:t>
      </w:r>
    </w:p>
    <w:p>
      <w:pPr>
        <w:spacing w:after="0" w:line="188" w:lineRule="exact"/>
        <w:rPr>
          <w:sz w:val="20"/>
          <w:szCs w:val="20"/>
          <w:color w:val="auto"/>
        </w:rPr>
      </w:pPr>
    </w:p>
    <w:p>
      <w:pPr>
        <w:jc w:val="both"/>
        <w:ind w:left="900" w:hanging="383"/>
        <w:spacing w:after="0" w:line="220" w:lineRule="exact"/>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Consolidated Adjusted EBITDA, Adjusted EBITDA, and Adjusted EBITDA attributable to redeemable noncontrolling interest exclude depreciation and amortization expense and, although these are non</w:t>
      </w:r>
      <w:r>
        <w:rPr>
          <w:rFonts w:ascii="MS PGothic" w:cs="MS PGothic" w:eastAsia="MS PGothic" w:hAnsi="MS PGothic"/>
          <w:sz w:val="18"/>
          <w:szCs w:val="18"/>
          <w:color w:val="auto"/>
        </w:rPr>
        <w:t>‑</w:t>
      </w:r>
      <w:r>
        <w:rPr>
          <w:rFonts w:ascii="Arial" w:cs="Arial" w:eastAsia="Arial" w:hAnsi="Arial"/>
          <w:sz w:val="18"/>
          <w:szCs w:val="18"/>
          <w:color w:val="auto"/>
        </w:rPr>
        <w:t>cash expenses, the assets being depreciated may have to be replaced in the future;</w:t>
      </w:r>
    </w:p>
    <w:p>
      <w:pPr>
        <w:spacing w:after="0" w:line="204" w:lineRule="exact"/>
        <w:rPr>
          <w:rFonts w:ascii="Arial" w:cs="Arial" w:eastAsia="Arial" w:hAnsi="Arial"/>
          <w:sz w:val="18"/>
          <w:szCs w:val="18"/>
          <w:color w:val="auto"/>
        </w:rPr>
      </w:pPr>
    </w:p>
    <w:p>
      <w:pPr>
        <w:ind w:left="900" w:hanging="383"/>
        <w:spacing w:after="0" w:line="34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Consolidated Adjusted EBITDA, Adjusted EBITDA, and Adjusted EBITDA attributable to redeemable noncontrolling interest exclude impairment of long-lived assets and, although these are non-cash adjustments, the assets being impaired may have to be replaced in the future;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jc w:val="both"/>
        <w:ind w:left="900" w:hanging="383"/>
        <w:spacing w:after="0" w:line="220" w:lineRule="exact"/>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Consolidated Adjusted EBITDA, Adjusted EBITDA, and Adjusted EBITDA attributable to redeemable noncontrolling interest exclude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which will be, for the foreseeable future, a significant recurring expense for our business and an important part of our compensation strategy;</w:t>
      </w:r>
    </w:p>
    <w:p>
      <w:pPr>
        <w:spacing w:after="0" w:line="204" w:lineRule="exact"/>
        <w:rPr>
          <w:rFonts w:ascii="Arial" w:cs="Arial" w:eastAsia="Arial" w:hAnsi="Arial"/>
          <w:sz w:val="18"/>
          <w:szCs w:val="18"/>
          <w:color w:val="auto"/>
        </w:rPr>
      </w:pPr>
    </w:p>
    <w:p>
      <w:pPr>
        <w:jc w:val="both"/>
        <w:ind w:left="900" w:hanging="383"/>
        <w:spacing w:after="0" w:line="263"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Consolidated Adjusted EBITDA, Adjusted EBITDA, and Adjusted EBITDA attributable to redeemable noncontrolling interest exclude other (income) expense, net which consists primarily of interest income earned on our cash, cash equivalents and investments, foreign exchange gains and losses and interest expense;</w:t>
      </w:r>
    </w:p>
    <w:p>
      <w:pPr>
        <w:spacing w:after="0" w:line="183" w:lineRule="exact"/>
        <w:rPr>
          <w:rFonts w:ascii="Arial" w:cs="Arial" w:eastAsia="Arial" w:hAnsi="Arial"/>
          <w:sz w:val="18"/>
          <w:szCs w:val="18"/>
          <w:color w:val="auto"/>
        </w:rPr>
      </w:pPr>
    </w:p>
    <w:p>
      <w:pPr>
        <w:ind w:left="900" w:right="20" w:hanging="383"/>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Consolidated Adjusted EBITDA, Adjusted EBITDA, and Adjusted EBITDA attributable to redeemable noncontrolling interest exclude the provision for income taxes;</w:t>
      </w:r>
    </w:p>
    <w:p>
      <w:pPr>
        <w:spacing w:after="0" w:line="170" w:lineRule="exact"/>
        <w:rPr>
          <w:rFonts w:ascii="Arial" w:cs="Arial" w:eastAsia="Arial" w:hAnsi="Arial"/>
          <w:sz w:val="18"/>
          <w:szCs w:val="18"/>
          <w:color w:val="auto"/>
        </w:rPr>
      </w:pPr>
    </w:p>
    <w:p>
      <w:pPr>
        <w:jc w:val="both"/>
        <w:ind w:left="900" w:hanging="383"/>
        <w:spacing w:after="0" w:line="263"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excludes Adjusted EBITDA attributable to redeemable noncontrolling interest, which is calculated as the net loss attributable to redeemable noncontrolling interest, adjusted for all exclusions used to calculate Consolidated Adjusted EBITDA as described above; and</w:t>
      </w:r>
    </w:p>
    <w:p>
      <w:pPr>
        <w:spacing w:after="0" w:line="183" w:lineRule="exact"/>
        <w:rPr>
          <w:rFonts w:ascii="Arial" w:cs="Arial" w:eastAsia="Arial" w:hAnsi="Arial"/>
          <w:sz w:val="18"/>
          <w:szCs w:val="18"/>
          <w:color w:val="auto"/>
        </w:rPr>
      </w:pPr>
    </w:p>
    <w:p>
      <w:pPr>
        <w:ind w:left="900" w:right="20" w:hanging="383"/>
        <w:spacing w:after="0" w:line="308"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other companies, including companies in our industry, may calculate Consolidated Adjusted EBITDA, Adjusted EBITDA and Adjusted EBITDA attributable to redeemable noncontrolling interest differently, which reduces their usefulness as a comparative measure.</w:t>
      </w:r>
    </w:p>
    <w:p>
      <w:pPr>
        <w:spacing w:after="0" w:line="146" w:lineRule="exact"/>
        <w:rPr>
          <w:rFonts w:ascii="Arial" w:cs="Arial" w:eastAsia="Arial" w:hAnsi="Arial"/>
          <w:sz w:val="17"/>
          <w:szCs w:val="17"/>
          <w:color w:val="auto"/>
        </w:rPr>
      </w:pPr>
    </w:p>
    <w:p>
      <w:pPr>
        <w:jc w:val="both"/>
        <w:ind w:left="900" w:hanging="383"/>
        <w:spacing w:after="0" w:line="263"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Because of these limitations, we consider, and you should consider, Consolidated Adjusted EBITDA, Adjusted EBITDA and Adjusted EBITDA attributable to redeemable noncontrolling interest together with other operating and financial performance measures presented in accordance with GAAP.</w:t>
      </w:r>
    </w:p>
    <w:p>
      <w:pPr>
        <w:spacing w:after="0" w:line="184" w:lineRule="exact"/>
        <w:rPr>
          <w:sz w:val="20"/>
          <w:szCs w:val="20"/>
          <w:color w:val="auto"/>
        </w:rPr>
      </w:pPr>
    </w:p>
    <w:p>
      <w:pPr>
        <w:ind w:right="20" w:firstLine="509"/>
        <w:spacing w:after="0" w:line="342" w:lineRule="auto"/>
        <w:rPr>
          <w:sz w:val="20"/>
          <w:szCs w:val="20"/>
          <w:color w:val="auto"/>
        </w:rPr>
      </w:pPr>
      <w:r>
        <w:rPr>
          <w:rFonts w:ascii="Arial" w:cs="Arial" w:eastAsia="Arial" w:hAnsi="Arial"/>
          <w:sz w:val="16"/>
          <w:szCs w:val="16"/>
          <w:color w:val="auto"/>
        </w:rPr>
        <w:t>For the three months ended March 31, 2023 and 2022, the following table presents a reconciliation of Consolidated Adjusted EBITDA and Adjusted EBITDA to consolidated net income, the most directly comparable measure calculated in accordance with GAAP, for each of the periods presented.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4"/>
          </w:tcPr>
          <w:p>
            <w:pPr>
              <w:jc w:val="center"/>
              <w:ind w:right="232"/>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7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476"/>
              <w:spacing w:after="0"/>
              <w:rPr>
                <w:sz w:val="20"/>
                <w:szCs w:val="20"/>
                <w:color w:val="auto"/>
              </w:rPr>
            </w:pPr>
            <w:r>
              <w:rPr>
                <w:rFonts w:ascii="Arial" w:cs="Arial" w:eastAsia="Arial" w:hAnsi="Arial"/>
                <w:sz w:val="14"/>
                <w:szCs w:val="14"/>
                <w:b w:val="1"/>
                <w:bCs w:val="1"/>
                <w:color w:val="auto"/>
                <w:w w:val="95"/>
              </w:rPr>
              <w:t>March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3"/>
          </w:tcPr>
          <w:p>
            <w:pPr>
              <w:jc w:val="center"/>
              <w:ind w:left="496"/>
              <w:spacing w:after="0"/>
              <w:rPr>
                <w:sz w:val="20"/>
                <w:szCs w:val="20"/>
                <w:color w:val="auto"/>
              </w:rPr>
            </w:pPr>
            <w:r>
              <w:rPr>
                <w:rFonts w:ascii="Arial" w:cs="Arial" w:eastAsia="Arial" w:hAnsi="Arial"/>
                <w:sz w:val="14"/>
                <w:szCs w:val="14"/>
                <w:b w:val="1"/>
                <w:bCs w:val="1"/>
                <w:color w:val="auto"/>
                <w:w w:val="91"/>
              </w:rPr>
              <w:t>(in thousands)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7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Reconciliation of Consolidated Adjusted EBITDA and Adjusted EBITDA:</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11,866</w:t>
            </w:r>
          </w:p>
        </w:tc>
        <w:tc>
          <w:tcPr>
            <w:tcW w:w="26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18,838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11,576</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11,185</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Impairment of long-lived assets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14,977</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27,842</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(4,338 )</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7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6,531</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7,702</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Consolidated Adjusted EBITDA</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40,787</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65,686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attributable to redeemable noncontrolling interest</w:t>
            </w: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(677 )</w:t>
            </w:r>
          </w:p>
        </w:tc>
        <w:tc>
          <w:tcPr>
            <w:tcW w:w="3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7,736</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72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41,464</w:t>
            </w:r>
          </w:p>
        </w:tc>
        <w:tc>
          <w:tcPr>
            <w:tcW w:w="26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57,950</w:t>
            </w:r>
          </w:p>
        </w:tc>
        <w:tc>
          <w:tcPr>
            <w:tcW w:w="100" w:type="dxa"/>
            <w:vAlign w:val="bottom"/>
            <w:tcBorders>
              <w:top w:val="single" w:sz="8" w:color="CFF0FC"/>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240" w:type="dxa"/>
            <w:vAlign w:val="bottom"/>
            <w:vMerge w:val="restart"/>
          </w:tcPr>
          <w:p>
            <w:pPr>
              <w:ind w:left="4960"/>
              <w:spacing w:after="0"/>
              <w:rPr>
                <w:sz w:val="20"/>
                <w:szCs w:val="20"/>
                <w:color w:val="auto"/>
              </w:rPr>
            </w:pPr>
            <w:r>
              <w:rPr>
                <w:rFonts w:ascii="Arial" w:cs="Arial" w:eastAsia="Arial" w:hAnsi="Arial"/>
                <w:sz w:val="18"/>
                <w:szCs w:val="18"/>
                <w:color w:val="auto"/>
              </w:rPr>
              <w:t>24</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80" w:type="dxa"/>
            <w:vAlign w:val="bottom"/>
          </w:tcPr>
          <w:p>
            <w:pPr>
              <w:spacing w:after="0"/>
              <w:rPr>
                <w:sz w:val="24"/>
                <w:szCs w:val="24"/>
                <w:color w:val="auto"/>
              </w:rPr>
            </w:pPr>
          </w:p>
        </w:tc>
        <w:tc>
          <w:tcPr>
            <w:tcW w:w="7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7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-1002665</wp:posOffset>
            </wp:positionV>
            <wp:extent cx="68580" cy="1631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-1002665</wp:posOffset>
            </wp:positionV>
            <wp:extent cx="60325" cy="1631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-685165</wp:posOffset>
            </wp:positionV>
            <wp:extent cx="68580" cy="188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-685165</wp:posOffset>
            </wp:positionV>
            <wp:extent cx="60325"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jc w:val="both"/>
        <w:ind w:firstLine="509"/>
        <w:spacing w:after="0" w:line="263" w:lineRule="auto"/>
        <w:rPr>
          <w:sz w:val="20"/>
          <w:szCs w:val="20"/>
          <w:color w:val="auto"/>
        </w:rPr>
      </w:pPr>
      <w:r>
        <w:rPr>
          <w:rFonts w:ascii="Arial" w:cs="Arial" w:eastAsia="Arial" w:hAnsi="Arial"/>
          <w:sz w:val="18"/>
          <w:szCs w:val="18"/>
          <w:color w:val="auto"/>
        </w:rPr>
        <w:t>For the three months ended March 31, 2023 and 2022, the following table presents a reconciliation of Adjusted EBITDA attributable to redeemable noncontrolling interest to net loss attributable to redeemable noncontrolling interest, the most directly comparable measure calculated in accordance with GAAP, for each of the periods presented.</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3"/>
          </w:tcPr>
          <w:p>
            <w:pPr>
              <w:jc w:val="center"/>
              <w:ind w:left="357"/>
              <w:spacing w:after="0"/>
              <w:rPr>
                <w:sz w:val="20"/>
                <w:szCs w:val="20"/>
                <w:color w:val="auto"/>
              </w:rPr>
            </w:pPr>
            <w:r>
              <w:rPr>
                <w:rFonts w:ascii="Arial" w:cs="Arial" w:eastAsia="Arial" w:hAnsi="Arial"/>
                <w:sz w:val="14"/>
                <w:szCs w:val="14"/>
                <w:b w:val="1"/>
                <w:bCs w:val="1"/>
                <w:color w:val="auto"/>
                <w:w w:val="95"/>
              </w:rPr>
              <w:t>Three Months Ended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4"/>
                <w:szCs w:val="14"/>
                <w:b w:val="1"/>
                <w:bCs w:val="1"/>
                <w:color w:val="auto"/>
                <w:w w:val="99"/>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8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gridSpan w:val="3"/>
          </w:tcPr>
          <w:p>
            <w:pPr>
              <w:jc w:val="center"/>
              <w:ind w:left="397"/>
              <w:spacing w:after="0"/>
              <w:rPr>
                <w:sz w:val="20"/>
                <w:szCs w:val="20"/>
                <w:color w:val="auto"/>
              </w:rPr>
            </w:pPr>
            <w:r>
              <w:rPr>
                <w:rFonts w:ascii="Arial" w:cs="Arial" w:eastAsia="Arial" w:hAnsi="Arial"/>
                <w:sz w:val="14"/>
                <w:szCs w:val="14"/>
                <w:b w:val="1"/>
                <w:bCs w:val="1"/>
                <w:color w:val="auto"/>
                <w:w w:val="91"/>
              </w:rPr>
              <w:t>(in thousands)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0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w w:val="99"/>
              </w:rPr>
              <w:t>Reconciliation of Adjusted EBITDA attributable to redeemable noncontrolling interest:</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Net loss attributable to redeemable noncontrolling interest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(4,266 )</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(1,072 )</w:t>
            </w:r>
          </w:p>
        </w:tc>
        <w:tc>
          <w:tcPr>
            <w:tcW w:w="0" w:type="dxa"/>
            <w:vAlign w:val="bottom"/>
          </w:tcPr>
          <w:p>
            <w:pPr>
              <w:spacing w:after="0"/>
              <w:rPr>
                <w:sz w:val="1"/>
                <w:szCs w:val="1"/>
                <w:color w:val="auto"/>
              </w:rPr>
            </w:pPr>
          </w:p>
        </w:tc>
      </w:tr>
      <w:tr>
        <w:trPr>
          <w:trHeight w:val="249"/>
        </w:trPr>
        <w:tc>
          <w:tcPr>
            <w:tcW w:w="7400" w:type="dxa"/>
            <w:vAlign w:val="bottom"/>
            <w:gridSpan w:val="2"/>
            <w:shd w:val="clear" w:color="auto" w:fill="CFF0FC"/>
          </w:tcPr>
          <w:p>
            <w:pPr>
              <w:ind w:left="20"/>
              <w:spacing w:after="0" w:line="249"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4"/>
                <w:szCs w:val="24"/>
                <w:color w:val="auto"/>
                <w:vertAlign w:val="superscript"/>
              </w:rPr>
              <w:t>(1)</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2,948</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 xml:space="preserve">Impairment of long-lived assets </w:t>
            </w:r>
            <w:r>
              <w:rPr>
                <w:rFonts w:ascii="Arial" w:cs="Arial" w:eastAsia="Arial" w:hAnsi="Arial"/>
                <w:sz w:val="24"/>
                <w:szCs w:val="24"/>
                <w:color w:val="auto"/>
                <w:vertAlign w:val="superscript"/>
              </w:rPr>
              <w:t>(1)</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00" w:type="dxa"/>
            <w:vAlign w:val="bottom"/>
            <w:gridSpan w:val="2"/>
            <w:shd w:val="clear" w:color="auto" w:fill="CFF0FC"/>
          </w:tcPr>
          <w:p>
            <w:pPr>
              <w:ind w:left="20"/>
              <w:spacing w:after="0" w:line="243"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4"/>
                <w:szCs w:val="24"/>
                <w:color w:val="auto"/>
                <w:vertAlign w:val="superscript"/>
              </w:rPr>
              <w:t>(1)</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 xml:space="preserve">Other expense, net </w:t>
            </w:r>
            <w:r>
              <w:rPr>
                <w:rFonts w:ascii="Arial" w:cs="Arial" w:eastAsia="Arial" w:hAnsi="Arial"/>
                <w:sz w:val="24"/>
                <w:szCs w:val="24"/>
                <w:color w:val="auto"/>
                <w:vertAlign w:val="superscript"/>
              </w:rPr>
              <w:t>(1)</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348</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tcBorders>
              <w:bottom w:val="single" w:sz="8" w:color="CFF0FC"/>
            </w:tcBorders>
            <w:gridSpan w:val="2"/>
            <w:shd w:val="clear" w:color="auto" w:fill="CFF0FC"/>
          </w:tcPr>
          <w:p>
            <w:pPr>
              <w:ind w:left="20"/>
              <w:spacing w:after="0" w:line="243" w:lineRule="exact"/>
              <w:rPr>
                <w:sz w:val="20"/>
                <w:szCs w:val="20"/>
                <w:color w:val="auto"/>
              </w:rPr>
            </w:pPr>
            <w:r>
              <w:rPr>
                <w:rFonts w:ascii="Arial" w:cs="Arial" w:eastAsia="Arial" w:hAnsi="Arial"/>
                <w:sz w:val="18"/>
                <w:szCs w:val="18"/>
                <w:color w:val="auto"/>
              </w:rPr>
              <w:t xml:space="preserve">Provision for income taxes </w:t>
            </w:r>
            <w:r>
              <w:rPr>
                <w:rFonts w:ascii="Arial" w:cs="Arial" w:eastAsia="Arial" w:hAnsi="Arial"/>
                <w:sz w:val="24"/>
                <w:szCs w:val="24"/>
                <w:color w:val="auto"/>
                <w:vertAlign w:val="superscript"/>
              </w:rPr>
              <w:t>(1)</w:t>
            </w: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Adjusted EBITDA attributable to redeemable noncontrolling interest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(677 </w:t>
            </w:r>
            <w:r>
              <w:rPr>
                <w:rFonts w:ascii="Arial" w:cs="Arial" w:eastAsia="Arial" w:hAnsi="Arial"/>
                <w:sz w:val="18"/>
                <w:szCs w:val="18"/>
                <w:color w:val="auto"/>
                <w:highlight w:val="white"/>
              </w:rPr>
              <w:t>)</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7,736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 w:type="dxa"/>
            <w:vAlign w:val="bottom"/>
            <w:vMerge w:val="restart"/>
          </w:tcPr>
          <w:p>
            <w:pPr>
              <w:ind w:left="60"/>
              <w:spacing w:after="0"/>
              <w:rPr>
                <w:sz w:val="20"/>
                <w:szCs w:val="20"/>
                <w:color w:val="auto"/>
              </w:rPr>
            </w:pPr>
            <w:r>
              <w:rPr>
                <w:rFonts w:ascii="Arial" w:cs="Arial" w:eastAsia="Arial" w:hAnsi="Arial"/>
                <w:sz w:val="12"/>
                <w:szCs w:val="12"/>
                <w:color w:val="auto"/>
              </w:rPr>
              <w:t>(1)</w:t>
            </w:r>
          </w:p>
        </w:tc>
        <w:tc>
          <w:tcPr>
            <w:tcW w:w="7020" w:type="dxa"/>
            <w:vAlign w:val="bottom"/>
            <w:vMerge w:val="restart"/>
          </w:tcPr>
          <w:p>
            <w:pPr>
              <w:ind w:left="180"/>
              <w:spacing w:after="0"/>
              <w:rPr>
                <w:sz w:val="20"/>
                <w:szCs w:val="20"/>
                <w:color w:val="auto"/>
              </w:rPr>
            </w:pPr>
            <w:r>
              <w:rPr>
                <w:rFonts w:ascii="Arial" w:cs="Arial" w:eastAsia="Arial" w:hAnsi="Arial"/>
                <w:sz w:val="12"/>
                <w:szCs w:val="12"/>
                <w:color w:val="auto"/>
              </w:rPr>
              <w:t>These exclusions are adjusted to reflect the noncontrolling interest of 38%.</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380" w:type="dxa"/>
            <w:vAlign w:val="bottom"/>
            <w:vMerge w:val="continue"/>
          </w:tcPr>
          <w:p>
            <w:pPr>
              <w:spacing w:after="0"/>
              <w:rPr>
                <w:sz w:val="23"/>
                <w:szCs w:val="23"/>
                <w:color w:val="auto"/>
              </w:rPr>
            </w:pPr>
          </w:p>
        </w:tc>
        <w:tc>
          <w:tcPr>
            <w:tcW w:w="7020" w:type="dxa"/>
            <w:vAlign w:val="bottom"/>
            <w:vMerge w:val="continue"/>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-365760</wp:posOffset>
            </wp:positionV>
            <wp:extent cx="59690"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Unaudited Condensed Consolidated Income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509"/>
        <w:spacing w:after="0" w:line="218" w:lineRule="exact"/>
        <w:rPr>
          <w:sz w:val="20"/>
          <w:szCs w:val="20"/>
          <w:color w:val="auto"/>
        </w:rPr>
      </w:pPr>
      <w:r>
        <w:rPr>
          <w:rFonts w:ascii="Arial" w:cs="Arial" w:eastAsia="Arial" w:hAnsi="Arial"/>
          <w:sz w:val="16"/>
          <w:szCs w:val="16"/>
          <w:color w:val="auto"/>
        </w:rPr>
        <w:t>We derive our revenue from marketplace revenue, wholesale revenue, and product revenue. Marketplace revenue is included in the U.S. Marketplace segment and Other category of segment reporting. Wholesale revenue and product revenue are included in the Digital Wholesale segment. We generate marketplace revenue primarily from (i) dealer subscriptions to our Listings packages, RPM digital advertising suite, and Digital Retail, (ii) advertising revenue from auto manufacturers and other auto</w:t>
      </w:r>
      <w:r>
        <w:rPr>
          <w:rFonts w:ascii="MS PGothic" w:cs="MS PGothic" w:eastAsia="MS PGothic" w:hAnsi="MS PGothic"/>
          <w:sz w:val="16"/>
          <w:szCs w:val="16"/>
          <w:color w:val="auto"/>
        </w:rPr>
        <w:t>‑</w:t>
      </w:r>
      <w:r>
        <w:rPr>
          <w:rFonts w:ascii="Arial" w:cs="Arial" w:eastAsia="Arial" w:hAnsi="Arial"/>
          <w:sz w:val="16"/>
          <w:szCs w:val="16"/>
          <w:color w:val="auto"/>
        </w:rPr>
        <w:t>related brand advertisers, and (iii) revenue from partnerships with financing services companies. We generate wholesale revenue primarily from (x) transaction fees earned from Dealer-to-Dealer transactions, (y) transaction fees earned from sale of vehicles to dealers that we acquire at other marketplaces, and (z) transaction fees earned from performing inspection and transportation services, inclusive of Dealer-to-Dealer transactions, other marketplace to dealer transactions, and IMCO transactions. We generate product revenue primarily from</w:t>
      </w:r>
    </w:p>
    <w:p>
      <w:pPr>
        <w:spacing w:after="0" w:line="2" w:lineRule="exact"/>
        <w:rPr>
          <w:sz w:val="20"/>
          <w:szCs w:val="20"/>
          <w:color w:val="auto"/>
        </w:rPr>
      </w:pPr>
    </w:p>
    <w:p>
      <w:pPr>
        <w:ind w:firstLine="8"/>
        <w:spacing w:after="0" w:line="260" w:lineRule="auto"/>
        <w:tabs>
          <w:tab w:leader="none" w:pos="319"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proceeds received from the sale of vehicles that were acquired through IMCO transactions, and (B) proceeds received from the sale of vehicles that were acquired through arbitration.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 Revenue</w:t>
      </w:r>
    </w:p>
    <w:p>
      <w:pPr>
        <w:spacing w:after="0" w:line="22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offer multiple types of marketplace Listings packages to our dealers for our CarGurus U.S. platform (availability varies on our other marketplaces): Restricted Listings, which is free; and various levels of Listings packages, which each require a paid subscription under a monthly, quarterly, semiannual, or annual subscription basis.</w:t>
      </w:r>
    </w:p>
    <w:p>
      <w:pPr>
        <w:spacing w:after="0" w:line="184"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Our subscriptions for customers generally auto-renew on a monthly basis and are cancellable by dealers with 30 days' advance notice prior to the commencement of the applicable renewal term. Subscription pricing is determined based on a dealer’s inventory size, region, and our assessment of the connections and ROI the platform will provide them and is subject to discounts and/or fee reductions that we may offer from time to time. We also offer all dealers on the platform access to our Dealer Dashboard, which includes a performance summary, Dealer Insights tool, and user review management platform. Only dealers subscribing to a paid Listings package have access to the Pricing Tool, Market Analysis tool and IMV Scan tool.</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also offer paid Listings packages for the Autolist and PistonHeads websites.</w:t>
      </w:r>
    </w:p>
    <w:p>
      <w:pPr>
        <w:spacing w:after="0" w:line="225"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In addition to displaying inventory in our marketplace and providing access to the Dealer Dashboard, we offer dealers subscribing to certain of our Listings packages other subscription advertising and customer acquisition products and enhancements marketed under our RPM digital advertising suite. Through RPM, dealers can buy advertising that appears in our marketplace, on other sites on the internet, and/or on high-converting social media platforms. Such advertisements can be targeted by the user’s geography, search history, CarGurus website activity and a number of other targeting factors, allowing dealers to increase their visibility with in-market consumers and drive qualified traffic for dealers.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also offer dealer advertising products for the PistonHeads website.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jc w:val="both"/>
        <w:ind w:firstLine="509"/>
        <w:spacing w:after="0" w:line="257" w:lineRule="auto"/>
        <w:rPr>
          <w:sz w:val="20"/>
          <w:szCs w:val="20"/>
          <w:color w:val="auto"/>
        </w:rPr>
      </w:pPr>
      <w:r>
        <w:rPr>
          <w:rFonts w:ascii="Arial" w:cs="Arial" w:eastAsia="Arial" w:hAnsi="Arial"/>
          <w:sz w:val="18"/>
          <w:szCs w:val="18"/>
          <w:color w:val="auto"/>
        </w:rPr>
        <w:t>We also offer dealers subscribing to certain of our Listings packages other subscription advertising and customer acquisition products and enhancements such as Digital Retail, which allows shoppers to complete much of the vehicle-purchase process online through the Dealers’ Listings page. Digital Retail is comprised of (i) the Digital Deal Platform, which gives dealers higher quality leads through upfront consumer-provided information, (ii) Area Boost/Geo Expansion, which expands the visibility of a dealer’s inventory in the search results beyond its local market, and (iii) Hard Pull Financing, which provides loan information.</w:t>
      </w:r>
    </w:p>
    <w:p>
      <w:pPr>
        <w:spacing w:after="0" w:line="188"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Marketplace revenue also consists of non-dealer advertising revenue from auto manufacturers and other auto-related brand advertisers sold on a cost per thousand impressions, or CPM basis. An impression is an advertisement loaded on a web page. In addition to advertising sold on a CPM basis, we also have advertising sold on a cost per click basis. Pricing is primarily based on advertisement size and position on our websites and mobile applications. Auto manufacturers and other brand advertisers can execute advertising campaigns that are targeted across a wide variety of parameters, including demographic groups, behavioral characteristics, specific auto brands, categories such as Certified Pre-Owned, and segments such as hybrid vehicles. We do not provide minimum impression guarantees or other types of minimum guarantees in our contracts with customers. Advertising is also sold indirectly through revenue sharing arrangements with advertising exchange partners.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also offer non-dealer advertising products for the Autolist and PistonHeads websites.</w:t>
      </w:r>
    </w:p>
    <w:p>
      <w:pPr>
        <w:spacing w:after="0" w:line="225"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Marketplace revenue also includes revenue from partnerships with certain financing services companies pursuant to which we enable eligible consumers on our CarGurus U.S. website to pre-qualify for financing on cars from dealerships that offer financing through such companies. We primarily generate revenue from these partnerships based on the number of funded loans from consumers who pre-qualify with our lending partners through our site.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Revenue</w:t>
      </w:r>
    </w:p>
    <w:p>
      <w:pPr>
        <w:spacing w:after="0" w:line="225" w:lineRule="exact"/>
        <w:rPr>
          <w:sz w:val="20"/>
          <w:szCs w:val="20"/>
          <w:color w:val="auto"/>
        </w:rPr>
      </w:pPr>
    </w:p>
    <w:p>
      <w:pPr>
        <w:jc w:val="both"/>
        <w:ind w:right="20" w:firstLine="509"/>
        <w:spacing w:after="0" w:line="286" w:lineRule="auto"/>
        <w:rPr>
          <w:sz w:val="20"/>
          <w:szCs w:val="20"/>
          <w:color w:val="auto"/>
        </w:rPr>
      </w:pPr>
      <w:r>
        <w:rPr>
          <w:rFonts w:ascii="Arial" w:cs="Arial" w:eastAsia="Arial" w:hAnsi="Arial"/>
          <w:sz w:val="17"/>
          <w:szCs w:val="17"/>
          <w:color w:val="auto"/>
        </w:rPr>
        <w:t>The Buying Matrix on the CarOffer platform enables buying dealers to create standing buy orders and provides instant offers to selling dealers. Wholesale revenue includes transaction fees earned from Dealer-to-Dealer transactions, where we collect fees from both the buying and selling dealers. We also sell vehicles to dealers that we acquire at other marketplaces, where we collect a transaction fee from the buying dealers.</w:t>
      </w:r>
    </w:p>
    <w:p>
      <w:pPr>
        <w:spacing w:after="0" w:line="16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Wholesale revenue also includes fees earned from performing inspection and transportation services, where we collect fees from the buying dealer. Inspection and transportation service revenue is inclusive of Dealer-to-Dealer transactions, other marketplace to dealer transactions, and IMCO transactions.</w:t>
      </w:r>
    </w:p>
    <w:p>
      <w:pPr>
        <w:spacing w:after="0" w:line="18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Wholesale revenue also includes arbitration in which the vehicle is rematched to a new buyer and not acquired by us. Arbitration is the process by which we investigate and resolve claims from buying dealers.</w:t>
      </w:r>
    </w:p>
    <w:p>
      <w:pPr>
        <w:spacing w:after="0" w:line="170"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Wholesale revenue also includes fees earned from certain guarantees offered to dealers (which include 45-Day Guarantee and OfferGuard products), where we collect fees from the buying dealer or selling dealer, as applicable.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22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Buying Matrix on the CarOffer platform enables consumers who are selling vehicles to be instantly presented with an offer. Product revenue includes the aggregate proceeds received from the sale of vehicles through IMCO transactions, including vehicle sale price and transaction fees collected from the buying dealers. Product revenue also includes proceeds received from the sale of vehicles acquired through arbitration, including vehicle sale price and transaction fees collected from buying dealers. Arbitration is the process by which we investigate and resolve claims from buying dealers. We control the vehicle in these transactions and therefore act as the principal.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 Cost of Revenue</w:t>
      </w:r>
    </w:p>
    <w:p>
      <w:pPr>
        <w:spacing w:after="0" w:line="225"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Marketplace cost of revenue includes expenses related to supporting and hosting marketplace service offerings. These expenses include personnel and related expenses for our customer support team, including salaries, benefits, incentive compensation, and stock-based compensation; third-party service provider expenses such as advertising, data and hosting expenses; amortization of developed technology; amortization of capitalized website development; amortization of capitalized hosting arrangements; and allocated overhead expenses. We allocate overhead expenses, such as rent and facility expenses, information technology expense, and employee benefit expense, to all departments based on headcount. As such, general overhead expenses are reflected in cost of revenue and each operating expense category.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Wholesale Cost of Revenue</w:t>
      </w:r>
    </w:p>
    <w:p>
      <w:pPr>
        <w:spacing w:after="0" w:line="225"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Wholesale cost of revenue includes expenses related to supporting and hosting wholesale service offerings, including Dealer-to-Dealer transactions and vehicles sold to dealers acquired at other marketplaces, on the Buying Matrix on the CarOffer platform. These expenses include vehicle transportation and inspection expenses; net losses on vehicles related to guarantees offered to dealers through Dealer-to-Dealer transactions; personnel and related expenses for employees directly involved in the fulfillment and support of transactions, including salaries, benefits, incentive compensation and stock-based compensation; third-party service provider expenses; amortization of developed technology; amortization of capitalized website development; and allocated overhead expenses. We allocate overhead expenses, such as rent and facility expenses, information technology expense, and employee benefit expense, to all departments based on headcount. As such, general overhead expenses are reflected in cost of revenue and each operating expense category.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Cost of Revenue</w:t>
      </w:r>
    </w:p>
    <w:p>
      <w:pPr>
        <w:spacing w:after="0" w:line="22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Product cost of revenue includes expenses related to vehicles sold to dealers through IMCO transactions and vehicles sold to dealers acquired through arbitration. These expenses include the cost of the vehicle and transportation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Sales and marketing expenses consist primarily of personnel and related expenses for our sales and marketing team, including salaries, benefits, incentive compensation, commissions, and stock-based compensation; expenses associated with consumer marketing, such as traffic acquisition, brand building, and public relations activities; expenses associated with dealer marketing, such as content marketing, customer and promotional events, and industry events; consulting services; software subscription expenses; travel expenses; amortization of capitalized hosting arrangements; and allocated overhead expenses. A portion of our commissions that are related to obtaining a new contract are capitalized and amortized over the estimated benefit period of customer relationships. All other sales and marketing expenses are expensed as incurred. We expect sales and marketing expenses to fluctuate from quarter to quarter as we respond to changes in the macroeconomic and competitive landscapes affecting our existing dealers, consumer audience and brand awareness, which will impact our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Technology, and Development</w:t>
      </w:r>
    </w:p>
    <w:p>
      <w:pPr>
        <w:spacing w:after="0" w:line="22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Product, technology, and development expenses, consist primarily of personnel and related expenses for our research and development team, including salaries, benefits, incentive compensation, and stock-based compensation; software subscription expenses; consulting services; and allocated overhead expenses. Other than website development, internal-use software, and hosting arrangement expenses, research and development expenses are expensed as incurred. We expect product, technology, and development expenses to increase as we invest in additional engineering resources to develop new solutions and make improvements to our existing platform.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General and administrative expenses consist primarily of personnel and related expenses for our executive, finance, legal, people &amp; talent, and administrative teams, including salaries, benefits, incentive compensation, and stock-based compensation; expenses associated with professional fees for audit, tax, external legal, and consulting services; payment processing and billing expenses; insurance expenses; software subscription expenses; and allocated overhead expenses. General and administrative expenses are expensed as incurred. We expect general and administrative expenses to increase as we continue to scale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Depreciation and amortization expenses consist of depreciation on property and equipment and amortization of intangible assets and internal-use software.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Other income, net consists primarily of interest income earned on our cash, cash equivalents and investments, foreign exchange gains and losses and interest expense for undrawn fees related to our credit facility and amortization of deferred financing costs.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We are subject to federal and state income taxes in the United States and taxes in foreign jurisdictions in which we operate. For the three months ended March 31, 2023 and 2022, a provision for income taxes was recognized as a result of the consolidated taxable income position.</w:t>
      </w:r>
    </w:p>
    <w:p>
      <w:pPr>
        <w:spacing w:after="0" w:line="146" w:lineRule="exact"/>
        <w:rPr>
          <w:sz w:val="20"/>
          <w:szCs w:val="20"/>
          <w:color w:val="auto"/>
        </w:rPr>
      </w:pPr>
    </w:p>
    <w:p>
      <w:pPr>
        <w:jc w:val="both"/>
        <w:ind w:right="20" w:firstLine="509"/>
        <w:spacing w:after="0" w:line="308" w:lineRule="auto"/>
        <w:rPr>
          <w:sz w:val="20"/>
          <w:szCs w:val="20"/>
          <w:color w:val="auto"/>
        </w:rPr>
      </w:pPr>
      <w:r>
        <w:rPr>
          <w:rFonts w:ascii="Arial" w:cs="Arial" w:eastAsia="Arial" w:hAnsi="Arial"/>
          <w:sz w:val="17"/>
          <w:szCs w:val="17"/>
          <w:color w:val="auto"/>
        </w:rPr>
        <w:t>We recognize deferred tax assets and liabilities based on temporary differences between the financial reporting and income tax bases of assets and liabilities using enacted tax rates in effect for the year in which the temporary differences are expected to be recovered or settled.</w:t>
      </w:r>
    </w:p>
    <w:p>
      <w:pPr>
        <w:spacing w:after="0" w:line="14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regularly assess the need to recognize a valuation allowance against net deferred tax assets if, based upon the available evidence, it is more likely than not that some or all of the deferred tax assets will not be realized. As of March 31, 2023 and December 31, 2022, valuation allowances were immaterial.</w:t>
      </w:r>
    </w:p>
    <w:p>
      <w:pPr>
        <w:spacing w:after="0" w:line="184"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We assess our income tax positions and recognize an income tax benefit or expense based upon our evaluation of the facts, circumstances, and information available at the reporting date. For the three months ended March 31, 2023, there was no income tax expense related to uncertain tax provisions. As of March 31, 2023, the income tax liability related to uncertain tax positions, exclusive of immaterial interest or penalties related to uncertain tax provisions, was $0.6 million, which would favorably affect our effective tax rate, if recognized. For the three months ended March 31, 2022, no income tax expense and liability related to uncertain tax positions was recognized.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three months ended March 31, 2023 and 2022, our Unaudited Condensed Consolidated Income Statements are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3"/>
          </w:tcPr>
          <w:p>
            <w:pPr>
              <w:jc w:val="center"/>
              <w:ind w:left="393"/>
              <w:spacing w:after="0"/>
              <w:rPr>
                <w:sz w:val="20"/>
                <w:szCs w:val="20"/>
                <w:color w:val="auto"/>
              </w:rPr>
            </w:pPr>
            <w:r>
              <w:rPr>
                <w:rFonts w:ascii="Arial" w:cs="Arial" w:eastAsia="Arial" w:hAnsi="Arial"/>
                <w:sz w:val="14"/>
                <w:szCs w:val="14"/>
                <w:b w:val="1"/>
                <w:bCs w:val="1"/>
                <w:color w:val="auto"/>
                <w:w w:val="95"/>
              </w:rPr>
              <w:t>Three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5"/>
        </w:trPr>
        <w:tc>
          <w:tcPr>
            <w:tcW w:w="5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left="433"/>
              <w:spacing w:after="0"/>
              <w:rPr>
                <w:sz w:val="20"/>
                <w:szCs w:val="20"/>
                <w:color w:val="auto"/>
              </w:rPr>
            </w:pPr>
            <w:r>
              <w:rPr>
                <w:rFonts w:ascii="Arial" w:cs="Arial" w:eastAsia="Arial" w:hAnsi="Arial"/>
                <w:sz w:val="14"/>
                <w:szCs w:val="14"/>
                <w:b w:val="1"/>
                <w:bCs w:val="1"/>
                <w:color w:val="auto"/>
                <w:w w:val="99"/>
              </w:rPr>
              <w:t>March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3"/>
          </w:tcPr>
          <w:p>
            <w:pPr>
              <w:jc w:val="center"/>
              <w:ind w:left="433"/>
              <w:spacing w:after="0"/>
              <w:rPr>
                <w:sz w:val="20"/>
                <w:szCs w:val="20"/>
                <w:color w:val="auto"/>
              </w:rPr>
            </w:pPr>
            <w:r>
              <w:rPr>
                <w:rFonts w:ascii="Arial" w:cs="Arial" w:eastAsia="Arial" w:hAnsi="Arial"/>
                <w:sz w:val="14"/>
                <w:szCs w:val="14"/>
                <w:b w:val="1"/>
                <w:bCs w:val="1"/>
                <w:color w:val="auto"/>
                <w:w w:val="90"/>
              </w:rPr>
              <w:t>(dollars in thousands)</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43"/>
        </w:trPr>
        <w:tc>
          <w:tcPr>
            <w:tcW w:w="580" w:type="dxa"/>
            <w:vAlign w:val="bottom"/>
          </w:tcPr>
          <w:p>
            <w:pPr>
              <w:spacing w:after="0"/>
              <w:rPr>
                <w:sz w:val="21"/>
                <w:szCs w:val="21"/>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Marketplace</w:t>
            </w:r>
          </w:p>
        </w:tc>
        <w:tc>
          <w:tcPr>
            <w:tcW w:w="26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167,127</w:t>
            </w:r>
          </w:p>
        </w:tc>
        <w:tc>
          <w:tcPr>
            <w:tcW w:w="26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163,289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45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Wholesale</w:t>
            </w:r>
          </w:p>
        </w:tc>
        <w:tc>
          <w:tcPr>
            <w:tcW w:w="2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25,186</w:t>
            </w: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90,994</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Product</w:t>
            </w:r>
          </w:p>
        </w:tc>
        <w:tc>
          <w:tcPr>
            <w:tcW w:w="2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39,650</w:t>
            </w:r>
          </w:p>
        </w:tc>
        <w:tc>
          <w:tcPr>
            <w:tcW w:w="2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176,325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revenue</w:t>
            </w:r>
          </w:p>
        </w:tc>
        <w:tc>
          <w:tcPr>
            <w:tcW w:w="2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231,963</w:t>
            </w: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430,608</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Cost of revenue:</w:t>
            </w:r>
          </w:p>
        </w:tc>
        <w:tc>
          <w:tcPr>
            <w:tcW w:w="2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45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Marketplace</w:t>
            </w:r>
          </w:p>
        </w:tc>
        <w:tc>
          <w:tcPr>
            <w:tcW w:w="2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15,533</w:t>
            </w: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12,209</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Wholesale</w:t>
            </w:r>
          </w:p>
        </w:tc>
        <w:tc>
          <w:tcPr>
            <w:tcW w:w="2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22,068</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58,182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5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Product</w:t>
            </w:r>
          </w:p>
        </w:tc>
        <w:tc>
          <w:tcPr>
            <w:tcW w:w="23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39,382</w:t>
            </w:r>
          </w:p>
        </w:tc>
        <w:tc>
          <w:tcPr>
            <w:tcW w:w="26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178,342</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4580" w:type="dxa"/>
            <w:vAlign w:val="bottom"/>
          </w:tcPr>
          <w:p>
            <w:pPr>
              <w:ind w:left="360"/>
              <w:spacing w:after="0"/>
              <w:rPr>
                <w:sz w:val="20"/>
                <w:szCs w:val="20"/>
                <w:color w:val="auto"/>
              </w:rPr>
            </w:pPr>
            <w:r>
              <w:rPr>
                <w:rFonts w:ascii="Arial" w:cs="Arial" w:eastAsia="Arial" w:hAnsi="Arial"/>
                <w:sz w:val="18"/>
                <w:szCs w:val="18"/>
                <w:color w:val="auto"/>
              </w:rPr>
              <w:t>Total cost of revenue</w:t>
            </w:r>
          </w:p>
        </w:tc>
        <w:tc>
          <w:tcPr>
            <w:tcW w:w="2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76,983</w:t>
            </w:r>
          </w:p>
        </w:tc>
        <w:tc>
          <w:tcPr>
            <w:tcW w:w="2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248,733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154,980</w:t>
            </w: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181,875</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Operating expenses:</w:t>
            </w:r>
          </w:p>
        </w:tc>
        <w:tc>
          <w:tcPr>
            <w:tcW w:w="2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45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Sales and marketing</w:t>
            </w:r>
          </w:p>
        </w:tc>
        <w:tc>
          <w:tcPr>
            <w:tcW w:w="2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75,577</w:t>
            </w: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87,581</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Product, technology, and development</w:t>
            </w:r>
          </w:p>
        </w:tc>
        <w:tc>
          <w:tcPr>
            <w:tcW w:w="2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36,607</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30,653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45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General and administrative</w:t>
            </w:r>
          </w:p>
        </w:tc>
        <w:tc>
          <w:tcPr>
            <w:tcW w:w="2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24,919</w:t>
            </w: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33,121</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3,818</w:t>
            </w:r>
          </w:p>
        </w:tc>
        <w:tc>
          <w:tcPr>
            <w:tcW w:w="2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45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operating expenses</w:t>
            </w:r>
          </w:p>
        </w:tc>
        <w:tc>
          <w:tcPr>
            <w:tcW w:w="23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140,921</w:t>
            </w:r>
          </w:p>
        </w:tc>
        <w:tc>
          <w:tcPr>
            <w:tcW w:w="26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155,216</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14,059</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26,659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2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3,743</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5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income (expense), net</w:t>
            </w:r>
          </w:p>
        </w:tc>
        <w:tc>
          <w:tcPr>
            <w:tcW w:w="2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(156 )</w:t>
            </w:r>
          </w:p>
        </w:tc>
        <w:tc>
          <w:tcPr>
            <w:tcW w:w="56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4580" w:type="dxa"/>
            <w:vAlign w:val="bottom"/>
            <w:shd w:val="clear" w:color="auto" w:fill="CFF0FC"/>
          </w:tcPr>
          <w:p>
            <w:pPr>
              <w:spacing w:after="0" w:line="20" w:lineRule="exact"/>
              <w:rPr>
                <w:sz w:val="1"/>
                <w:szCs w:val="1"/>
                <w:color w:val="auto"/>
              </w:rPr>
            </w:pPr>
          </w:p>
        </w:tc>
        <w:tc>
          <w:tcPr>
            <w:tcW w:w="23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4580" w:type="dxa"/>
            <w:vAlign w:val="bottom"/>
          </w:tcPr>
          <w:p>
            <w:pPr>
              <w:ind w:left="360"/>
              <w:spacing w:after="0"/>
              <w:rPr>
                <w:sz w:val="20"/>
                <w:szCs w:val="20"/>
                <w:color w:val="auto"/>
              </w:rPr>
            </w:pPr>
            <w:r>
              <w:rPr>
                <w:rFonts w:ascii="Arial" w:cs="Arial" w:eastAsia="Arial" w:hAnsi="Arial"/>
                <w:sz w:val="18"/>
                <w:szCs w:val="18"/>
                <w:color w:val="auto"/>
              </w:rPr>
              <w:t>Total other income (expense), net</w:t>
            </w:r>
          </w:p>
        </w:tc>
        <w:tc>
          <w:tcPr>
            <w:tcW w:w="2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4,338</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(119 )</w:t>
            </w: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2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18,397</w:t>
            </w: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26,540</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6,531</w:t>
            </w:r>
          </w:p>
        </w:tc>
        <w:tc>
          <w:tcPr>
            <w:tcW w:w="2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Consolidated net income</w:t>
            </w:r>
          </w:p>
        </w:tc>
        <w:tc>
          <w:tcPr>
            <w:tcW w:w="2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11,866</w:t>
            </w: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18,838</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9"/>
              </w:rPr>
              <w:t>Net loss attributable to redeemable noncontrolling interest</w:t>
            </w:r>
          </w:p>
        </w:tc>
        <w:tc>
          <w:tcPr>
            <w:tcW w:w="2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(4,266 )</w:t>
            </w:r>
          </w:p>
        </w:tc>
        <w:tc>
          <w:tcPr>
            <w:tcW w:w="5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(1,072 )</w:t>
            </w:r>
          </w:p>
        </w:tc>
        <w:tc>
          <w:tcPr>
            <w:tcW w:w="560" w:type="dxa"/>
            <w:vAlign w:val="bottom"/>
          </w:tcPr>
          <w:p>
            <w:pPr>
              <w:spacing w:after="0"/>
              <w:rPr>
                <w:sz w:val="20"/>
                <w:szCs w:val="20"/>
                <w:color w:val="auto"/>
              </w:rPr>
            </w:pPr>
          </w:p>
        </w:tc>
      </w:tr>
      <w:tr>
        <w:trPr>
          <w:trHeight w:val="276"/>
        </w:trPr>
        <w:tc>
          <w:tcPr>
            <w:tcW w:w="580" w:type="dxa"/>
            <w:vAlign w:val="bottom"/>
          </w:tcPr>
          <w:p>
            <w:pPr>
              <w:spacing w:after="0"/>
              <w:rPr>
                <w:sz w:val="24"/>
                <w:szCs w:val="24"/>
                <w:color w:val="auto"/>
              </w:rPr>
            </w:pPr>
          </w:p>
        </w:tc>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CarGurus, Inc.</w:t>
            </w:r>
          </w:p>
        </w:tc>
        <w:tc>
          <w:tcPr>
            <w:tcW w:w="23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16,132</w:t>
            </w:r>
          </w:p>
        </w:tc>
        <w:tc>
          <w:tcPr>
            <w:tcW w:w="26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19,910</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635"/>
        </w:trPr>
        <w:tc>
          <w:tcPr>
            <w:tcW w:w="5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340" w:type="dxa"/>
            <w:vAlign w:val="bottom"/>
          </w:tcPr>
          <w:p>
            <w:pPr>
              <w:jc w:val="right"/>
              <w:ind w:right="1690"/>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-3359785</wp:posOffset>
            </wp:positionV>
            <wp:extent cx="68580"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-3359785</wp:posOffset>
            </wp:positionV>
            <wp:extent cx="60325"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-2099945</wp:posOffset>
            </wp:positionV>
            <wp:extent cx="68580" cy="1631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-2099945</wp:posOffset>
            </wp:positionV>
            <wp:extent cx="60325" cy="1631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-1473835</wp:posOffset>
            </wp:positionV>
            <wp:extent cx="68580" cy="1625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-1473835</wp:posOffset>
            </wp:positionV>
            <wp:extent cx="60325" cy="1625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-522605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-504825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-522605</wp:posOffset>
            </wp:positionV>
            <wp:extent cx="603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-504825</wp:posOffset>
            </wp:positionV>
            <wp:extent cx="603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ind w:left="520"/>
        <w:spacing w:after="0"/>
        <w:rPr>
          <w:sz w:val="20"/>
          <w:szCs w:val="20"/>
          <w:color w:val="auto"/>
        </w:rPr>
      </w:pPr>
      <w:r>
        <w:rPr>
          <w:rFonts w:ascii="Arial" w:cs="Arial" w:eastAsia="Arial" w:hAnsi="Arial"/>
          <w:sz w:val="17"/>
          <w:szCs w:val="17"/>
          <w:color w:val="auto"/>
        </w:rPr>
        <w:t>For the three months ended March 31, 2023 and 2022, our segment revenue and our segment income (loss) from operations are as follows:</w:t>
      </w:r>
    </w:p>
    <w:p>
      <w:pPr>
        <w:spacing w:after="0" w:line="242"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March 31,</w:t>
      </w:r>
    </w:p>
    <w:p>
      <w:pPr>
        <w:spacing w:after="0" w:line="8"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94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Pr>
          <w:p>
            <w:pPr>
              <w:spacing w:after="0"/>
              <w:rPr>
                <w:sz w:val="14"/>
                <w:szCs w:val="14"/>
                <w:color w:val="auto"/>
              </w:rPr>
            </w:pPr>
          </w:p>
        </w:tc>
      </w:tr>
      <w:tr>
        <w:trPr>
          <w:trHeight w:val="169"/>
        </w:trPr>
        <w:tc>
          <w:tcPr>
            <w:tcW w:w="6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Segment Revenue:</w:t>
            </w: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color w:val="auto"/>
              </w:rPr>
              <w:t>U.S. Marketplace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155,621</w:t>
            </w:r>
          </w:p>
        </w:tc>
        <w:tc>
          <w:tcPr>
            <w:tcW w:w="22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151,889</w:t>
            </w:r>
          </w:p>
        </w:tc>
        <w:tc>
          <w:tcPr>
            <w:tcW w:w="100" w:type="dxa"/>
            <w:vAlign w:val="bottom"/>
          </w:tcPr>
          <w:p>
            <w:pPr>
              <w:spacing w:after="0"/>
              <w:rPr>
                <w:sz w:val="20"/>
                <w:szCs w:val="20"/>
                <w:color w:val="auto"/>
              </w:rPr>
            </w:pPr>
          </w:p>
        </w:tc>
      </w:tr>
      <w:tr>
        <w:trPr>
          <w:trHeight w:val="249"/>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Digital Wholesale</w:t>
            </w: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64,836</w:t>
            </w:r>
          </w:p>
        </w:tc>
        <w:tc>
          <w:tcPr>
            <w:tcW w:w="2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267,319</w:t>
            </w:r>
          </w:p>
        </w:tc>
        <w:tc>
          <w:tcPr>
            <w:tcW w:w="100" w:type="dxa"/>
            <w:vAlign w:val="bottom"/>
            <w:shd w:val="clear" w:color="auto" w:fill="CFF0FC"/>
          </w:tcPr>
          <w:p>
            <w:pPr>
              <w:spacing w:after="0"/>
              <w:rPr>
                <w:sz w:val="21"/>
                <w:szCs w:val="21"/>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11,506</w:t>
            </w:r>
          </w:p>
        </w:tc>
        <w:tc>
          <w:tcPr>
            <w:tcW w:w="2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11,400</w:t>
            </w:r>
          </w:p>
        </w:tc>
        <w:tc>
          <w:tcPr>
            <w:tcW w:w="100" w:type="dxa"/>
            <w:vAlign w:val="bottom"/>
          </w:tcPr>
          <w:p>
            <w:pPr>
              <w:spacing w:after="0"/>
              <w:rPr>
                <w:sz w:val="20"/>
                <w:szCs w:val="20"/>
                <w:color w:val="auto"/>
              </w:rPr>
            </w:pPr>
          </w:p>
        </w:tc>
      </w:tr>
      <w:tr>
        <w:trPr>
          <w:trHeight w:val="277"/>
        </w:trPr>
        <w:tc>
          <w:tcPr>
            <w:tcW w:w="69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231,963</w:t>
            </w:r>
          </w:p>
        </w:tc>
        <w:tc>
          <w:tcPr>
            <w:tcW w:w="22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430,608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6940" w:type="dxa"/>
            <w:vAlign w:val="bottom"/>
          </w:tcPr>
          <w:p>
            <w:pPr>
              <w:spacing w:after="0"/>
              <w:rPr>
                <w:sz w:val="20"/>
                <w:szCs w:val="20"/>
                <w:color w:val="auto"/>
              </w:rPr>
            </w:pPr>
            <w:r>
              <w:rPr>
                <w:rFonts w:ascii="Arial" w:cs="Arial" w:eastAsia="Arial" w:hAnsi="Arial"/>
                <w:sz w:val="18"/>
                <w:szCs w:val="18"/>
                <w:b w:val="1"/>
                <w:bCs w:val="1"/>
                <w:color w:val="auto"/>
              </w:rPr>
              <w:t>Segment Income (Loss) from Operations: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U.S. Marketplace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26,539</w:t>
            </w:r>
          </w:p>
        </w:tc>
        <w:tc>
          <w:tcPr>
            <w:tcW w:w="22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29,836</w:t>
            </w:r>
          </w:p>
        </w:tc>
        <w:tc>
          <w:tcPr>
            <w:tcW w:w="100" w:type="dxa"/>
            <w:vAlign w:val="bottom"/>
            <w:shd w:val="clear" w:color="auto" w:fill="CFF0FC"/>
          </w:tcPr>
          <w:p>
            <w:pPr>
              <w:spacing w:after="0"/>
              <w:rPr>
                <w:sz w:val="21"/>
                <w:szCs w:val="21"/>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color w:val="auto"/>
              </w:rPr>
              <w:t>Digital Wholesale</w:t>
            </w:r>
          </w:p>
        </w:tc>
        <w:tc>
          <w:tcPr>
            <w:tcW w:w="32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(11,225 )</w:t>
            </w:r>
          </w:p>
        </w:tc>
        <w:tc>
          <w:tcPr>
            <w:tcW w:w="5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(2,111 )</w:t>
            </w:r>
          </w:p>
        </w:tc>
      </w:tr>
      <w:tr>
        <w:trPr>
          <w:trHeight w:val="24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(1,255 )</w:t>
            </w:r>
          </w:p>
        </w:tc>
        <w:tc>
          <w:tcPr>
            <w:tcW w:w="5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(1,066 )</w:t>
            </w:r>
          </w:p>
        </w:tc>
      </w:tr>
      <w:tr>
        <w:trPr>
          <w:trHeight w:val="236"/>
        </w:trPr>
        <w:tc>
          <w:tcPr>
            <w:tcW w:w="694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14,059</w:t>
            </w:r>
          </w:p>
        </w:tc>
        <w:tc>
          <w:tcPr>
            <w:tcW w:w="220" w:type="dxa"/>
            <w:vAlign w:val="bottom"/>
            <w:tcBorders>
              <w:top w:val="single" w:sz="8" w:color="CFF0FC"/>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26,659</w:t>
            </w:r>
          </w:p>
        </w:tc>
        <w:tc>
          <w:tcPr>
            <w:tcW w:w="100" w:type="dxa"/>
            <w:vAlign w:val="bottom"/>
            <w:tcBorders>
              <w:top w:val="single" w:sz="8" w:color="CFF0FC"/>
            </w:tcBorders>
          </w:tcPr>
          <w:p>
            <w:pPr>
              <w:spacing w:after="0"/>
              <w:rPr>
                <w:sz w:val="20"/>
                <w:szCs w:val="20"/>
                <w:color w:val="auto"/>
              </w:rPr>
            </w:pPr>
          </w:p>
        </w:tc>
      </w:tr>
      <w:tr>
        <w:trPr>
          <w:trHeight w:val="20"/>
        </w:trPr>
        <w:tc>
          <w:tcPr>
            <w:tcW w:w="6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-831215</wp:posOffset>
            </wp:positionV>
            <wp:extent cx="1114425" cy="1797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14425" cy="17970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-187960</wp:posOffset>
            </wp:positionV>
            <wp:extent cx="68580" cy="1885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82"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For the three months ended March 31, 2023 and 2022, our Unaudited Condensed Consolidated Income Statements as a percentage of total revenue are as follows (amounts in the table below may not sum due to rounding):</w:t>
      </w:r>
    </w:p>
    <w:p>
      <w:pPr>
        <w:spacing w:after="0" w:line="202"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8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9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7860" w:type="dxa"/>
            <w:vAlign w:val="bottom"/>
            <w:gridSpan w:val="2"/>
          </w:tcPr>
          <w:p>
            <w:pPr>
              <w:ind w:left="180"/>
              <w:spacing w:after="0"/>
              <w:rPr>
                <w:sz w:val="20"/>
                <w:szCs w:val="20"/>
                <w:color w:val="auto"/>
              </w:rPr>
            </w:pPr>
            <w:r>
              <w:rPr>
                <w:rFonts w:ascii="Arial" w:cs="Arial" w:eastAsia="Arial" w:hAnsi="Arial"/>
                <w:sz w:val="18"/>
                <w:szCs w:val="18"/>
                <w:color w:val="auto"/>
              </w:rPr>
              <w:t>Marketplace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72 %</w:t>
            </w:r>
          </w:p>
        </w:tc>
        <w:tc>
          <w:tcPr>
            <w:tcW w:w="2140" w:type="dxa"/>
            <w:vAlign w:val="bottom"/>
            <w:gridSpan w:val="3"/>
          </w:tcPr>
          <w:p>
            <w:pPr>
              <w:jc w:val="right"/>
              <w:ind w:right="500"/>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78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Wholesale</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7860" w:type="dxa"/>
            <w:vAlign w:val="bottom"/>
            <w:gridSpan w:val="2"/>
          </w:tcPr>
          <w:p>
            <w:pPr>
              <w:ind w:left="180"/>
              <w:spacing w:after="0"/>
              <w:rPr>
                <w:sz w:val="20"/>
                <w:szCs w:val="20"/>
                <w:color w:val="auto"/>
              </w:rPr>
            </w:pPr>
            <w:r>
              <w:rPr>
                <w:rFonts w:ascii="Arial" w:cs="Arial" w:eastAsia="Arial" w:hAnsi="Arial"/>
                <w:sz w:val="18"/>
                <w:szCs w:val="18"/>
                <w:color w:val="auto"/>
              </w:rPr>
              <w:t>Product</w:t>
            </w: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6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revenue</w:t>
            </w:r>
          </w:p>
        </w:tc>
        <w:tc>
          <w:tcPr>
            <w:tcW w:w="960" w:type="dxa"/>
            <w:vAlign w:val="bottom"/>
            <w:tcBorders>
              <w:top w:val="single" w:sz="8" w:color="auto"/>
            </w:tcBorders>
            <w:shd w:val="clear" w:color="auto" w:fill="CFF0FC"/>
          </w:tcPr>
          <w:p>
            <w:pPr>
              <w:spacing w:after="0"/>
              <w:rPr>
                <w:sz w:val="21"/>
                <w:szCs w:val="21"/>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FF0FC"/>
          </w:tcPr>
          <w:p>
            <w:pPr>
              <w:spacing w:after="0"/>
              <w:rPr>
                <w:sz w:val="21"/>
                <w:szCs w:val="21"/>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78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Marketplace</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7860" w:type="dxa"/>
            <w:vAlign w:val="bottom"/>
            <w:gridSpan w:val="2"/>
          </w:tcPr>
          <w:p>
            <w:pPr>
              <w:ind w:left="180"/>
              <w:spacing w:after="0"/>
              <w:rPr>
                <w:sz w:val="20"/>
                <w:szCs w:val="20"/>
                <w:color w:val="auto"/>
              </w:rPr>
            </w:pPr>
            <w:r>
              <w:rPr>
                <w:rFonts w:ascii="Arial" w:cs="Arial" w:eastAsia="Arial" w:hAnsi="Arial"/>
                <w:sz w:val="18"/>
                <w:szCs w:val="18"/>
                <w:color w:val="auto"/>
              </w:rPr>
              <w:t>Wholesale</w:t>
            </w: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69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Product</w:t>
            </w:r>
          </w:p>
        </w:tc>
        <w:tc>
          <w:tcPr>
            <w:tcW w:w="96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7860" w:type="dxa"/>
            <w:vAlign w:val="bottom"/>
            <w:gridSpan w:val="2"/>
          </w:tcPr>
          <w:p>
            <w:pPr>
              <w:ind w:left="280"/>
              <w:spacing w:after="0"/>
              <w:rPr>
                <w:sz w:val="20"/>
                <w:szCs w:val="20"/>
                <w:color w:val="auto"/>
              </w:rPr>
            </w:pPr>
            <w:r>
              <w:rPr>
                <w:rFonts w:ascii="Arial" w:cs="Arial" w:eastAsia="Arial" w:hAnsi="Arial"/>
                <w:sz w:val="18"/>
                <w:szCs w:val="18"/>
                <w:color w:val="auto"/>
              </w:rPr>
              <w:t>Total cost of revenue</w:t>
            </w: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960" w:type="dxa"/>
            <w:vAlign w:val="bottom"/>
            <w:tcBorders>
              <w:top w:val="single" w:sz="8" w:color="auto"/>
            </w:tcBorders>
            <w:shd w:val="clear" w:color="auto" w:fill="CFF0FC"/>
          </w:tcPr>
          <w:p>
            <w:pPr>
              <w:spacing w:after="0"/>
              <w:rPr>
                <w:sz w:val="21"/>
                <w:szCs w:val="21"/>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FF0FC"/>
          </w:tcPr>
          <w:p>
            <w:pPr>
              <w:spacing w:after="0"/>
              <w:rPr>
                <w:sz w:val="21"/>
                <w:szCs w:val="21"/>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78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Sales and marketing</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7860" w:type="dxa"/>
            <w:vAlign w:val="bottom"/>
            <w:gridSpan w:val="2"/>
          </w:tcPr>
          <w:p>
            <w:pPr>
              <w:ind w:left="180"/>
              <w:spacing w:after="0"/>
              <w:rPr>
                <w:sz w:val="20"/>
                <w:szCs w:val="20"/>
                <w:color w:val="auto"/>
              </w:rPr>
            </w:pPr>
            <w:r>
              <w:rPr>
                <w:rFonts w:ascii="Arial" w:cs="Arial" w:eastAsia="Arial" w:hAnsi="Arial"/>
                <w:sz w:val="18"/>
                <w:szCs w:val="18"/>
                <w:color w:val="auto"/>
              </w:rPr>
              <w:t>Product, technology, and development</w:t>
            </w: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78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78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690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top w:val="single" w:sz="8" w:color="auto"/>
              <w:bottom w:val="single" w:sz="8" w:color="auto"/>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4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7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4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786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69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income (expense), net</w:t>
            </w:r>
          </w:p>
        </w:tc>
        <w:tc>
          <w:tcPr>
            <w:tcW w:w="96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9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360"/>
              <w:spacing w:after="0"/>
              <w:rPr>
                <w:sz w:val="20"/>
                <w:szCs w:val="20"/>
                <w:color w:val="auto"/>
              </w:rPr>
            </w:pPr>
            <w:r>
              <w:rPr>
                <w:rFonts w:ascii="Arial" w:cs="Arial" w:eastAsia="Arial" w:hAnsi="Arial"/>
                <w:sz w:val="18"/>
                <w:szCs w:val="18"/>
                <w:color w:val="auto"/>
              </w:rPr>
              <w:t>Total other income (expense), net</w:t>
            </w:r>
          </w:p>
        </w:tc>
        <w:tc>
          <w:tcPr>
            <w:tcW w:w="9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(0 )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7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Consolidated net income</w:t>
            </w:r>
          </w:p>
        </w:tc>
        <w:tc>
          <w:tcPr>
            <w:tcW w:w="960" w:type="dxa"/>
            <w:vAlign w:val="bottom"/>
            <w:tcBorders>
              <w:top w:val="single" w:sz="8" w:color="auto"/>
            </w:tcBorders>
            <w:shd w:val="clear" w:color="auto" w:fill="CFF0FC"/>
          </w:tcPr>
          <w:p>
            <w:pPr>
              <w:spacing w:after="0"/>
              <w:rPr>
                <w:sz w:val="21"/>
                <w:szCs w:val="21"/>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21"/>
                <w:szCs w:val="21"/>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Net loss attributable to redeemable noncontrolling interest</w:t>
            </w:r>
          </w:p>
        </w:tc>
        <w:tc>
          <w:tcPr>
            <w:tcW w:w="660" w:type="dxa"/>
            <w:vAlign w:val="bottom"/>
            <w:gridSpan w:val="2"/>
          </w:tcPr>
          <w:p>
            <w:pPr>
              <w:jc w:val="right"/>
              <w:ind w:right="70"/>
              <w:spacing w:after="0"/>
              <w:rPr>
                <w:sz w:val="20"/>
                <w:szCs w:val="20"/>
                <w:color w:val="auto"/>
              </w:rPr>
            </w:pPr>
            <w:r>
              <w:rPr>
                <w:rFonts w:ascii="Arial" w:cs="Arial" w:eastAsia="Arial" w:hAnsi="Arial"/>
                <w:sz w:val="18"/>
                <w:szCs w:val="18"/>
                <w:color w:val="auto"/>
              </w:rPr>
              <w:t>(2 )</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(0 )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Net income attributable to CarGurus, Inc.</w:t>
            </w:r>
          </w:p>
        </w:tc>
        <w:tc>
          <w:tcPr>
            <w:tcW w:w="96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6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900" w:type="dxa"/>
            <w:vAlign w:val="bottom"/>
            <w:vMerge w:val="restart"/>
          </w:tcPr>
          <w:p>
            <w:pPr>
              <w:ind w:left="4960"/>
              <w:spacing w:after="0"/>
              <w:rPr>
                <w:sz w:val="20"/>
                <w:szCs w:val="20"/>
                <w:color w:val="auto"/>
              </w:rPr>
            </w:pPr>
            <w:r>
              <w:rPr>
                <w:rFonts w:ascii="Arial" w:cs="Arial" w:eastAsia="Arial" w:hAnsi="Arial"/>
                <w:sz w:val="18"/>
                <w:szCs w:val="18"/>
                <w:color w:val="auto"/>
              </w:rPr>
              <w:t>29</w:t>
            </w: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80" w:type="dxa"/>
            <w:vAlign w:val="bottom"/>
          </w:tcPr>
          <w:p>
            <w:pPr>
              <w:spacing w:after="0"/>
              <w:rPr>
                <w:sz w:val="24"/>
                <w:szCs w:val="24"/>
                <w:color w:val="auto"/>
              </w:rPr>
            </w:pPr>
          </w:p>
        </w:tc>
        <w:tc>
          <w:tcPr>
            <w:tcW w:w="69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69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-3359785</wp:posOffset>
            </wp:positionV>
            <wp:extent cx="68580"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-3359785</wp:posOffset>
            </wp:positionV>
            <wp:extent cx="60325"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-2099310</wp:posOffset>
            </wp:positionV>
            <wp:extent cx="68580" cy="1631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-2099310</wp:posOffset>
            </wp:positionV>
            <wp:extent cx="60325" cy="1631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-1473835</wp:posOffset>
            </wp:positionV>
            <wp:extent cx="68580" cy="1631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-1473835</wp:posOffset>
            </wp:positionV>
            <wp:extent cx="60325" cy="1631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-676275</wp:posOffset>
            </wp:positionV>
            <wp:extent cx="6412230" cy="1803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412230" cy="18034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3" w:name="page34"/>
    <w:bookmarkEnd w:id="33"/>
    <w:p>
      <w:pPr>
        <w:jc w:val="both"/>
        <w:ind w:firstLine="509"/>
        <w:spacing w:after="0" w:line="308" w:lineRule="auto"/>
        <w:rPr>
          <w:sz w:val="20"/>
          <w:szCs w:val="20"/>
          <w:color w:val="auto"/>
        </w:rPr>
      </w:pPr>
      <w:r>
        <w:rPr>
          <w:rFonts w:ascii="Arial" w:cs="Arial" w:eastAsia="Arial" w:hAnsi="Arial"/>
          <w:sz w:val="17"/>
          <w:szCs w:val="17"/>
          <w:color w:val="auto"/>
        </w:rPr>
        <w:t>For the three months ended March 31, 2023 and 2022, our segment revenue as a percentage of total revenue and our segment income (loss) from operations as a percentage of segment revenue are as follows (amounts in the table below may not sum due to rounding):</w:t>
      </w:r>
    </w:p>
    <w:p>
      <w:pPr>
        <w:spacing w:after="0" w:line="151"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8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top w:val="single" w:sz="8" w:color="auto"/>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Segment Revenue:</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U.S. Marketplace</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67 %</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Digital Wholesale</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518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180" w:type="dxa"/>
            <w:vAlign w:val="bottom"/>
            <w:vMerge w:val="restart"/>
          </w:tcPr>
          <w:p>
            <w:pPr>
              <w:spacing w:after="0"/>
              <w:rPr>
                <w:sz w:val="20"/>
                <w:szCs w:val="20"/>
                <w:color w:val="auto"/>
              </w:rPr>
            </w:pPr>
            <w:r>
              <w:rPr>
                <w:rFonts w:ascii="Arial" w:cs="Arial" w:eastAsia="Arial" w:hAnsi="Arial"/>
                <w:sz w:val="18"/>
                <w:szCs w:val="18"/>
                <w:b w:val="1"/>
                <w:bCs w:val="1"/>
                <w:color w:val="auto"/>
              </w:rPr>
              <w:t>Segment Income (Loss) from Operations:</w:t>
            </w: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0" w:type="dxa"/>
            <w:vAlign w:val="bottom"/>
          </w:tcPr>
          <w:p>
            <w:pPr>
              <w:spacing w:after="0"/>
              <w:rPr>
                <w:sz w:val="18"/>
                <w:szCs w:val="18"/>
                <w:color w:val="auto"/>
              </w:rPr>
            </w:pPr>
          </w:p>
        </w:tc>
        <w:tc>
          <w:tcPr>
            <w:tcW w:w="51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U.S. Marketplace</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Digital Wholesale</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(17 )</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(11 )</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1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518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color w:val="auto"/>
                <w:highlight w:val="white"/>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For the three months ended March 31, 2023 and 2022</w:t>
            </w: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7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7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760" w:type="dxa"/>
            <w:vAlign w:val="bottom"/>
            <w:gridSpan w:val="2"/>
          </w:tcPr>
          <w:p>
            <w:pPr>
              <w:spacing w:after="0"/>
              <w:rPr>
                <w:sz w:val="20"/>
                <w:szCs w:val="20"/>
                <w:color w:val="auto"/>
              </w:rPr>
            </w:pPr>
            <w:r>
              <w:rPr>
                <w:rFonts w:ascii="Arial" w:cs="Arial" w:eastAsia="Arial" w:hAnsi="Arial"/>
                <w:sz w:val="18"/>
                <w:szCs w:val="18"/>
                <w:i w:val="1"/>
                <w:iCs w:val="1"/>
                <w:color w:val="auto"/>
              </w:rPr>
              <w:t>Revenue by Source</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w w:val="89"/>
              </w:rPr>
              <w:t>Change</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vMerge w:val="continue"/>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8"/>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Marketplace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167,127</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163,289</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3,838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Wholesale</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25,186</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90,994</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gridSpan w:val="4"/>
            <w:shd w:val="clear" w:color="auto" w:fill="CFF0FC"/>
          </w:tcPr>
          <w:p>
            <w:pPr>
              <w:jc w:val="right"/>
              <w:ind w:right="30"/>
              <w:spacing w:after="0"/>
              <w:rPr>
                <w:sz w:val="20"/>
                <w:szCs w:val="20"/>
                <w:color w:val="auto"/>
              </w:rPr>
            </w:pPr>
            <w:r>
              <w:rPr>
                <w:rFonts w:ascii="Arial" w:cs="Arial" w:eastAsia="Arial" w:hAnsi="Arial"/>
                <w:sz w:val="18"/>
                <w:szCs w:val="18"/>
                <w:color w:val="auto"/>
              </w:rPr>
              <w:t>(65,808 )</w:t>
            </w:r>
          </w:p>
        </w:tc>
        <w:tc>
          <w:tcPr>
            <w:tcW w:w="2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(72 )</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Product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39,650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176,325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4"/>
          </w:tcPr>
          <w:p>
            <w:pPr>
              <w:jc w:val="right"/>
              <w:ind w:right="30"/>
              <w:spacing w:after="0"/>
              <w:rPr>
                <w:sz w:val="20"/>
                <w:szCs w:val="20"/>
                <w:color w:val="auto"/>
              </w:rPr>
            </w:pPr>
            <w:r>
              <w:rPr>
                <w:rFonts w:ascii="Arial" w:cs="Arial" w:eastAsia="Arial" w:hAnsi="Arial"/>
                <w:sz w:val="18"/>
                <w:szCs w:val="18"/>
                <w:color w:val="auto"/>
              </w:rPr>
              <w:t>(136,675 )</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(78 )</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518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231,963</w:t>
            </w:r>
          </w:p>
        </w:tc>
        <w:tc>
          <w:tcPr>
            <w:tcW w:w="24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430,608</w:t>
            </w: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(198,645</w:t>
            </w: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180" w:type="dxa"/>
            <w:vAlign w:val="bottom"/>
            <w:vMerge w:val="restart"/>
          </w:tcPr>
          <w:p>
            <w:pPr>
              <w:spacing w:after="0"/>
              <w:rPr>
                <w:sz w:val="20"/>
                <w:szCs w:val="20"/>
                <w:color w:val="auto"/>
              </w:rPr>
            </w:pPr>
            <w:r>
              <w:rPr>
                <w:rFonts w:ascii="Arial" w:cs="Arial" w:eastAsia="Arial" w:hAnsi="Arial"/>
                <w:sz w:val="18"/>
                <w:szCs w:val="18"/>
                <w:b w:val="1"/>
                <w:bCs w:val="1"/>
                <w:color w:val="auto"/>
              </w:rPr>
              <w:t>Percentage of total revenue:</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51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Marketplace</w:t>
            </w: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72 %</w:t>
            </w:r>
          </w:p>
        </w:tc>
        <w:tc>
          <w:tcPr>
            <w:tcW w:w="320" w:type="dxa"/>
            <w:vAlign w:val="bottom"/>
            <w:shd w:val="clear" w:color="auto" w:fill="CFF0FC"/>
          </w:tcPr>
          <w:p>
            <w:pPr>
              <w:spacing w:after="0"/>
              <w:rPr>
                <w:sz w:val="21"/>
                <w:szCs w:val="21"/>
                <w:color w:val="auto"/>
              </w:rPr>
            </w:pPr>
          </w:p>
        </w:tc>
        <w:tc>
          <w:tcPr>
            <w:tcW w:w="10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38 %</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Wholesale</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5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Product</w:t>
            </w: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518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 xml:space="preserve">100 </w:t>
            </w:r>
            <w:r>
              <w:rPr>
                <w:rFonts w:ascii="Arial" w:cs="Arial" w:eastAsia="Arial" w:hAnsi="Arial"/>
                <w:sz w:val="18"/>
                <w:szCs w:val="18"/>
                <w:color w:val="auto"/>
                <w:highlight w:val="white"/>
              </w:rPr>
              <w:t>%</w:t>
            </w:r>
          </w:p>
        </w:tc>
        <w:tc>
          <w:tcPr>
            <w:tcW w:w="320" w:type="dxa"/>
            <w:vAlign w:val="bottom"/>
          </w:tcPr>
          <w:p>
            <w:pPr>
              <w:spacing w:after="0"/>
              <w:rPr>
                <w:sz w:val="20"/>
                <w:szCs w:val="20"/>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 xml:space="preserve">100 </w:t>
            </w:r>
            <w:r>
              <w:rPr>
                <w:rFonts w:ascii="Arial" w:cs="Arial" w:eastAsia="Arial" w:hAnsi="Arial"/>
                <w:sz w:val="18"/>
                <w:szCs w:val="18"/>
                <w:color w:val="auto"/>
                <w:highlight w:val="white"/>
              </w:rPr>
              <w:t>%</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-4002405</wp:posOffset>
            </wp:positionV>
            <wp:extent cx="6412230" cy="4889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412230" cy="4889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-984885</wp:posOffset>
            </wp:positionV>
            <wp:extent cx="6412230" cy="3340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412230" cy="334010"/>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Overall revenue decreased $198.6 million, or 46%, in the three months ended March 31, 2023 compared to the three months ended March 31, 2022.</w:t>
      </w:r>
    </w:p>
    <w:p>
      <w:pPr>
        <w:spacing w:after="0" w:line="248"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Marketplace revenue increased $3.8 million, or 2%, in the three months ended March 31, 2023 compared to the three months ended March 31, 2022 and represented 72% of total revenue for the three months ended March 31, 2023 compared to 38% of total revenue for the three months ended March 31, 2022. The increase was due primarily to an $7.8 million increase in Listings revenue, as a result of a 4% growth in our QARSD for paying dealers to $4,986 at March 31, 2023 from $4,806 at March 31, 2022. The increase in QARSD was due primarily to signing on new dealers with higher average monthly recurring revenue and revenue expansion through product upgrades for existing dealers. The increase in marketplace revenue was offset in part by a $3.0 million decrease in advertising revenue as a result of lower spend by our advertisers and economic conditions and a $1.2 million decrease in consumer financing revenue as a result of economic conditions.</w:t>
      </w:r>
    </w:p>
    <w:p>
      <w:pPr>
        <w:spacing w:after="0" w:line="17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Wholesale revenue decreased $65.8 million, or 72%, in the three months ended March 31, 2023 compared to the three months ended March 31, 2022 and represented 11% of total revenue for the three months ended March 31, 2023 compared to 21% of total revenue for the three months ended March 31, 2022. The decrease was due primarily to a 75% decrease in Transactions, which includes Dealer-to-Dealer and IMCO transactions, to 17,505 for the three months ended March 31, 2023 from 68,754 for the three months ended March 31, 2022, as a result of operational challenges in the prior year which resulted in our focus in the current year on optimization of internal policies and procedures over volume of transactions. The decrease in Transactions resulted in a decrease in transaction fee revenue as well as a decrease in transportation revenue, inspection revenue, and guarantee revenue.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jc w:val="both"/>
        <w:ind w:firstLine="509"/>
        <w:spacing w:after="0" w:line="254" w:lineRule="auto"/>
        <w:rPr>
          <w:sz w:val="20"/>
          <w:szCs w:val="20"/>
          <w:color w:val="auto"/>
        </w:rPr>
      </w:pPr>
      <w:r>
        <w:rPr>
          <w:rFonts w:ascii="Arial" w:cs="Arial" w:eastAsia="Arial" w:hAnsi="Arial"/>
          <w:sz w:val="18"/>
          <w:szCs w:val="18"/>
          <w:color w:val="auto"/>
        </w:rPr>
        <w:t>Product revenue decreased by $136.7 million, or 78%, in the three months ended March 31, 2023 compared to the three months ended March 31, 2022 and represented 17% of total revenue for the three months ended March 31, 2023 compared to 41% of total revenue for the three months ended March 31, 2022. The decrease was due primarily to a $119.3 million decrease in proceeds received from the sale of vehicles through IMCO transactions, including vehicle sale price and transaction fees, as a result of decreased Transactions resulting from the purposeful slowdown in volume as we emphasize operational rigor. The decrease in product revenue was also due in part to a $17.4 million decrease in proceeds received from the sale of vehicles acquired through arbitration, including vehicle sale price and transaction fees, as a result of decreased arbitration claims primarily due to process improvements focused on higher quality inspections.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34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6"/>
          </w:tcPr>
          <w:p>
            <w:pPr>
              <w:ind w:left="220"/>
              <w:spacing w:after="0"/>
              <w:rPr>
                <w:sz w:val="20"/>
                <w:szCs w:val="20"/>
                <w:color w:val="auto"/>
              </w:rPr>
            </w:pPr>
            <w:r>
              <w:rPr>
                <w:rFonts w:ascii="Arial" w:cs="Arial" w:eastAsia="Arial" w:hAnsi="Arial"/>
                <w:sz w:val="14"/>
                <w:szCs w:val="14"/>
                <w:b w:val="1"/>
                <w:bCs w:val="1"/>
                <w:color w:val="auto"/>
              </w:rPr>
              <w:t>(dollars in thousands)</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r>
              <w:rPr>
                <w:rFonts w:ascii="Arial" w:cs="Arial" w:eastAsia="Arial" w:hAnsi="Arial"/>
                <w:sz w:val="18"/>
                <w:szCs w:val="18"/>
                <w:color w:val="auto"/>
              </w:rPr>
              <w:t>U.S. Marketplace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155,621</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151,889</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3,732</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Digital Wholesale</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64,836</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267,319</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(202,483 )</w:t>
            </w:r>
          </w:p>
        </w:tc>
        <w:tc>
          <w:tcPr>
            <w:tcW w:w="3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(76 )</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11,506</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11,400</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8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231,963</w:t>
            </w:r>
          </w:p>
        </w:tc>
        <w:tc>
          <w:tcPr>
            <w:tcW w:w="24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430,608</w:t>
            </w:r>
          </w:p>
        </w:tc>
        <w:tc>
          <w:tcPr>
            <w:tcW w:w="2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(198,645</w:t>
            </w: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b w:val="1"/>
                <w:bCs w:val="1"/>
                <w:color w:val="auto"/>
              </w:rPr>
              <w:t>Percentage of total revenue:</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U.S. Marketplace</w:t>
            </w: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67 %</w:t>
            </w:r>
          </w:p>
        </w:tc>
        <w:tc>
          <w:tcPr>
            <w:tcW w:w="3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35 %</w:t>
            </w: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r>
              <w:rPr>
                <w:rFonts w:ascii="Arial" w:cs="Arial" w:eastAsia="Arial" w:hAnsi="Arial"/>
                <w:sz w:val="18"/>
                <w:szCs w:val="18"/>
                <w:color w:val="auto"/>
              </w:rPr>
              <w:t>Digital Wholesale</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8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 xml:space="preserve">100 </w:t>
            </w:r>
            <w:r>
              <w:rPr>
                <w:rFonts w:ascii="Arial" w:cs="Arial" w:eastAsia="Arial" w:hAnsi="Arial"/>
                <w:sz w:val="18"/>
                <w:szCs w:val="18"/>
                <w:color w:val="auto"/>
                <w:highlight w:val="white"/>
              </w:rPr>
              <w:t>%</w:t>
            </w:r>
          </w:p>
        </w:tc>
        <w:tc>
          <w:tcPr>
            <w:tcW w:w="3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 xml:space="preserve">100 </w:t>
            </w:r>
            <w:r>
              <w:rPr>
                <w:rFonts w:ascii="Arial" w:cs="Arial" w:eastAsia="Arial" w:hAnsi="Arial"/>
                <w:sz w:val="18"/>
                <w:szCs w:val="18"/>
                <w:color w:val="auto"/>
                <w:highlight w:val="white"/>
              </w:rPr>
              <w:t>%</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-985520</wp:posOffset>
            </wp:positionV>
            <wp:extent cx="6412230" cy="3346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412230" cy="33464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U.S. Marketplace segment revenue increased $3.7 million, or 2%, in the three months ended March 31, 2023 compared to the three months ended March 31, 2022 and represented 67% of total revenue for the three months ended March 31, 2023 compared to 35% of total revenue for the three months ended March 31, 2022. The increase was due primarily to a $3.8 million increase in marketplace revenue, as described above.</w:t>
      </w:r>
    </w:p>
    <w:p>
      <w:pPr>
        <w:spacing w:after="0" w:line="165"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Digital Wholesale segment revenue, which is comprised of wholesale revenue and product revenue, decreased $202.5 million, or 76%, in the three months ended March 31, 2023 compared to the three months ended March 31, 2022 and represented 28% of total revenue for the three months ended March 31, 2023 compared to 62% of total revenue for the three months ended March 31, 2022. The decrease in Digital Wholesale segment revenue was due to a decrease in wholesale revenue and product revenue, as described above. Wholesale revenue decreased $65.8 million in the three months ended March 31, 2023, compared to the three months ended March 31, 2022. Product revenue decreased $136.7 million in the three months ended March 31, 2023 compared to the three months ended March 31,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5"/>
          </w:tcPr>
          <w:p>
            <w:pPr>
              <w:jc w:val="right"/>
              <w:ind w:right="648"/>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40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5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right"/>
              <w:ind w:right="43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(dollars</w:t>
            </w:r>
          </w:p>
        </w:tc>
        <w:tc>
          <w:tcPr>
            <w:tcW w:w="240" w:type="dxa"/>
            <w:vAlign w:val="bottom"/>
          </w:tcPr>
          <w:p>
            <w:pPr>
              <w:jc w:val="right"/>
              <w:ind w:right="28"/>
              <w:spacing w:after="0"/>
              <w:rPr>
                <w:sz w:val="20"/>
                <w:szCs w:val="20"/>
                <w:color w:val="auto"/>
              </w:rPr>
            </w:pPr>
            <w:r>
              <w:rPr>
                <w:rFonts w:ascii="Arial" w:cs="Arial" w:eastAsia="Arial" w:hAnsi="Arial"/>
                <w:sz w:val="14"/>
                <w:szCs w:val="14"/>
                <w:b w:val="1"/>
                <w:bCs w:val="1"/>
                <w:color w:val="auto"/>
                <w:w w:val="96"/>
              </w:rPr>
              <w:t>in</w:t>
            </w:r>
          </w:p>
        </w:tc>
        <w:tc>
          <w:tcPr>
            <w:tcW w:w="9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thousands)</w:t>
            </w:r>
          </w:p>
        </w:tc>
        <w:tc>
          <w:tcPr>
            <w:tcW w:w="2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Revenue:</w:t>
            </w: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Marketplace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15,533</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12,209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3,324</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4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Wholesale</w:t>
            </w: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22,068</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58,182</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(36,114 )</w:t>
            </w:r>
          </w:p>
        </w:tc>
        <w:tc>
          <w:tcPr>
            <w:tcW w:w="3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(62 )</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Product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39,382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178,342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(138,960 )</w:t>
            </w:r>
          </w:p>
        </w:tc>
        <w:tc>
          <w:tcPr>
            <w:tcW w:w="3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(78 )</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76,983</w:t>
            </w:r>
          </w:p>
        </w:tc>
        <w:tc>
          <w:tcPr>
            <w:tcW w:w="24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248,733</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(171,750</w:t>
            </w: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49"/>
        </w:trPr>
        <w:tc>
          <w:tcPr>
            <w:tcW w:w="5160" w:type="dxa"/>
            <w:vAlign w:val="bottom"/>
          </w:tcPr>
          <w:p>
            <w:pPr>
              <w:spacing w:after="0"/>
              <w:rPr>
                <w:sz w:val="20"/>
                <w:szCs w:val="20"/>
                <w:color w:val="auto"/>
              </w:rPr>
            </w:pPr>
            <w:r>
              <w:rPr>
                <w:rFonts w:ascii="Arial" w:cs="Arial" w:eastAsia="Arial" w:hAnsi="Arial"/>
                <w:sz w:val="18"/>
                <w:szCs w:val="18"/>
                <w:b w:val="1"/>
                <w:bCs w:val="1"/>
                <w:color w:val="auto"/>
              </w:rPr>
              <w:t>Percentage of total revenue:</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Marketplace</w:t>
            </w: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7 %</w:t>
            </w:r>
          </w:p>
        </w:tc>
        <w:tc>
          <w:tcPr>
            <w:tcW w:w="3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Wholesale</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Product</w:t>
            </w:r>
          </w:p>
        </w:tc>
        <w:tc>
          <w:tcPr>
            <w:tcW w:w="2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color w:val="auto"/>
                <w:highlight w:val="white"/>
              </w:rPr>
              <w:t>%</w:t>
            </w:r>
          </w:p>
        </w:tc>
        <w:tc>
          <w:tcPr>
            <w:tcW w:w="3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color w:val="auto"/>
                <w:highlight w:val="white"/>
              </w:rPr>
              <w:t>%</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-959485</wp:posOffset>
            </wp:positionV>
            <wp:extent cx="6412230" cy="1543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82"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Overall cost of revenue decreased $171.8 million, or 69%, in the three months ended March 31, 2023 compared to the three months ended March 31,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jc w:val="both"/>
        <w:ind w:firstLine="509"/>
        <w:spacing w:after="0" w:line="257" w:lineRule="auto"/>
        <w:rPr>
          <w:sz w:val="20"/>
          <w:szCs w:val="20"/>
          <w:color w:val="auto"/>
        </w:rPr>
      </w:pPr>
      <w:r>
        <w:rPr>
          <w:rFonts w:ascii="Arial" w:cs="Arial" w:eastAsia="Arial" w:hAnsi="Arial"/>
          <w:sz w:val="18"/>
          <w:szCs w:val="18"/>
          <w:color w:val="auto"/>
        </w:rPr>
        <w:t>Marketplace cost of revenue increased $3.3 million, or 27%, in the three months ended March 31, 2023 compared to the three months ended March 31, 2022 and represented 7% of total revenue for the three months ended March 31, 2023 compared to 3% of total revenue for the three months ended March 31, 2022. The increase was due primarily to a $1.6 million increase in fees related to provisioning advertising campaigns on our websites from changing to more effective, higher cost service providers and a $1.5 million increase in data and hosting costs as a result of the Company's migration onto a cloud-based hosting platform.</w:t>
      </w:r>
    </w:p>
    <w:p>
      <w:pPr>
        <w:spacing w:after="0" w:line="188"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Wholesale cost of revenue decreased $36.1 million, or 62%, in the three months ended March 31, 2023 compared to the three months ended March 31, 2022 and represented 10% of total revenue for the three months ended March 31, 2023 compared to 14% of total revenue for the three months ended March 31, 2022. The decrease was due primarily to process improvements implemented, resulting in a purposeful decrease in the volume of Dealer-to-Dealer transactions. This decrease in volume resulted in a decrease in transportation expense, inspection expense, third-party service provider expense, personnel expense, and guarantee expense.</w:t>
      </w:r>
    </w:p>
    <w:p>
      <w:pPr>
        <w:spacing w:after="0" w:line="188"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Product cost of revenue decreased $139.0 million, or 78%, in the three months ended March 31, 2023 compared to the three months ended March 31, 2022 and represented 17% of the total revenue for the three months ended March 31, 2023 compared to 41% of total revenue for the three months ended March 31, 2022. The decrease was due primarily to a $113.7 million decrease in expenses related to vehicles sold to dealers through IMCO transactions as a result of decreased Transactions resulting from the purposeful slowdown in volume as we emphasize operational rigor. The decrease in product cost of revenue was also due in part to a $25.2 million decrease in expenses related to vehicles sold to dealers acquired through arbitration as a result of decreased arbitration claims primarily due to process improvements focused on higher quality inspections.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5"/>
          </w:tcPr>
          <w:p>
            <w:pPr>
              <w:jc w:val="center"/>
              <w:ind w:right="408"/>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40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w w:val="99"/>
              </w:rPr>
              <w:t>March 31,</w:t>
            </w:r>
          </w:p>
        </w:tc>
        <w:tc>
          <w:tcPr>
            <w:tcW w:w="7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61"/>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right"/>
              <w:ind w:right="43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(dollars</w:t>
            </w:r>
          </w:p>
        </w:tc>
        <w:tc>
          <w:tcPr>
            <w:tcW w:w="240" w:type="dxa"/>
            <w:vAlign w:val="bottom"/>
          </w:tcPr>
          <w:p>
            <w:pPr>
              <w:jc w:val="right"/>
              <w:ind w:right="28"/>
              <w:spacing w:after="0"/>
              <w:rPr>
                <w:sz w:val="20"/>
                <w:szCs w:val="20"/>
                <w:color w:val="auto"/>
              </w:rPr>
            </w:pPr>
            <w:r>
              <w:rPr>
                <w:rFonts w:ascii="Arial" w:cs="Arial" w:eastAsia="Arial" w:hAnsi="Arial"/>
                <w:sz w:val="14"/>
                <w:szCs w:val="14"/>
                <w:b w:val="1"/>
                <w:bCs w:val="1"/>
                <w:color w:val="auto"/>
                <w:w w:val="96"/>
              </w:rPr>
              <w:t>in</w:t>
            </w:r>
          </w:p>
        </w:tc>
        <w:tc>
          <w:tcPr>
            <w:tcW w:w="9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thousands)</w:t>
            </w:r>
          </w:p>
        </w:tc>
        <w:tc>
          <w:tcPr>
            <w:tcW w:w="2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75,577</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87,581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(12,004 )</w:t>
            </w:r>
          </w:p>
        </w:tc>
        <w:tc>
          <w:tcPr>
            <w:tcW w:w="3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42"/>
        </w:trPr>
        <w:tc>
          <w:tcPr>
            <w:tcW w:w="51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0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33 %</w:t>
            </w:r>
          </w:p>
        </w:tc>
        <w:tc>
          <w:tcPr>
            <w:tcW w:w="3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95"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Sales and marketing expense decreased $12.0 million, or 14%, in the three months ended March 31, 2023 compared to the three months ended March 31, 2022. The decrease was due primarily to an $8.3 million decrease in brand awareness advertising expenses due to decreased spend as a result of a change in advertising strategy implemented in the fourth quarter of 2022. The decrease was also due in part to a $4.8 million decrease in commissions expense due primarily to decreased Transactions and higher capitalization on commissions as a result of an increase in new paying dealers, a $1.4 million decrease in marketing expenses due primarily to a decrease in IMCO marketing, and a $0.9 million decrease in stock-based compensation due primarily to the revaluation of liability-based stock awards. The decrease in sales and marketing expense was offset in part by a $1.3 million increase in rent expense due to the commencement of the 1001 Boylston Street lease, a $1.1 million increase in salaries and employee-related expense, exclusive of stock-based compensation expense and commissions expenses, due primarily to a 12% increase in headcount, and a $0.4 million increase in travel expenses.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Technology, and Development Expense</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34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w w:val="95"/>
              </w:rPr>
              <w:t>March 31,</w:t>
            </w:r>
          </w:p>
        </w:tc>
        <w:tc>
          <w:tcPr>
            <w:tcW w:w="7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gridSpan w:val="6"/>
          </w:tcPr>
          <w:p>
            <w:pPr>
              <w:ind w:left="200"/>
              <w:spacing w:after="0"/>
              <w:rPr>
                <w:sz w:val="20"/>
                <w:szCs w:val="20"/>
                <w:color w:val="auto"/>
              </w:rPr>
            </w:pPr>
            <w:r>
              <w:rPr>
                <w:rFonts w:ascii="Arial" w:cs="Arial" w:eastAsia="Arial" w:hAnsi="Arial"/>
                <w:sz w:val="14"/>
                <w:szCs w:val="14"/>
                <w:b w:val="1"/>
                <w:bCs w:val="1"/>
                <w:color w:val="auto"/>
              </w:rPr>
              <w:t>(dollars in thousands)</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Product, technology, and development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36,607</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30,653</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5,954</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42"/>
        </w:trPr>
        <w:tc>
          <w:tcPr>
            <w:tcW w:w="52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2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16 %</w:t>
            </w:r>
          </w:p>
        </w:tc>
        <w:tc>
          <w:tcPr>
            <w:tcW w:w="3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7 %</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9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Product, technology, and development expense increased $6.0 million, or 19%, in the three months ended March 31, 2023 compared to the three months ended March 31, 2022. The increase was due primarily to a $3.3 million increase in salaries and employee-related expenses due primarily to a 6% increase in headcount as well as merit increases, a $1.7 million increase in consulting expense and a $1.1 million increase in rent expense due to the commencement of the 1001 Boylston Street lease.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5"/>
          </w:tcPr>
          <w:p>
            <w:pPr>
              <w:jc w:val="center"/>
              <w:ind w:right="408"/>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40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w w:val="99"/>
              </w:rPr>
              <w:t>March 31,</w:t>
            </w:r>
          </w:p>
        </w:tc>
        <w:tc>
          <w:tcPr>
            <w:tcW w:w="7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61"/>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right"/>
              <w:ind w:right="43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(dollars</w:t>
            </w:r>
          </w:p>
        </w:tc>
        <w:tc>
          <w:tcPr>
            <w:tcW w:w="240" w:type="dxa"/>
            <w:vAlign w:val="bottom"/>
          </w:tcPr>
          <w:p>
            <w:pPr>
              <w:jc w:val="right"/>
              <w:ind w:right="28"/>
              <w:spacing w:after="0"/>
              <w:rPr>
                <w:sz w:val="20"/>
                <w:szCs w:val="20"/>
                <w:color w:val="auto"/>
              </w:rPr>
            </w:pPr>
            <w:r>
              <w:rPr>
                <w:rFonts w:ascii="Arial" w:cs="Arial" w:eastAsia="Arial" w:hAnsi="Arial"/>
                <w:sz w:val="14"/>
                <w:szCs w:val="14"/>
                <w:b w:val="1"/>
                <w:bCs w:val="1"/>
                <w:color w:val="auto"/>
                <w:w w:val="96"/>
              </w:rPr>
              <w:t>in</w:t>
            </w:r>
          </w:p>
        </w:tc>
        <w:tc>
          <w:tcPr>
            <w:tcW w:w="9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thousands)</w:t>
            </w:r>
          </w:p>
        </w:tc>
        <w:tc>
          <w:tcPr>
            <w:tcW w:w="2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24,919</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33,121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(8,202 )</w:t>
            </w:r>
          </w:p>
        </w:tc>
        <w:tc>
          <w:tcPr>
            <w:tcW w:w="3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42"/>
        </w:trPr>
        <w:tc>
          <w:tcPr>
            <w:tcW w:w="51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0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11 %</w:t>
            </w:r>
          </w:p>
        </w:tc>
        <w:tc>
          <w:tcPr>
            <w:tcW w:w="3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95"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General and administrative expense decreased $8.2 million, or 25%, in the three months ended March 31, 2023 compared to the three months ended March 31, 2022. The decrease was due primarily to a $11.9 million decrease in stock-based compensation due to the revaluation of liability-based stock awards. The decrease in general and administrative expense was offset in part by a $1.4 million increase in salaries and employee-related expenses, exclusive of stock-based compensation, due primarily to a 19% increase in headcount, a $1.0 million increase in consulting and recruiting expense, and a $0.6 million increase in rent expense due to the commencement of the 1001 Boylston Street lease.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Expenses</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5"/>
          </w:tcPr>
          <w:p>
            <w:pPr>
              <w:jc w:val="center"/>
              <w:ind w:right="408"/>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40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w w:val="99"/>
              </w:rPr>
              <w:t>March 31,</w:t>
            </w:r>
          </w:p>
        </w:tc>
        <w:tc>
          <w:tcPr>
            <w:tcW w:w="7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61"/>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right"/>
              <w:ind w:right="43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(dollars</w:t>
            </w:r>
          </w:p>
        </w:tc>
        <w:tc>
          <w:tcPr>
            <w:tcW w:w="240" w:type="dxa"/>
            <w:vAlign w:val="bottom"/>
          </w:tcPr>
          <w:p>
            <w:pPr>
              <w:jc w:val="right"/>
              <w:ind w:right="28"/>
              <w:spacing w:after="0"/>
              <w:rPr>
                <w:sz w:val="20"/>
                <w:szCs w:val="20"/>
                <w:color w:val="auto"/>
              </w:rPr>
            </w:pPr>
            <w:r>
              <w:rPr>
                <w:rFonts w:ascii="Arial" w:cs="Arial" w:eastAsia="Arial" w:hAnsi="Arial"/>
                <w:sz w:val="14"/>
                <w:szCs w:val="14"/>
                <w:b w:val="1"/>
                <w:bCs w:val="1"/>
                <w:color w:val="auto"/>
                <w:w w:val="96"/>
              </w:rPr>
              <w:t>in</w:t>
            </w:r>
          </w:p>
        </w:tc>
        <w:tc>
          <w:tcPr>
            <w:tcW w:w="9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thousands)</w:t>
            </w:r>
          </w:p>
        </w:tc>
        <w:tc>
          <w:tcPr>
            <w:tcW w:w="2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3,818</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3,861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(43 )</w:t>
            </w:r>
          </w:p>
        </w:tc>
        <w:tc>
          <w:tcPr>
            <w:tcW w:w="3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2"/>
        </w:trPr>
        <w:tc>
          <w:tcPr>
            <w:tcW w:w="51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0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2 %</w:t>
            </w:r>
          </w:p>
        </w:tc>
        <w:tc>
          <w:tcPr>
            <w:tcW w:w="3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9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Depreciation and amortization expenses remained relatively consistent in the three months ended March 31, 2023 compared to the three months ended March 31,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36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456"/>
              <w:spacing w:after="0"/>
              <w:rPr>
                <w:sz w:val="20"/>
                <w:szCs w:val="20"/>
                <w:color w:val="auto"/>
              </w:rPr>
            </w:pPr>
            <w:r>
              <w:rPr>
                <w:rFonts w:ascii="Arial" w:cs="Arial" w:eastAsia="Arial" w:hAnsi="Arial"/>
                <w:sz w:val="14"/>
                <w:szCs w:val="14"/>
                <w:b w:val="1"/>
                <w:bCs w:val="1"/>
                <w:color w:val="auto"/>
                <w:w w:val="95"/>
              </w:rPr>
              <w:t>March 31,</w:t>
            </w:r>
          </w:p>
        </w:tc>
        <w:tc>
          <w:tcPr>
            <w:tcW w:w="7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20" w:type="dxa"/>
            <w:vAlign w:val="bottom"/>
            <w:gridSpan w:val="6"/>
          </w:tcPr>
          <w:p>
            <w:pPr>
              <w:ind w:left="200"/>
              <w:spacing w:after="0"/>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 net:</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3,743</w:t>
            </w:r>
          </w:p>
        </w:tc>
        <w:tc>
          <w:tcPr>
            <w:tcW w:w="2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3,706</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10,016 %</w:t>
            </w:r>
          </w:p>
        </w:tc>
        <w:tc>
          <w:tcPr>
            <w:tcW w:w="0" w:type="dxa"/>
            <w:vAlign w:val="bottom"/>
          </w:tcPr>
          <w:p>
            <w:pPr>
              <w:spacing w:after="0"/>
              <w:rPr>
                <w:sz w:val="1"/>
                <w:szCs w:val="1"/>
                <w:color w:val="auto"/>
              </w:rPr>
            </w:pPr>
          </w:p>
        </w:tc>
      </w:tr>
      <w:tr>
        <w:trPr>
          <w:trHeight w:val="24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(156 )</w:t>
            </w: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180" w:type="dxa"/>
            <w:vAlign w:val="bottom"/>
          </w:tcPr>
          <w:p>
            <w:pPr>
              <w:ind w:left="180"/>
              <w:spacing w:after="0"/>
              <w:rPr>
                <w:sz w:val="20"/>
                <w:szCs w:val="20"/>
                <w:color w:val="auto"/>
              </w:rPr>
            </w:pPr>
            <w:r>
              <w:rPr>
                <w:rFonts w:ascii="Arial" w:cs="Arial" w:eastAsia="Arial" w:hAnsi="Arial"/>
                <w:sz w:val="18"/>
                <w:szCs w:val="18"/>
                <w:color w:val="auto"/>
              </w:rPr>
              <w:t>Total other income (expense), net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4,338</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(119 )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4,457</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 xml:space="preserve">3,745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2 %</w:t>
            </w:r>
          </w:p>
        </w:tc>
        <w:tc>
          <w:tcPr>
            <w:tcW w:w="34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0 %</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(0 )</w:t>
            </w: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180" w:type="dxa"/>
            <w:vAlign w:val="bottom"/>
          </w:tcPr>
          <w:p>
            <w:pPr>
              <w:ind w:left="180"/>
              <w:spacing w:after="0"/>
              <w:rPr>
                <w:sz w:val="20"/>
                <w:szCs w:val="20"/>
                <w:color w:val="auto"/>
              </w:rPr>
            </w:pPr>
            <w:r>
              <w:rPr>
                <w:rFonts w:ascii="Arial" w:cs="Arial" w:eastAsia="Arial" w:hAnsi="Arial"/>
                <w:sz w:val="18"/>
                <w:szCs w:val="18"/>
                <w:color w:val="auto"/>
              </w:rPr>
              <w:t>Total other income (expense), net</w:t>
            </w:r>
          </w:p>
        </w:tc>
        <w:tc>
          <w:tcPr>
            <w:tcW w:w="2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color w:val="auto"/>
                <w:highlight w:val="white"/>
              </w:rPr>
              <w:t>%</w:t>
            </w:r>
          </w:p>
        </w:tc>
        <w:tc>
          <w:tcPr>
            <w:tcW w:w="3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xml:space="preserve">(0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-839470</wp:posOffset>
            </wp:positionV>
            <wp:extent cx="68580" cy="1885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-839470</wp:posOffset>
            </wp:positionV>
            <wp:extent cx="68580" cy="1885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-839470</wp:posOffset>
            </wp:positionV>
            <wp:extent cx="60325" cy="1885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Total other income, net increased $4.5 million, or 3,745%, in the three months ended March 31, 2023 compared to the three months ended March 31, 2022. The $3.7 million increase in interest income was due primarily to interest rate increases since March 31, 2022. The $0.8 million increase in other income (expense), net was due primarily to a $0.8 million increase in unrealized gain associated with the fluctuation of certain foreign currencies.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36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481"/>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gridSpan w:val="6"/>
          </w:tcPr>
          <w:p>
            <w:pPr>
              <w:ind w:left="200"/>
              <w:spacing w:after="0"/>
              <w:rPr>
                <w:sz w:val="20"/>
                <w:szCs w:val="20"/>
                <w:color w:val="auto"/>
              </w:rPr>
            </w:pPr>
            <w:r>
              <w:rPr>
                <w:rFonts w:ascii="Arial" w:cs="Arial" w:eastAsia="Arial" w:hAnsi="Arial"/>
                <w:sz w:val="14"/>
                <w:szCs w:val="14"/>
                <w:b w:val="1"/>
                <w:bCs w:val="1"/>
                <w:color w:val="auto"/>
              </w:rPr>
              <w:t>(dollars in thousands)</w:t>
            </w: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580"/>
              <w:spacing w:after="0"/>
              <w:rPr>
                <w:sz w:val="20"/>
                <w:szCs w:val="20"/>
                <w:color w:val="auto"/>
              </w:rPr>
            </w:pPr>
            <w:r>
              <w:rPr>
                <w:rFonts w:ascii="Arial" w:cs="Arial" w:eastAsia="Arial" w:hAnsi="Arial"/>
                <w:sz w:val="18"/>
                <w:szCs w:val="18"/>
                <w:color w:val="auto"/>
              </w:rPr>
              <w:t>Provision for income taxes</w:t>
            </w: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6,531</w:t>
            </w:r>
          </w:p>
        </w:tc>
        <w:tc>
          <w:tcPr>
            <w:tcW w:w="2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7,702</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(1,171 )</w:t>
            </w:r>
          </w:p>
        </w:tc>
        <w:tc>
          <w:tcPr>
            <w:tcW w:w="400" w:type="dxa"/>
            <w:vAlign w:val="bottom"/>
          </w:tcPr>
          <w:p>
            <w:pPr>
              <w:spacing w:after="0"/>
              <w:rPr>
                <w:sz w:val="20"/>
                <w:szCs w:val="20"/>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2"/>
        </w:trPr>
        <w:tc>
          <w:tcPr>
            <w:tcW w:w="4040" w:type="dxa"/>
            <w:vAlign w:val="bottom"/>
          </w:tcPr>
          <w:p>
            <w:pPr>
              <w:ind w:left="580"/>
              <w:spacing w:after="0"/>
              <w:rPr>
                <w:sz w:val="20"/>
                <w:szCs w:val="20"/>
                <w:color w:val="auto"/>
              </w:rPr>
            </w:pPr>
            <w:r>
              <w:rPr>
                <w:rFonts w:ascii="Arial" w:cs="Arial" w:eastAsia="Arial" w:hAnsi="Arial"/>
                <w:sz w:val="18"/>
                <w:szCs w:val="18"/>
                <w:color w:val="auto"/>
              </w:rPr>
              <w:t>Percentage of total revenue</w:t>
            </w: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3 %</w:t>
            </w:r>
          </w:p>
        </w:tc>
        <w:tc>
          <w:tcPr>
            <w:tcW w:w="34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2 %</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1"/>
        </w:trPr>
        <w:tc>
          <w:tcPr>
            <w:tcW w:w="4040" w:type="dxa"/>
            <w:vAlign w:val="bottom"/>
          </w:tcPr>
          <w:p>
            <w:pPr>
              <w:spacing w:after="0"/>
              <w:rPr>
                <w:sz w:val="24"/>
                <w:szCs w:val="24"/>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-805180</wp:posOffset>
            </wp:positionV>
            <wp:extent cx="6412230" cy="154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jc w:val="both"/>
        <w:ind w:firstLine="509"/>
        <w:spacing w:after="0" w:line="257" w:lineRule="auto"/>
        <w:rPr>
          <w:sz w:val="20"/>
          <w:szCs w:val="20"/>
          <w:color w:val="auto"/>
        </w:rPr>
      </w:pPr>
      <w:r>
        <w:rPr>
          <w:rFonts w:ascii="Arial" w:cs="Arial" w:eastAsia="Arial" w:hAnsi="Arial"/>
          <w:sz w:val="18"/>
          <w:szCs w:val="18"/>
          <w:color w:val="auto"/>
        </w:rPr>
        <w:t>Provision for income taxes decreased $1.2 million, or 15%, in the three months ended March 31, 2023 compared to the three months ended March 31, 2022, due primarily to decreased profitability. This was partially offset by an aggregated $3.4 million tax expense related to shortfalls on the taxable compensation of stock-based awards and the Section 162(m) excess officer compensation limitation recorded during the three months ended March 31, 2023, compared to $1.2 million tax expense related to shortfalls on the taxable compensation of stock-based awards and the Section 162(m) excess officer compensation limitation recorded during the three months ended March 31,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 (Loss) from Operations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tcPr>
          <w:p>
            <w:pPr>
              <w:jc w:val="right"/>
              <w:ind w:right="638"/>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5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820" w:type="dxa"/>
            <w:vAlign w:val="bottom"/>
          </w:tcPr>
          <w:p>
            <w:pPr>
              <w:jc w:val="right"/>
              <w:ind w:right="45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(dollars</w:t>
            </w:r>
          </w:p>
        </w:tc>
        <w:tc>
          <w:tcPr>
            <w:tcW w:w="200" w:type="dxa"/>
            <w:vAlign w:val="bottom"/>
          </w:tcPr>
          <w:p>
            <w:pPr>
              <w:jc w:val="right"/>
              <w:ind w:right="38"/>
              <w:spacing w:after="0"/>
              <w:rPr>
                <w:sz w:val="20"/>
                <w:szCs w:val="20"/>
                <w:color w:val="auto"/>
              </w:rPr>
            </w:pPr>
            <w:r>
              <w:rPr>
                <w:rFonts w:ascii="Arial" w:cs="Arial" w:eastAsia="Arial" w:hAnsi="Arial"/>
                <w:sz w:val="12"/>
                <w:szCs w:val="12"/>
                <w:b w:val="1"/>
                <w:bCs w:val="1"/>
                <w:color w:val="auto"/>
                <w:w w:val="74"/>
              </w:rPr>
              <w:t>in</w:t>
            </w:r>
          </w:p>
        </w:tc>
        <w:tc>
          <w:tcPr>
            <w:tcW w:w="9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thousands)</w:t>
            </w:r>
          </w:p>
        </w:tc>
        <w:tc>
          <w:tcPr>
            <w:tcW w:w="2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Segment Income (Loss) from Operations</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U.S. Marketplace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26,539</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29,836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9"/>
              <w:spacing w:after="0"/>
              <w:rPr>
                <w:sz w:val="20"/>
                <w:szCs w:val="20"/>
                <w:color w:val="auto"/>
              </w:rPr>
            </w:pPr>
            <w:r>
              <w:rPr>
                <w:rFonts w:ascii="Arial" w:cs="Arial" w:eastAsia="Arial" w:hAnsi="Arial"/>
                <w:sz w:val="18"/>
                <w:szCs w:val="18"/>
                <w:color w:val="auto"/>
              </w:rPr>
              <w:t>(3,297 )</w:t>
            </w:r>
          </w:p>
        </w:tc>
        <w:tc>
          <w:tcPr>
            <w:tcW w:w="40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Digital Wholesale</w:t>
            </w: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(11,225 )</w:t>
            </w:r>
          </w:p>
        </w:tc>
        <w:tc>
          <w:tcPr>
            <w:tcW w:w="3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78"/>
              <w:spacing w:after="0"/>
              <w:rPr>
                <w:sz w:val="20"/>
                <w:szCs w:val="20"/>
                <w:color w:val="auto"/>
              </w:rPr>
            </w:pPr>
            <w:r>
              <w:rPr>
                <w:rFonts w:ascii="Arial" w:cs="Arial" w:eastAsia="Arial" w:hAnsi="Arial"/>
                <w:sz w:val="18"/>
                <w:szCs w:val="18"/>
                <w:color w:val="auto"/>
              </w:rPr>
              <w:t>(2,111 )</w:t>
            </w:r>
          </w:p>
        </w:tc>
        <w:tc>
          <w:tcPr>
            <w:tcW w:w="1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(9,114 )</w:t>
            </w:r>
          </w:p>
        </w:tc>
        <w:tc>
          <w:tcPr>
            <w:tcW w:w="4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(432 )</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(1,255 )</w:t>
            </w:r>
          </w:p>
        </w:tc>
        <w:tc>
          <w:tcPr>
            <w:tcW w:w="320" w:type="dxa"/>
            <w:vAlign w:val="bottom"/>
          </w:tcPr>
          <w:p>
            <w:pPr>
              <w:spacing w:after="0"/>
              <w:rPr>
                <w:sz w:val="20"/>
                <w:szCs w:val="20"/>
                <w:color w:val="auto"/>
              </w:rPr>
            </w:pPr>
          </w:p>
        </w:tc>
        <w:tc>
          <w:tcPr>
            <w:tcW w:w="960" w:type="dxa"/>
            <w:vAlign w:val="bottom"/>
            <w:gridSpan w:val="2"/>
          </w:tcPr>
          <w:p>
            <w:pPr>
              <w:jc w:val="right"/>
              <w:ind w:right="78"/>
              <w:spacing w:after="0"/>
              <w:rPr>
                <w:sz w:val="20"/>
                <w:szCs w:val="20"/>
                <w:color w:val="auto"/>
              </w:rPr>
            </w:pPr>
            <w:r>
              <w:rPr>
                <w:rFonts w:ascii="Arial" w:cs="Arial" w:eastAsia="Arial" w:hAnsi="Arial"/>
                <w:sz w:val="18"/>
                <w:szCs w:val="18"/>
                <w:color w:val="auto"/>
              </w:rPr>
              <w:t>(1,066 )</w:t>
            </w:r>
          </w:p>
        </w:tc>
        <w:tc>
          <w:tcPr>
            <w:tcW w:w="160" w:type="dxa"/>
            <w:vAlign w:val="bottom"/>
          </w:tcPr>
          <w:p>
            <w:pPr>
              <w:spacing w:after="0"/>
              <w:rPr>
                <w:sz w:val="20"/>
                <w:szCs w:val="20"/>
                <w:color w:val="auto"/>
              </w:rPr>
            </w:pPr>
          </w:p>
        </w:tc>
        <w:tc>
          <w:tcPr>
            <w:tcW w:w="980" w:type="dxa"/>
            <w:vAlign w:val="bottom"/>
            <w:gridSpan w:val="2"/>
          </w:tcPr>
          <w:p>
            <w:pPr>
              <w:jc w:val="right"/>
              <w:ind w:right="39"/>
              <w:spacing w:after="0"/>
              <w:rPr>
                <w:sz w:val="20"/>
                <w:szCs w:val="20"/>
                <w:color w:val="auto"/>
              </w:rPr>
            </w:pPr>
            <w:r>
              <w:rPr>
                <w:rFonts w:ascii="Arial" w:cs="Arial" w:eastAsia="Arial" w:hAnsi="Arial"/>
                <w:sz w:val="18"/>
                <w:szCs w:val="18"/>
                <w:color w:val="auto"/>
              </w:rPr>
              <w:t>(189 )</w:t>
            </w:r>
          </w:p>
        </w:tc>
        <w:tc>
          <w:tcPr>
            <w:tcW w:w="4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14,059</w:t>
            </w:r>
          </w:p>
        </w:tc>
        <w:tc>
          <w:tcPr>
            <w:tcW w:w="24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26,659</w:t>
            </w: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(12,600</w:t>
            </w:r>
          </w:p>
        </w:tc>
        <w:tc>
          <w:tcPr>
            <w:tcW w:w="200" w:type="dxa"/>
            <w:vAlign w:val="bottom"/>
          </w:tcPr>
          <w:p>
            <w:pPr>
              <w:jc w:val="right"/>
              <w:ind w:right="3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Percentage of segment revenue:</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U.S. Marketplace</w:t>
            </w: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17 %</w:t>
            </w:r>
          </w:p>
        </w:tc>
        <w:tc>
          <w:tcPr>
            <w:tcW w:w="3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20 %</w:t>
            </w: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Digital Wholesale</w:t>
            </w:r>
          </w:p>
        </w:tc>
        <w:tc>
          <w:tcPr>
            <w:tcW w:w="2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(17 )</w:t>
            </w:r>
          </w:p>
        </w:tc>
        <w:tc>
          <w:tcPr>
            <w:tcW w:w="320" w:type="dxa"/>
            <w:vAlign w:val="bottom"/>
          </w:tcPr>
          <w:p>
            <w:pPr>
              <w:spacing w:after="0"/>
              <w:rPr>
                <w:sz w:val="20"/>
                <w:szCs w:val="20"/>
                <w:color w:val="auto"/>
              </w:rPr>
            </w:pPr>
          </w:p>
        </w:tc>
        <w:tc>
          <w:tcPr>
            <w:tcW w:w="960" w:type="dxa"/>
            <w:vAlign w:val="bottom"/>
            <w:gridSpan w:val="2"/>
          </w:tcPr>
          <w:p>
            <w:pPr>
              <w:jc w:val="right"/>
              <w:ind w:right="78"/>
              <w:spacing w:after="0"/>
              <w:rPr>
                <w:sz w:val="20"/>
                <w:szCs w:val="20"/>
                <w:color w:val="auto"/>
              </w:rPr>
            </w:pPr>
            <w:r>
              <w:rPr>
                <w:rFonts w:ascii="Arial" w:cs="Arial" w:eastAsia="Arial" w:hAnsi="Arial"/>
                <w:sz w:val="18"/>
                <w:szCs w:val="18"/>
                <w:color w:val="auto"/>
              </w:rPr>
              <w:t>(1 )</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(11 )</w:t>
            </w:r>
          </w:p>
        </w:tc>
        <w:tc>
          <w:tcPr>
            <w:tcW w:w="3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78"/>
              <w:spacing w:after="0"/>
              <w:rPr>
                <w:sz w:val="20"/>
                <w:szCs w:val="20"/>
                <w:color w:val="auto"/>
              </w:rPr>
            </w:pPr>
            <w:r>
              <w:rPr>
                <w:rFonts w:ascii="Arial" w:cs="Arial" w:eastAsia="Arial" w:hAnsi="Arial"/>
                <w:sz w:val="18"/>
                <w:szCs w:val="18"/>
                <w:color w:val="auto"/>
              </w:rPr>
              <w:t>(9 )</w:t>
            </w: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16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color w:val="auto"/>
                <w:highlight w:val="white"/>
              </w:rPr>
              <w:t>%</w:t>
            </w:r>
          </w:p>
        </w:tc>
        <w:tc>
          <w:tcPr>
            <w:tcW w:w="3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color w:val="auto"/>
                <w:highlight w:val="white"/>
              </w:rPr>
              <w:t>%</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-985520</wp:posOffset>
            </wp:positionV>
            <wp:extent cx="6412230" cy="3346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412230" cy="33464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U.S. Marketplace segment income from operations decreased $3.3 million, or 11%, in the three months ended March 31, 2023 compared to the three months ended March 31, 2022 and represented 17% of U.S. Marketplace segment revenue for the three months ended March 31, 2023 and 20% of U.S. Marketplace segment revenue for the three months ended March 31, 2022. The decrease was due to increases in revenue of $3.7 million, offset by increases in cost of revenue of $3.0 million and increases in operating expenses of $4.0 million.</w:t>
      </w:r>
    </w:p>
    <w:p>
      <w:pPr>
        <w:spacing w:after="0" w:line="17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Digital Wholesale segment loss from operations increased $9.1 million, or 432%, in the three months ended March 31, 2023 compared to the three months ended March 31, 2022 and represented 17% of Digital Wholesale segment revenue for the three months ended March 31, 2023 and 1% of Digital Wholesale segment revenue for the three months ended March 31, 2022. The increase in the loss was due to decreases in revenue of $202.5 million, offset by decreases in cost of revenue of $175.1 million and decreases in operating expenses of $18.3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Borrowing Capacity</w:t>
      </w:r>
    </w:p>
    <w:p>
      <w:pPr>
        <w:spacing w:after="0" w:line="22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As of March 31, 2023 and December 31, 2022, our principal sources of liquidity were cash and cash equivalents of $456.7 million and $469.5 million, respectively. As of March 31, 2023 our borrowing capacity under the 2022 Revolver (as defined below) was $399.3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three months ended March 31, 2023 and 2022, our cash flows from operating, investing, and financing activities, as reflected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Unaudited Condensed Consolidated Statements of Cash Flows,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5"/>
        </w:trPr>
        <w:tc>
          <w:tcPr>
            <w:tcW w:w="58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6"/>
        </w:trPr>
        <w:tc>
          <w:tcPr>
            <w:tcW w:w="580" w:type="dxa"/>
            <w:vAlign w:val="bottom"/>
          </w:tcPr>
          <w:p>
            <w:pPr>
              <w:spacing w:after="0"/>
              <w:rPr>
                <w:sz w:val="20"/>
                <w:szCs w:val="20"/>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19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66,345</w:t>
            </w:r>
          </w:p>
        </w:tc>
        <w:tc>
          <w:tcPr>
            <w:tcW w:w="26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93,060</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1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(5,887 )</w:t>
            </w: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26,264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19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(73,238 )</w:t>
            </w:r>
          </w:p>
        </w:tc>
        <w:tc>
          <w:tcPr>
            <w:tcW w:w="5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(36,894 )</w:t>
            </w: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Impact of foreign currency on cash</w:t>
            </w:r>
          </w:p>
        </w:tc>
        <w:tc>
          <w:tcPr>
            <w:tcW w:w="1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329</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(212 )</w:t>
            </w:r>
          </w:p>
        </w:tc>
        <w:tc>
          <w:tcPr>
            <w:tcW w:w="560" w:type="dxa"/>
            <w:vAlign w:val="bottom"/>
          </w:tcPr>
          <w:p>
            <w:pPr>
              <w:spacing w:after="0"/>
              <w:rPr>
                <w:sz w:val="20"/>
                <w:szCs w:val="20"/>
                <w:color w:val="auto"/>
              </w:rPr>
            </w:pPr>
          </w:p>
        </w:tc>
      </w:tr>
      <w:tr>
        <w:trPr>
          <w:trHeight w:val="276"/>
        </w:trPr>
        <w:tc>
          <w:tcPr>
            <w:tcW w:w="580" w:type="dxa"/>
            <w:vAlign w:val="bottom"/>
          </w:tcPr>
          <w:p>
            <w:pPr>
              <w:spacing w:after="0"/>
              <w:rPr>
                <w:sz w:val="24"/>
                <w:szCs w:val="24"/>
                <w:color w:val="auto"/>
              </w:rPr>
            </w:pPr>
          </w:p>
        </w:tc>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87"/>
              </w:rPr>
              <w:t>Net (decrease) increase in cash, cash equivalents, and restricted cash</w:t>
            </w:r>
          </w:p>
        </w:tc>
        <w:tc>
          <w:tcPr>
            <w:tcW w:w="19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(12,451</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82,218</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635"/>
        </w:trPr>
        <w:tc>
          <w:tcPr>
            <w:tcW w:w="5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980" w:type="dxa"/>
            <w:vAlign w:val="bottom"/>
          </w:tcPr>
          <w:p>
            <w:pPr>
              <w:jc w:val="right"/>
              <w:ind w:right="1690"/>
              <w:spacing w:after="0"/>
              <w:rPr>
                <w:sz w:val="20"/>
                <w:szCs w:val="20"/>
                <w:color w:val="auto"/>
              </w:rPr>
            </w:pPr>
            <w:r>
              <w:rPr>
                <w:rFonts w:ascii="Arial" w:cs="Arial" w:eastAsia="Arial" w:hAnsi="Arial"/>
                <w:sz w:val="18"/>
                <w:szCs w:val="18"/>
                <w:color w:val="auto"/>
                <w:w w:val="89"/>
              </w:rPr>
              <w:t>34</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94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-521970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-504825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-521970</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-504825</wp:posOffset>
            </wp:positionV>
            <wp:extent cx="603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jc w:val="both"/>
        <w:ind w:firstLine="509"/>
        <w:spacing w:after="0" w:line="277" w:lineRule="auto"/>
        <w:rPr>
          <w:sz w:val="20"/>
          <w:szCs w:val="20"/>
          <w:color w:val="auto"/>
        </w:rPr>
      </w:pPr>
      <w:r>
        <w:rPr>
          <w:rFonts w:ascii="Arial" w:cs="Arial" w:eastAsia="Arial" w:hAnsi="Arial"/>
          <w:sz w:val="18"/>
          <w:szCs w:val="18"/>
          <w:color w:val="auto"/>
        </w:rPr>
        <w:t>Our operations have been financed primarily from operating activities. During the three months ended March 31, 2023 and 2021, we generated cash from operating activities of $66.3 million and $93.1 million, respectively.</w:t>
      </w:r>
    </w:p>
    <w:p>
      <w:pPr>
        <w:spacing w:after="0" w:line="170"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We believe that our existing sources of liquidity, including access to our 2022 Revolver (as defined in below), will be sufficient to fund our operations for at least the next 12 months from the date of the filing of this Quarterly Report.</w:t>
      </w:r>
    </w:p>
    <w:p>
      <w:pPr>
        <w:spacing w:after="0" w:line="17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Our future capital requirements will depend on many factors, including, but not limited to: our revenue; expenses associated with our sales and marketing activities and the support of our product, technology, and development efforts; expenses associated with our facilities build-out under our 1001 Boylston Street lease, that do not qualify for landlord reimbursement; payments received in advance from a third-party transaction processor; activity under our Share Repurchase Program (as defined below); and our investments in international markets. In connection with the 1001 Boylston Street lease, we expect to spend approximately $69.8 million, net of tenant reimbursements. As of March 31, 2023, we have incurred $4.4 million in expenses and signed $3.6 million in contract commitments, which have not yet been incurred.</w:t>
      </w:r>
    </w:p>
    <w:p>
      <w:pPr>
        <w:spacing w:after="0" w:line="178"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Our long-term future capital requirements will depend on many factors, including the future cash requirements described above, as well as the potential exercise of a call right to acquire all, and not less than all, of the remaining equity interests in CarOffer and the representative of the holders of the remaining equity will have a put right to sell to us, all, and not less than all, of the remaining equity interests of CarOffer. Details of this acquisition are more fully described in Note 2 to our consolidated financial statements contained within our Annual Report. Cash from operations could also be affected by various risks and uncertainties, including, but not limited to, macroeconomic effects and other risks detailed in the “Risk Factors” section of this Quarterly Report.</w:t>
      </w:r>
    </w:p>
    <w:p>
      <w:pPr>
        <w:spacing w:after="0" w:line="19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On September 26, 2022, we entered into a Credit Agreement with PNC Bank, National Association, as administrative agent and collateral agent and an L/C Issuer (as defined in the Credit Agreement), and the other lenders, L/C Issuers and parties thereto from time to time, or the Credit Agreement. The Credit Agreement consists of a revolving credit facility, or the 2022 Revolver, which allows us to borrow up to $400.0 million, $50.0 million of which may be comprised of a letter of credit sub-facility. The borrowing capacity under the Credit Agreement may be increased in accordance with the terms and subject to the adjustments as set forth in the Credit Agreement. For example, the borrowing capacity may be increased by an amount up to the greater of $250.0 million or 100% of Four Quarter Consolidated EBITDA (as defined in the Credit Agreement) if certain criteria are met and subject to certain restrictions. Any such increase requires lender approval. Proceeds of any borrowings may be used for general corporate purposes. The 2022 Revolver is scheduled to mature on September 26, 2027. As of March 31, 2023, there were no borrowings and $0.7 million in letters of credit which reduces the borrowing capacity under the 2022 Revolver to $399.3 million. As of December 31, 2022, there were no borrowings and no letters of credit outstanding under the 2022 Revolver.</w:t>
      </w:r>
    </w:p>
    <w:p>
      <w:pPr>
        <w:spacing w:after="0" w:line="185"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On December 8, 2022, we announced that our Board of Directors authorized a new share repurchase program, or the Share Repurchase Program, pursuant to which we may, from time to time, purchase shares of our Class A common stock for an aggregate purchase price not to exceed $250 million. Share repurchases under the Share Repurchase Program may be made through a variety of methods, including but not limited to open market purchases, privately negotiated transactions and transactions that may be effected pursuant to one or more plans under Rule 10b5-1 and/or Rule 10b-18 of the Securities Exchange Act of 1934, or the Exchange Act. The Share Repurchase Program does not obligate us to repurchase any minimum dollar amount or number of shares. The Share Repurchase Program has an expiration date of December 31, 2023, and prior to its expiration may be modified, suspended, or discontinued by our Board of Directors at any time without prior notice. All repurchased shares under the Share Repurchase Program will be retired. We expect to fund share repurchases through cash on hand and cash generated from operations. During the three months ended March 31, 2023, we repurchased and retired 3,989,861 shares for $65.2 million, at an average cost of $16.33 per share under this authorization. As of March 31, 2023, we had remaining authorization to purchase up to $166.2 million of our Class A common stock under the Share Repurchase Program.</w:t>
      </w:r>
    </w:p>
    <w:p>
      <w:pPr>
        <w:spacing w:after="0" w:line="168"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To the extent that existing cash, cash equivalents, and our borrowing capacity under the 2022 Revolver are insufficient to fund our future activities, we may need to raise additional funds through a public or private equity or debt financing. Additional funds may not be available on terms favorable to us, or at all. See “</w:t>
      </w:r>
      <w:r>
        <w:rPr>
          <w:rFonts w:ascii="Arial" w:cs="Arial" w:eastAsia="Arial" w:hAnsi="Arial"/>
          <w:sz w:val="17"/>
          <w:szCs w:val="17"/>
          <w:i w:val="1"/>
          <w:iCs w:val="1"/>
          <w:color w:val="auto"/>
        </w:rPr>
        <w:t>Risk Factors—Risks Related to Our Business and Industry— We may require additional capital to pursue our business objectives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respond to business opportunities, challenges, or unforeseen circumstances. If we are unable to generate sufficient cash flows or if capital is not available to us, our business, operating results, financial condition, and prospects could be adversely affected.”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Cash provided by operating activities of $66.3 million during the three months ended March 31, 2023 was due primarily to consolidated net income of $11.9 million, adjusted for $14.9 million of stock-based compensation expense for equity classified awards, $11.6 million of depreciation and amortization, $2.7 million of amortization of deferred contract costs, partially offset by $11.9 million of deferred taxes. Cash provided by operating activities was also attributable to a $10.3 million increase in accounts payable, an $8.6 million increase in deferred revenue, a $6.9 million decrease in accounts receivable, a $4.7 million decrease in prepaid expenses, prepaid income taxes, and other assets, a $4.5 million increase in accrued expenses, accrued income taxes, and other liabilities, a $4.5 million increase in lease obligations, and a $3.6 million decrease in inventory. The increases in cash flow from operations were partially offset by a $5.1 million increase in deferred contract costs.</w:t>
      </w:r>
    </w:p>
    <w:p>
      <w:pPr>
        <w:spacing w:after="0" w:line="17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Cash provided by operating activities of $93.1 million during the three months ended March 31, 2022 was due primarily to consolidated net income of $18.8 million, adjusted for $14.1 million of stock-based compensation expense for equity classified awards $11.2 million of depreciation and amortization, $2.8 million of amortization of deferred contract costs, and $0.2 million of provision for doubtful accounts, partially offset by $13.1 million of deferred taxes. Cash provided by operating activities was also attributable to a $40.0 million decrease in accounts receivable, net and a $30.1 million increase in accrued expenses, accrued income taxes, and other liabilities. The increases in cash flow from operations were partially offset by a $4.1 million decrease in accounts payable, a $3.0 million increase in deferred contract costs, a $2.1 million increase in prepaid expenses, prepaid income taxes, and other assets, a $1.3 million increase in inventory, and a $0.6 million decrease in lease obligations.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Cash used in investing activities of $5.9 million during the three months ended March 31, 2023 was due to $3.5 million of capitalization of website development costs, and $2.4 million of purchases of property and equipment.</w:t>
      </w:r>
    </w:p>
    <w:p>
      <w:pPr>
        <w:spacing w:after="0" w:line="170"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Cash used in investing activities of $26.3 million during the three months ended March 31, 2022 was due to $30.0 million in maturities of certificates of deposit, offset by $2.5 million of capitalization of website development costs and $1.2 million of purchases of property and equipment.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right="20" w:firstLine="509"/>
        <w:spacing w:after="0" w:line="286" w:lineRule="auto"/>
        <w:rPr>
          <w:sz w:val="20"/>
          <w:szCs w:val="20"/>
          <w:color w:val="auto"/>
        </w:rPr>
      </w:pPr>
      <w:r>
        <w:rPr>
          <w:rFonts w:ascii="Arial" w:cs="Arial" w:eastAsia="Arial" w:hAnsi="Arial"/>
          <w:sz w:val="17"/>
          <w:szCs w:val="17"/>
          <w:color w:val="auto"/>
        </w:rPr>
        <w:t>Cash used in financing activities of $73.2 million during the three months ended March 31, 2023 was due primarily to $69.0 million of payment for the repurchase of our Class A common stock under the Share Repurchase Program, a $2.1 million change in gross advance payments received from third party transaction processor, and $2.1 million of payment of withholding taxes on net share settlements of restricted stock units.</w:t>
      </w:r>
    </w:p>
    <w:p>
      <w:pPr>
        <w:spacing w:after="0" w:line="16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Cash used in financing activities of $36.9 million during the three months ended March 31, 2022 was due primarily to $23.6 million change in gross advance payments received from third party transaction processor, $8.5 million of payment of tax distributions to redeemable noncontrolling interest holders, and $5.4 million of payment of withholding taxes on net share settlements of restricted stock units, offset in part by $0.7 million of proceeds from the issuance of common stock related to the exercise of vested stock options.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Known Future Cash Requirements</w:t>
      </w:r>
    </w:p>
    <w:p>
      <w:pPr>
        <w:spacing w:after="0" w:line="22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As of March 31, 2023, there were no material changes in our contractual obligations and commitments from those disclosed in our Annual Report, other than those appearing in the notes to the Unaudited Condensed Consolidated Financial Statements appearing elsewhere in this Quarterly Report, which are hereby incorporated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Across the retail automotive industry, consumer purchases are typically greatest in the first three quarters of each year, due in part to the introduction of new vehicle models from manufacturers and the seasonal nature of consumer spending. Additionally, the volume of wholesale vehicle sales can fluctuate from quarter to quarter caused by several factors, including the timing of used vehicles available for sale from selling customers, the seasonality of the retail market for used vehicles and/or inventory challenges in the automotive industry, which affect the demand side of the wholesale industry.</w:t>
      </w:r>
    </w:p>
    <w:p>
      <w:pPr>
        <w:spacing w:after="0" w:line="15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Macroeconomic conditions, such as slower growth or recession, higher interest rates, high unemployment, consumer confidence in the economy, consumer debt levels, the ongoing military conflict between Russia and Ukraine, foreign currency exchange rate fluctuations and other matters that influence consumer spending and preferences, can also impact the volume of wholesale vehicle sales, as was evidenced by the global semiconductor chip shortage.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jc w:val="both"/>
        <w:ind w:firstLine="509"/>
        <w:spacing w:after="0" w:line="259" w:lineRule="auto"/>
        <w:rPr>
          <w:sz w:val="20"/>
          <w:szCs w:val="20"/>
          <w:color w:val="auto"/>
        </w:rPr>
      </w:pPr>
      <w:r>
        <w:rPr>
          <w:rFonts w:ascii="Arial" w:cs="Arial" w:eastAsia="Arial" w:hAnsi="Arial"/>
          <w:sz w:val="18"/>
          <w:szCs w:val="18"/>
          <w:color w:val="auto"/>
        </w:rPr>
        <w:t>The Digital Wholesale segment operating results have reflected the general seasonality of the wholesale vehicle sales market and macroeconomic conditions of the automotive industry. The U.S. Marketplace segment operating results have reflected the macroeconomic conditions of the automotive industry. However, to date, the U.S. Marketplace segment operating results have not been materially impacted by the general seasonality of the automotive industry. This could possibly change as our business and markets develop.</w:t>
      </w:r>
    </w:p>
    <w:p>
      <w:pPr>
        <w:spacing w:after="0" w:line="18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As a result, revenue and cost of revenue related to volume will fluctuate accordingly on a quarterly basis. Typical seasonality trends may not be observed in periods where other external factors more significantly impact the wholesale industry.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As of March 31, 2023 and December 31, 2022, we did not have any off-balance sheet arrangements, or material leases that are less than twelve months in duration, that have or are reasonably likely to have a current or future material effect on our financial condition, changes in financial condition, revenues or expenses, results of operations, liquidity, capital expenditures, or capital resources.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preparation of the Unaudited Condensed Consolidated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revenue and expenses during the reporting period.</w:t>
      </w:r>
    </w:p>
    <w:p>
      <w:pPr>
        <w:spacing w:after="0" w:line="18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Although we regularly assess these estimates, actual results could differ materially from these estimates. We base our estimates on historical experience and various other assumptions that we believe to be reasonable under the circumstances. Actual results may differ from managements' estimates if these results differ from historical experience, or other assumptions do not turn out to be substantially accurate, even if such assumptions are reasonable when made. Changes in estimates are recognized in the period in which they become known.</w:t>
      </w:r>
    </w:p>
    <w:p>
      <w:pPr>
        <w:spacing w:after="0" w:line="18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Critical estimates relied upon in preparing the Unaudited Condensed Consolidated Financial Statements include the determination of sales allowance and variable consideration in our revenue recognition, allowance for doubtful accounts, the impairment of long-lived assets, the capitalization of product, technology, and development costs for website development, internal-use software and hosting arrangements, the valuation of acquired assets and liabilities, the valuation and recoverability of intangible assets and goodwill, the valuation of redeemable noncontrolling interest, the recoverability of our net deferred tax assets and related valuation allowance, the valuation of inventory, and the valuation of equity and liability-classified compensation awards. Accordingly, we consider these to be our critical accounting estimates and believe that of our significant accounting policies, these involve the greatest degree of judgment and complexity.</w:t>
      </w:r>
    </w:p>
    <w:p>
      <w:pPr>
        <w:spacing w:after="0" w:line="19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For a detailed explanation of the judgments made in these areas, refer to Note 2 to our Unaudited Condensed Consolidated Financial Statements appearing elsewhere in this Quarterly Report and “Management’s Discussion and Analysis of Financial Condition and Results of Operations” in our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Information concerning recently issued accounting pronouncements may be found in Note 2 to our Unaudited Condensed Consolidated Financial Statements appearing elsewhere in this Quarterly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Market risk represents the risk of loss that may affect our financial position due to adverse changes in financial market prices and rates. We are exposed to market risks as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As of March 31, 2023, our exposure to market risk associated with changes in interest rates relates primarily to our 2022 Revolver, which allows us to borrow up to $400.0 million. The applicable interest rate is, at our option, based on a number of different benchmark rates and applicable spreads, as determined by the Consolidated Secured Net Leverage Ratio (as defined in Note 7 to the Unaudited Condensed Consolidated Financial Statements included elsewhere in this Quarterly Report). A fluctuation in interest rates does not have an impact on interest expense unless the 2022 Revolver is drawn upon. Such impact would also be dependent on the amount of the draw. As of March 31, 2023, there were no borrowings and $0.7 million in letters of credit which reduces the borrowing capacity under the 2022 Revolver to $399.3 million.</w:t>
      </w:r>
    </w:p>
    <w:p>
      <w:pPr>
        <w:spacing w:after="0" w:line="17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As of March 31, 2023 and December 31, 2022, we had cash and cash equivalents of $456.7 and $469.5 million, respectively, which consisted of bank deposits, money market accounts and money market funds.</w:t>
      </w:r>
    </w:p>
    <w:p>
      <w:pPr>
        <w:spacing w:after="0" w:line="19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Such interest-earning instruments carry a degree of interest rate risk. Given recent changes in the interest rate environment and in an effort to ensure liquidity, we expect variable returns from our cash equivalents for the foreseeable future. To date, fluctuations resulting from changes in the interest rate environment in interest income have not been material to the operations of the business.</w:t>
      </w:r>
    </w:p>
    <w:p>
      <w:pPr>
        <w:spacing w:after="0" w:line="18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do not enter into investments for trading or speculative purposes and have not used any derivative financial instruments to manage our interest rate risk exposure.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22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to date. However, if our costs were to become subject to significant inflationary pressures, we may not be able to fully offset such higher costs through price increases. Our inability or failure to do so could harm our business, operating results,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Historically, because our operations and sales have been primarily in the United States, we have not faced any significant foreign currency risk. As of March 31, 2023 and December 31, 2022, we had foreign currency exposures in the British pound, the Euro and the Canadian dollar, although such exposure was immaterial.</w:t>
      </w:r>
    </w:p>
    <w:p>
      <w:pPr>
        <w:spacing w:after="0" w:line="184" w:lineRule="exact"/>
        <w:rPr>
          <w:sz w:val="20"/>
          <w:szCs w:val="20"/>
          <w:color w:val="auto"/>
        </w:rPr>
      </w:pPr>
    </w:p>
    <w:p>
      <w:pPr>
        <w:jc w:val="both"/>
        <w:ind w:firstLine="509"/>
        <w:spacing w:after="0" w:line="220" w:lineRule="exact"/>
        <w:rPr>
          <w:sz w:val="20"/>
          <w:szCs w:val="20"/>
          <w:color w:val="auto"/>
        </w:rPr>
      </w:pPr>
      <w:r>
        <w:rPr>
          <w:rFonts w:ascii="Arial" w:cs="Arial" w:eastAsia="Arial" w:hAnsi="Arial"/>
          <w:sz w:val="17"/>
          <w:szCs w:val="17"/>
          <w:color w:val="auto"/>
        </w:rPr>
        <w:t>Our foreign subsidiaries have intercompany transactions that are eliminated upon consolidation, and these transactions expose us to foreign currency exchange rate fluctuations. Exchange rate fluctuations on short</w:t>
      </w:r>
      <w:r>
        <w:rPr>
          <w:rFonts w:ascii="MS PGothic" w:cs="MS PGothic" w:eastAsia="MS PGothic" w:hAnsi="MS PGothic"/>
          <w:sz w:val="17"/>
          <w:szCs w:val="17"/>
          <w:color w:val="auto"/>
        </w:rPr>
        <w:t>‑</w:t>
      </w:r>
      <w:r>
        <w:rPr>
          <w:rFonts w:ascii="Arial" w:cs="Arial" w:eastAsia="Arial" w:hAnsi="Arial"/>
          <w:sz w:val="17"/>
          <w:szCs w:val="17"/>
          <w:color w:val="auto"/>
        </w:rPr>
        <w:t>term intercompany transactions are recognized within other income (expense), net in our Unaudited Condensed Consolidated Income Statements. Exchange rate fluctuations on long-term intercompany transactions are recognized within accumulated other comprehensive (loss) income in our Unaudited Condensed Consolidated Balance Sheets.</w:t>
      </w:r>
    </w:p>
    <w:p>
      <w:pPr>
        <w:spacing w:after="0" w:line="20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As we seek to grow our international operations in Canada and the United Kingdom, our risks associated with fluctuation in currency rates may become greater, and we will continue to reassess our approach to managing these risks.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or the Exchange Act), as of the end of the period covered by this Quarterly Report.</w:t>
      </w:r>
    </w:p>
    <w:p>
      <w:pPr>
        <w:spacing w:after="0" w:line="184"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9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184"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As described below, based on the evaluation of our disclosure controls and procedures as of the end of the period covered by this Quarterly Report, management identified a material weakness in our internal control over financial reporting. As a result of the material weakness, our Principal Executive Officer has concluded that, as of such date, our disclosure controls and procedures were not effective to provide reasonable assurance that information required to be disclosed in the reports we file and submit under the Exchange Act is recorded, processed, summarized, and reported as and when required.</w:t>
      </w:r>
    </w:p>
    <w:p>
      <w:pPr>
        <w:spacing w:after="0" w:line="15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Notwithstanding this material weakness noted above, our management, including our Principal Executive Officer, has concluded that our financial statements included in this Quarterly Report present fairly, in all material respects, our financial position, results of operations, and cash flows for the periods presented in accordance with accounting principles generally accepted in the United States of America.</w:t>
      </w:r>
    </w:p>
    <w:p>
      <w:pPr>
        <w:spacing w:after="0" w:line="184" w:lineRule="exact"/>
        <w:rPr>
          <w:sz w:val="20"/>
          <w:szCs w:val="20"/>
          <w:color w:val="auto"/>
        </w:rPr>
      </w:pPr>
    </w:p>
    <w:p>
      <w:pPr>
        <w:jc w:val="both"/>
        <w:ind w:right="20" w:firstLine="509"/>
        <w:spacing w:after="0" w:line="342"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2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control deficiencies which, in the aggregate, were assessed as a material weakness as disclosed in our December 31, 2022 Annual Report, filed on Form 10-K, have not yet been fully remediated.</w:t>
      </w:r>
    </w:p>
    <w:p>
      <w:pPr>
        <w:spacing w:after="0" w:line="170"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We have concluded that this material weakness exists at our CarOffer subsidiary, as CarOffer does not have the necessary business and IT processes, personnel, and related internal controls to operate in a manner to satisfy the accounting and financial reporting requirements of a public company.</w:t>
      </w:r>
    </w:p>
    <w:p>
      <w:pPr>
        <w:spacing w:after="0" w:line="124"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The deficiencies at our CarOffer subsidiary were the result of both design and operating deficiencies related to certain controls over information technology systems that are relevant to the preparation of our financial statements, and business controls over our financial statement close processes. The deficiencies were primarily the result of (i) insufficient evidence of management review and performance of control procedures, (ii) the inability to rely on information produced from IT systems and an absence of compensating procedures, (iii) controls not designed to require proper authorization of certain transactions, and (iv) controls not designed or operating effectively related to logical access and change management of IT systems.</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Specifically, we did not have sufficient knowledgeable personnel or processes in place which resulted in:</w:t>
      </w:r>
    </w:p>
    <w:p>
      <w:pPr>
        <w:spacing w:after="0" w:line="225" w:lineRule="exact"/>
        <w:rPr>
          <w:sz w:val="20"/>
          <w:szCs w:val="20"/>
          <w:color w:val="auto"/>
        </w:rPr>
      </w:pPr>
    </w:p>
    <w:p>
      <w:pPr>
        <w:ind w:left="1020" w:hanging="503"/>
        <w:spacing w:after="0" w:line="308"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Ineffective controls related to user access reviews designed to adequately restrict privileged and end-user access to certain financial applications, programs, and data to appropriate company personnel, including consideration to segregation of incompatible duties;</w:t>
      </w:r>
    </w:p>
    <w:p>
      <w:pPr>
        <w:spacing w:after="0" w:line="146" w:lineRule="exact"/>
        <w:rPr>
          <w:rFonts w:ascii="Arial" w:cs="Arial" w:eastAsia="Arial" w:hAnsi="Arial"/>
          <w:sz w:val="17"/>
          <w:szCs w:val="17"/>
          <w:color w:val="auto"/>
        </w:rPr>
      </w:pPr>
    </w:p>
    <w:p>
      <w:pPr>
        <w:ind w:left="1020" w:hanging="503"/>
        <w:spacing w:after="0" w:line="308"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Ineffective change management review controls for certain financial applications to ensure that IT program and data changes affecting financial IT applications and underlying accounting records are identified, tested, authorized and implemented appropriately; and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3" w:name="page44"/>
    <w:bookmarkEnd w:id="43"/>
    <w:p>
      <w:pPr>
        <w:ind w:left="1020" w:right="2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Ineffective controls over the financial statement close processes, including those related to the review of CarOffer journal entries, reconciliations, management review controls, and analyses of transactions and accounts.</w:t>
      </w:r>
    </w:p>
    <w:p>
      <w:pPr>
        <w:spacing w:after="0" w:line="170"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This material weakness did not result in a known material misstatement to our financial statements. However, the material weakness could have resulted in material misstatements in our interim or annual financial statements and disclosures which then may not have been prevented or detected. The material weakness also impacts the effectiveness of segregation of duties, the effectiveness of financial controls which rely on information from relevant financial systems and increases the reliance on corporate accounting personnel to identify errors at the CarOffer subsidiary level.</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Remediation Plan</w:t>
      </w:r>
    </w:p>
    <w:p>
      <w:pPr>
        <w:spacing w:after="0" w:line="225"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and our board of directors are committed to maintaining a strong internal control environment. Management, with the oversight of the audit committee of our board of directors, evaluated the material weakness identified during the second quarter of 2022, and implemented a remediation plan to address the material weakness and enhance our control environment. Management subsequently evaluated the additional control deficiencies, status of remediation, and the material weakness which exists as of March 31, 2023, to determine key remediation activities. The remediation plan addresses the additional deficiencies identified through the annual assessment of the effectiveness of our internal control over financial reporting. Our remediation measures are ongoing and include the following:</w:t>
      </w:r>
    </w:p>
    <w:p>
      <w:pPr>
        <w:spacing w:after="0" w:line="192" w:lineRule="exact"/>
        <w:rPr>
          <w:sz w:val="20"/>
          <w:szCs w:val="20"/>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Implementing robust review controls over user access and change management for relevant financial systems;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Implementing effective review of journal entries and account reconciliations, and other financial statement close analyses and processes;</w:t>
      </w:r>
    </w:p>
    <w:p>
      <w:pPr>
        <w:spacing w:after="0" w:line="248" w:lineRule="exact"/>
        <w:rPr>
          <w:rFonts w:ascii="Arial" w:cs="Arial" w:eastAsia="Arial" w:hAnsi="Arial"/>
          <w:sz w:val="16"/>
          <w:szCs w:val="16"/>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Implementing controls to address the inability to rely on information from the IT systems;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Enhancing evidence retained which supports the operating effectiveness of controls;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Engaging internal and external resources to assist with remediation;</w:t>
      </w:r>
    </w:p>
    <w:p>
      <w:pPr>
        <w:spacing w:after="0" w:line="225" w:lineRule="exact"/>
        <w:rPr>
          <w:rFonts w:ascii="Arial" w:cs="Arial" w:eastAsia="Arial" w:hAnsi="Arial"/>
          <w:sz w:val="18"/>
          <w:szCs w:val="18"/>
          <w:color w:val="auto"/>
        </w:rPr>
      </w:pPr>
    </w:p>
    <w:p>
      <w:pPr>
        <w:ind w:left="1020" w:right="38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Implementation of controls at the corporate level to reduce the risk of material misstatement related to CarOffer financial statements and disclosures;</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Hiring additional qualified SOX-focused personnel to provide additional capacity and expertise to enhance our IT control environment; and</w:t>
      </w:r>
    </w:p>
    <w:p>
      <w:pPr>
        <w:spacing w:after="0" w:line="248" w:lineRule="exact"/>
        <w:rPr>
          <w:rFonts w:ascii="Arial" w:cs="Arial" w:eastAsia="Arial" w:hAnsi="Arial"/>
          <w:sz w:val="16"/>
          <w:szCs w:val="16"/>
          <w:color w:val="auto"/>
        </w:rPr>
      </w:pPr>
    </w:p>
    <w:p>
      <w:pPr>
        <w:ind w:left="1020" w:right="54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Leveraging CarGurus resources with significant public company experience to provide oversight of CarOffer IT and financial controls programs.</w:t>
      </w:r>
    </w:p>
    <w:p>
      <w:pPr>
        <w:spacing w:after="0" w:line="170"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Management is committed to successfully implementing the remediation plan as promptly as possible. The material weakness will not be considered remediated until our management implements effective controls that operate for a sufficient period of time and our management has concluded through testing that these controls are effective. The elements of our remediation plan can only be accomplished over time, and we can offer no assurance that these initiatives will ultimately have the intended effects. See “</w:t>
      </w:r>
      <w:r>
        <w:rPr>
          <w:rFonts w:ascii="Arial" w:cs="Arial" w:eastAsia="Arial" w:hAnsi="Arial"/>
          <w:sz w:val="16"/>
          <w:szCs w:val="16"/>
          <w:i w:val="1"/>
          <w:iCs w:val="1"/>
          <w:color w:val="auto"/>
        </w:rPr>
        <w:t>Risk Factors—Risks Related to Our Business and Industry— We have identified a material</w:t>
      </w:r>
      <w:r>
        <w:rPr>
          <w:rFonts w:ascii="Arial" w:cs="Arial" w:eastAsia="Arial" w:hAnsi="Arial"/>
          <w:sz w:val="16"/>
          <w:szCs w:val="16"/>
          <w:color w:val="auto"/>
        </w:rPr>
        <w:t xml:space="preserve"> </w:t>
      </w:r>
      <w:r>
        <w:rPr>
          <w:rFonts w:ascii="Arial" w:cs="Arial" w:eastAsia="Arial" w:hAnsi="Arial"/>
          <w:sz w:val="16"/>
          <w:szCs w:val="16"/>
          <w:i w:val="1"/>
          <w:iCs w:val="1"/>
          <w:color w:val="auto"/>
        </w:rPr>
        <w:t>weakness in our internal control over financial reporting. If we are unable to remediate this material weakness, we may not be able to accurately or timely report our financial condition or results of operations, which may adversely affect our business and the market price of our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period covered by this Quarterly Report that has materially affected, or is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presently subject to any pending or threatened litigation that we believe, if determined adversely to us, would individually, or taken together, reasonably be expected to have a material adverse effect on our business or financial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and uncertainties described below, together with all of the other information contained in this Quarterly Report, including “Management’s Discussion and Analysis of Financial Condition and Results of Operations” and our Unaudited Consolidated Financial Statements and the related notes thereto appearing elsewhere in this Quarterly Report, before evaluating our business. Our business, financial condition, operating results, cash flow, and prospects could be materially and adversely affected by any of these risks or uncertainties. In that event, the trading price of our Class A common stock could decline. See “Special Note Regarding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business is substantially dependent on our relationships with dealers. If a significant number of dealers terminate their subscription agreements with us, and/or dealer closures or consolidations occur that reduce demand for our products, our business and financial results would be materially and adversely affected.</w:t>
      </w:r>
    </w:p>
    <w:p>
      <w:pPr>
        <w:spacing w:after="0" w:line="7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A significant source of our revenue consists of subscription fees paid to us by dealers for access to enhanced features on our automotive marketplaces. Our subscription agreements with dealers generally may be terminated by us with 30 days’ notice and by dealers with 30 days’ notice prior to the commencement of the applicable renewal term. The majority of our contracts with dealers currently provide for one-month committed terms and do not contain contractual obligations requiring a dealer to maintain its relationship with us beyond the committed term. A dealer may be influenced by several factors to cancel its subscription with us, including national and regional dealership associations, national and local regulators, automotive manufacturers, consumer groups, and consolidated dealer groups. If any of these influential groups indicate that dealers should not enter into or maintain subscription agreements with us, dealers could share this belief and we may lose a number of our paying dealers. If a significant number of our paying dealers terminate their subscriptions with us, our business and financial results would be materially and adversely affected.</w:t>
      </w:r>
    </w:p>
    <w:p>
      <w:pPr>
        <w:spacing w:after="0" w:line="7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Additionally, in the past, the number of United States dealers has declined due to dealership closures and consolidations as a result of industry dynamics and macroeconomic issues. When dealers consolidate, the services they previously purchased separately are often purchased by the combined entity in a lesser quantity or for a lower aggregate price than before, leading to volume compression and loss of revenue. Further dealership consolidations or closures could reduce the aggregate demand for our products and services. If dealership closures and consolidations occur in the future, our business and financial results could be materially and adversely affected.</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or increase the number of dealers that pay subscription fees to us, or fail to maintain or increase the fees paid to us for subscriptions, our business and financial results would be materially and adversely affected.</w:t>
      </w:r>
    </w:p>
    <w:p>
      <w:pPr>
        <w:spacing w:after="0" w:line="62"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If paying dealers do not receive the volume of consumer connections that they expect during their subscription period, do not experience the level of car sales they expect from those connections, or fail to attribute consumer connections or sales to our platform, they may terminate their subscriptions prior to the commencement of the applicable renewal term. If we fail to maintain or expand our base of paying dealers or fail to maintain or increase the level of fees that we receive from them, our business and financial results would be materially and adversely affected.</w:t>
      </w:r>
    </w:p>
    <w:p>
      <w:pPr>
        <w:spacing w:after="0" w:line="63"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allow dealers to list their inventory in CarGurus' marketplaces for free; however, we impose certain limitations on such free listings. In the future, we may decide to impose additional restrictions on Restricted Listings or modify the services available to non-paying dealers. These changes to our Restricted Listings product may result in less inventory being displayed to consumers, which may impair our efforts to attract consumers, and cause paying and non-paying dealers to receive fewer leads and connections, which may make it more difficult for us to convert non-paying dealers to paying dealers or maintain or expand our base of paying dealers. If dealers do not subscribe to our paid offerings at the rates we expect, our business and financial results would be materially and adversely affected.</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risks related to the larger automotive industry ecosystem, which could have a material adverse effect on our business, revenue, results of operations, and financial condition.</w:t>
      </w:r>
    </w:p>
    <w:p>
      <w:pPr>
        <w:spacing w:after="0" w:line="6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Decreases in consumer demand could adversely affect the market for automobile purchases and, as a result, reduce the number of consumers using our platform. Consumer purchases of new and used automobiles generally decline during recessionary periods and other periods in which disposable income is adversely affected. Purchases of new and used automobiles are typically discretionary for consumers and have been, and may continue to be, affected by negative trends in the economy, including: the ongoing effects of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color w:val="auto"/>
        </w:rPr>
        <w:t>COVID-19 pandemic, the cost of energy and gasoline; the availability and cost of credit; increased interest rates; reductions in business and consumer confidence; stock market volatility; and increased unemployment.</w:t>
      </w:r>
    </w:p>
    <w:p>
      <w:pPr>
        <w:spacing w:after="0" w:line="6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Further, in recent years the market for motor vehicles has experienced rapid changes in technology and consumer demands. Self-driving technology, ride sharing, transportation networks, and other fundamental changes in transportation could impact consumer demand for the purchase of automobiles. A reduction in the number of automobiles purchased by consumers could adversely affect dealers and car manufacturers and lead to a reduction in other spending by these groups, including targeted incentive programs.</w:t>
      </w:r>
    </w:p>
    <w:p>
      <w:pPr>
        <w:spacing w:after="0" w:line="79"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In addition, our business has been and may continue to be negatively affected by challenges to the larger automotive industry ecosystem, including global supply chain challenges, the effects of the global semiconductor chip shortage, changes to trade policies, including tariff rates and customs duties, trade relations between the United States and China and other macroeconomic issues, including the ongoing effects of the COVID-19 pandemic and increased interest rates. Increasing global inflation rates have spurred a cycle of monetary policy tightening, including through central bank increases to key short-term lending rates. Both the availability and cost of credit are factors affecting consumer confidence, which is a critical driver of vehicle sales for our consumers and dealers. Additionally, vehicle affordability for our consumers is becoming more challenging due to a combination of factors, including elevated vehicle pricing resulting from inflationary cost increases and vehicle production constraints, and rising vehicle finance costs due to increased interest rates. These factors could have a material adverse effect on our business, revenue, results of operations, and financial condition.</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the CarOffer business and/or our combined offerings do not continue to grow, our revenue and business would be significantly harmed.</w:t>
      </w:r>
    </w:p>
    <w:p>
      <w:pPr>
        <w:spacing w:after="0" w:line="129"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A significant amount of our revenue is now derived from the wholesale sale of automobiles and IMCO. Continued achievement of our transaction synergies and our ability to continue to grow the CarOffer business and the revenue associated with it depends on a number of factors, including, but not limited to, our ability to continue to: expand the number of dealers engaging on the CarOffer platform; retain existing customers and increase the share of wholesale transactions which they complete on the CarOffer platform; attract prospective customers who have historically purchased or sold vehicles through physical auctions and may choose not to transact online; and successfully compete with competitors, including other online vehicle auction companies and large, national offline vehicle auction companies that are expanding into the online channel and have launched online auctions in connection with their physical auctions. Additionally, our ability to continue to grow IMCO and the revenue associated with it also depends on a number of factors, including, but not limited to, our ability to continue to: effectively scale and market IMCO; attract prospective consumers to sell their vehicles online through IMCO; and successfully compete with competitors, including online dealerships. If our anticipated transaction synergies do not fully materialize, or the CarOffer business and/or IMCO fail to continue to grow at the rate we expect, our revenue and business would be significantly harmed.</w:t>
      </w:r>
    </w:p>
    <w:p>
      <w:pPr>
        <w:spacing w:after="0" w:line="60"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Industry conditions such as a significant change in retail vehicle prices or a decline in the used vehicle inventory supply coming to the wholesale market could also adversely impact CarOffer’s business and growth. For example, if retail prices for used vehicles rise relative to retail prices for new vehicles, it could make buying a new vehicle more attractive to consumers than buying a used vehicle, which could result in reduced used vehicle wholesale sales on the CarOffer platform. Used vehicle dealers may also decide to retail more of their vehicles on their own, which could adversely impact the volume of vehicles offered for sale on the CarOffer platform. We also face inventory risk in connection with vehicles acquired by CarOffer via arbitration, including the risk of inventory obsolescence, a decline in values, and significant inventory write-downs or write-offs. Such inventory risk would be higher if arbitrations increase, which is more likely to occur in connection with declining wholesale market conditions.</w:t>
      </w:r>
    </w:p>
    <w:p>
      <w:pPr>
        <w:spacing w:after="0" w:line="5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Furthermore, activity on the CarOffer platform has in the past fluctuated, and may again in the future fluctuate, from period to period based on macroeconomic conditions and changing demand requirements, which could adversely impact our revenue, results of operations, and financial condition for such period(s). Macroeconomic issues, including increased interest rates and lower consumer confidence, could also adversely impact dealer demand for sourcing inventory and therefore lead to a reduction in the number of vehicle wholesale sales on the CarOffer platform and/or transacted via IMCO, which would adversely impact CarOffer’s business and financial results. Additionally, inventory challenges in the automotive industry, including for reasons attributable to the COVID-19 pandemic, have contributed and could continue to contribute to a decrease in the supply of vehicles coming to the wholesale market and reduce the number of vehicles sold on the CarOffer platform and/or transacted via IMCO. An inability by CarOffer to retain customers and/or increase or find alternative sources of vehicle supply would adversely impact our revenue and business.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dealers or other advertisers reduce their spending with us, our advertising revenue and business would be harmed.</w:t>
      </w:r>
    </w:p>
    <w:p>
      <w:pPr>
        <w:spacing w:after="0" w:line="11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A portion of our revenue is derived from advertising revenues generated primarily through short-term advertising sales, including on-site advertising and audience targeting services, to dealers, auto manufacturers, and other auto-related brand advertisers. We compete for this advertising revenue with other online automotive marketplaces and with television, print media, and other traditional advertising channels. Our ability to attract and retain advertisers and to generate advertising revenue depends on a number of factors, including our ability to: increase the number of consumers using our marketplaces; compete effectively for advertising spending with other online automotive marketplaces; continue to develop our advertising products; keep pace with changes in technology and the practices and offerings of our competitors; and offer an attractive ROI to our advertisers for their advertising spend with us.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6" w:name="page47"/>
    <w:bookmarkEnd w:id="46"/>
    <w:p>
      <w:pPr>
        <w:jc w:val="both"/>
        <w:ind w:firstLine="509"/>
        <w:spacing w:after="0" w:line="270" w:lineRule="auto"/>
        <w:rPr>
          <w:sz w:val="20"/>
          <w:szCs w:val="20"/>
          <w:color w:val="auto"/>
        </w:rPr>
      </w:pPr>
      <w:r>
        <w:rPr>
          <w:rFonts w:ascii="Arial" w:cs="Arial" w:eastAsia="Arial" w:hAnsi="Arial"/>
          <w:sz w:val="17"/>
          <w:szCs w:val="17"/>
          <w:color w:val="auto"/>
        </w:rPr>
        <w:t>As a result of the effects of the COVID-19 pandemic, some advertisers canceled or reduced their advertising with us and it is possible that advertising customers will cancel or reduce their advertising with us in the future for a variety of reasons, including the effects of the COVID-19 pandemic and other macroeconomic issues, such as increased interest rates and other matters that influence consumer spending. In addition, the year-over-year decline in the number of consumer visits to our sites as a result of the COVID-19 pandemic or otherwise resulted in the delivery of fewer impressions for our advertising customers than anticipated year-over-year for the year ended December 31, 2020, 2021, and 2022, which has caused, and may continue to cause, an adverse impact on our advertising revenues. We may not succeed in capturing a greater share of our advertisers’ spending if we are unable to convince advertisers of the effectiveness or superiority of our advertising offerings as compared to alternative channels. If current advertisers reduce their advertising spending with us and we are unable to replace such reduced advertising spending, our advertising revenue and business and financial results would be harmed.</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provide a compelling experience to consumers on our platform, connections between consumers and dealers using our marketplaces may decline and our business and financial results would be materially and adversely affected.</w:t>
      </w:r>
    </w:p>
    <w:p>
      <w:pPr>
        <w:spacing w:after="0" w:line="6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If we fail to continue to provide a compelling vehicle search experience to consumers, the number of connections between consumers and dealers through our marketplaces could decline, which in turn could lead dealers to suspend listing their inventory in our marketplaces, cancel their subscriptions, or reduce their spending with us. If dealers pause or cancel listing their inventory in our marketplaces, we may not be able to attract a large consumer audience, which may cause other dealers to pause or cancel their use of our marketplaces. This reduction in the number of dealers using our marketplaces would likely materially and adversely affect our marketplaces and our business and financial results. We believe that our ability to provide a compelling vehicle search experience, both on desktop computers and through mobile devices, is subject to a number of factors, including our ability to: maintain attractive marketplaces for consumers and dealers; continue to innovate and introduce products for our marketplaces; anticipate or adapt to new and changing technologies and consumer requirements on a timely basis; launch new products that are effective and have a high degree of consumer engagement; display a wide variety of automobile inventory to attract more consumers to our websites; provide mobile applications that engage consumers; maintain the compatibility of our mobile applications with operating systems, such as iOS and Android, and with popular mobile devices running such operating systems; and access and analyze a sufficient amount of data to enable us to provide relevant information to consumers, including pricing information and accurate vehicle details.</w:t>
      </w:r>
    </w:p>
    <w:p>
      <w:pPr>
        <w:spacing w:after="0" w:line="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inability by us to develop new products, adapt to new technologies, or achieve widespread consumer and dealer adoption of those products, could negatively impact our business and financial results.</w:t>
      </w:r>
    </w:p>
    <w:p>
      <w:pPr>
        <w:spacing w:after="0" w:line="62"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Our success depends on our continued innovation to provide products that make our marketplaces, websites, and mobile applications useful for consumers and dealers or that otherwise provide value to consumers and dealers. For example, we continue to develop digital retail offerings, including those that expand a dealer’s geographic footprint and others that bring additional elements of the car buying experience online through our websites. A failure by us to capture the benefits that we expect from these digital retail investments could have an adverse effect on our business and financial results.</w:t>
      </w:r>
    </w:p>
    <w:p>
      <w:pPr>
        <w:spacing w:after="0" w:line="49"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7"/>
          <w:szCs w:val="17"/>
          <w:color w:val="auto"/>
        </w:rPr>
        <w:t>We also anticipate that over time our investments in our current products may become less productive and the growth of our revenue will require more focus on developing new products. These new products must be widely adopted by consumers and dealers in order for us to continue to attract consumers to our marketplaces and dealers to our products and services. Accordingly, we must continually invest resources in product, technology, and development to improve the attractiveness of our marketplaces and adapt to new and changing technologies and consumer requirements. Our ability to engage in these activities may decline as a result of macroeconomic effects and any cost-savings initiatives on our business. These product, technology, and development expenses may include costs of hiring additional personnel and retaining our current employees, engaging third-party service providers and conducting other research and development activities. There can be no assurance that innovations to our products like IMCO, or the development of future products, will increase consumer or dealer engagement, achieve market acceptance, create additional revenue or become profitable. There can also be no assurance that our future products will meet consumer expectations in light of new technologies offered by others in the marketplace. In addition, revenue relating to new products is typically unpredictable and our new products may have lower gross margins, lower retention rates, and higher marketing and sales costs than our existing products. We are likely to continue to modify our pricing models for both existing and new products so that our prices for our offerings reflect the value those offerings are providing to consumers and dealers. Our pricing models may not effectively reflect the value of products to dealers, and, if we are unable to provide marketplaces and products that consumers and dealers want to use, they may reduce or cease the use of our marketplaces and products. Without innovative marketplaces and related products, we may be unable to attract additional, unique consumers or retain current consumers, which could affect the number of dealers that become paying dealers and the number of advertisers that want to advertise in our marketplaces, as well as the amounts that they are willing to pay for our products, which could, in turn, negatively impact our business and financial results.</w:t>
      </w:r>
    </w:p>
    <w:p>
      <w:pPr>
        <w:spacing w:after="0" w:line="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internet search engines to drive traffic to our websites, and if we fail to appear prominently in the search results, our traffic would decline and our business would be adversely affected.</w:t>
      </w:r>
    </w:p>
    <w:p>
      <w:pPr>
        <w:spacing w:after="0" w:line="6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rely, in part, on internet search engines such as Google, Bing, and Yahoo! to drive traffic to our websites. The number of consumers we attract to our marketplaces from search engines is due in part to how and where our websites rank in unpaid search results.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jc w:val="both"/>
        <w:spacing w:after="0" w:line="286" w:lineRule="auto"/>
        <w:rPr>
          <w:sz w:val="20"/>
          <w:szCs w:val="20"/>
          <w:color w:val="auto"/>
        </w:rPr>
      </w:pPr>
      <w:r>
        <w:rPr>
          <w:rFonts w:ascii="Arial" w:cs="Arial" w:eastAsia="Arial" w:hAnsi="Arial"/>
          <w:sz w:val="16"/>
          <w:szCs w:val="16"/>
          <w:color w:val="auto"/>
        </w:rPr>
        <w:t>These rankings can be affected by a number of factors, many of which are not under our direct control and may change frequently. For example, when a consumer searches for a vehicle in an internet search engine, we rely on a high organic search ranking of our webpages to refer the consumer to our websites. Our competitors’ internet search engine optimization efforts may result in their websites receiving higher search result rankings than ours, or internet search engines could change their methodologies and/or introduce competing products in a way that would adversely affect our search result rankings. If internet search engines modify their methodologies in ways that are detrimental to us, as they have done from time to time, or if our efforts to improve our search engine optimization are unsuccessful or less successful than our competitors’ efforts, our ability to attract a large consumer audience could diminish, traffic to our marketplaces could decline and the number of leads that we send to our dealers could be adversely impacted. Additionally, competing products from internet search engine providers, such as those that provide dealer and vehicle pricing and other information directly in search results, could also adversely impact traffic to our websites and the number of leads that we are able to send to our dealers. Our business would also be adversely affected if internet search engine providers choose to align with our competitors. Reductions in our own search advertising spend or more aggressive spending by our competitors could also cause us to incur higher advertising costs and/or reduce our market visibility to prospective users. Our websites have experienced fluctuations in organic and paid search result rankings in the past, and we anticipate fluctuations in the future. Any reduction in the number of consumers directed to our websites through internet search engines could harm our business and operating results.</w:t>
      </w:r>
    </w:p>
    <w:p>
      <w:pPr>
        <w:spacing w:after="0" w:line="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unable to maintain or grow relationships with data providers, or may experience interruptions in the data they provide, which may create a less valuable or transparent shopping experience and negatively affect our business and operating results.</w:t>
      </w:r>
    </w:p>
    <w:p>
      <w:pPr>
        <w:spacing w:after="0" w:line="6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obtain data from many third-party data providers, including inventory management systems, automotive website providers, customer relationship management systems, dealer management systems, governmental entities, and third-party data licensors. Our business relies on our ability to obtain data for the benefit of consumers and dealers using our marketplaces. For example, our success in each market is dependent in part upon our ability to obtain and maintain inventory data and other vehicle information for those markets. The loss or interruption of such inventory data or other vehicle information could decrease the number of consumers using our marketplaces. We could experience interruptions in our data access for a number of reasons, including difficulties in renewing our agreements with data providers, changes to the software used by data providers, efforts by industry participants to restrict access to data, and increased fees we may be charged by data providers. Our marketplaces could be negatively affected if any current provider terminates its relationship with us or our service from any provider is interrupted. If there is a material disruption in the data provided to us, the information that we provide to consumers and dealers using our marketplaces may be limited. In addition, the quality, accuracy, and timeliness of this information may suffer, which may lead to a less valuable and less transparent shopping experience for consumers using our marketplaces and could negatively affect our business and operating results.</w:t>
      </w:r>
    </w:p>
    <w:p>
      <w:pPr>
        <w:spacing w:after="0" w:line="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failure to build, maintain and protect our brands would harm our ability to attract a large consumer audience and to expand the use of our marketplaces by consumers and dealers.</w:t>
      </w:r>
    </w:p>
    <w:p>
      <w:pPr>
        <w:spacing w:after="0" w:line="62"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While we are focused on building our brand recognition, maintaining and enhancing our brands will depend largely on the success of our efforts to maintain the trust of consumers and dealers and to deliver value to each consumer and dealer using our marketplaces. Our ability to protect our brands is also impacted by the success of our efforts to optimize our significant brand spend and overcome the intense competition in brand marketing across our industry, including competitors that may imitate our messaging. In addition, we have reduced our brand spend in comparison to our pre-COVID-19 pandemic levels, and it is possible that we may in the future decide to further suppress such spend depending on macroeconomic conditions. If consumers believe that we are not focused on providing them with a better automobile shopping experience, or if we fail to overcome brand marketing competition and maintain a differentiated value proposition in consumers’ minds, our reputation and the strength of our brands may be adversely affected.</w:t>
      </w:r>
    </w:p>
    <w:p>
      <w:pPr>
        <w:spacing w:after="0" w:line="58"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Complaints or negative publicity about our business practices and culture, our management team and employees, our marketing and advertising campaigns, our compliance with applicable laws and regulations, the integrity of the data that we provide to consumers, data privacy and security issues, third party content and conduct on our websites and other aspects of our business, irrespective of their validity, could diminish consumers’ and dealers’ confidence and participation in our marketplaces and could adversely affect our brands. There can be no assurance that we will be able to maintain or enhance our brands, and failure to do so would harm our business growth prospects and operating results.</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recent, rapid growth is not indicative of our future growth, and our revenue growth rate in the future is uncertain, including due to potential macroeconomic effects.</w:t>
      </w:r>
    </w:p>
    <w:p>
      <w:pPr>
        <w:spacing w:after="0" w:line="62"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Our revenue increased to (i) $1,655.0 million for the year ended December 31, 2022 from $951.4 million for the year ended December 31, 2021, representing a 74% increase between such periods, and (ii) decreased to $232.0 million for the three months ended March 31, 2023 from $430.6, representing a 46% decrease between such periods. Our revenue in the future may not grow at such a rate and could potentially be impacted by macroeconomic issues, such as declining wholesale vehicle prices, the war in Ukraine and Russian sanctions, increased interest rates, lower consumer confidence, consumer debt levels and other matters that influence consumer spending and preferences. In addition, we will not be able to grow as expected, or at all, if we fail to: increase the number of consumers using our marketplaces; attract new consumers to sell their vehicles online through IMCO; maintain and expand the number of dealers that subscribe to our marketplaces and maintain and increase the fees that they are paying; expand the number of dealers engaging on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jc w:val="both"/>
        <w:spacing w:after="0" w:line="301" w:lineRule="auto"/>
        <w:rPr>
          <w:sz w:val="20"/>
          <w:szCs w:val="20"/>
          <w:color w:val="auto"/>
        </w:rPr>
      </w:pPr>
      <w:r>
        <w:rPr>
          <w:rFonts w:ascii="Arial" w:cs="Arial" w:eastAsia="Arial" w:hAnsi="Arial"/>
          <w:sz w:val="16"/>
          <w:szCs w:val="16"/>
          <w:color w:val="auto"/>
        </w:rPr>
        <w:t>CarOffer platform and increase the share of wholesale transactions which they complete on such platform; attract and retain advertisers placing advertisements in our marketplaces; further improve the quality of our marketplaces and introduce high quality new products; and increase the number of connections between consumers and dealers using our marketplaces and connections to paying dealers, in particular. If our revenue declines or fails to grow, investors’ perceptions of our business may be adversely affected, and the market price of our Class A common stock could decline.</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require additional capital to pursue our business objectives and respond to business opportunities, challenges, or unforeseen circumstances. If we are unable to generate sufficient cash flows or if capital is not available to us, our business, operating results, financial condition, and prospects could be adversely affected.</w:t>
      </w:r>
    </w:p>
    <w:p>
      <w:pPr>
        <w:spacing w:after="0" w:line="76"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If we are unable to generate sufficient cash flows, we would require additional capital to pursue our business objectives and respond to business opportunities, challenges, or unforeseen circumstances, including the continuing effects of the COVID-19 pandemic and other macroeconomic issues as well as to make marketing expenditures to improve our brand awareness, develop new products, further improve our platform and existing products, enhance our operating infrastructure, and acquire complementary businesses and technologies. Accordingly, we may need to engage in equity or debt financings to secure additional funds, in addition to the 2022 Revolver. However, additional funds may not be available when we need them on terms that are acceptable to us or at all. Volatility in the equity and credit markets may also have an adverse effect on our ability to obtain equity or debt financing. An inability to obtain adequate financing or financing on terms satisfactory to us when we require it could significantly limit our ability to continue to pursue our business objectives and to respond to business opportunities, challenges, or unforeseen circumstances, and may adversely affect our business, operating results, financial condition, and prospects.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involve risks that may differ from, or are in addition to, our domestic operational risks.</w:t>
      </w:r>
    </w:p>
    <w:p>
      <w:pPr>
        <w:spacing w:after="0" w:line="117"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In addition to the United States, we operate marketplaces in the United Kingdom and Canada, which are less familiar competitive environments and involve various risks, including the need to invest significant resources and the likelihood that returns on such investments will not be achieved for several years, or possibly at all. We have incurred losses in prior periods in the United Kingdom and Canada and may incur losses there again in the future. We also face various other challenges in those jurisdictions. For example, our competitors may be more established or otherwise better positioned than we are to succeed in the United Kingdom and Canada. Our competitors may offer services to dealers that make dealers dependent on them, such as hosting dealers’ websites and providing inventory feeds for dealers, which would make it difficult to attract dealers to our marketplaces. Any of these barriers could impede our operations in our international markets, which could affect our business and potential growth.</w:t>
      </w:r>
    </w:p>
    <w:p>
      <w:pPr>
        <w:spacing w:after="0" w:line="58"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Our ability to manage our business and conduct our operations internationally requires considerable management attention and resources, and is subject to the particular challenges of supporting a business in an environment of multiple languages, cultures, customs, legal and regulatory systems, alternative dispute resolution systems, and commercial infrastructures. Operating internationally may subject us to different risks or increase our exposure in connection with current risks, including risks associated with: adapting our websites and mobile applications to conform to local consumer behavior; increased competition from local providers and potential preferences by local populations for local providers; compliance with applicable foreign laws and regulations, including different privacy, censorship, and liability standards and regulations, and different intellectual property laws; the enforceability of our intellectual property rights; credit risk and higher levels of payment fraud; compliance with anti-bribery laws, including compliance with currency exchange rate fluctuations; adverse changes in trade relationships among foreign countries and/or between the United States and such countries; double taxation of our international earnings and potentially adverse tax consequences arising from the tax laws of the United States or the foreign jurisdictions in which we operate; and higher costs of doing business internationally.</w:t>
      </w:r>
    </w:p>
    <w:p>
      <w:pPr>
        <w:spacing w:after="0" w:line="7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depend on key personnel to operate our business, and if we are unable to retain, attract and integrate qualified personnel, or if we experience turnover of our key personnel, our ability to develop and successfully grow our business could be materially and adversely affected.</w:t>
      </w:r>
    </w:p>
    <w:p>
      <w:pPr>
        <w:spacing w:after="0" w:line="1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believe our success has depended, and continues to depend, on our continuing ability to attract, develop, motivate, and retain highly qualified and skilled employees. Since the onset of the COVID-19 pandemic, we have encountered increased rates of turnover of our employee base and encountered intense competition for retaining and attracting qualified and skilled employees. Accordingly, we have incurred, and we may continue to incur, significant costs to attract new employees and retain existing ones, and we may in the future become less competitive in attracting and retaining employees as a result of any expense reduction efforts that we may initiate.</w:t>
      </w:r>
    </w:p>
    <w:p>
      <w:pPr>
        <w:spacing w:after="0" w:line="80"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In addition, any unplanned turnover, reduced involvement, or our failure to develop an adequate succession plan for any of our executive officers or key employees, or the reduction in their involvement in the management of our business, could materially adversely affect our ability to execute our business plan and strategy, and we may not be able to find adequate replacements on a timely basis, or at all. Our executive officers and other employees are at-will, which means they may terminate their employment relationships with us at any time, and their knowledge of our business and industry would be extremely difficult to replace. We cannot ensure that we will be able to retain the services of any members of our senior management or other key employees. If we do not succeed in attracting well-qualified employees or retaining and motivating existing employees, our business could be materially and adversely affected. Additionally, we may face risks related to future transitions in our leadership, including the disruption of our operations and the depletion of our institutional knowledge base.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disputes regarding the accuracy of Instant Market Values, Deal Ratings, Dealer Ratings, New Car Price Guidance and other features of our marketplaces.</w:t>
      </w:r>
    </w:p>
    <w:p>
      <w:pPr>
        <w:spacing w:after="0" w:line="62"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We provide consumers using our CarGurus platform and dealers using our CarOffer platform with our proprietary IMV, Deal Ratings, and Dealer Ratings, as well as other features to help them evaluate vehicle listings, including price guidance for new car listings, or New Car Price Guidance. Our valuation models depend on the inventory listed on our sites as well as public information regarding automotive sales. If the inventory on our sites declines significantly, or if the number of automotive sales declines significantly or used car sales prices become volatile, whether as a result of macroeconomic effects or otherwise, our valuation models may not perform as expected. Revisions to or errors in our automated valuation models, or the algorithms that underlie them, may cause the IMV, the Deal Rating, New Car Price Guidance, or other features to vary from our expectations regarding the accuracy of these tools. In addition, from time to time, regulators, consumers, dealers and other industry participants may question or disagree with our IMV, Deal Rating, Dealer Rating or New Car Price Guidance. Any such questions or disagreements could result in distraction from our business or potentially harm our reputation, could result in a decline in consumers’ confidence in, or use of, our marketplaces and could result in legal disputes.</w:t>
      </w:r>
    </w:p>
    <w:p>
      <w:pPr>
        <w:spacing w:after="0" w:line="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are subject to a complex framework of laws and regulations, many of which are unsettled, still developing and contradictory, which have in the past, and could in the future, subject us to claims, challenge our business model, or otherwise harm our business.</w:t>
      </w:r>
    </w:p>
    <w:p>
      <w:pPr>
        <w:spacing w:after="0" w:line="3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Various aspects of our business are, may become, or may be viewed by regulators from time to time as subject, directly or indirectly, to United States federal, state and local laws and regulations, and to foreign laws and regulations.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Local Motor Vehicle Sales, Advertising and Brokering, and Consumer Protection Laws</w:t>
      </w:r>
    </w:p>
    <w:p>
      <w:pPr>
        <w:spacing w:after="0" w:line="11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The advertising and sale of new and used motor vehicles is highly regulated by the jurisdictions in which we do business. Regulatory authorities or third parties could take the position that some of the laws or regulations applicable to dealers or to the manner in which motor vehicles are advertised and sold generally are directly applicable to our business. If our marketplaces and related products are determined to not comply with relevant regulatory requirements, we or dealers could be subject to civil and criminal penalties, including fines, or the award of significant damages in class actions or other civil litigation, as well as orders interfering with our ability to continue providing our marketplaces and related products and services in certain jurisdictions. In addition, even absent such a determination, to the extent dealers are uncertain about the applicability of such laws and regulations to our business, we may lose, or have difficulty increasing the number of paying dealers, which would affect our future growth.</w:t>
      </w:r>
    </w:p>
    <w:p>
      <w:pPr>
        <w:spacing w:after="0" w:line="69"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If regulators or other third parties take the position that our marketplaces or related products violate applicable dealer licensing, brokering, bird-dog, consumer protection, consumer finance or advertising laws or regulations, responding to such allegations could be costly, could require us to pay significant sums in settlements, could require us to pay civil and criminal penalties, including fines, could interfere with our ability to continue providing our marketplaces and related products in certain jurisdictions, or could require us to make adjustments to our marketplaces and related products or the manner in which we derive revenue from dealers using our platform, any or all of which could result in substantial adverse publicity, termination of subscriptions by dealers, decreased revenues, distraction for our employees, increased expenses, and decreased profitability.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Laws and Regulations</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 United States Federal Trade Commission, or the FTC, has the authority to take actions to remedy or prevent acts or practices that it considers to be unfair or deceptive and that affect commerce in the United States. If the FTC takes the position in the future that any aspect of our business, including our advertising and privacy practices, constitutes an unfair or deceptive act or practice, responding to such allegations could require us to defend our practices and pay significant damages, settlements, and civil penalties, or could require us to make adjustments to our marketplaces and related products and services, any or all of which could result in substantial adverse publicity, distraction for our employees, loss of participating dealers, lost revenues, increased expenses, and decreased profitability.</w:t>
      </w:r>
    </w:p>
    <w:p>
      <w:pPr>
        <w:spacing w:after="0" w:line="8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Our platforms enable us, dealers, and users to send and receive text messages and other mobile phone communications. The Telephone Consumer Protection Act, or the TCPA, as interpreted and implemented by the United States Federal Communications Commission, or the FCC, and federal and state courts, impose significant restrictions on utilization of telephone calls and text messages to residential and mobile telephone numbers as a means of communication, particularly if the prior express consent of the person being contacted has not been obtained. Violations of the TCPA may be enforced by the FCC, by state attorneys general, or by others through litigation, including class actions. Furthermore, several provisions of the TCPA, as well as applicable rules and orders, are open to multiple interpretations, and compliance may involve fact-specific analyses.</w:t>
      </w:r>
    </w:p>
    <w:p>
      <w:pPr>
        <w:spacing w:after="0" w:line="56"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Any failure by us, or the third parties on which we rely, to adhere to, or successfully implement, appropriate processes and procedures in response to existing or future laws and regulations could result in legal and monetary liability, fines and penalties, or damage to our reputation in the marketplace, any of which could have a material adverse effect on our business, financial condition, and results of operations. Even if the claims are meritless, we may be required to expend resources and pay costs to defend against regulatory actions or third-party claims. Additionally, any change to applicable laws or their interpretations that further restricts the way consumers and dealers interact through our platforms, or any governmental or private enforcement actions related thereto, could adversely affect our ability to attract customers and could harm our business, financial condition, results of operations, and cash flows.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Antitrust and Other Laws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Antitrust and competition laws prohibit, among other things, any joint conduct among competitors that would lessen competition in the marketplace. A governmental or private civil action alleging unlawful or anticompetitive activity could be costly to defend and could harm our business, results of operations, financial condition, and cash flows.</w:t>
      </w:r>
    </w:p>
    <w:p>
      <w:pPr>
        <w:spacing w:after="0" w:line="7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Claims could be made against us under both United States and foreign laws, including claims for defamation, libel, invasion of privacy, false advertising, intellectual property infringement, or claims based on other theories related to the nature and content of the materials disseminated by our marketplaces and on portions of our websites. Our defense against any of these actions could be costly and involve significant time and attention of our management and other resources. If we become liable for information transmitted in our marketplaces, we could be directly harmed and we may be forced to implement new measures to reduce our exposure to this liability.</w:t>
      </w:r>
    </w:p>
    <w:p>
      <w:pPr>
        <w:spacing w:after="0" w:line="8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foregoing description of laws and regulations to which we are or may be subject is not exhaustive, and the regulatory framework governing our operations is subject to continuous change. We are, and we will continue to be, exposed to legal and regulatory risks including with respect to privacy, tax, law enforcement, content, intellectual property, competition, and other matters. The enactment of new laws and regulations or the interpretation of existing laws and regulations, both domestically and internationally, may affect the operation of our business, directly or indirectly, which could result in substantial regulatory compliance costs, civil or criminal penalties, including fines, adverse publicity, loss of subscribing dealers, lost revenues, increased expenses, and decreased profitability. Further, investigations by governmental agencies, including the FTC, into allegedly anticompetitive, unfair, deceptive or other business practices by us or dealers using our marketplaces, could cause us to incur additional expenses and, if adversely concluded, could result in substantial civil or criminal penalties and significant legal liability, or orders requiring us to make adjustments to our marketplaces and related products and services.</w:t>
      </w:r>
    </w:p>
    <w:p>
      <w:pPr>
        <w:spacing w:after="0" w:line="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Expectations relating to environmental, social and governance (“ESG”) considerations expose us to potential liabilities, increased costs, reputational harm and other adverse effects on our business.</w:t>
      </w:r>
    </w:p>
    <w:p>
      <w:pPr>
        <w:spacing w:after="0" w:line="62"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Expectations relating to environmental, social and governance considerations expose us to potential liabilities, increased costs, reputational harm and other adverse effects on our business.</w:t>
      </w:r>
    </w:p>
    <w:p>
      <w:pPr>
        <w:spacing w:after="0" w:line="6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Many governments, regulators, investors, employees, customers and other stakeholders are increasingly focused on ESG considerations relating to our business, including climate change and greenhouse gas emissions, human capital and diversity, equity and inclusion. We make statements about our ESG goals and initiatives through information provided on our website. Responding to these ESG considerations and implementation of these goals and initiatives involves risks and uncertainties, requires investments, and are impacted by factors that may be outside our control. In addition, some stakeholders may disagree with our goals and initiatives and the focus of stakeholders may change and evolve over time. Stakeholders also may have very different views on where ESG focus should be placed, including differing views of regulators in various jurisdictions in which we operate. Any failure, or perceived failure, by us to achieve our goals, further our initiatives, adhere to our public statements, comply with federal, state or international ESG laws and regulations, or meet evolving and varied stakeholder expectations and standards could result in legal and regulatory proceedings against us and materially adversely affect our business, reputation, results of operations, financial condition and stock price. Additionally, meeting evolving and varied stakeholder expectations and standards may require management time and expense and may result in a significant increase in costs, which may negatively impact our business and financial results.</w:t>
      </w:r>
    </w:p>
    <w:p>
      <w:pPr>
        <w:spacing w:after="0" w:line="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third-party service providers and strategic partners for many aspects of our business, and any failure to maintain these relationships or to successfully integrate certain third-party platforms could harm our business.</w:t>
      </w:r>
    </w:p>
    <w:p>
      <w:pPr>
        <w:spacing w:after="0" w:line="6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Our success depends upon our relationships with third parties, including, among others: our transaction processor; our data center hosts; our information technology providers; our data providers for inventory and vehicle information; and our partners for vehicle transportation, inspection and other logistics associated with our CarOffer business and IMCO. If these third parties experience difficulty meeting our requirements or standards, have adverse audit results, violate the terms of our agreements or applicable law, fail to obtain or maintain applicable licenses, or if the relationships we have established with such third parties expire or otherwise terminate, it could make it difficult for us to operate some aspects of our business, which could damage our business and reputation. In addition, if such third-party service providers or strategic partners were to cease operations, temporarily or permanently, face financial distress or other business disruptions, increase their fees, or if our relationships with these providers or partners deteriorate or terminate, whether as a result of macroeconomic conditions or otherwise, we could suffer increased costs and we may be unable to provide similar services until an equivalent provider could be found or we could develop replacement technology or operations. For example, primarily in connection with our Dealer-to-Dealer transactions, we utilize a single third-party transaction processor that collects customer payments on our behalf and remits them to us, provides payments in advance for certain selling dealers, provides titling services for transactions and holds auction licenses. If our relationship with this third-party transaction processor were to deteriorate or terminate, we would have to identify a succeeding transaction processor or assume in-house facilitation of these services, which would disrupt our business and could adversely affect our revenue, results of operations, and financial condition. Furthermore, if we are unsuccessful in identifying or finding high-quality partners, if we fail to negotiate cost-effective relationships with them, or if we ineffectively manage these relationships, it could have an adverse impact on our business and financial results.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1" w:name="page52"/>
    <w:bookmarkEnd w:id="51"/>
    <w:p>
      <w:pPr>
        <w:jc w:val="both"/>
        <w:ind w:firstLine="509"/>
        <w:spacing w:after="0" w:line="259" w:lineRule="auto"/>
        <w:rPr>
          <w:sz w:val="20"/>
          <w:szCs w:val="20"/>
          <w:color w:val="auto"/>
        </w:rPr>
      </w:pPr>
      <w:r>
        <w:rPr>
          <w:rFonts w:ascii="Arial" w:cs="Arial" w:eastAsia="Arial" w:hAnsi="Arial"/>
          <w:sz w:val="18"/>
          <w:szCs w:val="18"/>
          <w:color w:val="auto"/>
        </w:rPr>
        <w:t>Our enterprise systems require that we integrate the platforms hosted by certain third-party service providers. We are responsible for integrating these platforms and updating them to maintain proper functionality. Issues with these integrations, our failure to properly update third-party platforms or any interruptions to our internal enterprise systems could harm our business by causing delays in our ability to quote, activate service and bill new and existing customers on our platform.</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disruption in service on our websites or mobile applications could damage our reputation and result in a loss of consumers, which could harm our business, brands, operating results, and financial condition.</w:t>
      </w:r>
    </w:p>
    <w:p>
      <w:pPr>
        <w:spacing w:after="0" w:line="62"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Our brands, reputation, and ability to attract consumers, dealers, and advertisers depend on the reliable performance of our technology infrastructure and content delivery. We have experienced, and we may in the future experience, interruptions with our systems. Interruptions in these systems could affect the security or availability of our marketplaces, and prevent or inhibit the ability of dealers and consumers to access our marketplaces. For example, past disruptions have impacted our ability to activate customer accounts and manage our billing activities in a timely manner. Such interruptions have resulted, and may in the future result, in third parties accessing our confidential and proprietary information, including our intellectual property. Problems with the reliability or security of our systems could harm our reputation, harm our ability to protect our confidential and proprietary information, result in a loss of consumers and dealers, and result in additional costs.</w:t>
      </w:r>
    </w:p>
    <w:p>
      <w:pPr>
        <w:spacing w:after="0" w:line="69"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Substantially all of the communications, network, and computer hardware used to operate our platforms is located in the Eastern region of the United States, and internationally near each of London, England, Dublin, Ireland and Frankfurt, Germany. These facilities include hosting through Amazon Web Services, a provider of cloud infrastructure services. Although we can host our U.S. CarGurus’ marketplace from two alternative locations and we believe our systems are redundant, there may be exceptions for certain hardware or software. In addition, we do not own or control the operation of these facilities. Any disruptions or other operational performance problems with these facilities or problems faced by their operators, including our cloud infrastructure service provider, could result in material interruptions in our services, adversely affect our reputation and results of operations, and subject us to liability. We also use third-party hosting services to back up some data but do not maintain redundant systems or facilities for some of the services. A disruption to one or more of these systems has caused, and may in the future cause, us to experience an extended period of system unavailability, which could negatively impact our relationship with consumers, customers and advertisers. Our systems and operations are vulnerable to damage or interruption from fire, flood, power loss, telecommunications failure, terrorist attacks, acts of war, electronic breaches, cyber-attacks, phishing attempts, errors by employees, physical break-ins, computer viruses, earthquakes, and similar events. The occurrence of any of these events could result in damage to our systems and hardware or could cause them to fail. In addition, we may not have sufficient protection or recovery plans in certain circumstances.</w:t>
      </w:r>
    </w:p>
    <w:p>
      <w:pPr>
        <w:spacing w:after="0" w:line="6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Any errors, defects, disruptions, or other performance or reliability problems with our network operations could cause interruptions in access to our marketplaces as well as delays and additional expense in arranging new facilities and services and fixing or replacing any affected systems or hardware and could harm our reputation, business, operating results, and financial condition. Although we carry insurance, it may not be sufficient to compensate us for the potentially significant losses, including the potential harm to the future growth of our business, that may result from interruptions in our service as a result of system failures.</w:t>
      </w:r>
    </w:p>
    <w:p>
      <w:pPr>
        <w:spacing w:after="0" w:line="8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and our third-party service providers, collect, process, store, transfer, share, disclose, and use consumer information and other data, and our actual or perceived failure, or the actual or perceived failure of our third-party service provides, to protect such information and data or respect users’ privacy could expose us to liability and adversely affect our reputation and brands and business and operating results.</w:t>
      </w:r>
    </w:p>
    <w:p>
      <w:pPr>
        <w:spacing w:after="0" w:line="41"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Some functions of our marketplaces involve the storage and transmission of consumers’ information, such as IP addresses, contact information of users who connect with dealers, credit applications and other financial data, and profile information of users who create accounts on our marketplaces, as well as dealers’ information. We also process and store personal and confidential information of our vendors, partners, and employees, and we employ third-party service providers, such as payment processing providers, who also regularly have access to customer and consumer data. Some of this information may be private, and security breaches against us or our third-party service providers could expose us to a risk of loss or exposure of this information, which could result in potential liability, litigation, and remediation costs. For example, hackers could steal our users’ profile passwords, names, email addresses, phone numbers, and other personal information. We rely on encryption and authentication technology licensed from third parties to effect secure transmission of such information, and we also rely on our third-party service providers to use sufficient security measures to protect such information. Despite all of our efforts to protect this information and data, none of our security measures or those of our third-party service providers provide absolute security, and they may not be effective in preventing a future failure of our systems. Like all information systems and technology, our websites, mobile applications, and information systems, and those of our third-party service providers, are subject to computer viruses, break-ins, phishing attacks, attempts to overload the systems with denial-of-service or other attacks, ransomware, and similar incidents or disruptions from unauthorized use of our or our third-party service providers’ computer systems, any of which could lead to interruptions, delays, or website shutdowns, and could cause loss of critical data and the unauthorized disclosure, access, acquisition, alteration, and use of personal or other confidential information. If we or our third-party service providers experience compromises to data security that result in website or mobile application performance or availability problems, the complete shutdown of our websites or mobile applications, or the loss or unauthorized disclosure, access, acquisition, alteration, or use of confidential information, consumers, customers, advertisers, partners, vendors, and employees may lose trust and confidence in us, and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2" w:name="page53"/>
    <w:bookmarkEnd w:id="52"/>
    <w:p>
      <w:pPr>
        <w:jc w:val="both"/>
        <w:ind w:right="20"/>
        <w:spacing w:after="0" w:line="277" w:lineRule="auto"/>
        <w:rPr>
          <w:sz w:val="20"/>
          <w:szCs w:val="20"/>
          <w:color w:val="auto"/>
        </w:rPr>
      </w:pPr>
      <w:r>
        <w:rPr>
          <w:rFonts w:ascii="Arial" w:cs="Arial" w:eastAsia="Arial" w:hAnsi="Arial"/>
          <w:sz w:val="18"/>
          <w:szCs w:val="18"/>
          <w:color w:val="auto"/>
        </w:rPr>
        <w:t>consumers may decrease the use of our websites or stop using our websites entirely, dealers may stop or decrease their subscriptions with us, and advertisers may decrease or stop advertising on our websites.</w:t>
      </w:r>
    </w:p>
    <w:p>
      <w:pPr>
        <w:spacing w:after="0" w:line="62"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Further, outside parties have attempted and will likely continue to attempt to fraudulently induce employees, consumers, or advertisers to disclose sensitive information in order to gain access to our information or our consumers’, dealers’, advertisers’, and employees’ information. As cyber-attacks increase in frequency and sophistication, our cyber-security and disaster recovery plans may not be effective in anticipating, preventing and effectively responding to all potential cyber-risk exposures. In addition, because the techniques used to obtain unauthorized access, disable or degrade service, or sabotage systems change frequently, often are not recognized until after having been launched against a target, and may originate from less regulated and remote areas around the world, we may be unable to proactively address these techniques or to implement adequate preventative measures.</w:t>
      </w:r>
    </w:p>
    <w:p>
      <w:pPr>
        <w:spacing w:after="0" w:line="56"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Any or all of the issues above could adversely affect our brand reputation, negatively impact our ability to attract new consumers and increase engagement by existing consumers, cause existing consumers to reduce or stop the use of our marketplaces or close their accounts, cause existing dealers and advertisers to cancel their contracts, cause employees to terminate their employment, cause employment candidates to be unwilling to pursue employment opportunities or accept employment offers, and/or subject us to governmental or third-party lawsuits, investigations, regulatory fines, or other actions or liability, thereby harming our business, results of operations, and financial condition. Although we carry privacy, data breach and network security liability insurance, we cannot be certain that our coverage will be adequate for liabilities actually incurred or sufficient to compensate us for the potentially significant losses, or that insurance will continue to be available to us on economically reasonable terms or at all.</w:t>
      </w:r>
    </w:p>
    <w:p>
      <w:pPr>
        <w:spacing w:after="0" w:line="69"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7"/>
          <w:szCs w:val="17"/>
          <w:color w:val="auto"/>
        </w:rPr>
        <w:t>There are numerous federal, national, state, and local laws and regulations in the United States and around the world regarding privacy and the collection, processing, storage, sharing, disclosure, use, cross-border transfer, and protection of personal information and other data. These laws and regulations are evolving, are subject to differing interpretations, may be costly to comply with, may result in regulatory fines or penalties, may subject us to third-party lawsuits, may be inconsistent between countries and jurisdictions, and may conflict with other requirements. We seek to comply with industry standards and are subject to the terms of our privacy policies and privacy-related obligations to third parties, as well as all applicable laws and regulations relating to privacy and data protection. However, it is possible that these obligations may be interpreted and applied in new ways or in a manner that is inconsistent from one jurisdiction to another and may conflict with other rules or our practices and that new regulations could be enacted. Several proposals have recently become effective or are pending, as applicable, before federal, state, local, and foreign legislative and regulatory bodies that could significantly affect our business, which we refer to collectively as the Privacy Regulations. The Privacy Regulations include, but are not limited to, the EU's General Data Protection Regulation and the California Consumer Privacy Act. Certain of the Privacy Regulations have already required, and certain others may further require, us to change our policies and procedures and may in the future require us to make changes to our marketplaces and other products. These and other requirements could reduce demand for our marketplaces and other offerings, require us to take on more onerous obligations in our contracts and restrict our ability to store, transfer, and process data, which may seriously harm our business. Similarly, Brexit and the Schrems II decision of the Court of Justice of the EU, which effectively invalided the EU-U.S. Privacy Shield Framework, may require us to change our policies and procedures and, if we are not in compliance, may also seriously harm our business. We may not be entirely successful in our efforts to comply with the evolving regulations to which we are subject due to various factors within our control, such as limited internal resource allocation, or outside our control, such as a lack of vendor cooperation, new regulatory interpretations, or lack of regulatory guidance in respect of certain Privacy Regulations and other statutory requirements.</w:t>
      </w:r>
    </w:p>
    <w:p>
      <w:pPr>
        <w:spacing w:after="0" w:line="8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Any failure or perceived failure by us to comply with United States and international data protection laws and regulations, our privacy policies, or our privacy-related obligations to consumers, customers, employees and other third parties, or any compromise of security that results in the unauthorized release or transfer of data, which could include personal information or other user data, may result in governmental investigations, enforcement actions, regulatory fines, litigation, criminal penalties, or public statements against us by consumer advocacy groups or others, and could cause consumers and dealers to lose trust in us, which could significantly impact our brand reputation and have an adverse effect on our business. Additionally, if any third party that we share information with experiences a security breach or fails to comply with its privacy-related legal obligations or commitments to us, such matters may put employee, consumer or dealer information at risk and could in turn expose us to claims for damages or regulatory fines or penalties and harm our reputation, business, and operating results.</w:t>
      </w:r>
    </w:p>
    <w:p>
      <w:pPr>
        <w:spacing w:after="0" w:line="70"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Our ability to attract consumers to our own websites and to provide certain services to our customers depends on the collection of consumer data from various sources, which may be restricted by consumer choice, privacy restrictions, and developments in laws, regulations and industry standards.</w:t>
      </w:r>
    </w:p>
    <w:p>
      <w:pPr>
        <w:spacing w:after="0" w:line="1"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success of our consumer marketing and the delivery of internet advertisements for our customers depends on our ability to leverage data, including data that we collect from our customers, data we receive from our publisher partners and third parties, and data from our operations. Using cookies and non-cookie-based technologies, such as mobile advertising identifiers, we collect information about the interactions of users with our customers’ and publishers’ digital properties (including, for example, information about the placement of advertisements and users’ shopping or other interactions with our customers’ websites or advertisements). Our ability to successfully leverage such data depends on our continued ability to access and use such data, which could be restricted by a number of factors, including: increasing consumer adoption of “do not track” mechanisms as a result of legislation; privacy restrictions imposed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3" w:name="page54"/>
    <w:bookmarkEnd w:id="53"/>
    <w:p>
      <w:pPr>
        <w:jc w:val="both"/>
        <w:spacing w:after="0" w:line="255" w:lineRule="auto"/>
        <w:rPr>
          <w:sz w:val="20"/>
          <w:szCs w:val="20"/>
          <w:color w:val="auto"/>
        </w:rPr>
      </w:pPr>
      <w:r>
        <w:rPr>
          <w:rFonts w:ascii="Arial" w:cs="Arial" w:eastAsia="Arial" w:hAnsi="Arial"/>
          <w:sz w:val="18"/>
          <w:szCs w:val="18"/>
          <w:color w:val="auto"/>
        </w:rPr>
        <w:t>by web browser developers, advertising partners or other software developers that impair our ability to understand the preferences of consumers by limiting the use of third-party cookies or other tracking technologies or data indicating or predicting consumer preferences; and new developments in, or new interpretations of, privacy laws, regulations and industry standards. Each of these developments could materially impact our ability to collect consumer data and deliver relevant internet advertisements to attract consumers to our websites or to deliver targeted advertising for our advertising customers. If we are unsuccessful in evolving our advertising and marketing strategies to adapt to and mitigate these evolving consumer data limitations, our business results could be materially impacted.</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been, and may again be, subject to intellectual property disputes, which are costly to defend and could harm our business and operating results.</w:t>
      </w:r>
    </w:p>
    <w:p>
      <w:pPr>
        <w:spacing w:after="0" w:line="6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have been, and expect in the future to be, subject to claims and litigation alleging that we or content on our websites infringe others’ intellectual property rights, including the trademarks, copyrights, patents, and other intellectual property rights of third parties, including from our competitors or non-practicing entities. We may also learn of possible infringement to our trademarks, copyrights, patents, and other intellectual property. Patent and other intellectual property litigation may be protracted and expensive, and the results are difficult to predict and may result in significant settlement costs or payment of substantial damages. Many potential litigants, including patent holding companies, have the ability to dedicate substantially greater resources to enforce their intellectual property rights and to defend claims that may be brought against them. Furthermore, a successful claimant could secure a judgment that requires us to stop offering some features or prevents us from conducting our business as we have historically done or may desire to do in the future. We might also be required to seek a license and pay royalties for the use of such intellectual property, which may not be available on commercially acceptable terms, or at all. Alternatively, we may be required to modify our marketplaces and features, which could require significant effort and expense and may ultimately not be successful.</w:t>
      </w:r>
    </w:p>
    <w:p>
      <w:pPr>
        <w:spacing w:after="0" w:line="7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In addition, we use open source software in our platform and will use open source software in the future. From time to time, we may face claims regarding ownership of, or demanding release of, the source code, the open source software, or derivative works that were developed using such software, or otherwise seeking to enforce the terms of the applicable open source license. These claims could also result in litigation, require us to purchase a costly license or require us to devote additional product, technology, and development resources to change our platforms or services, any of which would have a negative effect on our business and operating results. Even if these matters do not result in litigation or are resolved in our favor or without significant cash settlements, these matters, and the time and resources necessary to litigate or resolve them, could harm our business, our operating results, and our reputation.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adequately protect our intellectual property could harm our business and operating results.</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Our business depends on our intellectual property, the protection of which is crucial to the success of our business. We rely on a combination of patent, trademark, trade secret, and copyright law and contractual restrictions to protect our intellectual property. In addition, we attempt to protect our intellectual property, technology, and confidential information by requiring our employees and consultants to enter into confidentiality and assignment of inventions agreements and third parties to enter into nondisclosure agreements as we deem appropriate. Despite our efforts to protect our proprietary rights, unauthorized parties may attempt to copy aspects of our platform’s features, software, and functionality or obtain and use information that we consider proprietary.</w:t>
      </w:r>
    </w:p>
    <w:p>
      <w:pPr>
        <w:spacing w:after="0" w:line="84"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Competitors may adopt trademarks or trade names similar to ours, thereby harming our ability to build brand identity and possibly leading to user confusion. In addition, there could be potential trade name or trademark infringement claims asserted against us by owners of other registered or unregistered trademarks logos or slogans, for our use of registered or unregistered trademarks, logos or slogans, or third-party trademarks that incorporate variations of our trademarks. We have registered the CARGURUS and CG logos, as well as the word-mark CARGURUS, in the U.S., Canada, and the United Kingdom. Additionally, CarOffer has a number of registered and unregistered trademarks, including “CarOffer” and the CarOffer logo, and related marks, which CarOffer has registered as trademarks in the U.S.</w:t>
      </w:r>
    </w:p>
    <w:p>
      <w:pPr>
        <w:spacing w:after="0" w:line="8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currently hold the “CarGurus.com” internet domain name and various other related domain names relating to our brands. The regulation of domain names is subject to change. Regulatory bodies could establish additional top-level domains, appoint additional domain name registrars, or modify the requirements for holding domain names. As a result, we may not be able to acquire or maintain all domain names that use the names of our brands. In addition, third parties have created and may in the future create copycat or squatter domains to deceive consumers, which could harm our brands, interfere with our ability to register domain names, and result in additional costs.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halt the operations of websites that aggregate or misappropriate our data.</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From time to time, third parties may misappropriate our data through website scraping, robots, or other means and aggregate this data with data from other sources. In addition, copycat websites may misappropriate data in our marketplaces and attempt to imitate our brands or the functionality of our websites. We may be unable to detect and remedy all such activities in a timely and adequate manner. Regardless of whether we can successfully enforce our rights against these third parties, any measures that we may take could require us to expend significant financial or other resources, which could harm our business, results of operations, and financial condition. In addition, to the extent that such activity creates confusion among consumers or advertisers, our brands and business could be harmed.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Seasonality and other factors may cause fluctuations in our operating results and our marketing spend.</w:t>
      </w:r>
    </w:p>
    <w:p>
      <w:pPr>
        <w:spacing w:after="0" w:line="11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Across the retail automotive industry, consumer purchases are typically greatest in the first three quarters of each year, due in part to the introduction of new vehicle models from manufacturers and the seasonal nature of consumer spending, and our consumer-marketing spend generally fluctuates accordingly. This seasonality has not been immediately apparent historically due to the overall growth of other operating expenses. In addition, any reduction of our marketing spend in response to COVID-19 or other macroeconomic-related expense management or otherwise, and shifts in demand from dealers and consumers could impact the efficiency of our marketing spend. As our growth rates moderate or cease, the impact of these seasonality trends and other influences on our results of operations could become more pronounced. In addition, the volume of wholesale vehicle sales fluctuates from quarter to quarter as a result of macroeconomic issues, which may have a corresponding impact on our results of operations. This variability is caused by several factors including the timing of used vehicles available for sale from selling customers, the seasonality of the retail market for used vehicles and/or inventory challenges in the automotive industry, which affect the demand side of the wholesale industry. This variability has affected our Digital Wholesale segment in the past, and may continue to in the future.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deal effectively with fraud or other illegal activity could harm our business.</w:t>
      </w:r>
    </w:p>
    <w:p>
      <w:pPr>
        <w:spacing w:after="0" w:line="11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Based on the nature of our business, we are exposed to potential fraudulent and illegal activity in our marketplaces, including: listings of automobiles that are not owned by the purported dealer or that the dealer has no intention of selling at the listed price; receipt of fraudulent leads that we may send to our dealers; and deceptive practices in our peer-to-peer marketplace. The measures we have in place to detect and limit the occurrence of such fraudulent and illegal activity in our marketplaces may not always be effective or account for all types of fraudulent or other illegal activity now or in the future. Failure to limit the impact of fraudulent and illegal activity on our websites could lead to potential legal liability, harm our business, cause us to lose paying dealer customers and adversely affect our reputation, financial performance and growth prospects.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If we are unable to remediate this material weakness, we may not be able to accurately or timely report our financial condition or results of operations, which may adversely affect our business and the market price of our common stock.</w:t>
      </w:r>
    </w:p>
    <w:p>
      <w:pPr>
        <w:spacing w:after="0" w:line="76"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We have identified a material weakness in our internal control over financial reporting. If we are unable to remediate this material weakness, we may not be able to accurately or timely report our financial condition or results of operations, which may adversely affect our business and the market price of our Class A common stock.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We have identified deficiencies in controls at our CarOffer subsidiary. These deficiencies include controls over (i) certain IT general controls for systems that are relevant to the preparation of our financial statements and (ii) our financial statement close process, which in the aggregate constitute a material weakness. While this material weakness did not result in a material misstatement of our financial statements, it could impact the effectiveness of our segregation of duties controls, as well as the effectiveness of IT-dependent controls, which could result in misstatement(s) impacting financial statement accounts and disclosures, resulting in a material misstatement of our annual or interim financial statements that we would have failed to prevent or detect. As a result of this material weakness, our management concluded that our disclosure controls and procedures were not effective as of March 31, 2023.</w:t>
      </w:r>
    </w:p>
    <w:p>
      <w:pPr>
        <w:spacing w:after="0" w:line="60"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We have implemented a remediation plan designed to improve our internal control over financial reporting to remediate this material weakness. This remediation plan includes implementation of additional controls and procedures, including timely performance of user access and change management reviews, as well as an effective review of journal entries and accounts reconciliations. We cannot assure you that the measures we have taken to date, and actions we may take in the future, will be sufficient to remediate the control deficiencies that led to the material weakness in our internal control over financial reporting or that they will prevent or avoid potential future material weaknesses. If we are unable to successfully remediate the material weakness in our internal control over financial reporting, the accuracy and timing of our financial reporting may be adversely affected, investors could lose confidence in the accuracy and completeness of our financial reports, the market price of our Class A common stock could decline, we could be subject to sanctions or investigations by Nasdaq, the SEC or other regulatory authorities, and our ability to access the capital markets could be limited.</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2022 Revolver contains certain covenants and other restrictions on our actions that may limit our operational flexibility or otherwise adversely affect our results of operations.</w:t>
      </w:r>
    </w:p>
    <w:p>
      <w:pPr>
        <w:spacing w:after="0" w:line="62"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The terms of our 2022 Revolver include a number of covenants that limit our ability to, among other things, grant or incur liens, incur additional indebtedness, make certain restricted investments or payments, enter into certain mergers and acquisitions or engage in certain asset sales, subject in each case to certain exceptions. In addition, our 2022 Revolver also subjects us to financial covenants in respect of minimum liquidity and requires that we maintain a net leverage ratio. The terms of our 2022 Revolver may restrict our current and future operations and could adversely affect our ability to finance our future operations or capital needs. Complying with these covenants may make it more difficult for us to successfully execute our business strategy and compete against companies which are not subject to such restrictions. Further, interest rate fluctuations may materially adversely affect our results of operations and financial conditions due to the variable interest rate on our 2022 Revolver, in the event that we draw down funds thereunder.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5" w:name="page56"/>
    <w:bookmarkEnd w:id="55"/>
    <w:p>
      <w:pPr>
        <w:jc w:val="both"/>
        <w:ind w:firstLine="509"/>
        <w:spacing w:after="0" w:line="293" w:lineRule="auto"/>
        <w:rPr>
          <w:sz w:val="20"/>
          <w:szCs w:val="20"/>
          <w:color w:val="auto"/>
        </w:rPr>
      </w:pPr>
      <w:r>
        <w:rPr>
          <w:rFonts w:ascii="Arial" w:cs="Arial" w:eastAsia="Arial" w:hAnsi="Arial"/>
          <w:sz w:val="16"/>
          <w:szCs w:val="16"/>
          <w:color w:val="auto"/>
        </w:rPr>
        <w:t>A failure by us to comply with the covenants or payment requirements specified in our 2022 Revolver could result in an event of default, which would give the lenders the right to terminate their commitments to provide loans under our 2022 Revolver and to declare any borrowings outstanding, together with any accrued and unpaid interest and fees, to be immediately due and payable. If any debt under our 2022 Revolver were to be accelerated, we may not have sufficient cash or be able to borrow sufficient funds to refinance the debt or sell sufficient assets to repay the debt, which could immediately adversely affect our business, cash flows, results of operations, and financial condition. Even if we were able to obtain new financing, it may not be on commercially reasonable terms or on terms that are acceptable to us. As of March 31, 2023, there were no amounts outstanding under our 2022 Revolver.</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founder controls a majority of the voting power of our outstanding capital stock, and, therefore, has control over key decision-making and could control our actions in a manner that conflicts with the interests of other stockholders.</w:t>
      </w:r>
    </w:p>
    <w:p>
      <w:pPr>
        <w:spacing w:after="0" w:line="62"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Primarily by virtue of his holdings in shares of our Class B common stock, which has a ten-to-one voting ratio compared to our Class A common stock, Langley Steinert, our founder, Chairman of the Board and Executive Chairman, is able to exercise voting rights with respect to a majority of the voting power of our outstanding capital stock and therefore has the ability to control the outcome of matters submitted to our stockholders for approval, including the election of directors and any merger, consolidation, or sale of all or substantially all of our assets. This concentrated control could delay, defer, or prevent a change of control, merger, consolidation, or sale of all or substantially all of our assets that our other stockholders support, or conversely this concentrated control could result in the consummation of such a transaction that our other stockholders do not support. This concentrated control could also discourage a potential investor from acquiring our Class A common stock, which might harm the trading price of our Class A common stock. In addition, Mr. Steinert has significant influence in the management and major strategic investments of our company as a result of his position as Executive Chairman, and his ability to control the election or replacement of our directors. As Chairman of the Board and our Executive Chairman, Mr. Steinert owes a fiduciary duty to our stockholders and must act in good faith in a manner he reasonably believes to be in the best interests of our stockholders. If Mr. Steinert’s status as an officer and a director is terminated, his fiduciary duties to our stockholders will also terminate, but his voting power as a stockholder will not be reduced as a result of such termination unless such termination is either made voluntarily by Mr. Steinert or due to Mr. Steinert’s death, or if the sum of the number of shares of our capital stock held by Mr. Steinert, by any Family Member of Mr. Steinert, and by any Permitted Entity of Mr. Steinert (as such capitalized terms are defined in our amended and restated certificate of incorporation, included as Exhibit 3.1 to the Annual Report on Form 10-K as of December 31, 2022, filed on March 1, 2023), assuming the exercise and settlement in full of all outstanding options and convertible securities and calculated on an as-converted to Class A common stock basis, is less than 9,091,484 shares. As a stockholder, even a controlling stockholder, Mr. Steinert is entitled to vote his shares in his own interests, which may not always be aligned with the interests of our other stockholders.</w:t>
      </w:r>
    </w:p>
    <w:p>
      <w:pPr>
        <w:spacing w:after="0" w:line="66"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We believe that Mr. Steinert’s continued control of a majority of the voting power of our outstanding capital stock is beneficial to us and is in the best interests of our stockholders. In the event that Mr. Steinert no longer controls a majority of the voting power, whether as a result of the disposition of some or all his shares of Class A or Class B common stock, the conversion of the Class B common stock into Class A common stock in accordance with its terms, or otherwise, our business or the trading price of our Class A common stock may be adversely affected.</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multiple class structure of our common stock has the effect of concentrating voting control with our founder and certain other holders of our Class B common stock, which will limit or preclude the ability of our stockholders to influence corporate matters.</w:t>
      </w:r>
    </w:p>
    <w:p>
      <w:pPr>
        <w:spacing w:after="0" w:line="6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Our Class B common stock has ten votes per share and our Class A common stock has one vote per share. Our founder and certain of his affiliates hold a substantial number of the outstanding shares of our Class B common stock and therefore hold a substantial majority of the voting power of our outstanding capital stock. Because of the ten-to-one voting ratio between our Class B and Class A common stock, the holders of our Class B common stock collectively control a majority of the combined voting power of our common stock and therefore are able to control all matters submitted to our stockholders for approval so long as the shares of Class B common stock represent at least 9.1% of all outstanding shares of our Class A and Class B common stock. This concentrated control will limit or preclude the ability of our other stockholders to influence corporate matters for the foreseeable future. Additionally, transfers by holders of Class B common stock will generally result in those transferred shares converting into Class A common stock, subject to limited exceptions, such as certain transfers effected for estate planning or charitable purposes. The conversion of Class B common stock into Class A common stock has had and will continue to have the effect, over time, of increasing the relative voting power of those holders of Class B common stock who retain such shares. If, for example, Mr. Steinert retains a significant portion of his holdings of Class B common stock, he could continue to control a majority of the combined voting power of our outstanding capital stock.</w:t>
      </w:r>
    </w:p>
    <w:p>
      <w:pPr>
        <w:spacing w:after="0" w:line="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status as a “controlled company” could make our Class A common stock less attractive to some investors or otherwise harm the trading price of our Class A common stock.</w:t>
      </w:r>
    </w:p>
    <w:p>
      <w:pPr>
        <w:spacing w:after="0" w:line="6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More than 50% of our voting power is held by Mr. Steinert. As a result, we are a “controlled company” under the corporate governance rules for Nasdaq-listed companies and may elect not to comply with certain Nasdaq corporate governance requirements. We rely and have relied on certain or all of these exemptions. Accordingly, should the interests of our controlling stockholder differ from those of other stockholders, the other stockholders may not have the same protections afforded to stockholders of companies that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6" w:name="page57"/>
    <w:bookmarkEnd w:id="56"/>
    <w:p>
      <w:pPr>
        <w:jc w:val="both"/>
        <w:spacing w:after="0" w:line="277" w:lineRule="auto"/>
        <w:rPr>
          <w:sz w:val="20"/>
          <w:szCs w:val="20"/>
          <w:color w:val="auto"/>
        </w:rPr>
      </w:pPr>
      <w:r>
        <w:rPr>
          <w:rFonts w:ascii="Arial" w:cs="Arial" w:eastAsia="Arial" w:hAnsi="Arial"/>
          <w:sz w:val="18"/>
          <w:szCs w:val="18"/>
          <w:color w:val="auto"/>
        </w:rPr>
        <w:t>are subject to all of the corporate governance rules for Nasdaq-listed companies. Our status as a controlled company could make our Class A common stock less attractive to some investors or otherwise harm our stock price.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trading price of our Class A common stock has been and may continue to be volatile and the value of our stockholders’ investment in our stock could decline.</w:t>
      </w:r>
    </w:p>
    <w:p>
      <w:pPr>
        <w:spacing w:after="0" w:line="6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The trading price of our Class A common stock has been and may continue to be volatile and fluctuate substantially. The trading price of our Class A common stock depends on a number of factors, including those described in this “Risk Factors” section, many of which are beyond our control and may not be related to our operating performance. Factors that could cause fluctuations in the trading price of our Class A common stock include the following: changes in the operating performance and stock market valuations of other technology companies generally, or those in our industry in particular; sales of shares of our Class A common stock by us or our stockholders; adverse changes to recommendations regarding our stock by covering securities analysts; failure of securities analysts to maintain coverage of us, changes in financial estimates by any securities analysts who follow our company, or our failure to meet these estimates or the expectations of investors; announcements by us or our competitors of new products; the public’s reaction to our issuances of earnings guidance or other public announcements and filing; real or perceived inaccuracies in our key metrics; actions of an activist stockholder; actual or anticipated changes in our operating results or fluctuations in our operating results or developments in our business, our competitors’ businesses, or the competitive landscape generally; litigation involving us or investigations by regulators into our operations or those of our competitors; developments or disputes concerning our proprietary rights; announced or completed acquisitions of businesses or technologies by us or our competitors; new laws or regulations or new interpretations of existing laws or regulations applicable to our business; changes in accounting standards, policies, or guidelines; any significant change in our management; changes in the automobile industry; the COVID-19 pandemic; and general economic conditions.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cannot guarantee that our share repurchase program will be fully implemented or that it will enhance stockholder value, and share repurchases could affect the price of our Class A common stock.</w:t>
      </w:r>
    </w:p>
    <w:p>
      <w:pPr>
        <w:spacing w:after="0" w:line="6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December 2022, our board of directors authorized a share repurchase program (the "Share Repurchase Program") pursuant to which we may, from time to time, purchase shares of our Class A common stock for an aggregate purchase price not to exceed $250 million, with an expiration date of December 31, 2023. Repurchases under the program may be made through a variety of methods, including but not limited to open market purchases, privately negotiated transactions and transactions that may be effected pursuant to one or more plans under Rule 10b5-1 and/or Rule 10b-18 of the Exchange Act, and are subject to market and business conditions, levels of available liquidity, cash requirements for other purposes, regulatory, and other relevant factors. The timing, pricing, and size of share repurchases will depend on a number of factors, including, but not limited to, price, corporate and regulatory requirements, and general market and economic conditions. The repurchase program does not obligate us to repurchase any dollar amount or number of shares, and the program may be suspended or discontinued at any time, which may result in a decrease in the price of our Class A common stock.</w:t>
      </w:r>
    </w:p>
    <w:p>
      <w:pPr>
        <w:spacing w:after="0" w:line="88"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Repurchases under our Share Repurchase Program will decrease the number of outstanding shares of our Class A common stock and therefore could affect the price of our Class A common stock and increase its volatility. The existence of our Share Repurchase Program could also cause the price of our Class A common stock to be higher than it would be in the absence of such a program and could reduce the market liquidity for our Class A common stock. Additionally, repurchases under our Share Repurchase Program will diminish our cash reserves, which could impact our ability to further develop our business and service our indebtedness. There can be no assurance that any share repurchases will enhance stockholder value because the market price of our Class A common stock may decline below the levels at which we repurchased such shares. Any failure to repurchase shares after we have announced our intention to do so may negatively impact our reputation and investor confidence in us and may negatively impact our Class A common stock price. Although our Share Repurchase Program is intended to enhance long-term stockholder value, short-term price fluctuations could reduce the program’s effectiveness.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We are unable to predict the extent to which the ongoing global COVID-19 pandemic may adversely impact our business operations, financial performance and results of operations.</w:t>
      </w:r>
    </w:p>
    <w:p>
      <w:pPr>
        <w:spacing w:after="0" w:line="7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For the past three years the COVID-19 pandemic and efforts to control its spread have resulted in, and may continue to or at a later time result in, significant disruptions to the global economy as well as businesses and capital markets around the world. Our operations have been and may continue to be materially adversely affected by a range of factors related to the COVID-19 pandemic that are not within our control, including the various restrictions imposed by cities, counties, states and countries on our employees, customers, partners and suppliers designed to limit the spread of COVID-19. The ultimate extent of the impact of the pandemic will depend on future developments that remain highly uncertain and cannot currently be predicted, including outbreaks of new variants and the availability and effectiveness of vaccines.</w:t>
      </w:r>
    </w:p>
    <w:p>
      <w:pPr>
        <w:spacing w:after="0" w:line="7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operations have been and may continue to be materially adversely affected by a range of factors related to the COVID-19 pandemic, including periodic changes in restrictions that vary from region to region in which we operate and may require rapid response to new or reinstated orders. Many of these orders resulted in, and, to the extent reinstated, may in the future result in changes to our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7" w:name="page58"/>
    <w:bookmarkEnd w:id="57"/>
    <w:p>
      <w:pPr>
        <w:jc w:val="both"/>
        <w:spacing w:after="0" w:line="259" w:lineRule="auto"/>
        <w:rPr>
          <w:sz w:val="20"/>
          <w:szCs w:val="20"/>
          <w:color w:val="auto"/>
        </w:rPr>
      </w:pPr>
      <w:r>
        <w:rPr>
          <w:rFonts w:ascii="Arial" w:cs="Arial" w:eastAsia="Arial" w:hAnsi="Arial"/>
          <w:sz w:val="18"/>
          <w:szCs w:val="18"/>
          <w:color w:val="auto"/>
        </w:rPr>
        <w:t>on-site work policies and staffing and restrictions on the ability of consumers to buy and sell automobiles by restricting operations at dealerships and/or by closing or reducing the services provided by certain service providers upon which dealerships rely. In addition, these restrictions and continued concern about the spread of the disease have impacted car shopping by consumers and disrupted the operations of car dealerships, which has adversely affected and may continue to adversely affect the market for automobile purchases.</w:t>
      </w:r>
    </w:p>
    <w:p>
      <w:pPr>
        <w:spacing w:after="0" w:line="7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These effects from the COVID-19 pandemic on our revenue caused us to implement certain cost-savings measures across our business, which previously disrupted our business and operations. Any future cost-savings measures implemented by us due to macroeconomic issues, may affect our future business and operations and yield unintended consequences, such as loss of key employees, increased costs in hiring new employees, undesired attrition, and the risk that we may not achieve anticipated cost savings at the levels we expect, any of which may have a material adverse effect on our results of operations and/or financial condition.</w:t>
      </w:r>
    </w:p>
    <w:p>
      <w:pPr>
        <w:spacing w:after="0" w:line="80"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We continue to monitor and assess the ongoing effects of the COVID-19 pandemic on our commercial operations, including the impact on our revenue. We cannot at this time accurately predict what effects these conditions will ultimately have on our operations or on the global economies and financial markets in which we operate, which may have a significant negative impact on our business, financial condition and results of operations.</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participate in a highly competitive market, and pressure from existing and new companies may adversely affect our business and operating results.</w:t>
      </w:r>
    </w:p>
    <w:p>
      <w:pPr>
        <w:spacing w:after="0" w:line="152"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We face significant competition from companies that provide listings, car-shopping information, lead generation, marketing, wholesale, and digital car-buying and -selling services designed to help consumers and dealers shop for cars and to enable dealers to reach these consumers. Our competitors include: online automotive marketplaces and websites; internet search engines; peer-to-peer marketplaces; social media marketplaces; sites operated by automobile dealers; online dealerships; and vehicle auction companies. We compete with these and other companies for a share of dealers’ overall marketing budget for online and offline media marketing spend and we compete with these and other companies in attracting consumers to our websites. To the extent that dealers view alternative marketing and media strategies to be superior to our marketplaces, we may not be able to maintain or grow the number of dealers subscribing to, and advertising on, our marketplaces, and our business and financial results may be adversely affected. We also expect that new competitors will continue to enter the online automotive retail and wholesale industries with competing marketplaces, products, and services, and that existing competitors will expand to offer competing products or services, which could have an adverse effect on our business and financial results.</w:t>
      </w:r>
    </w:p>
    <w:p>
      <w:pPr>
        <w:spacing w:after="0" w:line="58"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Our competitors could significantly impede our ability to expand the number of dealers using our marketplaces or could offer discounts that could significantly impede our ability to maintain our pricing structure. Our competitors may also develop and market new technologies that render our existing or future platforms and associated products less competitive, unmarketable, or obsolete. In addition, if our competitors develop platforms with similar or superior functionality to ours, or if our web traffic declines, we may need to decrease our subscription and advertising fees. If we are unable to maintain our current pricing structure due to competitive pressures, our revenue would likely be reduced and our financial results would be negatively affected. Furthermore, our existing and potential competitors may have significantly more financial, technical, marketing, and other resources than we have, which may allow them to offer more competitive pricing and the ability to devote greater resources to the development, promotion, and support of their marketplaces, products, and services. They may also have more extensive automotive industry relationships than we have, longer operating histories, and greater name recognition. In addition, these competitors may be able to respond more quickly with technological advances and to undertake more extensive marketing or promotional campaigns than we can. To the extent that any competitor has existing relationships with dealers or auto manufacturers for marketing or data analytics solutions, those dealers and auto manufacturers may be unwilling to partner with us. If we are unable to compete with these competitors, the demand for our marketplaces and related products and services could substantially decline.</w:t>
      </w:r>
    </w:p>
    <w:p>
      <w:pPr>
        <w:spacing w:after="0" w:line="6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must maintain proper and effective internal control over financial reporting and any failure to maintain the adequacy of these internal controls may adversely affect investor confidence in our company and, as a result, the value of our Class A common stock.</w:t>
      </w:r>
    </w:p>
    <w:p>
      <w:pPr>
        <w:spacing w:after="0" w:line="38"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are required, pursuant to Section 404 and the related rules adopted by the SEC,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such as those described above. In addition, our independent registered public accounting firm must attest to the effectiveness of our internal control over financial reporting under Section 404. Our independent registered public accounting firm may issue a report that is adverse to us in the event it is not satisfied with the level at which our controls are documented, designed or operating. We may not be able to remediate the material weakness described above and/or any future material weaknesses that may be identified, or to complete our evaluation, testing and required remediation in a timely fashion. We are also required to disclose significant changes made to our internal control procedures on a quarterly basis. Our compliance with Section 404 requires that we incur substantial accounting expense and expend significant management efforts. Any failure to maintain internal control over financial reporting could severely inhibit our ability to accurately report our financial condition or results of operations. If we are unable to assert that our internal control over financial reporting is effective or our independent registered public accounting firm is unable to express an opinion on the effectiveness of our internal control over financial reporting when it is required to issue such opinion, we could lose investor confidence in the accuracy and completeness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8" w:name="page59"/>
    <w:bookmarkEnd w:id="58"/>
    <w:p>
      <w:pPr>
        <w:jc w:val="both"/>
        <w:spacing w:after="0" w:line="311" w:lineRule="auto"/>
        <w:rPr>
          <w:sz w:val="20"/>
          <w:szCs w:val="20"/>
          <w:color w:val="auto"/>
        </w:rPr>
      </w:pPr>
      <w:r>
        <w:rPr>
          <w:rFonts w:ascii="Arial" w:cs="Arial" w:eastAsia="Arial" w:hAnsi="Arial"/>
          <w:sz w:val="16"/>
          <w:szCs w:val="16"/>
          <w:color w:val="auto"/>
        </w:rPr>
        <w:t>of our financial reports, the market price of our Class A common stock could decline, and we could be subject to sanctions or investigations by Nasdaq, the SEC or other regulatory authorities. Failure to remedy the material weakness described above and/or any future material weaknesses that may be identified, or to implement or maintain other effective control systems required of public companies, could also restrict our future access to the capital markets.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results of operations to fluctuate on a quarterly and annual basis.</w:t>
      </w:r>
    </w:p>
    <w:p>
      <w:pPr>
        <w:spacing w:after="0" w:line="117"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Our revenue and results of operations could vary significantly from period to period and may fail to match expectations as a result of a variety of factors, some of which are outside of our control, including the continued effects of the COVID-19 pandemic and other macroeconomic issues, such as increased interest rates. Our results may vary as a result of fluctuations in the number of dealers subscribing to our marketplaces, the size and seasonal variability of our advertisers’ marketing budgets, and the impact of vehicle arbitrations, volume and prices in a given period in connection with our IMCO product and the wholesale sale of automobiles. As a result of the potential variations in our revenue and results of operations, period-to-period comparisons may not be meaningful and the results of any one period should not be relied on as an indication of future performance. In addition, our results of operations may not meet the expectations of investors or covering analysts, which may adversely affect the trading price of our Class A common stock.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adverse changes in tax laws, regulations and interpretations, plus challenges to our tax positions.</w:t>
      </w:r>
    </w:p>
    <w:p>
      <w:pPr>
        <w:spacing w:after="0" w:line="117"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We are subject to taxation in the United States and certain other jurisdictions in which we operate. Changes in applicable tax laws or regulations may be proposed or enacted that could materially and adversely affect our effective tax rate, tax payments, results of operations, financial condition and cash flows. In addition, tax laws and regulations are complex and subject to varying interpretations. There is also uncertainty over sales tax liability as a result of recent U.S. Supreme Court and Massachusetts Supreme Court decisions, which could precipitate reactions that could adversely increase our tax administrative costs and tax risk, and negatively affect our overall business, results of operations, financial condition and cash flows. We are also regularly subject to audits by tax authorities. Any adverse development or outcome in connection with any such tax audits, and any other audits or litigation, could materially and adversely impact our effective tax rate, tax payments, results of operations, financial condition and cash flows.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Russian invasion of Ukraine and the retaliatory measures imposed by the U.S., U.K., European Union and other countries and the responses of Russia to such measures have caused significant disruptions to domestic and foreign economies.</w:t>
      </w:r>
    </w:p>
    <w:p>
      <w:pPr>
        <w:spacing w:after="0" w:line="62"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 Russia and Ukraine conflict had an immediate impact on the global economy resulting in higher prices for oil and other commodities, including vehicle components. Economic sanctions and bans, together with Russia's own retaliatory measures have disrupted supply chains and economic markets. The global impact of these measures is continually evolving and the future impact cannot be predicted with certainty. In particular, the Russia and Ukraine conflict has further impacted the ability of certain manufacturers to produce new vehicles and new vehicle parts, which may result in continued disruptions to the supply of new and used vehicles. Further, there is no assurance that when the Russia and Ukraine conflict ends, countries will not continue to impose sanctions and bans.</w:t>
      </w:r>
    </w:p>
    <w:p>
      <w:pPr>
        <w:spacing w:after="0" w:line="84"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While these events have not materially interrupted our operations, these or future developments resulting from the Russia and Ukraine conflict, such as a cyberattack on the U.S. or our suppliers, could disrupt our operations, our customers' operations, or the activity of consumers on our websites.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following table summarizes information about our purchases of our Class A common stock equity securities for each of the months during the three months ended March 31, 2023:</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84"/>
              <w:spacing w:after="0"/>
              <w:rPr>
                <w:sz w:val="20"/>
                <w:szCs w:val="20"/>
                <w:color w:val="auto"/>
              </w:rPr>
            </w:pPr>
            <w:r>
              <w:rPr>
                <w:rFonts w:ascii="Arial" w:cs="Arial" w:eastAsia="Arial" w:hAnsi="Arial"/>
                <w:sz w:val="14"/>
                <w:szCs w:val="14"/>
                <w:b w:val="1"/>
                <w:bCs w:val="1"/>
                <w:color w:val="auto"/>
                <w:w w:val="99"/>
              </w:rPr>
              <w:t>Maximum</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22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Approximate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Dollar Value of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0"/>
              </w:rPr>
              <w:t>Shares of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center"/>
              <w:ind w:right="63"/>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22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22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Average Price</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2"/>
              </w:rPr>
              <w:t>Purchased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of</w:t>
            </w:r>
          </w:p>
        </w:tc>
        <w:tc>
          <w:tcPr>
            <w:tcW w:w="24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Paid per Share</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22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40" w:type="dxa"/>
            <w:vAlign w:val="bottom"/>
          </w:tcPr>
          <w:p>
            <w:pPr>
              <w:spacing w:after="0"/>
              <w:rPr>
                <w:sz w:val="12"/>
                <w:szCs w:val="12"/>
                <w:color w:val="auto"/>
              </w:rPr>
            </w:pPr>
          </w:p>
        </w:tc>
        <w:tc>
          <w:tcPr>
            <w:tcW w:w="1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Common Stock</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63"/>
              <w:spacing w:after="0" w:line="145" w:lineRule="exact"/>
              <w:rPr>
                <w:sz w:val="20"/>
                <w:szCs w:val="20"/>
                <w:color w:val="auto"/>
              </w:rPr>
            </w:pPr>
            <w:r>
              <w:rPr>
                <w:rFonts w:ascii="Arial" w:cs="Arial" w:eastAsia="Arial" w:hAnsi="Arial"/>
                <w:sz w:val="14"/>
                <w:szCs w:val="14"/>
                <w:b w:val="1"/>
                <w:bCs w:val="1"/>
                <w:color w:val="auto"/>
                <w:w w:val="95"/>
              </w:rPr>
              <w:t>of Common</w:t>
            </w:r>
          </w:p>
        </w:tc>
        <w:tc>
          <w:tcPr>
            <w:tcW w:w="180" w:type="dxa"/>
            <w:vAlign w:val="bottom"/>
          </w:tcPr>
          <w:p>
            <w:pPr>
              <w:spacing w:after="0"/>
              <w:rPr>
                <w:sz w:val="12"/>
                <w:szCs w:val="12"/>
                <w:color w:val="auto"/>
              </w:rPr>
            </w:pPr>
          </w:p>
        </w:tc>
        <w:tc>
          <w:tcPr>
            <w:tcW w:w="10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Plans or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64"/>
              <w:spacing w:after="0" w:line="145" w:lineRule="exact"/>
              <w:rPr>
                <w:sz w:val="20"/>
                <w:szCs w:val="20"/>
                <w:color w:val="auto"/>
              </w:rPr>
            </w:pPr>
            <w:r>
              <w:rPr>
                <w:rFonts w:ascii="Arial" w:cs="Arial" w:eastAsia="Arial" w:hAnsi="Arial"/>
                <w:sz w:val="14"/>
                <w:szCs w:val="14"/>
                <w:b w:val="1"/>
                <w:bCs w:val="1"/>
                <w:color w:val="auto"/>
                <w:w w:val="93"/>
              </w:rPr>
              <w:t>or Programs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140" w:type="dxa"/>
            <w:vAlign w:val="bottom"/>
          </w:tcPr>
          <w:p>
            <w:pPr>
              <w:ind w:left="2300"/>
              <w:spacing w:after="0"/>
              <w:rPr>
                <w:sz w:val="20"/>
                <w:szCs w:val="20"/>
                <w:color w:val="auto"/>
              </w:rPr>
            </w:pPr>
            <w:r>
              <w:rPr>
                <w:rFonts w:ascii="Arial" w:cs="Arial" w:eastAsia="Arial" w:hAnsi="Arial"/>
                <w:sz w:val="14"/>
                <w:szCs w:val="14"/>
                <w:b w:val="1"/>
                <w:bCs w:val="1"/>
                <w:color w:val="auto"/>
              </w:rPr>
              <w:t>Period</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3"/>
              <w:spacing w:after="0" w:line="189" w:lineRule="exact"/>
              <w:rPr>
                <w:sz w:val="20"/>
                <w:szCs w:val="20"/>
                <w:color w:val="auto"/>
              </w:rPr>
            </w:pPr>
            <w:r>
              <w:rPr>
                <w:rFonts w:ascii="Arial" w:cs="Arial" w:eastAsia="Arial" w:hAnsi="Arial"/>
                <w:sz w:val="14"/>
                <w:szCs w:val="14"/>
                <w:b w:val="1"/>
                <w:bCs w:val="1"/>
                <w:color w:val="auto"/>
                <w:w w:val="85"/>
              </w:rPr>
              <w:t>Stock</w:t>
            </w:r>
            <w:r>
              <w:rPr>
                <w:rFonts w:ascii="Arial" w:cs="Arial" w:eastAsia="Arial" w:hAnsi="Arial"/>
                <w:sz w:val="19"/>
                <w:szCs w:val="19"/>
                <w:b w:val="1"/>
                <w:bCs w:val="1"/>
                <w:color w:val="auto"/>
                <w:w w:val="85"/>
                <w:vertAlign w:val="superscript"/>
              </w:rPr>
              <w:t>(1)</w:t>
            </w:r>
          </w:p>
        </w:tc>
        <w:tc>
          <w:tcPr>
            <w:tcW w:w="180" w:type="dxa"/>
            <w:vAlign w:val="bottom"/>
          </w:tcPr>
          <w:p>
            <w:pPr>
              <w:spacing w:after="0"/>
              <w:rPr>
                <w:sz w:val="16"/>
                <w:szCs w:val="16"/>
                <w:color w:val="auto"/>
              </w:rPr>
            </w:pPr>
          </w:p>
        </w:tc>
        <w:tc>
          <w:tcPr>
            <w:tcW w:w="108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87"/>
              </w:rPr>
              <w:t>Programs</w:t>
            </w:r>
            <w:r>
              <w:rPr>
                <w:rFonts w:ascii="Arial" w:cs="Arial" w:eastAsia="Arial" w:hAnsi="Arial"/>
                <w:sz w:val="19"/>
                <w:szCs w:val="19"/>
                <w:b w:val="1"/>
                <w:bCs w:val="1"/>
                <w:color w:val="auto"/>
                <w:w w:val="87"/>
                <w:vertAlign w:val="superscript"/>
              </w:rPr>
              <w:t>(2)(3)</w:t>
            </w:r>
          </w:p>
        </w:tc>
        <w:tc>
          <w:tcPr>
            <w:tcW w:w="220" w:type="dxa"/>
            <w:vAlign w:val="bottom"/>
          </w:tcPr>
          <w:p>
            <w:pPr>
              <w:spacing w:after="0"/>
              <w:rPr>
                <w:sz w:val="16"/>
                <w:szCs w:val="16"/>
                <w:color w:val="auto"/>
              </w:rPr>
            </w:pPr>
          </w:p>
        </w:tc>
        <w:tc>
          <w:tcPr>
            <w:tcW w:w="1020" w:type="dxa"/>
            <w:vAlign w:val="bottom"/>
            <w:tcBorders>
              <w:bottom w:val="single" w:sz="8" w:color="auto"/>
            </w:tcBorders>
            <w:gridSpan w:val="2"/>
          </w:tcPr>
          <w:p>
            <w:pPr>
              <w:jc w:val="center"/>
              <w:spacing w:after="0" w:line="189" w:lineRule="exact"/>
              <w:rPr>
                <w:sz w:val="20"/>
                <w:szCs w:val="20"/>
                <w:color w:val="auto"/>
              </w:rPr>
            </w:pPr>
            <w:r>
              <w:rPr>
                <w:rFonts w:ascii="Arial" w:cs="Arial" w:eastAsia="Arial" w:hAnsi="Arial"/>
                <w:sz w:val="14"/>
                <w:szCs w:val="14"/>
                <w:b w:val="1"/>
                <w:bCs w:val="1"/>
                <w:color w:val="auto"/>
                <w:w w:val="87"/>
              </w:rPr>
              <w:t>(in thousands)</w:t>
            </w:r>
            <w:r>
              <w:rPr>
                <w:rFonts w:ascii="Arial" w:cs="Arial" w:eastAsia="Arial" w:hAnsi="Arial"/>
                <w:sz w:val="19"/>
                <w:szCs w:val="19"/>
                <w:b w:val="1"/>
                <w:bCs w:val="1"/>
                <w:color w:val="auto"/>
                <w:w w:val="87"/>
                <w:vertAlign w:val="superscript"/>
              </w:rPr>
              <w:t>(2)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January 1, 2023 through January 31, 2023</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2,260,837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15.68</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2,260,837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195,859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40" w:type="dxa"/>
            <w:vAlign w:val="bottom"/>
          </w:tcPr>
          <w:p>
            <w:pPr>
              <w:ind w:left="140"/>
              <w:spacing w:after="0"/>
              <w:rPr>
                <w:sz w:val="20"/>
                <w:szCs w:val="20"/>
                <w:color w:val="auto"/>
              </w:rPr>
            </w:pPr>
            <w:r>
              <w:rPr>
                <w:rFonts w:ascii="Arial" w:cs="Arial" w:eastAsia="Arial" w:hAnsi="Arial"/>
                <w:sz w:val="16"/>
                <w:szCs w:val="16"/>
                <w:color w:val="auto"/>
              </w:rPr>
              <w:t>February 1, 2023 through February 28, 2023</w:t>
            </w:r>
          </w:p>
        </w:tc>
        <w:tc>
          <w:tcPr>
            <w:tcW w:w="1100" w:type="dxa"/>
            <w:vAlign w:val="bottom"/>
          </w:tcPr>
          <w:p>
            <w:pPr>
              <w:jc w:val="right"/>
              <w:spacing w:after="0"/>
              <w:rPr>
                <w:sz w:val="20"/>
                <w:szCs w:val="20"/>
                <w:color w:val="auto"/>
              </w:rPr>
            </w:pPr>
            <w:r>
              <w:rPr>
                <w:rFonts w:ascii="Arial" w:cs="Arial" w:eastAsia="Arial" w:hAnsi="Arial"/>
                <w:sz w:val="16"/>
                <w:szCs w:val="16"/>
                <w:color w:val="auto"/>
              </w:rPr>
              <w:t>1,065,915</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16.99</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1,065,915</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177,749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1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March 1, 2023 through March 31, 2023</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663,109</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17.48</w:t>
            </w:r>
          </w:p>
        </w:tc>
        <w:tc>
          <w:tcPr>
            <w:tcW w:w="18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663,109</w:t>
            </w: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166,158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140" w:type="dxa"/>
            <w:vAlign w:val="bottom"/>
          </w:tcPr>
          <w:p>
            <w:pPr>
              <w:ind w:left="220"/>
              <w:spacing w:after="0"/>
              <w:rPr>
                <w:sz w:val="20"/>
                <w:szCs w:val="20"/>
                <w:color w:val="auto"/>
              </w:rPr>
            </w:pPr>
            <w:r>
              <w:rPr>
                <w:rFonts w:ascii="Arial" w:cs="Arial" w:eastAsia="Arial" w:hAnsi="Arial"/>
                <w:sz w:val="16"/>
                <w:szCs w:val="16"/>
                <w:color w:val="auto"/>
              </w:rPr>
              <w:t>Total</w:t>
            </w:r>
          </w:p>
        </w:tc>
        <w:tc>
          <w:tcPr>
            <w:tcW w:w="1100" w:type="dxa"/>
            <w:vAlign w:val="bottom"/>
          </w:tcPr>
          <w:p>
            <w:pPr>
              <w:jc w:val="right"/>
              <w:spacing w:after="0"/>
              <w:rPr>
                <w:sz w:val="20"/>
                <w:szCs w:val="20"/>
                <w:color w:val="auto"/>
              </w:rPr>
            </w:pPr>
            <w:r>
              <w:rPr>
                <w:rFonts w:ascii="Arial" w:cs="Arial" w:eastAsia="Arial" w:hAnsi="Arial"/>
                <w:sz w:val="16"/>
                <w:szCs w:val="16"/>
                <w:color w:val="auto"/>
              </w:rPr>
              <w:t>3,989,861</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16.33</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3,989,861</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166,158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-179070</wp:posOffset>
            </wp:positionV>
            <wp:extent cx="68580" cy="1797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-179070</wp:posOffset>
            </wp:positionV>
            <wp:extent cx="60325" cy="1797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179705"/>
                    </a:xfrm>
                    <a:prstGeom prst="rect">
                      <a:avLst/>
                    </a:prstGeom>
                    <a:noFill/>
                  </pic:spPr>
                </pic:pic>
              </a:graphicData>
            </a:graphic>
          </wp:anchor>
        </w:drawing>
      </w:r>
    </w:p>
    <w:p>
      <w:pPr>
        <w:ind w:left="1020" w:hanging="499"/>
        <w:spacing w:after="0" w:line="219" w:lineRule="auto"/>
        <w:tabs>
          <w:tab w:leader="none" w:pos="1020" w:val="left"/>
        </w:tabs>
        <w:numPr>
          <w:ilvl w:val="0"/>
          <w:numId w:val="12"/>
        </w:numPr>
        <w:rPr>
          <w:rFonts w:ascii="Arial" w:cs="Arial" w:eastAsia="Arial" w:hAnsi="Arial"/>
          <w:sz w:val="24"/>
          <w:szCs w:val="24"/>
          <w:color w:val="auto"/>
          <w:vertAlign w:val="subscript"/>
        </w:rPr>
      </w:pPr>
      <w:r>
        <w:rPr>
          <w:rFonts w:ascii="Arial" w:cs="Arial" w:eastAsia="Arial" w:hAnsi="Arial"/>
          <w:sz w:val="12"/>
          <w:szCs w:val="12"/>
          <w:color w:val="auto"/>
        </w:rPr>
        <w:t>The weighted average price paid per share of Class A common stock does not include cost of commissions.</w:t>
      </w:r>
    </w:p>
    <w:p>
      <w:pPr>
        <w:spacing w:after="0" w:line="89" w:lineRule="exact"/>
        <w:rPr>
          <w:rFonts w:ascii="Arial" w:cs="Arial" w:eastAsia="Arial" w:hAnsi="Arial"/>
          <w:sz w:val="24"/>
          <w:szCs w:val="24"/>
          <w:color w:val="auto"/>
          <w:vertAlign w:val="subscript"/>
        </w:rPr>
      </w:pPr>
    </w:p>
    <w:p>
      <w:pPr>
        <w:jc w:val="both"/>
        <w:ind w:left="1020" w:hanging="499"/>
        <w:spacing w:after="0" w:line="321" w:lineRule="auto"/>
        <w:tabs>
          <w:tab w:leader="none" w:pos="1020" w:val="left"/>
        </w:tabs>
        <w:numPr>
          <w:ilvl w:val="0"/>
          <w:numId w:val="12"/>
        </w:numPr>
        <w:rPr>
          <w:rFonts w:ascii="Arial" w:cs="Arial" w:eastAsia="Arial" w:hAnsi="Arial"/>
          <w:sz w:val="19"/>
          <w:szCs w:val="19"/>
          <w:color w:val="auto"/>
          <w:vertAlign w:val="subscript"/>
        </w:rPr>
      </w:pPr>
      <w:r>
        <w:rPr>
          <w:rFonts w:ascii="Arial" w:cs="Arial" w:eastAsia="Arial" w:hAnsi="Arial"/>
          <w:sz w:val="10"/>
          <w:szCs w:val="10"/>
          <w:color w:val="auto"/>
        </w:rPr>
        <w:t>On December 8, 2022, we announced that our Board of Directors authorized the Share Repurchase Program, pursuant to which we may, from time to time, purchase shares of our Class A common stock for an aggregate purchase price not to exceed $250 million. Share repurchases under the Share Repurchase Program may be made through a variety of methods, including but not limited to open market purchases, privately negotiated transactions and transactions that may be effected pursuant to one or more plans under Rule 10b5-1 and/or Rule 10b-18 of the Exchange Act. The Share Repurchase Program does not obligate us to repurchase any minimum dollar amount or number of shares. The Share Repurchase Program has an expiration date of December 31, 2023, and prior to its expiration may be modified, suspended, or discontinued by our Board of Directors at any time without prior notice. All repurchased shares will be retired. We expect to fund share repurchases through cash on hand and cash generated from operations.</w:t>
      </w:r>
    </w:p>
    <w:p>
      <w:pPr>
        <w:spacing w:after="0" w:line="1" w:lineRule="exact"/>
        <w:rPr>
          <w:rFonts w:ascii="Arial" w:cs="Arial" w:eastAsia="Arial" w:hAnsi="Arial"/>
          <w:sz w:val="19"/>
          <w:szCs w:val="19"/>
          <w:color w:val="auto"/>
          <w:vertAlign w:val="subscript"/>
        </w:rPr>
      </w:pPr>
    </w:p>
    <w:p>
      <w:pPr>
        <w:ind w:left="1020" w:hanging="499"/>
        <w:spacing w:after="0" w:line="187" w:lineRule="auto"/>
        <w:tabs>
          <w:tab w:leader="none" w:pos="1020" w:val="left"/>
        </w:tabs>
        <w:numPr>
          <w:ilvl w:val="0"/>
          <w:numId w:val="12"/>
        </w:numPr>
        <w:rPr>
          <w:rFonts w:ascii="Arial" w:cs="Arial" w:eastAsia="Arial" w:hAnsi="Arial"/>
          <w:sz w:val="21"/>
          <w:szCs w:val="21"/>
          <w:color w:val="auto"/>
          <w:vertAlign w:val="subscript"/>
        </w:rPr>
      </w:pPr>
      <w:r>
        <w:rPr>
          <w:rFonts w:ascii="Arial" w:cs="Arial" w:eastAsia="Arial" w:hAnsi="Arial"/>
          <w:sz w:val="11"/>
          <w:szCs w:val="11"/>
          <w:color w:val="auto"/>
        </w:rPr>
        <w:t>The total number of shares of common stock purchased as part of our Share Repurchase Program was inclusive of shares purchased but not settled as of March 31, 2023.</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below are filed or incorporated by reference into this Quarterly Report.</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9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Incorporated by Reference</w:t>
            </w:r>
          </w:p>
        </w:tc>
        <w:tc>
          <w:tcPr>
            <w:tcW w:w="1060" w:type="dxa"/>
            <w:vAlign w:val="bottom"/>
            <w:tcBorders>
              <w:bottom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40" w:type="dxa"/>
            <w:vAlign w:val="bottom"/>
          </w:tcPr>
          <w:p>
            <w:pPr>
              <w:spacing w:after="0" w:line="133" w:lineRule="exact"/>
              <w:rPr>
                <w:sz w:val="20"/>
                <w:szCs w:val="20"/>
                <w:color w:val="auto"/>
              </w:rPr>
            </w:pPr>
            <w:r>
              <w:rPr>
                <w:rFonts w:ascii="Arial" w:cs="Arial" w:eastAsia="Arial" w:hAnsi="Arial"/>
                <w:sz w:val="14"/>
                <w:szCs w:val="14"/>
                <w:b w:val="1"/>
                <w:bCs w:val="1"/>
                <w:color w:val="auto"/>
              </w:rPr>
              <w:t>Exhibit</w:t>
            </w:r>
          </w:p>
        </w:tc>
        <w:tc>
          <w:tcPr>
            <w:tcW w:w="5140" w:type="dxa"/>
            <w:vAlign w:val="bottom"/>
            <w:gridSpan w:val="9"/>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9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Form</w:t>
            </w:r>
          </w:p>
        </w:tc>
        <w:tc>
          <w:tcPr>
            <w:tcW w:w="1260" w:type="dxa"/>
            <w:vAlign w:val="bottom"/>
          </w:tcPr>
          <w:p>
            <w:pPr>
              <w:jc w:val="center"/>
              <w:ind w:right="8"/>
              <w:spacing w:after="0" w:line="133" w:lineRule="exact"/>
              <w:rPr>
                <w:sz w:val="20"/>
                <w:szCs w:val="20"/>
                <w:color w:val="auto"/>
              </w:rPr>
            </w:pPr>
            <w:r>
              <w:rPr>
                <w:rFonts w:ascii="Arial" w:cs="Arial" w:eastAsia="Arial" w:hAnsi="Arial"/>
                <w:sz w:val="14"/>
                <w:szCs w:val="14"/>
                <w:b w:val="1"/>
                <w:bCs w:val="1"/>
                <w:color w:val="auto"/>
                <w:w w:val="90"/>
              </w:rPr>
              <w:t>File</w:t>
            </w:r>
          </w:p>
        </w:tc>
        <w:tc>
          <w:tcPr>
            <w:tcW w:w="1120" w:type="dxa"/>
            <w:vAlign w:val="bottom"/>
          </w:tcPr>
          <w:p>
            <w:pPr>
              <w:jc w:val="center"/>
              <w:ind w:left="8"/>
              <w:spacing w:after="0" w:line="133" w:lineRule="exact"/>
              <w:rPr>
                <w:sz w:val="20"/>
                <w:szCs w:val="20"/>
                <w:color w:val="auto"/>
              </w:rPr>
            </w:pPr>
            <w:r>
              <w:rPr>
                <w:rFonts w:ascii="Arial" w:cs="Arial" w:eastAsia="Arial" w:hAnsi="Arial"/>
                <w:sz w:val="14"/>
                <w:szCs w:val="14"/>
                <w:b w:val="1"/>
                <w:bCs w:val="1"/>
                <w:color w:val="auto"/>
                <w:w w:val="96"/>
              </w:rPr>
              <w:t>Filing</w:t>
            </w:r>
          </w:p>
        </w:tc>
        <w:tc>
          <w:tcPr>
            <w:tcW w:w="1060" w:type="dxa"/>
            <w:vAlign w:val="bottom"/>
          </w:tcPr>
          <w:p>
            <w:pPr>
              <w:jc w:val="center"/>
              <w:ind w:left="8"/>
              <w:spacing w:after="0" w:line="133" w:lineRule="exact"/>
              <w:rPr>
                <w:sz w:val="20"/>
                <w:szCs w:val="20"/>
                <w:color w:val="auto"/>
              </w:rPr>
            </w:pPr>
            <w:r>
              <w:rPr>
                <w:rFonts w:ascii="Arial" w:cs="Arial" w:eastAsia="Arial" w:hAnsi="Arial"/>
                <w:sz w:val="14"/>
                <w:szCs w:val="14"/>
                <w:b w:val="1"/>
                <w:bCs w:val="1"/>
                <w:color w:val="auto"/>
                <w:w w:val="98"/>
              </w:rPr>
              <w:t>Exhibit</w:t>
            </w:r>
          </w:p>
        </w:tc>
        <w:tc>
          <w:tcPr>
            <w:tcW w:w="6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5140" w:type="dxa"/>
            <w:vAlign w:val="bottom"/>
            <w:gridSpan w:val="9"/>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260" w:type="dxa"/>
            <w:vAlign w:val="bottom"/>
          </w:tcPr>
          <w:p>
            <w:pPr>
              <w:jc w:val="center"/>
              <w:ind w:right="8"/>
              <w:spacing w:after="0"/>
              <w:rPr>
                <w:sz w:val="20"/>
                <w:szCs w:val="20"/>
                <w:color w:val="auto"/>
              </w:rPr>
            </w:pPr>
            <w:r>
              <w:rPr>
                <w:rFonts w:ascii="Arial" w:cs="Arial" w:eastAsia="Arial" w:hAnsi="Arial"/>
                <w:sz w:val="14"/>
                <w:szCs w:val="14"/>
                <w:b w:val="1"/>
                <w:bCs w:val="1"/>
                <w:color w:val="auto"/>
                <w:w w:val="94"/>
              </w:rPr>
              <w:t>Number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90"/>
        </w:trPr>
        <w:tc>
          <w:tcPr>
            <w:tcW w:w="940" w:type="dxa"/>
            <w:vAlign w:val="bottom"/>
          </w:tcPr>
          <w:p>
            <w:pPr>
              <w:spacing w:after="0" w:line="190" w:lineRule="exact"/>
              <w:rPr>
                <w:sz w:val="20"/>
                <w:szCs w:val="20"/>
                <w:color w:val="auto"/>
              </w:rPr>
            </w:pPr>
            <w:r>
              <w:rPr>
                <w:rFonts w:ascii="Arial" w:cs="Arial" w:eastAsia="Arial" w:hAnsi="Arial"/>
                <w:sz w:val="18"/>
                <w:szCs w:val="18"/>
                <w:color w:val="auto"/>
              </w:rPr>
              <w:t>10.1#</w:t>
            </w:r>
          </w:p>
        </w:tc>
        <w:tc>
          <w:tcPr>
            <w:tcW w:w="5140" w:type="dxa"/>
            <w:vAlign w:val="bottom"/>
            <w:gridSpan w:val="9"/>
          </w:tcPr>
          <w:p>
            <w:pPr>
              <w:spacing w:after="0" w:line="190" w:lineRule="exact"/>
              <w:rPr>
                <w:sz w:val="20"/>
                <w:szCs w:val="20"/>
                <w:color w:val="auto"/>
              </w:rPr>
            </w:pPr>
            <w:r>
              <w:rPr>
                <w:rFonts w:ascii="Arial" w:cs="Arial" w:eastAsia="Arial" w:hAnsi="Arial"/>
                <w:sz w:val="18"/>
                <w:szCs w:val="18"/>
                <w:color w:val="0000FF"/>
              </w:rPr>
              <w:t>Offer Letter, dated as of December 1, 2021, by and between the</w:t>
            </w:r>
          </w:p>
        </w:tc>
        <w:tc>
          <w:tcPr>
            <w:tcW w:w="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center"/>
              <w:spacing w:after="0" w:line="190"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140" w:type="dxa"/>
            <w:vAlign w:val="bottom"/>
            <w:gridSpan w:val="9"/>
          </w:tcPr>
          <w:p>
            <w:pPr>
              <w:spacing w:after="0" w:line="196" w:lineRule="exact"/>
              <w:rPr>
                <w:sz w:val="20"/>
                <w:szCs w:val="20"/>
                <w:color w:val="auto"/>
              </w:rPr>
            </w:pPr>
            <w:r>
              <w:rPr>
                <w:rFonts w:ascii="Arial" w:cs="Arial" w:eastAsia="Arial" w:hAnsi="Arial"/>
                <w:sz w:val="18"/>
                <w:szCs w:val="18"/>
                <w:color w:val="0000FF"/>
              </w:rPr>
              <w:t>Registrant and Matthew Quinn</w:t>
            </w:r>
          </w:p>
        </w:tc>
        <w:tc>
          <w:tcPr>
            <w:tcW w:w="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5140" w:type="dxa"/>
            <w:vAlign w:val="bottom"/>
            <w:gridSpan w:val="9"/>
          </w:tcPr>
          <w:p>
            <w:pPr>
              <w:spacing w:after="0"/>
              <w:rPr>
                <w:sz w:val="20"/>
                <w:szCs w:val="20"/>
                <w:color w:val="auto"/>
              </w:rPr>
            </w:pPr>
            <w:r>
              <w:rPr>
                <w:rFonts w:ascii="Arial" w:cs="Arial" w:eastAsia="Arial" w:hAnsi="Arial"/>
                <w:sz w:val="18"/>
                <w:szCs w:val="18"/>
                <w:color w:val="0000FF"/>
                <w:w w:val="99"/>
              </w:rPr>
              <w:t>Certification of Principal Executive Officer and Principal Financial</w:t>
            </w:r>
          </w:p>
        </w:tc>
        <w:tc>
          <w:tcPr>
            <w:tcW w:w="9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56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140" w:type="dxa"/>
            <w:vAlign w:val="bottom"/>
            <w:gridSpan w:val="9"/>
          </w:tcPr>
          <w:p>
            <w:pPr>
              <w:spacing w:after="0" w:line="196" w:lineRule="exact"/>
              <w:rPr>
                <w:sz w:val="20"/>
                <w:szCs w:val="20"/>
                <w:color w:val="auto"/>
              </w:rPr>
            </w:pPr>
            <w:r>
              <w:rPr>
                <w:rFonts w:ascii="Arial" w:cs="Arial" w:eastAsia="Arial" w:hAnsi="Arial"/>
                <w:sz w:val="18"/>
                <w:szCs w:val="18"/>
                <w:color w:val="0000FF"/>
              </w:rPr>
              <w:t>Officer Pursuant to Rules 13a-14(a) and 15d-14(a) under the</w:t>
            </w:r>
          </w:p>
        </w:tc>
        <w:tc>
          <w:tcPr>
            <w:tcW w:w="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56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140" w:type="dxa"/>
            <w:vAlign w:val="bottom"/>
            <w:gridSpan w:val="9"/>
          </w:tcPr>
          <w:p>
            <w:pPr>
              <w:spacing w:after="0" w:line="196" w:lineRule="exact"/>
              <w:rPr>
                <w:sz w:val="20"/>
                <w:szCs w:val="20"/>
                <w:color w:val="auto"/>
              </w:rPr>
            </w:pPr>
            <w:r>
              <w:rPr>
                <w:rFonts w:ascii="Arial" w:cs="Arial" w:eastAsia="Arial" w:hAnsi="Arial"/>
                <w:sz w:val="18"/>
                <w:szCs w:val="18"/>
                <w:color w:val="0000FF"/>
                <w:w w:val="91"/>
              </w:rPr>
              <w:t>Securities Exchange Act of 1934, as Adopted Pursuant to Section 302</w:t>
            </w:r>
          </w:p>
        </w:tc>
        <w:tc>
          <w:tcPr>
            <w:tcW w:w="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56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140" w:type="dxa"/>
            <w:vAlign w:val="bottom"/>
            <w:gridSpan w:val="9"/>
          </w:tcPr>
          <w:p>
            <w:pPr>
              <w:spacing w:after="0" w:line="196" w:lineRule="exact"/>
              <w:rPr>
                <w:sz w:val="20"/>
                <w:szCs w:val="20"/>
                <w:color w:val="auto"/>
              </w:rPr>
            </w:pPr>
            <w:r>
              <w:rPr>
                <w:rFonts w:ascii="Arial" w:cs="Arial" w:eastAsia="Arial" w:hAnsi="Arial"/>
                <w:sz w:val="18"/>
                <w:szCs w:val="18"/>
                <w:color w:val="0000FF"/>
              </w:rPr>
              <w:t>of the Sarbanes-Oxley Act of 2002.</w:t>
            </w:r>
          </w:p>
        </w:tc>
        <w:tc>
          <w:tcPr>
            <w:tcW w:w="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560" w:type="dxa"/>
            <w:vAlign w:val="bottom"/>
            <w:tcBorders>
              <w:right w:val="single" w:sz="8" w:color="0000EE"/>
            </w:tcBorders>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5140" w:type="dxa"/>
            <w:vAlign w:val="bottom"/>
            <w:gridSpan w:val="9"/>
          </w:tcPr>
          <w:p>
            <w:pPr>
              <w:spacing w:after="0"/>
              <w:rPr>
                <w:sz w:val="20"/>
                <w:szCs w:val="20"/>
                <w:color w:val="auto"/>
              </w:rPr>
            </w:pPr>
            <w:r>
              <w:rPr>
                <w:rFonts w:ascii="Arial" w:cs="Arial" w:eastAsia="Arial" w:hAnsi="Arial"/>
                <w:sz w:val="18"/>
                <w:szCs w:val="18"/>
                <w:color w:val="0000FF"/>
                <w:w w:val="99"/>
              </w:rPr>
              <w:t>Certification of Principal Executive Officer and Principal Financial</w:t>
            </w:r>
          </w:p>
        </w:tc>
        <w:tc>
          <w:tcPr>
            <w:tcW w:w="9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140" w:type="dxa"/>
            <w:vAlign w:val="bottom"/>
            <w:gridSpan w:val="9"/>
          </w:tcPr>
          <w:p>
            <w:pPr>
              <w:spacing w:after="0" w:line="196" w:lineRule="exact"/>
              <w:rPr>
                <w:sz w:val="20"/>
                <w:szCs w:val="20"/>
                <w:color w:val="auto"/>
              </w:rPr>
            </w:pPr>
            <w:r>
              <w:rPr>
                <w:rFonts w:ascii="Arial" w:cs="Arial" w:eastAsia="Arial" w:hAnsi="Arial"/>
                <w:sz w:val="18"/>
                <w:szCs w:val="18"/>
                <w:color w:val="0000FF"/>
                <w:w w:val="94"/>
              </w:rPr>
              <w:t>Officer Pursuant to 18 U.S.C. Section 1350, as Adopted Pursuant to</w:t>
            </w:r>
          </w:p>
        </w:tc>
        <w:tc>
          <w:tcPr>
            <w:tcW w:w="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140" w:type="dxa"/>
            <w:vAlign w:val="bottom"/>
            <w:gridSpan w:val="9"/>
          </w:tcPr>
          <w:p>
            <w:pPr>
              <w:spacing w:after="0" w:line="196" w:lineRule="exact"/>
              <w:rPr>
                <w:sz w:val="20"/>
                <w:szCs w:val="20"/>
                <w:color w:val="auto"/>
              </w:rPr>
            </w:pPr>
            <w:r>
              <w:rPr>
                <w:rFonts w:ascii="Arial" w:cs="Arial" w:eastAsia="Arial" w:hAnsi="Arial"/>
                <w:sz w:val="18"/>
                <w:szCs w:val="18"/>
                <w:color w:val="0000FF"/>
              </w:rPr>
              <w:t>Section 906 of the Sarbanes-Oxley Act of 2002.</w:t>
            </w:r>
          </w:p>
        </w:tc>
        <w:tc>
          <w:tcPr>
            <w:tcW w:w="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170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5140" w:type="dxa"/>
            <w:vAlign w:val="bottom"/>
            <w:gridSpan w:val="9"/>
          </w:tcPr>
          <w:p>
            <w:pPr>
              <w:spacing w:after="0"/>
              <w:rPr>
                <w:sz w:val="20"/>
                <w:szCs w:val="20"/>
                <w:color w:val="auto"/>
              </w:rPr>
            </w:pPr>
            <w:r>
              <w:rPr>
                <w:rFonts w:ascii="Arial" w:cs="Arial" w:eastAsia="Arial" w:hAnsi="Arial"/>
                <w:sz w:val="18"/>
                <w:szCs w:val="18"/>
                <w:color w:val="auto"/>
                <w:w w:val="96"/>
              </w:rPr>
              <w:t>Inline XBRL Instance Document – the instance document does not</w:t>
            </w:r>
          </w:p>
        </w:tc>
        <w:tc>
          <w:tcPr>
            <w:tcW w:w="9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40" w:type="dxa"/>
            <w:vAlign w:val="bottom"/>
            <w:gridSpan w:val="9"/>
          </w:tcPr>
          <w:p>
            <w:pPr>
              <w:spacing w:after="0"/>
              <w:rPr>
                <w:sz w:val="20"/>
                <w:szCs w:val="20"/>
                <w:color w:val="auto"/>
              </w:rPr>
            </w:pPr>
            <w:r>
              <w:rPr>
                <w:rFonts w:ascii="Arial" w:cs="Arial" w:eastAsia="Arial" w:hAnsi="Arial"/>
                <w:sz w:val="18"/>
                <w:szCs w:val="18"/>
                <w:color w:val="auto"/>
              </w:rPr>
              <w:t>appear in the Interactive Data File because its XBRL tags are</w:t>
            </w:r>
          </w:p>
        </w:tc>
        <w:tc>
          <w:tcPr>
            <w:tcW w:w="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5140" w:type="dxa"/>
            <w:vAlign w:val="bottom"/>
            <w:gridSpan w:val="9"/>
          </w:tcPr>
          <w:p>
            <w:pPr>
              <w:spacing w:after="0"/>
              <w:rPr>
                <w:sz w:val="20"/>
                <w:szCs w:val="20"/>
                <w:color w:val="auto"/>
              </w:rPr>
            </w:pPr>
            <w:r>
              <w:rPr>
                <w:rFonts w:ascii="Arial" w:cs="Arial" w:eastAsia="Arial" w:hAnsi="Arial"/>
                <w:sz w:val="18"/>
                <w:szCs w:val="18"/>
                <w:color w:val="auto"/>
              </w:rPr>
              <w:t>embedded with the Inline XBRL document.</w:t>
            </w:r>
          </w:p>
        </w:tc>
        <w:tc>
          <w:tcPr>
            <w:tcW w:w="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514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9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43"/>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5140" w:type="dxa"/>
            <w:vAlign w:val="bottom"/>
            <w:gridSpan w:val="9"/>
          </w:tcPr>
          <w:p>
            <w:pPr>
              <w:spacing w:after="0"/>
              <w:rPr>
                <w:sz w:val="20"/>
                <w:szCs w:val="20"/>
                <w:color w:val="auto"/>
              </w:rPr>
            </w:pPr>
            <w:r>
              <w:rPr>
                <w:rFonts w:ascii="Arial" w:cs="Arial" w:eastAsia="Arial" w:hAnsi="Arial"/>
                <w:sz w:val="18"/>
                <w:szCs w:val="18"/>
                <w:color w:val="auto"/>
                <w:w w:val="96"/>
              </w:rPr>
              <w:t>Inline XBRL Taxonomy Extension Calculation Linkbase Document.</w:t>
            </w:r>
          </w:p>
        </w:tc>
        <w:tc>
          <w:tcPr>
            <w:tcW w:w="9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43"/>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5140" w:type="dxa"/>
            <w:vAlign w:val="bottom"/>
            <w:gridSpan w:val="9"/>
          </w:tcPr>
          <w:p>
            <w:pPr>
              <w:spacing w:after="0"/>
              <w:rPr>
                <w:sz w:val="20"/>
                <w:szCs w:val="20"/>
                <w:color w:val="auto"/>
              </w:rPr>
            </w:pPr>
            <w:r>
              <w:rPr>
                <w:rFonts w:ascii="Arial" w:cs="Arial" w:eastAsia="Arial" w:hAnsi="Arial"/>
                <w:sz w:val="18"/>
                <w:szCs w:val="18"/>
                <w:color w:val="auto"/>
                <w:w w:val="98"/>
              </w:rPr>
              <w:t>Inline XBRL Taxonomy Extension Definition Linkbase Document.</w:t>
            </w:r>
          </w:p>
        </w:tc>
        <w:tc>
          <w:tcPr>
            <w:tcW w:w="9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43"/>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514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9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43"/>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5140" w:type="dxa"/>
            <w:vAlign w:val="bottom"/>
            <w:gridSpan w:val="9"/>
          </w:tcPr>
          <w:p>
            <w:pPr>
              <w:spacing w:after="0"/>
              <w:rPr>
                <w:sz w:val="20"/>
                <w:szCs w:val="20"/>
                <w:color w:val="auto"/>
              </w:rPr>
            </w:pPr>
            <w:r>
              <w:rPr>
                <w:rFonts w:ascii="Arial" w:cs="Arial" w:eastAsia="Arial" w:hAnsi="Arial"/>
                <w:sz w:val="18"/>
                <w:szCs w:val="18"/>
                <w:color w:val="auto"/>
                <w:w w:val="94"/>
              </w:rPr>
              <w:t>Inline XBRL Taxonomy Extension Presentation Linkbase Document.</w:t>
            </w:r>
          </w:p>
        </w:tc>
        <w:tc>
          <w:tcPr>
            <w:tcW w:w="9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940" w:type="dxa"/>
            <w:vAlign w:val="bottom"/>
          </w:tcPr>
          <w:p>
            <w:pPr>
              <w:spacing w:after="0"/>
              <w:rPr>
                <w:sz w:val="20"/>
                <w:szCs w:val="20"/>
                <w:color w:val="auto"/>
              </w:rPr>
            </w:pPr>
            <w:r>
              <w:rPr>
                <w:rFonts w:ascii="Arial" w:cs="Arial" w:eastAsia="Arial" w:hAnsi="Arial"/>
                <w:sz w:val="18"/>
                <w:szCs w:val="18"/>
                <w:color w:val="auto"/>
              </w:rPr>
              <w:t>104</w:t>
            </w:r>
          </w:p>
        </w:tc>
        <w:tc>
          <w:tcPr>
            <w:tcW w:w="5140" w:type="dxa"/>
            <w:vAlign w:val="bottom"/>
            <w:gridSpan w:val="9"/>
          </w:tcPr>
          <w:p>
            <w:pPr>
              <w:spacing w:after="0"/>
              <w:rPr>
                <w:sz w:val="20"/>
                <w:szCs w:val="20"/>
                <w:color w:val="auto"/>
              </w:rPr>
            </w:pPr>
            <w:r>
              <w:rPr>
                <w:rFonts w:ascii="Arial" w:cs="Arial" w:eastAsia="Arial" w:hAnsi="Arial"/>
                <w:sz w:val="18"/>
                <w:szCs w:val="18"/>
                <w:color w:val="auto"/>
                <w:w w:val="94"/>
              </w:rPr>
              <w:t>Cover Page Interactive Data File (Embedded within the Inline XBRL</w:t>
            </w:r>
          </w:p>
        </w:tc>
        <w:tc>
          <w:tcPr>
            <w:tcW w:w="9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5140" w:type="dxa"/>
            <w:vAlign w:val="bottom"/>
            <w:gridSpan w:val="9"/>
          </w:tcPr>
          <w:p>
            <w:pPr>
              <w:spacing w:after="0"/>
              <w:rPr>
                <w:sz w:val="20"/>
                <w:szCs w:val="20"/>
                <w:color w:val="auto"/>
              </w:rPr>
            </w:pPr>
            <w:r>
              <w:rPr>
                <w:rFonts w:ascii="Arial" w:cs="Arial" w:eastAsia="Arial" w:hAnsi="Arial"/>
                <w:sz w:val="18"/>
                <w:szCs w:val="18"/>
                <w:color w:val="auto"/>
              </w:rPr>
              <w:t>document and included in Exhibit)</w:t>
            </w:r>
          </w:p>
        </w:tc>
        <w:tc>
          <w:tcPr>
            <w:tcW w:w="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1912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compensatory plan</w:t>
      </w:r>
    </w:p>
    <w:p>
      <w:pPr>
        <w:spacing w:after="0" w:line="50" w:lineRule="exact"/>
        <w:rPr>
          <w:sz w:val="20"/>
          <w:szCs w:val="20"/>
          <w:color w:val="auto"/>
        </w:rPr>
      </w:pPr>
    </w:p>
    <w:p>
      <w:pPr>
        <w:ind w:firstLine="8"/>
        <w:spacing w:after="0" w:line="308" w:lineRule="auto"/>
        <w:tabs>
          <w:tab w:leader="none" w:pos="14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certification furnished in Exhibit 32.1 hereto is deemed to accompany this Quarterly Report and will not be deemed “filed” for purposes of Section 18 of the Securities Exchange Act of 1934, as amended, except to the extent that the registrant specifically incorporates it by reference.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b w:val="1"/>
                <w:bCs w:val="1"/>
                <w:color w:val="auto"/>
              </w:rPr>
              <w:t>CarGurus, Inc.</w:t>
            </w:r>
          </w:p>
        </w:tc>
      </w:tr>
      <w:tr>
        <w:trPr>
          <w:trHeight w:val="499"/>
        </w:trPr>
        <w:tc>
          <w:tcPr>
            <w:tcW w:w="3460" w:type="dxa"/>
            <w:vAlign w:val="bottom"/>
          </w:tcPr>
          <w:p>
            <w:pPr>
              <w:ind w:left="20"/>
              <w:spacing w:after="0"/>
              <w:rPr>
                <w:sz w:val="20"/>
                <w:szCs w:val="20"/>
                <w:color w:val="auto"/>
              </w:rPr>
            </w:pPr>
            <w:r>
              <w:rPr>
                <w:rFonts w:ascii="Arial" w:cs="Arial" w:eastAsia="Arial" w:hAnsi="Arial"/>
                <w:sz w:val="18"/>
                <w:szCs w:val="18"/>
                <w:color w:val="auto"/>
              </w:rPr>
              <w:t>Date: May 9, 2023</w:t>
            </w: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By:   /s/ Jason Trevisan</w:t>
            </w:r>
          </w:p>
        </w:tc>
      </w:tr>
      <w:tr>
        <w:trPr>
          <w:trHeight w:val="209"/>
        </w:trPr>
        <w:tc>
          <w:tcPr>
            <w:tcW w:w="34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Jason Trevisan</w:t>
            </w:r>
          </w:p>
        </w:tc>
      </w:tr>
      <w:tr>
        <w:trPr>
          <w:trHeight w:val="216"/>
        </w:trPr>
        <w:tc>
          <w:tcPr>
            <w:tcW w:w="34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16"/>
        </w:trPr>
        <w:tc>
          <w:tcPr>
            <w:tcW w:w="34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Arial" w:cs="Arial" w:eastAsia="Arial" w:hAnsi="Arial"/>
                <w:sz w:val="18"/>
                <w:szCs w:val="18"/>
                <w:i w:val="1"/>
                <w:iCs w:val="1"/>
                <w:color w:val="auto"/>
                <w:w w:val="96"/>
              </w:rPr>
              <w:t>(Principal Executive Officer, Principal Financial Officer and Principal</w:t>
            </w:r>
          </w:p>
        </w:tc>
      </w:tr>
      <w:tr>
        <w:trPr>
          <w:trHeight w:val="230"/>
        </w:trPr>
        <w:tc>
          <w:tcPr>
            <w:tcW w:w="34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i w:val="1"/>
                <w:iCs w:val="1"/>
                <w:color w:val="auto"/>
              </w:rPr>
              <w:t>Accounting Officer)</w:t>
            </w:r>
          </w:p>
        </w:tc>
      </w:tr>
      <w:tr>
        <w:trPr>
          <w:trHeight w:val="662"/>
        </w:trPr>
        <w:tc>
          <w:tcPr>
            <w:tcW w:w="3460" w:type="dxa"/>
            <w:vAlign w:val="bottom"/>
          </w:tcPr>
          <w:p>
            <w:pPr>
              <w:spacing w:after="0"/>
              <w:rPr>
                <w:sz w:val="24"/>
                <w:szCs w:val="24"/>
                <w:color w:val="auto"/>
              </w:rPr>
            </w:pPr>
          </w:p>
        </w:tc>
        <w:tc>
          <w:tcPr>
            <w:tcW w:w="2560" w:type="dxa"/>
            <w:vAlign w:val="bottom"/>
          </w:tcPr>
          <w:p>
            <w:pPr>
              <w:ind w:left="2080"/>
              <w:spacing w:after="0"/>
              <w:rPr>
                <w:sz w:val="20"/>
                <w:szCs w:val="20"/>
                <w:color w:val="auto"/>
              </w:rPr>
            </w:pPr>
            <w:r>
              <w:rPr>
                <w:rFonts w:ascii="Arial" w:cs="Arial" w:eastAsia="Arial" w:hAnsi="Arial"/>
                <w:sz w:val="18"/>
                <w:szCs w:val="18"/>
                <w:color w:val="auto"/>
              </w:rPr>
              <w:t>58</w:t>
            </w:r>
          </w:p>
        </w:tc>
        <w:tc>
          <w:tcPr>
            <w:tcW w:w="5220" w:type="dxa"/>
            <w:vAlign w:val="bottom"/>
          </w:tcPr>
          <w:p>
            <w:pPr>
              <w:spacing w:after="0"/>
              <w:rPr>
                <w:sz w:val="24"/>
                <w:szCs w:val="24"/>
                <w:color w:val="auto"/>
              </w:rPr>
            </w:pPr>
          </w:p>
        </w:tc>
      </w:tr>
      <w:tr>
        <w:trPr>
          <w:trHeight w:val="115"/>
        </w:trPr>
        <w:tc>
          <w:tcPr>
            <w:tcW w:w="346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5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288540" cy="3600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clrChange>
                        <a:clrFrom>
                          <a:srgbClr val="FFFFFF"/>
                        </a:clrFrom>
                        <a:clrTo>
                          <a:srgbClr val="FFFFFF">
                            <a:alpha val="0"/>
                          </a:srgbClr>
                        </a:clrTo>
                      </a:clrChange>
                      <a:extLst>
                        <a:ext uri="{28A0092B-C50C-407E-A947-70E740481C1C}"/>
                      </a:extLst>
                    </a:blip>
                    <a:srcRect/>
                    <a:stretch>
                      <a:fillRect/>
                    </a:stretch>
                  </pic:blipFill>
                  <pic:spPr bwMode="auto">
                    <a:xfrm>
                      <a:off x="0" y="0"/>
                      <a:ext cx="2288540" cy="360045"/>
                    </a:xfrm>
                    <a:prstGeom prst="rect">
                      <a:avLst/>
                    </a:prstGeom>
                    <a:noFill/>
                  </pic:spPr>
                </pic:pic>
              </a:graphicData>
            </a:graphic>
          </wp:anchor>
        </w:drawing>
        <w:t>Exhibit 10.1</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December 1, 2021</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Matt Quinn</w:t>
      </w:r>
    </w:p>
    <w:p>
      <w:pPr>
        <w:spacing w:after="0"/>
        <w:rPr>
          <w:sz w:val="20"/>
          <w:szCs w:val="20"/>
          <w:color w:val="auto"/>
        </w:rPr>
      </w:pPr>
      <w:r>
        <w:rPr>
          <w:rFonts w:ascii="Arial" w:cs="Arial" w:eastAsia="Arial" w:hAnsi="Arial"/>
          <w:sz w:val="19"/>
          <w:szCs w:val="19"/>
          <w:color w:val="auto"/>
        </w:rPr>
        <w:t>[ADDRESS]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Dear Matt,</w:t>
      </w:r>
    </w:p>
    <w:p>
      <w:pPr>
        <w:spacing w:after="0" w:line="214" w:lineRule="exact"/>
        <w:rPr>
          <w:sz w:val="20"/>
          <w:szCs w:val="20"/>
          <w:color w:val="auto"/>
        </w:rPr>
      </w:pPr>
    </w:p>
    <w:p>
      <w:pPr>
        <w:ind w:right="280"/>
        <w:spacing w:after="0" w:line="249" w:lineRule="auto"/>
        <w:rPr>
          <w:sz w:val="20"/>
          <w:szCs w:val="20"/>
          <w:color w:val="auto"/>
        </w:rPr>
      </w:pPr>
      <w:r>
        <w:rPr>
          <w:rFonts w:ascii="Arial" w:cs="Arial" w:eastAsia="Arial" w:hAnsi="Arial"/>
          <w:sz w:val="19"/>
          <w:szCs w:val="19"/>
          <w:color w:val="auto"/>
        </w:rPr>
        <w:t>I am very pleased to offer you the position of Chief Technology Officer at CarGurus, Inc. (“CarGurus” or the “Company”), reporting to Jason Trevisan, Chief Executive Officer. This letter will clarify the terms and conditions of your at-will employment with CarGurus, should you accept our offer.</w:t>
      </w:r>
    </w:p>
    <w:p>
      <w:pPr>
        <w:spacing w:after="0" w:line="178" w:lineRule="exact"/>
        <w:rPr>
          <w:sz w:val="20"/>
          <w:szCs w:val="20"/>
          <w:color w:val="auto"/>
        </w:rPr>
      </w:pPr>
    </w:p>
    <w:p>
      <w:pPr>
        <w:ind w:right="100" w:firstLine="757"/>
        <w:spacing w:after="0" w:line="244" w:lineRule="auto"/>
        <w:tabs>
          <w:tab w:leader="none" w:pos="1127" w:val="left"/>
        </w:tabs>
        <w:numPr>
          <w:ilvl w:val="0"/>
          <w:numId w:val="1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Position. </w:t>
      </w:r>
      <w:r>
        <w:rPr>
          <w:rFonts w:ascii="Arial" w:cs="Arial" w:eastAsia="Arial" w:hAnsi="Arial"/>
          <w:sz w:val="19"/>
          <w:szCs w:val="19"/>
          <w:color w:val="auto"/>
        </w:rPr>
        <w:t>Your employment will begin on January 3, 2022 (the “Start Date”). Your primary place of work will be the Company’s</w:t>
      </w:r>
      <w:r>
        <w:rPr>
          <w:rFonts w:ascii="Arial" w:cs="Arial" w:eastAsia="Arial" w:hAnsi="Arial"/>
          <w:sz w:val="19"/>
          <w:szCs w:val="19"/>
          <w:b w:val="1"/>
          <w:bCs w:val="1"/>
          <w:color w:val="auto"/>
        </w:rPr>
        <w:t xml:space="preserve"> </w:t>
      </w:r>
      <w:r>
        <w:rPr>
          <w:rFonts w:ascii="Arial" w:cs="Arial" w:eastAsia="Arial" w:hAnsi="Arial"/>
          <w:sz w:val="19"/>
          <w:szCs w:val="19"/>
          <w:color w:val="auto"/>
        </w:rPr>
        <w:t>main offices, currently located at 2 Canal Park, Cambridge, MA, 02141. We expect that you will perform the duties and responsibilities typically associated with your position, and other duties assigned to you, in a satisfactory manner and to the best of your abilities. During the course of your employment with CarGurus, your position and duties are subject to change. Also, you are required to follow the policies and procedures of the Company, as they may exist and be revised during your employment.</w:t>
      </w:r>
    </w:p>
    <w:p>
      <w:pPr>
        <w:spacing w:after="0" w:line="185" w:lineRule="exact"/>
        <w:rPr>
          <w:rFonts w:ascii="Arial" w:cs="Arial" w:eastAsia="Arial" w:hAnsi="Arial"/>
          <w:sz w:val="19"/>
          <w:szCs w:val="19"/>
          <w:b w:val="1"/>
          <w:bCs w:val="1"/>
          <w:color w:val="auto"/>
        </w:rPr>
      </w:pPr>
    </w:p>
    <w:p>
      <w:pPr>
        <w:ind w:left="1140" w:hanging="383"/>
        <w:spacing w:after="0"/>
        <w:tabs>
          <w:tab w:leader="none" w:pos="1140" w:val="left"/>
        </w:tabs>
        <w:numPr>
          <w:ilvl w:val="0"/>
          <w:numId w:val="14"/>
        </w:numPr>
        <w:rPr>
          <w:rFonts w:ascii="Arial" w:cs="Arial" w:eastAsia="Arial" w:hAnsi="Arial"/>
          <w:sz w:val="19"/>
          <w:szCs w:val="19"/>
          <w:b w:val="1"/>
          <w:bCs w:val="1"/>
          <w:color w:val="auto"/>
        </w:rPr>
      </w:pPr>
      <w:r>
        <w:rPr>
          <w:rFonts w:ascii="Arial" w:cs="Arial" w:eastAsia="Arial" w:hAnsi="Arial"/>
          <w:sz w:val="19"/>
          <w:szCs w:val="19"/>
          <w:b w:val="1"/>
          <w:bCs w:val="1"/>
          <w:color w:val="auto"/>
        </w:rPr>
        <w:t>Compensation &amp; Benefits.</w:t>
      </w:r>
    </w:p>
    <w:p>
      <w:pPr>
        <w:spacing w:after="0" w:line="227" w:lineRule="exact"/>
        <w:rPr>
          <w:rFonts w:ascii="Arial" w:cs="Arial" w:eastAsia="Arial" w:hAnsi="Arial"/>
          <w:sz w:val="19"/>
          <w:szCs w:val="19"/>
          <w:b w:val="1"/>
          <w:bCs w:val="1"/>
          <w:color w:val="auto"/>
        </w:rPr>
      </w:pPr>
    </w:p>
    <w:p>
      <w:pPr>
        <w:ind w:right="40" w:firstLine="1505"/>
        <w:spacing w:after="0" w:line="227" w:lineRule="auto"/>
        <w:tabs>
          <w:tab w:leader="none" w:pos="1875" w:val="left"/>
        </w:tabs>
        <w:numPr>
          <w:ilvl w:val="1"/>
          <w:numId w:val="14"/>
        </w:numPr>
        <w:rPr>
          <w:rFonts w:ascii="Arial" w:cs="Arial" w:eastAsia="Arial" w:hAnsi="Arial"/>
          <w:sz w:val="19"/>
          <w:szCs w:val="19"/>
          <w:color w:val="auto"/>
        </w:rPr>
      </w:pPr>
      <w:r>
        <w:rPr>
          <w:rFonts w:ascii="Arial" w:cs="Arial" w:eastAsia="Arial" w:hAnsi="Arial"/>
          <w:sz w:val="19"/>
          <w:szCs w:val="19"/>
          <w:color w:val="auto"/>
        </w:rPr>
        <w:t>Your semi-monthly salary of $13,541.67, annualized at $325,000 (the “Base Salary”), will be paid semimonthly on the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and last day of each month and subject to taxes and other withholdings required by law. As an exempt employee you are required to exercise your specialized expertise, independent judgment and discretion to provide high-quality services. You are expected to work the number of hours required to meet the needs of the business.</w:t>
      </w:r>
    </w:p>
    <w:p>
      <w:pPr>
        <w:spacing w:after="0" w:line="194" w:lineRule="exact"/>
        <w:rPr>
          <w:rFonts w:ascii="Arial" w:cs="Arial" w:eastAsia="Arial" w:hAnsi="Arial"/>
          <w:sz w:val="19"/>
          <w:szCs w:val="19"/>
          <w:color w:val="auto"/>
        </w:rPr>
      </w:pPr>
    </w:p>
    <w:p>
      <w:pPr>
        <w:ind w:right="100" w:firstLine="1505"/>
        <w:spacing w:after="0" w:line="241" w:lineRule="auto"/>
        <w:tabs>
          <w:tab w:leader="none" w:pos="1875" w:val="left"/>
        </w:tabs>
        <w:numPr>
          <w:ilvl w:val="1"/>
          <w:numId w:val="14"/>
        </w:numPr>
        <w:rPr>
          <w:rFonts w:ascii="Arial" w:cs="Arial" w:eastAsia="Arial" w:hAnsi="Arial"/>
          <w:sz w:val="19"/>
          <w:szCs w:val="19"/>
          <w:color w:val="auto"/>
        </w:rPr>
      </w:pPr>
      <w:r>
        <w:rPr>
          <w:rFonts w:ascii="Arial" w:cs="Arial" w:eastAsia="Arial" w:hAnsi="Arial"/>
          <w:sz w:val="19"/>
          <w:szCs w:val="19"/>
          <w:color w:val="auto"/>
        </w:rPr>
        <w:t>You will be eligible to participate in the CarGurus Annual Incentive Plan, through which you may be eligible to earn a discretionary bonus up to $200,000, less applicable taxes and withholdings. For the current fiscal year, the amount you are eligible to earn under the CarGurus Annual Incentive Plan will be prorated based upon your start date. Whether to grant a bonus, and in what amount, are determinations to be made in the sole discretion of the Company based on a variety of factors, including, but not limited to, your performance and the Company’s performance. In order to remain eligible and receive a bonus award, if any, you must be employed by the Company at the time it makes bonus payments to employees for that year. This discretionary bonus is not intended to and shall not be deemed a “wage” under any state or federal wage hour law.</w:t>
      </w:r>
    </w:p>
    <w:p>
      <w:pPr>
        <w:spacing w:after="0" w:line="192" w:lineRule="exact"/>
        <w:rPr>
          <w:rFonts w:ascii="Arial" w:cs="Arial" w:eastAsia="Arial" w:hAnsi="Arial"/>
          <w:sz w:val="19"/>
          <w:szCs w:val="19"/>
          <w:color w:val="auto"/>
        </w:rPr>
      </w:pPr>
    </w:p>
    <w:p>
      <w:pPr>
        <w:ind w:right="100" w:firstLine="1505"/>
        <w:spacing w:after="0" w:line="274" w:lineRule="auto"/>
        <w:tabs>
          <w:tab w:leader="none" w:pos="1875" w:val="left"/>
        </w:tabs>
        <w:numPr>
          <w:ilvl w:val="1"/>
          <w:numId w:val="14"/>
        </w:numPr>
        <w:rPr>
          <w:rFonts w:ascii="Arial" w:cs="Arial" w:eastAsia="Arial" w:hAnsi="Arial"/>
          <w:sz w:val="17"/>
          <w:szCs w:val="17"/>
          <w:color w:val="auto"/>
        </w:rPr>
      </w:pPr>
      <w:r>
        <w:rPr>
          <w:rFonts w:ascii="Arial" w:cs="Arial" w:eastAsia="Arial" w:hAnsi="Arial"/>
          <w:sz w:val="17"/>
          <w:szCs w:val="17"/>
          <w:color w:val="auto"/>
        </w:rPr>
        <w:t>You will be eligible for a one time Sign-On Bonus of $30,000 (the “Sign-On Bonus”), less applicable taxes and withholdings, to be paid as follows: (i) 50% of the Sign-On Bonus within the first sixty days from your Start Date; (ii) 25% of the Sign-On Bonus within sixty days following the six-month anniversary of your Start Date; and (iii) the remainder of the Sign-On Bonus within sixty days following the one-year anniversary of your Start Date. Should your employment with CarGurus terminate, for any reason, within 12 months, or on the one-year anniversary, of your Start Date, you will forfeit the remainder of your Sign-On Bonus (if applicable) and must immediately repay to CarGurus the Sign-On Bonus (or portion(s) thereof) that you received. In the event of such termination, CarGurus may, in its discretion, also deduct any unreturned Sign-On Bonus amount from any compensation, severance, commission or other amount due to you, subject to applicable laws.</w:t>
      </w:r>
    </w:p>
    <w:p>
      <w:pPr>
        <w:spacing w:after="0" w:line="165" w:lineRule="exact"/>
        <w:rPr>
          <w:rFonts w:ascii="Arial" w:cs="Arial" w:eastAsia="Arial" w:hAnsi="Arial"/>
          <w:sz w:val="17"/>
          <w:szCs w:val="17"/>
          <w:color w:val="auto"/>
        </w:rPr>
      </w:pPr>
    </w:p>
    <w:p>
      <w:pPr>
        <w:jc w:val="both"/>
        <w:ind w:right="220" w:firstLine="1505"/>
        <w:spacing w:after="0" w:line="292" w:lineRule="auto"/>
        <w:tabs>
          <w:tab w:leader="none" w:pos="1875" w:val="left"/>
        </w:tabs>
        <w:numPr>
          <w:ilvl w:val="1"/>
          <w:numId w:val="14"/>
        </w:numPr>
        <w:rPr>
          <w:rFonts w:ascii="Arial" w:cs="Arial" w:eastAsia="Arial" w:hAnsi="Arial"/>
          <w:sz w:val="17"/>
          <w:szCs w:val="17"/>
          <w:color w:val="auto"/>
        </w:rPr>
      </w:pPr>
      <w:r>
        <w:rPr>
          <w:rFonts w:ascii="Arial" w:cs="Arial" w:eastAsia="Arial" w:hAnsi="Arial"/>
          <w:sz w:val="17"/>
          <w:szCs w:val="17"/>
          <w:color w:val="auto"/>
        </w:rPr>
        <w:t>You will be eligible to participate in the Company’s benefit plans on your first day of employment. Your participation in these plans will be subject to the terms of the applicable plan documents and generally applicable policies of the Company, as the same may be in effect from time to time. No representation is made, however, that any specific benefits now available will continue or that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320040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63" w:name="page64"/>
    <w:bookmarkEnd w:id="63"/>
    <w:p>
      <w:pPr>
        <w:ind w:right="60"/>
        <w:spacing w:after="0" w:line="263" w:lineRule="auto"/>
        <w:rPr>
          <w:sz w:val="20"/>
          <w:szCs w:val="20"/>
          <w:color w:val="auto"/>
        </w:rPr>
      </w:pPr>
      <w:r>
        <w:rPr>
          <w:rFonts w:ascii="Arial" w:cs="Arial" w:eastAsia="Arial" w:hAnsi="Arial"/>
          <w:sz w:val="18"/>
          <w:szCs w:val="18"/>
          <w:color w:val="auto"/>
        </w:rPr>
        <w:t>benefits will be made available. During your first two (2) years of employment with the Company, you will be entitled to four (4) weeks’ paid vacation annually at such reasonable times as you and the Company may determine. Commencing with your third year of employment with the company, you will be entitled to the number of paid vacation days annually in accordance with the Company’s then standard vacation and paid time off policies. Additional information regarding the Company’s benefit plans will be provided under separate cover.</w:t>
      </w:r>
    </w:p>
    <w:p>
      <w:pPr>
        <w:spacing w:after="0" w:line="167" w:lineRule="exact"/>
        <w:rPr>
          <w:sz w:val="20"/>
          <w:szCs w:val="20"/>
          <w:color w:val="auto"/>
        </w:rPr>
      </w:pPr>
    </w:p>
    <w:p>
      <w:pPr>
        <w:ind w:firstLine="757"/>
        <w:spacing w:after="0" w:line="268" w:lineRule="auto"/>
        <w:tabs>
          <w:tab w:leader="none" w:pos="1127"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Eligibility to Participate in Omnibus Incentive Compensation Plan. </w:t>
      </w:r>
      <w:r>
        <w:rPr>
          <w:rFonts w:ascii="Arial" w:cs="Arial" w:eastAsia="Arial" w:hAnsi="Arial"/>
          <w:sz w:val="17"/>
          <w:szCs w:val="17"/>
          <w:color w:val="auto"/>
        </w:rPr>
        <w:t>You will be eligible to participate in the Company’s Omnibus</w:t>
      </w:r>
      <w:r>
        <w:rPr>
          <w:rFonts w:ascii="Arial" w:cs="Arial" w:eastAsia="Arial" w:hAnsi="Arial"/>
          <w:sz w:val="17"/>
          <w:szCs w:val="17"/>
          <w:b w:val="1"/>
          <w:bCs w:val="1"/>
          <w:color w:val="auto"/>
        </w:rPr>
        <w:t xml:space="preserve"> </w:t>
      </w:r>
      <w:r>
        <w:rPr>
          <w:rFonts w:ascii="Arial" w:cs="Arial" w:eastAsia="Arial" w:hAnsi="Arial"/>
          <w:sz w:val="17"/>
          <w:szCs w:val="17"/>
          <w:color w:val="auto"/>
        </w:rPr>
        <w:t>Incentive Compensation Plan (the “Plan”), under which the Company grants to employees nonqualified stock options (“Options”) and restricted stock units (“RSUs”) that are subject to service- and performance-based vesting conditions. We are prepared to recommend to the Company’s Board of Directors (or its committee) an award to you of one-time grants consisting of: (i) RSUs subject to service-based vesting conditions representing shares of the Company’s Class A common stock with an award value of $1,000,000 (the “RSU Award Value”); (ii) RSUs subject to performance-based vesting conditions (“PSUs”), the target amount of which shall represent shares of the Company’s Class A common stock with an award value of $500,000 (the “PSU Award Value”); and (iii) Options to purchase the number of shares of the Company’s Class A common stock with an award value of $500,000 (the “Options Award Value”), subject to service-based vesting conditions and a maximum term of ten years. Any such grants of RSUs, PSUs and Options are subject to the approval of the Company’s Board of Directors (or its committee) and to the terms and conditions of the Plan and the RSU, PSU or Option grant agreement (as applicable) on the form for executive officers evidencing the terms and conditions of such grant, including the applicable vesting schedule, acceleration provisions and – in the case of PSUs – the performance goals, performance period(s) and maximum number of PSUs that may be earned over such period(s). The Board of Directors (or its committee) retains the discretion to change the RSU Award Value, PSU Award Value and/or Options Award Value, or to determine not to grant any RSUs, PSUs and/or Options to you whatsoever. The number of RSUs to be awarded to you will be based on dividing the RSU Award Value by the closing price of CarGurus’ Class A common stock on the Nasdaq Stock Market on the grant approval date, rounded down to the nearest whole share. The target number of PSUs to be awarded to you will be based on dividing the PSU Award Value by the closing price of CarGurus’ Class A common stock on the Nasdaq Stock Market on the grant approval date, rounded down to the nearest whole share. The number of shares of the Company’s Class A Common Stock underlying the Options to be awarded to you will be based on the Black-Scholes value on the grant approval date, rounded down to the nearest whole share.</w:t>
      </w:r>
    </w:p>
    <w:p>
      <w:pPr>
        <w:spacing w:after="0" w:line="390" w:lineRule="exact"/>
        <w:rPr>
          <w:rFonts w:ascii="Arial" w:cs="Arial" w:eastAsia="Arial" w:hAnsi="Arial"/>
          <w:sz w:val="17"/>
          <w:szCs w:val="17"/>
          <w:b w:val="1"/>
          <w:bCs w:val="1"/>
          <w:color w:val="auto"/>
        </w:rPr>
      </w:pPr>
    </w:p>
    <w:p>
      <w:pPr>
        <w:ind w:right="180" w:firstLine="757"/>
        <w:spacing w:after="0" w:line="327" w:lineRule="auto"/>
        <w:tabs>
          <w:tab w:leader="none" w:pos="1127"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Modification of Compensation and Incentive Plans</w:t>
      </w:r>
      <w:r>
        <w:rPr>
          <w:rFonts w:ascii="Arial" w:cs="Arial" w:eastAsia="Arial" w:hAnsi="Arial"/>
          <w:sz w:val="17"/>
          <w:szCs w:val="17"/>
          <w:color w:val="auto"/>
        </w:rPr>
        <w:t>. The Company reserves the right, in its sole discretion, to modify, change or</w:t>
      </w:r>
      <w:r>
        <w:rPr>
          <w:rFonts w:ascii="Arial" w:cs="Arial" w:eastAsia="Arial" w:hAnsi="Arial"/>
          <w:sz w:val="17"/>
          <w:szCs w:val="17"/>
          <w:b w:val="1"/>
          <w:bCs w:val="1"/>
          <w:color w:val="auto"/>
        </w:rPr>
        <w:t xml:space="preserve"> </w:t>
      </w:r>
      <w:r>
        <w:rPr>
          <w:rFonts w:ascii="Arial" w:cs="Arial" w:eastAsia="Arial" w:hAnsi="Arial"/>
          <w:sz w:val="17"/>
          <w:szCs w:val="17"/>
          <w:color w:val="auto"/>
        </w:rPr>
        <w:t>eliminate, on a prospective basis, the compensation, bonus and incentive plans, as applicable, addressed in Sections 2 and 3 above.</w:t>
      </w:r>
    </w:p>
    <w:p>
      <w:pPr>
        <w:spacing w:after="0" w:line="115" w:lineRule="exact"/>
        <w:rPr>
          <w:rFonts w:ascii="Arial" w:cs="Arial" w:eastAsia="Arial" w:hAnsi="Arial"/>
          <w:sz w:val="17"/>
          <w:szCs w:val="17"/>
          <w:b w:val="1"/>
          <w:bCs w:val="1"/>
          <w:color w:val="auto"/>
        </w:rPr>
      </w:pPr>
    </w:p>
    <w:p>
      <w:pPr>
        <w:ind w:right="20" w:firstLine="757"/>
        <w:spacing w:after="0" w:line="280" w:lineRule="auto"/>
        <w:tabs>
          <w:tab w:leader="none" w:pos="1127"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Protection of the Company’s Confidential Information and Goodwill. </w:t>
      </w:r>
      <w:r>
        <w:rPr>
          <w:rFonts w:ascii="Arial" w:cs="Arial" w:eastAsia="Arial" w:hAnsi="Arial"/>
          <w:sz w:val="17"/>
          <w:szCs w:val="17"/>
          <w:color w:val="auto"/>
        </w:rPr>
        <w:t>In order to protect the Company’s substantial investment</w:t>
      </w:r>
      <w:r>
        <w:rPr>
          <w:rFonts w:ascii="Arial" w:cs="Arial" w:eastAsia="Arial" w:hAnsi="Arial"/>
          <w:sz w:val="17"/>
          <w:szCs w:val="17"/>
          <w:b w:val="1"/>
          <w:bCs w:val="1"/>
          <w:color w:val="auto"/>
        </w:rPr>
        <w:t xml:space="preserve"> </w:t>
      </w:r>
      <w:r>
        <w:rPr>
          <w:rFonts w:ascii="Arial" w:cs="Arial" w:eastAsia="Arial" w:hAnsi="Arial"/>
          <w:sz w:val="17"/>
          <w:szCs w:val="17"/>
          <w:color w:val="auto"/>
        </w:rPr>
        <w:t>of time and money in the creation and maintaining of its trade secrets and other confidential and proprietary information, as well as its goodwill with its clients and business partners, including vendors, suppliers and others, you are required to sign the Company’s standard Protection of Confidential Information Agreement (“NDA”), a copy of which is attached to this letter. The terms and conditions of the NDA will remain in effect regardless of any change in the nature of your duties, compensation or employment with the Company and its affiliates.</w:t>
      </w:r>
    </w:p>
    <w:p>
      <w:pPr>
        <w:spacing w:after="0" w:line="155" w:lineRule="exact"/>
        <w:rPr>
          <w:rFonts w:ascii="Arial" w:cs="Arial" w:eastAsia="Arial" w:hAnsi="Arial"/>
          <w:sz w:val="17"/>
          <w:szCs w:val="17"/>
          <w:b w:val="1"/>
          <w:bCs w:val="1"/>
          <w:color w:val="auto"/>
        </w:rPr>
      </w:pPr>
    </w:p>
    <w:p>
      <w:pPr>
        <w:ind w:right="60" w:firstLine="757"/>
        <w:spacing w:after="0" w:line="243" w:lineRule="auto"/>
        <w:tabs>
          <w:tab w:leader="none" w:pos="1127" w:val="left"/>
        </w:tabs>
        <w:numPr>
          <w:ilvl w:val="0"/>
          <w:numId w:val="15"/>
        </w:numPr>
        <w:rPr>
          <w:rFonts w:ascii="Arial" w:cs="Arial" w:eastAsia="Arial" w:hAnsi="Arial"/>
          <w:sz w:val="19"/>
          <w:szCs w:val="19"/>
          <w:b w:val="1"/>
          <w:bCs w:val="1"/>
          <w:color w:val="auto"/>
        </w:rPr>
      </w:pPr>
      <w:r>
        <w:rPr>
          <w:rFonts w:ascii="Arial" w:cs="Arial" w:eastAsia="Arial" w:hAnsi="Arial"/>
          <w:sz w:val="19"/>
          <w:szCs w:val="19"/>
          <w:b w:val="1"/>
          <w:bCs w:val="1"/>
          <w:color w:val="auto"/>
        </w:rPr>
        <w:t>Representations and Warranties</w:t>
      </w:r>
      <w:r>
        <w:rPr>
          <w:rFonts w:ascii="Arial" w:cs="Arial" w:eastAsia="Arial" w:hAnsi="Arial"/>
          <w:sz w:val="19"/>
          <w:szCs w:val="19"/>
          <w:color w:val="auto"/>
        </w:rPr>
        <w:t>. You represent that you are not bound by any employment contract, restrictive covenant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restriction that may prevent you from entering into employment with, or carrying out your responsibilities for, CarGurus, or that is in any way inconsistent with the terms of this offer letter. Also, we understand that you may have an obligation to your present and/or prior employers to safeguard their confidential information. The Company respects these obligations, and expects you to honor them as well. You should not bring with you to the Company, or use in the performance of your responsibilities for the Company, any confidential information of any current or former employer.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4" w:name="page65"/>
    <w:bookmarkEnd w:id="64"/>
    <w:p>
      <w:pPr>
        <w:ind w:left="1140" w:hanging="383"/>
        <w:spacing w:after="0"/>
        <w:tabs>
          <w:tab w:leader="none" w:pos="1140"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Proof of Legal Right to Work; Background Check; NDA.</w:t>
      </w:r>
    </w:p>
    <w:p>
      <w:pPr>
        <w:spacing w:after="0" w:line="219" w:lineRule="exact"/>
        <w:rPr>
          <w:rFonts w:ascii="Arial" w:cs="Arial" w:eastAsia="Arial" w:hAnsi="Arial"/>
          <w:sz w:val="19"/>
          <w:szCs w:val="19"/>
          <w:b w:val="1"/>
          <w:bCs w:val="1"/>
          <w:color w:val="auto"/>
        </w:rPr>
      </w:pPr>
    </w:p>
    <w:p>
      <w:pPr>
        <w:ind w:right="200" w:firstLine="1505"/>
        <w:spacing w:after="0" w:line="269" w:lineRule="auto"/>
        <w:tabs>
          <w:tab w:leader="none" w:pos="187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As a condition of employment, you will be required to provide us with proof of your identity and legal authorization to work in the United States. You will receive an email from HireRight to complete your Form I-9. Please bring the appropriate documents listed on this form with on your Start Date. If you fail to submit such proof, federal law prohibits us from commencing employment.</w:t>
      </w:r>
    </w:p>
    <w:p>
      <w:pPr>
        <w:spacing w:after="0" w:line="168" w:lineRule="exact"/>
        <w:rPr>
          <w:rFonts w:ascii="Arial" w:cs="Arial" w:eastAsia="Arial" w:hAnsi="Arial"/>
          <w:sz w:val="18"/>
          <w:szCs w:val="18"/>
          <w:color w:val="auto"/>
        </w:rPr>
      </w:pPr>
    </w:p>
    <w:p>
      <w:pPr>
        <w:ind w:left="1880" w:hanging="375"/>
        <w:spacing w:after="0"/>
        <w:tabs>
          <w:tab w:leader="none" w:pos="1880" w:val="left"/>
        </w:tabs>
        <w:numPr>
          <w:ilvl w:val="1"/>
          <w:numId w:val="16"/>
        </w:numPr>
        <w:rPr>
          <w:rFonts w:ascii="Arial" w:cs="Arial" w:eastAsia="Arial" w:hAnsi="Arial"/>
          <w:sz w:val="19"/>
          <w:szCs w:val="19"/>
          <w:color w:val="auto"/>
        </w:rPr>
      </w:pPr>
      <w:r>
        <w:rPr>
          <w:rFonts w:ascii="Arial" w:cs="Arial" w:eastAsia="Arial" w:hAnsi="Arial"/>
          <w:sz w:val="19"/>
          <w:szCs w:val="19"/>
          <w:color w:val="auto"/>
        </w:rPr>
        <w:t>As a condition of employment, you will also be required to execute the NDA on or prior to your Start Date.</w:t>
      </w:r>
    </w:p>
    <w:p>
      <w:pPr>
        <w:spacing w:after="0" w:line="213" w:lineRule="exact"/>
        <w:rPr>
          <w:rFonts w:ascii="Arial" w:cs="Arial" w:eastAsia="Arial" w:hAnsi="Arial"/>
          <w:sz w:val="19"/>
          <w:szCs w:val="19"/>
          <w:color w:val="auto"/>
        </w:rPr>
      </w:pPr>
    </w:p>
    <w:p>
      <w:pPr>
        <w:ind w:right="340" w:firstLine="1505"/>
        <w:spacing w:after="0" w:line="320" w:lineRule="auto"/>
        <w:tabs>
          <w:tab w:leader="none" w:pos="1875" w:val="left"/>
        </w:tabs>
        <w:numPr>
          <w:ilvl w:val="1"/>
          <w:numId w:val="16"/>
        </w:numPr>
        <w:rPr>
          <w:rFonts w:ascii="Arial" w:cs="Arial" w:eastAsia="Arial" w:hAnsi="Arial"/>
          <w:sz w:val="17"/>
          <w:szCs w:val="17"/>
          <w:color w:val="auto"/>
        </w:rPr>
      </w:pPr>
      <w:r>
        <w:rPr>
          <w:rFonts w:ascii="Arial" w:cs="Arial" w:eastAsia="Arial" w:hAnsi="Arial"/>
          <w:sz w:val="17"/>
          <w:szCs w:val="17"/>
          <w:color w:val="auto"/>
        </w:rPr>
        <w:t>In addition, CarGurus conducts a background investigation on all new employees, which includes, but is not limited to, previous employment, education, and criminal history. Your employment is contingent on our review of the results of such investigation.</w:t>
      </w:r>
    </w:p>
    <w:p>
      <w:pPr>
        <w:spacing w:after="0" w:line="120" w:lineRule="exact"/>
        <w:rPr>
          <w:rFonts w:ascii="Arial" w:cs="Arial" w:eastAsia="Arial" w:hAnsi="Arial"/>
          <w:sz w:val="17"/>
          <w:szCs w:val="17"/>
          <w:color w:val="auto"/>
        </w:rPr>
      </w:pPr>
    </w:p>
    <w:p>
      <w:pPr>
        <w:ind w:firstLine="757"/>
        <w:spacing w:after="0" w:line="277" w:lineRule="auto"/>
        <w:tabs>
          <w:tab w:leader="none" w:pos="1127"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 on Termination by the Company without Cause or by you for Good Reason. </w:t>
      </w:r>
      <w:r>
        <w:rPr>
          <w:rFonts w:ascii="Arial" w:cs="Arial" w:eastAsia="Arial" w:hAnsi="Arial"/>
          <w:sz w:val="17"/>
          <w:szCs w:val="17"/>
          <w:color w:val="auto"/>
        </w:rPr>
        <w:t>Should your employment be terminated</w:t>
      </w:r>
      <w:r>
        <w:rPr>
          <w:rFonts w:ascii="Arial" w:cs="Arial" w:eastAsia="Arial" w:hAnsi="Arial"/>
          <w:sz w:val="17"/>
          <w:szCs w:val="17"/>
          <w:b w:val="1"/>
          <w:bCs w:val="1"/>
          <w:color w:val="auto"/>
        </w:rPr>
        <w:t xml:space="preserve"> </w:t>
      </w:r>
      <w:r>
        <w:rPr>
          <w:rFonts w:ascii="Arial" w:cs="Arial" w:eastAsia="Arial" w:hAnsi="Arial"/>
          <w:sz w:val="17"/>
          <w:szCs w:val="17"/>
          <w:color w:val="auto"/>
        </w:rPr>
        <w:t>by the Company without “Cause” (as that term is defined in the NDA) or by you for “Good Reason” (as defined below), then in addition to payment of all wages earned through the effective date of such termination (the “Termination Date”), which will be made on or about the Termination Date, and subject to (i) your signing a Separation Agreement and Release in a form and manner satisfactory to the Company, as further described below; and (ii) the Separation Agreement and Release becoming irrevocable, all within 60 days after the Termination Date (or such shorter period as set forth in the Separation Agreement and Release), including any applicable seven (7) business day revocation period provided therein:</w:t>
      </w:r>
    </w:p>
    <w:p>
      <w:pPr>
        <w:spacing w:after="0" w:line="164" w:lineRule="exact"/>
        <w:rPr>
          <w:rFonts w:ascii="Arial" w:cs="Arial" w:eastAsia="Arial" w:hAnsi="Arial"/>
          <w:sz w:val="17"/>
          <w:szCs w:val="17"/>
          <w:b w:val="1"/>
          <w:bCs w:val="1"/>
          <w:color w:val="auto"/>
        </w:rPr>
      </w:pPr>
    </w:p>
    <w:p>
      <w:pPr>
        <w:ind w:left="1880" w:hanging="375"/>
        <w:spacing w:after="0"/>
        <w:tabs>
          <w:tab w:leader="none" w:pos="1880" w:val="left"/>
        </w:tabs>
        <w:numPr>
          <w:ilvl w:val="1"/>
          <w:numId w:val="16"/>
        </w:numPr>
        <w:rPr>
          <w:rFonts w:ascii="Arial" w:cs="Arial" w:eastAsia="Arial" w:hAnsi="Arial"/>
          <w:sz w:val="19"/>
          <w:szCs w:val="19"/>
          <w:color w:val="auto"/>
        </w:rPr>
      </w:pPr>
      <w:r>
        <w:rPr>
          <w:rFonts w:ascii="Arial" w:cs="Arial" w:eastAsia="Arial" w:hAnsi="Arial"/>
          <w:sz w:val="19"/>
          <w:szCs w:val="19"/>
          <w:color w:val="auto"/>
        </w:rPr>
        <w:t>the Company will pay you an amount equal to nine (9) months of your Base Salary (the “Severance Amount”);</w:t>
      </w:r>
    </w:p>
    <w:p>
      <w:pPr>
        <w:spacing w:after="0" w:line="213" w:lineRule="exact"/>
        <w:rPr>
          <w:rFonts w:ascii="Arial" w:cs="Arial" w:eastAsia="Arial" w:hAnsi="Arial"/>
          <w:sz w:val="19"/>
          <w:szCs w:val="19"/>
          <w:color w:val="auto"/>
        </w:rPr>
      </w:pPr>
    </w:p>
    <w:p>
      <w:pPr>
        <w:ind w:right="20" w:firstLine="1505"/>
        <w:spacing w:after="0" w:line="272" w:lineRule="auto"/>
        <w:tabs>
          <w:tab w:leader="none" w:pos="1875" w:val="left"/>
        </w:tabs>
        <w:numPr>
          <w:ilvl w:val="1"/>
          <w:numId w:val="16"/>
        </w:numPr>
        <w:rPr>
          <w:rFonts w:ascii="Arial" w:cs="Arial" w:eastAsia="Arial" w:hAnsi="Arial"/>
          <w:sz w:val="17"/>
          <w:szCs w:val="17"/>
          <w:color w:val="auto"/>
        </w:rPr>
      </w:pPr>
      <w:r>
        <w:rPr>
          <w:rFonts w:ascii="Arial" w:cs="Arial" w:eastAsia="Arial" w:hAnsi="Arial"/>
          <w:sz w:val="17"/>
          <w:szCs w:val="17"/>
          <w:color w:val="auto"/>
        </w:rPr>
        <w:t>subject to your copayment of premium amounts at the applicable active employees’ rate and your proper election to receive benefits under the Consolidated Omnibus Budget Reconciliation Act of 1985, as amended (“COBRA”), the Company will pay to the group health plan provider, the COBRA provider or you a monthly payment equal to the monthly employer contribution that the Company would have made to provide health insurance to you if you had remained employed by the Company until the earliest of (A) the nine (9)-month anniversary of the Termination Date; (B) your eligibility for group medical plan benefits under any other employer’s group medical plan; or (C) the cessation of your continuation rights under COBRA; provided, however, if the Company determines that it cannot pay such amounts to the group health plan provider or the COBRA provider (if applicable) without potentially violating applicable law (including, without limitation, Section 2716 of the Public Health Service Act), then the Company will convert such payments to payroll payments directly to you for the time period specified above (the “COBRA Subsidy”). Such payments shall be subject to tax-related deductions and withholdings and paid on the Company’s regular payroll dates.</w:t>
      </w:r>
    </w:p>
    <w:p>
      <w:pPr>
        <w:spacing w:after="0" w:line="166" w:lineRule="exact"/>
        <w:rPr>
          <w:sz w:val="20"/>
          <w:szCs w:val="20"/>
          <w:color w:val="auto"/>
        </w:rPr>
      </w:pPr>
    </w:p>
    <w:p>
      <w:pPr>
        <w:ind w:right="40" w:firstLine="749"/>
        <w:spacing w:after="0" w:line="256" w:lineRule="auto"/>
        <w:rPr>
          <w:sz w:val="20"/>
          <w:szCs w:val="20"/>
          <w:color w:val="auto"/>
        </w:rPr>
      </w:pPr>
      <w:r>
        <w:rPr>
          <w:rFonts w:ascii="Arial" w:cs="Arial" w:eastAsia="Arial" w:hAnsi="Arial"/>
          <w:sz w:val="18"/>
          <w:szCs w:val="18"/>
          <w:color w:val="auto"/>
        </w:rPr>
        <w:t>The amounts payable under this Section 8, to the extent taxable, will be paid out in substantially equal installments in accordance with the Company’s payroll practice over six (6) months commencing within 60 days after the Termination Date; provided, however, that if the 60-day period begins in one calendar year and ends in a second calendar year, the Severance Amount, to the extent it qualifies as “non-qualified deferred compensation” within the meaning of Section 409A of the Internal Revenue Code of 1986, as amended (the “Code”), shall begin to be paid in the second calendar year by the last day of such 60-day period; provided, further, that the initial payment will include a catch-up payment to cover amounts retroactive to the day immediately following the Termination Date. Each payment pursuant to this Agreement is intended to constitute a separate payment for purposes of Treasury Regulation Section 1.409A-2(b)(2).</w:t>
      </w:r>
    </w:p>
    <w:p>
      <w:pPr>
        <w:spacing w:after="0" w:line="183" w:lineRule="exact"/>
        <w:rPr>
          <w:sz w:val="20"/>
          <w:szCs w:val="20"/>
          <w:color w:val="auto"/>
        </w:rPr>
      </w:pPr>
    </w:p>
    <w:p>
      <w:pPr>
        <w:jc w:val="both"/>
        <w:ind w:right="20" w:firstLine="749"/>
        <w:spacing w:after="0" w:line="244" w:lineRule="auto"/>
        <w:rPr>
          <w:sz w:val="20"/>
          <w:szCs w:val="20"/>
          <w:color w:val="auto"/>
        </w:rPr>
      </w:pPr>
      <w:r>
        <w:rPr>
          <w:rFonts w:ascii="Arial" w:cs="Arial" w:eastAsia="Arial" w:hAnsi="Arial"/>
          <w:sz w:val="19"/>
          <w:szCs w:val="19"/>
          <w:color w:val="auto"/>
        </w:rPr>
        <w:t>Your receipt of the Severance Pay and COBRA Subsidy will be conditional on your signing (and, if applicable, not revoking) a Separation Agreement and Release in a form acceptable to the Company, including a general release of claims against the Company and all related persons and entities, a reaffirmation of all of</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65" w:name="page66"/>
    <w:bookmarkEnd w:id="65"/>
    <w:p>
      <w:pPr>
        <w:spacing w:after="0" w:line="292" w:lineRule="auto"/>
        <w:rPr>
          <w:sz w:val="20"/>
          <w:szCs w:val="20"/>
          <w:color w:val="auto"/>
        </w:rPr>
      </w:pPr>
      <w:r>
        <w:rPr>
          <w:rFonts w:ascii="Arial" w:cs="Arial" w:eastAsia="Arial" w:hAnsi="Arial"/>
          <w:sz w:val="17"/>
          <w:szCs w:val="17"/>
          <w:color w:val="auto"/>
        </w:rPr>
        <w:t>your post-employment obligations under the NDA, and, in the Company’s sole discretion, a one-year post-employment noncompetition agreement substantially similar to or the same as the noncompetition provision of the NDA. Further, the Separation Agreement and Release will provide that if you breach the NDA, all payments of the Severance Amount and COBRA Subsidy will immediately cease and be recoverable by the Company.</w:t>
      </w:r>
    </w:p>
    <w:p>
      <w:pPr>
        <w:spacing w:after="0" w:line="151" w:lineRule="exact"/>
        <w:rPr>
          <w:sz w:val="20"/>
          <w:szCs w:val="20"/>
          <w:color w:val="auto"/>
        </w:rPr>
      </w:pPr>
    </w:p>
    <w:p>
      <w:pPr>
        <w:ind w:firstLine="749"/>
        <w:spacing w:after="0" w:line="267" w:lineRule="auto"/>
        <w:rPr>
          <w:sz w:val="20"/>
          <w:szCs w:val="20"/>
          <w:color w:val="auto"/>
        </w:rPr>
      </w:pPr>
      <w:r>
        <w:rPr>
          <w:rFonts w:ascii="Arial" w:cs="Arial" w:eastAsia="Arial" w:hAnsi="Arial"/>
          <w:sz w:val="17"/>
          <w:szCs w:val="17"/>
          <w:color w:val="auto"/>
        </w:rPr>
        <w:t>For purposes of this letter, “Good Reason” means you have complied with the Good Reason Process (as defined below) following the occurrence of any of the following events, without your consent: (i) a material diminution in the your title, responsibilities, authority or duties; (ii) a material diminution in your base salary or target bonus, except for across-the-board reductions based on the Company’s financial performance similarly affecting all or substantially all senior management employees of the Company; (iii) a material change in the principal geographic location at which you provide services to the Company (with the exception of travel related to your duties to the Company); or (iv) the material breach by the Company of the written employment agreement, offer letter or severance agreement between you and the Company; and “Good Reason Process” means (i) you reasonably determine in good faith that a “Good Reason” condition has occurred; (ii) you have notified the Company in writing of the first occurrence of the Good Reason condition within thirty (30) days of the first occurrence of such condition; (iii) you cooperate in good faith with the Company’s efforts, for a period not less than thirty (30) days following such notice (the “Cure Period”), to remedy the condition;</w:t>
      </w:r>
    </w:p>
    <w:p>
      <w:pPr>
        <w:spacing w:after="0" w:line="3" w:lineRule="exact"/>
        <w:rPr>
          <w:sz w:val="20"/>
          <w:szCs w:val="20"/>
          <w:color w:val="auto"/>
        </w:rPr>
      </w:pPr>
    </w:p>
    <w:p>
      <w:pPr>
        <w:jc w:val="both"/>
        <w:ind w:right="320" w:firstLine="8"/>
        <w:spacing w:after="0"/>
        <w:tabs>
          <w:tab w:leader="none" w:pos="320" w:val="left"/>
        </w:tabs>
        <w:numPr>
          <w:ilvl w:val="0"/>
          <w:numId w:val="17"/>
        </w:numPr>
        <w:rPr>
          <w:rFonts w:ascii="Arial" w:cs="Arial" w:eastAsia="Arial" w:hAnsi="Arial"/>
          <w:sz w:val="19"/>
          <w:szCs w:val="19"/>
          <w:color w:val="auto"/>
        </w:rPr>
      </w:pPr>
      <w:r>
        <w:rPr>
          <w:rFonts w:ascii="Arial" w:cs="Arial" w:eastAsia="Arial" w:hAnsi="Arial"/>
          <w:sz w:val="19"/>
          <w:szCs w:val="19"/>
          <w:color w:val="auto"/>
        </w:rPr>
        <w:t>notwithstanding such efforts, the Good Reason condition continues to exist; and (v) you terminate your employment within thirty (30) days after the end of the Cure Period. If the Company cures the Good Reason condition during the Cure Period, Good Reason shall be deemed not to have occurred.</w:t>
      </w:r>
    </w:p>
    <w:p>
      <w:pPr>
        <w:spacing w:after="0" w:line="186" w:lineRule="exact"/>
        <w:rPr>
          <w:rFonts w:ascii="Arial" w:cs="Arial" w:eastAsia="Arial" w:hAnsi="Arial"/>
          <w:sz w:val="19"/>
          <w:szCs w:val="19"/>
          <w:color w:val="auto"/>
        </w:rPr>
      </w:pPr>
    </w:p>
    <w:p>
      <w:pPr>
        <w:ind w:right="160" w:firstLine="757"/>
        <w:spacing w:after="0" w:line="242" w:lineRule="auto"/>
        <w:tabs>
          <w:tab w:leader="none" w:pos="1127" w:val="left"/>
        </w:tabs>
        <w:numPr>
          <w:ilvl w:val="1"/>
          <w:numId w:val="1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Nature of Relationship; Choice of Law. </w:t>
      </w:r>
      <w:r>
        <w:rPr>
          <w:rFonts w:ascii="Arial" w:cs="Arial" w:eastAsia="Arial" w:hAnsi="Arial"/>
          <w:sz w:val="19"/>
          <w:szCs w:val="19"/>
          <w:color w:val="auto"/>
        </w:rPr>
        <w:t>While we are hopeful and confident that our relationship will be mutually rewarding,</w:t>
      </w:r>
      <w:r>
        <w:rPr>
          <w:rFonts w:ascii="Arial" w:cs="Arial" w:eastAsia="Arial" w:hAnsi="Arial"/>
          <w:sz w:val="19"/>
          <w:szCs w:val="19"/>
          <w:b w:val="1"/>
          <w:bCs w:val="1"/>
          <w:color w:val="auto"/>
        </w:rPr>
        <w:t xml:space="preserve"> </w:t>
      </w:r>
      <w:r>
        <w:rPr>
          <w:rFonts w:ascii="Arial" w:cs="Arial" w:eastAsia="Arial" w:hAnsi="Arial"/>
          <w:sz w:val="19"/>
          <w:szCs w:val="19"/>
          <w:color w:val="auto"/>
        </w:rPr>
        <w:t>satisfactory and sustaining, your employment with the Company is at will, which means that both you and the Company remain free to end the employment relationship at any time and for any reason. Accordingly, this letter shall not be construed as an agreement, either express or implied, to employ you for any particular term, and does not alter the Company’s at will employment policy with respect to your employment. Similarly, nothing in this letter shall be construed as an agreement, either express or implied, to pay you any compensation of any kind, or grant you any benefit, beyond the end of your employment with the Company, other than any payments for which you may become eligible by operation of Section 8.</w:t>
      </w:r>
    </w:p>
    <w:p>
      <w:pPr>
        <w:spacing w:after="0" w:line="192" w:lineRule="exact"/>
        <w:rPr>
          <w:sz w:val="20"/>
          <w:szCs w:val="20"/>
          <w:color w:val="auto"/>
        </w:rPr>
      </w:pPr>
    </w:p>
    <w:p>
      <w:pPr>
        <w:ind w:right="120" w:firstLine="378"/>
        <w:spacing w:after="0" w:line="243" w:lineRule="auto"/>
        <w:rPr>
          <w:sz w:val="20"/>
          <w:szCs w:val="20"/>
          <w:color w:val="auto"/>
        </w:rPr>
      </w:pPr>
      <w:r>
        <w:rPr>
          <w:rFonts w:ascii="Arial" w:cs="Arial" w:eastAsia="Arial" w:hAnsi="Arial"/>
          <w:sz w:val="19"/>
          <w:szCs w:val="19"/>
          <w:color w:val="auto"/>
        </w:rPr>
        <w:t>If you will regularly perform your duties at any of the Company’s business locations in Massachusetts, then all aspects of your employment shall be governed by and construed in accordance with the laws of the Commonwealth of Massachusetts, excluding choice of law rules thereof. If you reside and you will regularly perform your duties for the Company outside of Massachusetts, then all aspects of your employment (except for the NDA, which in such case would be governed by Delaware law), shall be governed by and construed in accordance with the laws of state where you reside.</w:t>
      </w:r>
    </w:p>
    <w:p>
      <w:pPr>
        <w:spacing w:after="0" w:line="190" w:lineRule="exact"/>
        <w:rPr>
          <w:sz w:val="20"/>
          <w:szCs w:val="20"/>
          <w:color w:val="auto"/>
        </w:rPr>
      </w:pPr>
    </w:p>
    <w:p>
      <w:pPr>
        <w:ind w:right="80" w:firstLine="749"/>
        <w:spacing w:after="0" w:line="249" w:lineRule="auto"/>
        <w:rPr>
          <w:sz w:val="20"/>
          <w:szCs w:val="20"/>
          <w:color w:val="auto"/>
        </w:rPr>
      </w:pPr>
      <w:r>
        <w:rPr>
          <w:rFonts w:ascii="Arial" w:cs="Arial" w:eastAsia="Arial" w:hAnsi="Arial"/>
          <w:sz w:val="19"/>
          <w:szCs w:val="19"/>
          <w:color w:val="auto"/>
        </w:rPr>
        <w:t>Matt, we look forward to you joining our organization. In order to confirm your intention to commence employment with CarGurus on the Start Date on the terms set forth in this letter, please sign one copy of this letter and the NDA and return them to me. The other copy is for your records. If you have any questions, please do not hesitate to speak with me.</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Sincerely,</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/s/ Jason Trevisan</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Jason Trevisan</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Chief Executive Officer</w:t>
      </w:r>
    </w:p>
    <w:p>
      <w:pPr>
        <w:spacing w:after="0"/>
        <w:rPr>
          <w:sz w:val="20"/>
          <w:szCs w:val="20"/>
          <w:color w:val="auto"/>
        </w:rPr>
      </w:pPr>
      <w:r>
        <w:rPr>
          <w:rFonts w:ascii="Arial" w:cs="Arial" w:eastAsia="Arial" w:hAnsi="Arial"/>
          <w:sz w:val="19"/>
          <w:szCs w:val="19"/>
          <w:color w:val="auto"/>
        </w:rPr>
        <w:t>CarGurus, Inc.</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6" w:name="page67"/>
    <w:bookmarkEnd w:id="66"/>
    <w:p>
      <w:pPr>
        <w:spacing w:after="0"/>
        <w:rPr>
          <w:sz w:val="20"/>
          <w:szCs w:val="20"/>
          <w:color w:val="auto"/>
        </w:rPr>
      </w:pPr>
      <w:r>
        <w:rPr>
          <w:rFonts w:ascii="Arial" w:cs="Arial" w:eastAsia="Arial" w:hAnsi="Arial"/>
          <w:sz w:val="19"/>
          <w:szCs w:val="19"/>
          <w:color w:val="auto"/>
        </w:rPr>
        <w:t>ACKNOWLEDGEMENT AND AGREEMENT</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I agree with the terms of this letter and will commence employment on the Start Date on the terms set forth in this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040" w:type="dxa"/>
            <w:vAlign w:val="bottom"/>
          </w:tcPr>
          <w:p>
            <w:pPr>
              <w:spacing w:after="0"/>
              <w:rPr>
                <w:sz w:val="20"/>
                <w:szCs w:val="20"/>
                <w:color w:val="auto"/>
              </w:rPr>
            </w:pPr>
            <w:r>
              <w:rPr>
                <w:rFonts w:ascii="Arial" w:cs="Arial" w:eastAsia="Arial" w:hAnsi="Arial"/>
                <w:sz w:val="19"/>
                <w:szCs w:val="19"/>
                <w:color w:val="auto"/>
              </w:rPr>
              <w:t>/s/ Matt Quinn</w:t>
            </w:r>
          </w:p>
        </w:tc>
        <w:tc>
          <w:tcPr>
            <w:tcW w:w="2640" w:type="dxa"/>
            <w:vAlign w:val="bottom"/>
            <w:gridSpan w:val="2"/>
          </w:tcPr>
          <w:p>
            <w:pPr>
              <w:ind w:left="380"/>
              <w:spacing w:after="0"/>
              <w:rPr>
                <w:sz w:val="20"/>
                <w:szCs w:val="20"/>
                <w:color w:val="auto"/>
              </w:rPr>
            </w:pPr>
            <w:r>
              <w:rPr>
                <w:rFonts w:ascii="Arial" w:cs="Arial" w:eastAsia="Arial" w:hAnsi="Arial"/>
                <w:sz w:val="19"/>
                <w:szCs w:val="19"/>
                <w:color w:val="auto"/>
              </w:rPr>
              <w:t>12/1/2021</w:t>
            </w:r>
          </w:p>
        </w:tc>
      </w:tr>
      <w:tr>
        <w:trPr>
          <w:trHeight w:val="233"/>
        </w:trPr>
        <w:tc>
          <w:tcPr>
            <w:tcW w:w="3040" w:type="dxa"/>
            <w:vAlign w:val="bottom"/>
            <w:tcBorders>
              <w:top w:val="single" w:sz="8" w:color="auto"/>
            </w:tcBorders>
          </w:tcPr>
          <w:p>
            <w:pPr>
              <w:spacing w:after="0"/>
              <w:rPr>
                <w:sz w:val="20"/>
                <w:szCs w:val="20"/>
                <w:color w:val="auto"/>
              </w:rPr>
            </w:pPr>
            <w:r>
              <w:rPr>
                <w:rFonts w:ascii="Arial" w:cs="Arial" w:eastAsia="Arial" w:hAnsi="Arial"/>
                <w:sz w:val="19"/>
                <w:szCs w:val="19"/>
                <w:color w:val="auto"/>
              </w:rPr>
              <w:t>Matt Quinn</w:t>
            </w:r>
          </w:p>
        </w:tc>
        <w:tc>
          <w:tcPr>
            <w:tcW w:w="360" w:type="dxa"/>
            <w:vAlign w:val="bottom"/>
          </w:tcPr>
          <w:p>
            <w:pPr>
              <w:spacing w:after="0"/>
              <w:rPr>
                <w:sz w:val="20"/>
                <w:szCs w:val="20"/>
                <w:color w:val="auto"/>
              </w:rPr>
            </w:pPr>
          </w:p>
        </w:tc>
        <w:tc>
          <w:tcPr>
            <w:tcW w:w="2280" w:type="dxa"/>
            <w:vAlign w:val="bottom"/>
            <w:tcBorders>
              <w:top w:val="single" w:sz="8" w:color="auto"/>
            </w:tcBorders>
          </w:tcPr>
          <w:p>
            <w:pPr>
              <w:ind w:left="20"/>
              <w:spacing w:after="0"/>
              <w:rPr>
                <w:sz w:val="20"/>
                <w:szCs w:val="20"/>
                <w:color w:val="auto"/>
              </w:rPr>
            </w:pPr>
            <w:r>
              <w:rPr>
                <w:rFonts w:ascii="Arial" w:cs="Arial" w:eastAsia="Arial" w:hAnsi="Arial"/>
                <w:sz w:val="19"/>
                <w:szCs w:val="19"/>
                <w:color w:val="auto"/>
              </w:rPr>
              <w:t>Date</w:t>
            </w:r>
          </w:p>
        </w:tc>
      </w:tr>
    </w:tbl>
    <w:p>
      <w:pPr>
        <w:ind w:left="558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08" w:right="1440"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Jason Trevisan, certify that:</w:t>
      </w:r>
    </w:p>
    <w:p>
      <w:pPr>
        <w:spacing w:after="0" w:line="225"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CarGurus,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540" w:type="dxa"/>
            <w:vAlign w:val="bottom"/>
          </w:tcPr>
          <w:p>
            <w:pPr>
              <w:ind w:left="20"/>
              <w:spacing w:after="0"/>
              <w:rPr>
                <w:sz w:val="20"/>
                <w:szCs w:val="20"/>
                <w:color w:val="auto"/>
              </w:rPr>
            </w:pPr>
            <w:r>
              <w:rPr>
                <w:rFonts w:ascii="Arial" w:cs="Arial" w:eastAsia="Arial" w:hAnsi="Arial"/>
                <w:sz w:val="18"/>
                <w:szCs w:val="18"/>
                <w:color w:val="auto"/>
              </w:rPr>
              <w:t>Date: May 9, 2023</w:t>
            </w:r>
          </w:p>
        </w:tc>
        <w:tc>
          <w:tcPr>
            <w:tcW w:w="7700" w:type="dxa"/>
            <w:vAlign w:val="bottom"/>
            <w:gridSpan w:val="2"/>
          </w:tcPr>
          <w:p>
            <w:pPr>
              <w:ind w:left="2160"/>
              <w:spacing w:after="0"/>
              <w:rPr>
                <w:sz w:val="20"/>
                <w:szCs w:val="20"/>
                <w:color w:val="auto"/>
              </w:rPr>
            </w:pPr>
            <w:r>
              <w:rPr>
                <w:rFonts w:ascii="Arial" w:cs="Arial" w:eastAsia="Arial" w:hAnsi="Arial"/>
                <w:sz w:val="18"/>
                <w:szCs w:val="18"/>
                <w:color w:val="auto"/>
              </w:rPr>
              <w:t>By: /s/ Jason Trevisan</w:t>
            </w:r>
          </w:p>
        </w:tc>
      </w:tr>
      <w:tr>
        <w:trPr>
          <w:trHeight w:val="209"/>
        </w:trPr>
        <w:tc>
          <w:tcPr>
            <w:tcW w:w="3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Jason Trevisan</w:t>
            </w:r>
          </w:p>
        </w:tc>
      </w:tr>
      <w:tr>
        <w:trPr>
          <w:trHeight w:val="216"/>
        </w:trPr>
        <w:tc>
          <w:tcPr>
            <w:tcW w:w="3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(Principal Executive Officer and Principal Financial Officer)</w:t>
            </w:r>
          </w:p>
        </w:tc>
      </w:tr>
      <w:tr>
        <w:trPr>
          <w:trHeight w:val="776"/>
        </w:trPr>
        <w:tc>
          <w:tcPr>
            <w:tcW w:w="35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09"/>
        <w:spacing w:after="0" w:line="286" w:lineRule="auto"/>
        <w:rPr>
          <w:sz w:val="20"/>
          <w:szCs w:val="20"/>
          <w:color w:val="auto"/>
        </w:rPr>
      </w:pPr>
      <w:r>
        <w:rPr>
          <w:rFonts w:ascii="Arial" w:cs="Arial" w:eastAsia="Arial" w:hAnsi="Arial"/>
          <w:sz w:val="17"/>
          <w:szCs w:val="17"/>
          <w:color w:val="auto"/>
        </w:rPr>
        <w:t>In connection with the Quarterly Report on Form 10-Q of CarGurus, Inc. (the “Company”) for the period ending March 31, 2023 as filed with the Securities and Exchange Commission on the date hereof (the “Report”), I, Jason Trevisan, Chief Executive Officer of the Company, certify, pursuant to 18 U.S.C. § 1350, as adopted pursuant to § 906 of the Sarbanes-Oxley Act of 2002, that, based on my knowledge:</w:t>
      </w:r>
    </w:p>
    <w:p>
      <w:pPr>
        <w:spacing w:after="0" w:line="165"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540" w:type="dxa"/>
            <w:vAlign w:val="bottom"/>
          </w:tcPr>
          <w:p>
            <w:pPr>
              <w:ind w:left="20"/>
              <w:spacing w:after="0"/>
              <w:rPr>
                <w:sz w:val="20"/>
                <w:szCs w:val="20"/>
                <w:color w:val="auto"/>
              </w:rPr>
            </w:pPr>
            <w:r>
              <w:rPr>
                <w:rFonts w:ascii="Arial" w:cs="Arial" w:eastAsia="Arial" w:hAnsi="Arial"/>
                <w:sz w:val="18"/>
                <w:szCs w:val="18"/>
                <w:color w:val="auto"/>
              </w:rPr>
              <w:t>Date: May 9, 2023</w:t>
            </w:r>
          </w:p>
        </w:tc>
        <w:tc>
          <w:tcPr>
            <w:tcW w:w="7700" w:type="dxa"/>
            <w:vAlign w:val="bottom"/>
            <w:gridSpan w:val="2"/>
          </w:tcPr>
          <w:p>
            <w:pPr>
              <w:ind w:left="2160"/>
              <w:spacing w:after="0"/>
              <w:rPr>
                <w:sz w:val="20"/>
                <w:szCs w:val="20"/>
                <w:color w:val="auto"/>
              </w:rPr>
            </w:pPr>
            <w:r>
              <w:rPr>
                <w:rFonts w:ascii="Arial" w:cs="Arial" w:eastAsia="Arial" w:hAnsi="Arial"/>
                <w:sz w:val="18"/>
                <w:szCs w:val="18"/>
                <w:color w:val="auto"/>
              </w:rPr>
              <w:t>By: /s/ Jason Trevisan</w:t>
            </w:r>
          </w:p>
        </w:tc>
      </w:tr>
      <w:tr>
        <w:trPr>
          <w:trHeight w:val="209"/>
        </w:trPr>
        <w:tc>
          <w:tcPr>
            <w:tcW w:w="3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Jason Trevisan</w:t>
            </w:r>
          </w:p>
        </w:tc>
      </w:tr>
      <w:tr>
        <w:trPr>
          <w:trHeight w:val="216"/>
        </w:trPr>
        <w:tc>
          <w:tcPr>
            <w:tcW w:w="3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(Principal Executive Officer and Principal Financial Officer)</w:t>
            </w:r>
          </w:p>
        </w:tc>
      </w:tr>
      <w:tr>
        <w:trPr>
          <w:trHeight w:val="560"/>
        </w:trPr>
        <w:tc>
          <w:tcPr>
            <w:tcW w:w="35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upperLetter"/>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lvl w:ilvl="1">
      <w:lvlJc w:val="left"/>
      <w:lvlText w:val="(%2)"/>
      <w:numFmt w:val="lowerLetter"/>
      <w:start w:val="1"/>
    </w:lvl>
  </w:abstractNum>
  <w:abstractNum w:abstractNumId="14">
    <w:nsid w:val="25E45D32"/>
    <w:multiLevelType w:val="hybridMultilevel"/>
    <w:lvl w:ilvl="0">
      <w:lvlJc w:val="left"/>
      <w:lvlText w:val="%1."/>
      <w:numFmt w:val="decimal"/>
      <w:start w:val="3"/>
    </w:lvl>
  </w:abstractNum>
  <w:abstractNum w:abstractNumId="15">
    <w:nsid w:val="519B500D"/>
    <w:multiLevelType w:val="hybridMultilevel"/>
    <w:lvl w:ilvl="0">
      <w:lvlJc w:val="left"/>
      <w:lvlText w:val="%1."/>
      <w:numFmt w:val="decimal"/>
      <w:start w:val="7"/>
    </w:lvl>
    <w:lvl w:ilvl="1">
      <w:lvlJc w:val="left"/>
      <w:lvlText w:val="(%2)"/>
      <w:numFmt w:val="lowerLetter"/>
      <w:start w:val="1"/>
    </w:lvl>
  </w:abstractNum>
  <w:abstractNum w:abstractNumId="16">
    <w:nsid w:val="431BD7B7"/>
    <w:multiLevelType w:val="hybridMultilevel"/>
    <w:lvl w:ilvl="0">
      <w:lvlJc w:val="left"/>
      <w:lvlText w:val="(%1)"/>
      <w:numFmt w:val="lowerRoman"/>
      <w:start w:val="4"/>
    </w:lvl>
    <w:lvl w:ilvl="1">
      <w:lvlJc w:val="left"/>
      <w:lvlText w:val="%2."/>
      <w:numFmt w:val="decimal"/>
      <w:start w:val="9"/>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2023-05-09T15:54:46Z</dcterms:created>
  <dcterms:modified xsi:type="dcterms:W3CDTF">2023-05-09T15:54:46Z</dcterms:modified>
</cp:coreProperties>
</file>