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rg-20240930.htm"/>
      <w:bookmarkStart w:id="1" w:name="kscarg20240930"/>
      <w:bookmarkEnd w:id="0"/>
      <w:bookmarkEnd w:id="1"/>
      <w:r>
        <w:rPr/>
        <w:t> </w:t>
      </w:r>
    </w:p>
    <w:p>
      <w:pPr>
        <w:pStyle w:val="TextBody"/>
        <w:bidi w:val="0"/>
        <w:spacing w:before="4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jc w:val="center"/>
        <w:rPr>
          <w:rFonts w:ascii="Calibri;sans-serif" w:hAnsi="Calibri;sans-serif"/>
          <w:b/>
          <w:color w:val="000000"/>
          <w:sz w:val="24"/>
        </w:rPr>
      </w:pPr>
      <w:r>
        <w:rPr>
          <w:rFonts w:ascii="Calibri;sans-serif" w:hAnsi="Calibri;sans-serif"/>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Calibri;sans-serif" w:hAnsi="Calibri;sans-serif"/>
          <w:b/>
          <w:color w:val="000000"/>
          <w:sz w:val="36"/>
        </w:rPr>
      </w:pPr>
      <w:r>
        <w:rPr>
          <w:rFonts w:ascii="Calibri;sans-serif" w:hAnsi="Calibri;sans-serif"/>
          <w:b/>
          <w:color w:val="000000"/>
          <w:sz w:val="36"/>
        </w:rPr>
        <w:t>FORM 10-Q</w:t>
      </w:r>
    </w:p>
    <w:p>
      <w:pPr>
        <w:pStyle w:val="TextBody"/>
        <w:pBdr>
          <w:bottom w:val="single" w:sz="4" w:space="1" w:color="000000"/>
        </w:pBdr>
        <w:bidi w:val="0"/>
        <w:jc w:val="center"/>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4"/>
              </w:rPr>
            </w:pPr>
            <w:r>
              <w:rPr>
                <w:rFonts w:ascii="Calibri;sans-serif" w:hAnsi="Calibri;sans-serif"/>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For the quarterly period ended September 30, 2024</w:t>
      </w:r>
    </w:p>
    <w:p>
      <w:pPr>
        <w:pStyle w:val="TextBody"/>
        <w:bidi w:val="0"/>
        <w:spacing w:before="8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4"/>
              </w:rPr>
            </w:pPr>
            <w:r>
              <w:rPr>
                <w:rFonts w:ascii="Calibri;sans-serif" w:hAnsi="Calibri;sans-serif"/>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For the transition period from _________________ to _________________</w:t>
      </w:r>
    </w:p>
    <w:p>
      <w:pPr>
        <w:pStyle w:val="TextBody"/>
        <w:bidi w:val="0"/>
        <w:spacing w:before="80" w:after="283"/>
        <w:jc w:val="center"/>
        <w:rPr>
          <w:rFonts w:ascii="Calibri;sans-serif" w:hAnsi="Calibri;sans-serif"/>
          <w:b/>
          <w:color w:val="000000"/>
          <w:sz w:val="20"/>
        </w:rPr>
      </w:pPr>
      <w:r>
        <w:rPr>
          <w:rFonts w:ascii="Calibri;sans-serif" w:hAnsi="Calibri;sans-serif"/>
          <w:b/>
          <w:color w:val="000000"/>
          <w:sz w:val="20"/>
        </w:rPr>
        <w:t>Commission File Number: 001-38233</w:t>
      </w:r>
    </w:p>
    <w:p>
      <w:pPr>
        <w:pStyle w:val="TextBody"/>
        <w:pBdr>
          <w:bottom w:val="single" w:sz="4" w:space="1" w:color="000000"/>
        </w:pBdr>
        <w:bidi w:val="0"/>
        <w:spacing w:before="0" w:after="80"/>
        <w:jc w:val="center"/>
        <w:rPr/>
      </w:pPr>
      <w:r>
        <w:rPr/>
        <w:t> </w:t>
      </w:r>
    </w:p>
    <w:p>
      <w:pPr>
        <w:pStyle w:val="TextBody"/>
        <w:bidi w:val="0"/>
        <w:jc w:val="center"/>
        <w:rPr/>
      </w:pPr>
      <w:r>
        <w:rPr/>
        <w:drawing>
          <wp:inline distT="0" distB="0" distL="0" distR="0">
            <wp:extent cx="14287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247650"/>
                    </a:xfrm>
                    <a:prstGeom prst="rect">
                      <a:avLst/>
                    </a:prstGeom>
                  </pic:spPr>
                </pic:pic>
              </a:graphicData>
            </a:graphic>
          </wp:inline>
        </w:drawing>
      </w:r>
    </w:p>
    <w:p>
      <w:pPr>
        <w:pStyle w:val="TextBody"/>
        <w:bidi w:val="0"/>
        <w:jc w:val="center"/>
        <w:rPr>
          <w:rFonts w:ascii="Calibri;sans-serif" w:hAnsi="Calibri;sans-serif"/>
          <w:b/>
          <w:color w:val="000000"/>
          <w:sz w:val="48"/>
        </w:rPr>
      </w:pPr>
      <w:r>
        <w:rPr>
          <w:rFonts w:ascii="Calibri;sans-serif" w:hAnsi="Calibri;sans-serif"/>
          <w:b/>
          <w:color w:val="000000"/>
          <w:sz w:val="48"/>
        </w:rPr>
        <w:t>CARGURUS, INC.</w:t>
      </w:r>
    </w:p>
    <w:p>
      <w:pPr>
        <w:pStyle w:val="TextBody"/>
        <w:bidi w:val="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142" w:type="dxa"/>
        <w:jc w:val="left"/>
        <w:tblInd w:w="0" w:type="dxa"/>
        <w:tblLayout w:type="fixed"/>
        <w:tblCellMar>
          <w:top w:w="28" w:type="dxa"/>
          <w:left w:w="28" w:type="dxa"/>
          <w:bottom w:w="28" w:type="dxa"/>
          <w:right w:w="28" w:type="dxa"/>
        </w:tblCellMar>
      </w:tblPr>
      <w:tblGrid>
        <w:gridCol w:w="2761"/>
        <w:gridCol w:w="1381"/>
      </w:tblGrid>
      <w:tr>
        <w:trPr/>
        <w:tc>
          <w:tcPr>
            <w:tcW w:w="27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Delaware</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04-3843478</w:t>
            </w:r>
          </w:p>
        </w:tc>
      </w:tr>
      <w:tr>
        <w:trPr/>
        <w:tc>
          <w:tcPr>
            <w:tcW w:w="2761" w:type="dxa"/>
            <w:tcBorders/>
            <w:tcMar>
              <w:top w:w="0" w:type="dxa"/>
              <w:left w:w="0" w:type="dxa"/>
              <w:bottom w:w="0" w:type="dxa"/>
              <w:right w:w="0" w:type="dxa"/>
            </w:tcMar>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(State or other jurisdiction of</w:t>
            </w:r>
          </w:p>
          <w:p>
            <w:pPr>
              <w:pStyle w:val="TableContents"/>
              <w:bidi w:val="0"/>
              <w:spacing w:before="0" w:after="9"/>
              <w:jc w:val="center"/>
              <w:rPr>
                <w:rFonts w:ascii="Calibri;sans-serif" w:hAnsi="Calibri;sans-serif"/>
                <w:b/>
                <w:color w:val="000000"/>
                <w:sz w:val="16"/>
              </w:rPr>
            </w:pPr>
            <w:r>
              <w:rPr>
                <w:rFonts w:ascii="Calibri;sans-serif" w:hAnsi="Calibri;sans-serif"/>
                <w:b/>
                <w:color w:val="000000"/>
                <w:sz w:val="16"/>
              </w:rPr>
              <w:t>incorporation or organization)</w:t>
            </w:r>
          </w:p>
        </w:tc>
        <w:tc>
          <w:tcPr>
            <w:tcW w:w="1381" w:type="dxa"/>
            <w:tcBorders/>
            <w:tcMar>
              <w:top w:w="0" w:type="dxa"/>
              <w:left w:w="0" w:type="dxa"/>
              <w:bottom w:w="0" w:type="dxa"/>
              <w:right w:w="0" w:type="dxa"/>
            </w:tcMar>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(I.R.S. Employer</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Identification No.)</w:t>
            </w:r>
          </w:p>
        </w:tc>
      </w:tr>
      <w:tr>
        <w:trPr/>
        <w:tc>
          <w:tcPr>
            <w:tcW w:w="2761" w:type="dxa"/>
            <w:tcBorders/>
            <w:tcMar>
              <w:top w:w="0" w:type="dxa"/>
              <w:left w:w="0" w:type="dxa"/>
              <w:bottom w:w="0" w:type="dxa"/>
              <w:right w:w="0" w:type="dxa"/>
            </w:tcMar>
            <w:vAlign w:val="center"/>
          </w:tcPr>
          <w:p>
            <w:pPr>
              <w:pStyle w:val="TableContents"/>
              <w:bidi w:val="0"/>
              <w:spacing w:before="0" w:after="9"/>
              <w:jc w:val="center"/>
              <w:rPr>
                <w:rFonts w:ascii="Times New Roman" w:hAnsi="Times New Roman"/>
                <w:sz w:val="20"/>
              </w:rPr>
            </w:pPr>
            <w:r>
              <w:rPr>
                <w:rFonts w:ascii="Calibri;sans-serif" w:hAnsi="Calibri;sans-serif"/>
                <w:b/>
                <w:color w:val="000000"/>
                <w:sz w:val="20"/>
              </w:rPr>
              <w:t>1001 Boylston Street, 16</w:t>
            </w:r>
            <w:r>
              <w:rPr>
                <w:rFonts w:ascii="Calibri;sans-serif" w:hAnsi="Calibri;sans-serif"/>
                <w:b/>
                <w:color w:val="000000"/>
                <w:sz w:val="13"/>
              </w:rPr>
              <w:t>th</w:t>
            </w:r>
            <w:r>
              <w:rPr>
                <w:rFonts w:ascii="Calibri;sans-serif" w:hAnsi="Calibri;sans-serif"/>
                <w:color w:val="000000"/>
                <w:sz w:val="20"/>
              </w:rPr>
              <w:t xml:space="preserve"> </w:t>
            </w:r>
            <w:r>
              <w:rPr>
                <w:rFonts w:ascii="Calibri;sans-serif" w:hAnsi="Calibri;sans-serif"/>
                <w:b/>
                <w:color w:val="000000"/>
                <w:sz w:val="20"/>
              </w:rPr>
              <w:t>Floor</w:t>
            </w:r>
          </w:p>
          <w:p>
            <w:pPr>
              <w:pStyle w:val="TableContents"/>
              <w:bidi w:val="0"/>
              <w:spacing w:before="0" w:after="9"/>
              <w:jc w:val="center"/>
              <w:rPr>
                <w:rFonts w:ascii="Times New Roman" w:hAnsi="Times New Roman"/>
                <w:sz w:val="20"/>
              </w:rPr>
            </w:pPr>
            <w:r>
              <w:rPr>
                <w:rFonts w:ascii="Calibri;sans-serif" w:hAnsi="Calibri;sans-serif"/>
                <w:b/>
                <w:color w:val="000000"/>
                <w:sz w:val="20"/>
              </w:rPr>
              <w:t>Boston, Massachusetts</w:t>
            </w:r>
            <w:r>
              <w:rPr>
                <w:rFonts w:ascii="Times New Roman" w:hAnsi="Times New Roman"/>
                <w:color w:val="000000"/>
                <w:sz w:val="20"/>
              </w:rPr>
              <w:t xml:space="preserve">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02115</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40" w:after="283"/>
        <w:jc w:val="center"/>
        <w:rPr>
          <w:rFonts w:ascii="Calibri;sans-serif" w:hAnsi="Calibri;sans-serif"/>
          <w:b/>
          <w:color w:val="000000"/>
          <w:sz w:val="18"/>
        </w:rPr>
      </w:pPr>
      <w:r>
        <w:rPr>
          <w:rFonts w:ascii="Calibri;sans-serif" w:hAnsi="Calibri;sans-serif"/>
          <w:b/>
          <w:color w:val="000000"/>
          <w:sz w:val="18"/>
        </w:rPr>
        <w:t>(617) 354-0068</w:t>
      </w:r>
    </w:p>
    <w:p>
      <w:pPr>
        <w:pStyle w:val="TextBody"/>
        <w:bidi w:val="0"/>
        <w:spacing w:before="40" w:after="283"/>
        <w:jc w:val="center"/>
        <w:rPr>
          <w:rFonts w:ascii="Times New Roman" w:hAnsi="Times New Roman"/>
          <w:sz w:val="20"/>
        </w:rPr>
      </w:pPr>
      <w:r>
        <w:rPr>
          <w:rFonts w:ascii="Calibri;sans-serif" w:hAnsi="Calibri;sans-serif"/>
          <w:color w:val="000000"/>
          <w:sz w:val="18"/>
        </w:rPr>
        <w:t>(Registrant’s telephone number, including area code)</w:t>
      </w:r>
      <w:r>
        <w:rPr>
          <w:rFonts w:ascii="Times New Roman" w:hAnsi="Times New Roman"/>
          <w:color w:val="000000"/>
          <w:sz w:val="20"/>
        </w:rPr>
        <w:t xml:space="preserve"> </w:t>
      </w:r>
    </w:p>
    <w:p>
      <w:pPr>
        <w:pStyle w:val="TextBody"/>
        <w:bidi w:val="0"/>
        <w:spacing w:before="80" w:after="283"/>
        <w:jc w:val="left"/>
        <w:rPr>
          <w:rFonts w:ascii="Calibri;sans-serif" w:hAnsi="Calibri;sans-serif"/>
          <w:color w:val="000000"/>
          <w:sz w:val="20"/>
        </w:rPr>
      </w:pPr>
      <w:r>
        <w:rPr>
          <w:rFonts w:ascii="Calibri;sans-serif" w:hAnsi="Calibri;sans-serif"/>
          <w:color w:val="000000"/>
          <w:sz w:val="20"/>
        </w:rPr>
        <w:t>Securities registered pursuant to Section 12(b) of the Act:</w:t>
      </w:r>
    </w:p>
    <w:p>
      <w:pPr>
        <w:pStyle w:val="TextBody"/>
        <w:bidi w:val="0"/>
        <w:jc w:val="center"/>
        <w:rPr/>
      </w:pPr>
      <w:r>
        <w:rPr/>
        <w:t> </w:t>
      </w:r>
    </w:p>
    <w:tbl>
      <w:tblPr>
        <w:tblW w:w="9078" w:type="dxa"/>
        <w:jc w:val="left"/>
        <w:tblInd w:w="0" w:type="dxa"/>
        <w:tblLayout w:type="fixed"/>
        <w:tblCellMar>
          <w:top w:w="28" w:type="dxa"/>
          <w:left w:w="28" w:type="dxa"/>
          <w:bottom w:w="28" w:type="dxa"/>
          <w:right w:w="28" w:type="dxa"/>
        </w:tblCellMar>
      </w:tblPr>
      <w:tblGrid>
        <w:gridCol w:w="3556"/>
        <w:gridCol w:w="1261"/>
        <w:gridCol w:w="4261"/>
      </w:tblGrid>
      <w:tr>
        <w:trPr/>
        <w:tc>
          <w:tcPr>
            <w:tcW w:w="35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Title of Each Class</w:t>
            </w:r>
          </w:p>
        </w:tc>
        <w:tc>
          <w:tcPr>
            <w:tcW w:w="1261"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Trading Symbol</w:t>
            </w:r>
          </w:p>
        </w:tc>
        <w:tc>
          <w:tcPr>
            <w:tcW w:w="4261"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Name of Exchange on Which Registered</w:t>
            </w:r>
          </w:p>
        </w:tc>
      </w:tr>
      <w:tr>
        <w:trPr/>
        <w:tc>
          <w:tcPr>
            <w:tcW w:w="3556"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Class A Common Stock, par value $0.001 per share</w:t>
            </w:r>
          </w:p>
        </w:tc>
        <w:tc>
          <w:tcPr>
            <w:tcW w:w="1261"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CARG</w:t>
            </w:r>
          </w:p>
        </w:tc>
        <w:tc>
          <w:tcPr>
            <w:tcW w:w="4261" w:type="dxa"/>
            <w:tcBorders/>
            <w:vAlign w:val="center"/>
          </w:tcPr>
          <w:p>
            <w:pPr>
              <w:pStyle w:val="TableContents"/>
              <w:bidi w:val="0"/>
              <w:jc w:val="center"/>
              <w:rPr>
                <w:rFonts w:ascii="Times New Roman" w:hAnsi="Times New Roman"/>
                <w:sz w:val="20"/>
              </w:rPr>
            </w:pPr>
            <w:r>
              <w:rPr>
                <w:rFonts w:ascii="Calibri;sans-serif" w:hAnsi="Calibri;sans-serif"/>
                <w:b/>
                <w:color w:val="000000"/>
                <w:sz w:val="16"/>
              </w:rPr>
              <w:t>The Nasdaq Stock Market LLC</w:t>
            </w:r>
            <w:r>
              <w:rPr>
                <w:rFonts w:ascii="Times New Roman" w:hAnsi="Times New Roman"/>
                <w:color w:val="000000"/>
                <w:sz w:val="20"/>
              </w:rPr>
              <w:t> </w:t>
            </w:r>
            <w:r>
              <w:rPr>
                <w:rFonts w:ascii="Calibri;sans-serif" w:hAnsi="Calibri;sans-serif"/>
                <w:b/>
                <w:color w:val="000000"/>
                <w:sz w:val="16"/>
              </w:rPr>
              <w:t>(Nasdaq Global Select Market)</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Calibri;sans-serif" w:hAnsi="Calibri;sans-serif"/>
          <w:color w:val="000000"/>
          <w:sz w:val="20"/>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Calibri;sans-serif" w:hAnsi="Calibri;sans-serif"/>
          <w:color w:val="000000"/>
          <w:sz w:val="20"/>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1831"/>
        <w:gridCol w:w="146"/>
        <w:gridCol w:w="316"/>
        <w:gridCol w:w="146"/>
        <w:gridCol w:w="2221"/>
        <w:gridCol w:w="146"/>
        <w:gridCol w:w="36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Small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Calibri;sans-serif" w:hAnsi="Calibri;sans-serif"/>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Calibri;sans-serif" w:hAnsi="Calibri;sans-serif"/>
          <w:color w:val="000000"/>
          <w:sz w:val="20"/>
        </w:rPr>
        <w:t>As of October 31, 2024, the registrant had 87,950,796</w:t>
      </w:r>
      <w:r>
        <w:rPr>
          <w:rFonts w:ascii="Times New Roman" w:hAnsi="Times New Roman"/>
          <w:color w:val="000000"/>
          <w:sz w:val="20"/>
        </w:rPr>
        <w:t xml:space="preserve"> </w:t>
      </w:r>
      <w:r>
        <w:rPr>
          <w:rFonts w:ascii="Calibri;sans-serif" w:hAnsi="Calibri;sans-serif"/>
          <w:color w:val="000000"/>
          <w:sz w:val="20"/>
        </w:rPr>
        <w:t>shares of Class A common stock, $0.001 par value per share, and 15,757,238</w:t>
      </w:r>
      <w:r>
        <w:rPr>
          <w:rFonts w:ascii="Times New Roman" w:hAnsi="Times New Roman"/>
          <w:color w:val="000000"/>
          <w:sz w:val="20"/>
        </w:rPr>
        <w:t xml:space="preserve"> </w:t>
      </w:r>
      <w:r>
        <w:rPr>
          <w:rFonts w:ascii="Calibri;sans-serif" w:hAnsi="Calibri;sans-serif"/>
          <w:color w:val="000000"/>
          <w:sz w:val="20"/>
        </w:rPr>
        <w:t>shares of Class B common stock, par value $0.001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8801"/>
        <w:gridCol w:w="482"/>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ind w:left="0" w:right="0" w:firstLine="90"/>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PART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Calibri;sans-serif" w:hAnsi="Calibri;sans-serif"/>
                  <w:b/>
                  <w:color w:val="0000FF"/>
                  <w:sz w:val="20"/>
                  <w:u w:val="single"/>
                </w:rPr>
                <w:t>FINANCIAL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Calibri;sans-serif" w:hAnsi="Calibri;sans-serif"/>
                  <w:color w:val="0000FF"/>
                  <w:sz w:val="20"/>
                  <w:u w:val="single"/>
                </w:rPr>
                <w:t>Financial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Calibri;sans-serif" w:hAnsi="Calibri;sans-serif"/>
                  <w:color w:val="0000FF"/>
                  <w:sz w:val="20"/>
                  <w:u w:val="single"/>
                </w:rPr>
                <w:t>Unaudited Condensed Consolidated Balance Sheets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Calibri;sans-serif" w:hAnsi="Calibri;sans-serif"/>
                  <w:color w:val="0000FF"/>
                  <w:sz w:val="20"/>
                  <w:u w:val="single"/>
                </w:rPr>
                <w:t>Unaudited Condensed Consolidated Income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2</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Calibri;sans-serif" w:hAnsi="Calibri;sans-serif"/>
                  <w:color w:val="0000FF"/>
                  <w:sz w:val="20"/>
                  <w:u w:val="single"/>
                </w:rPr>
                <w:t>Unaudited Condensed Consolidated Statements of Comprehensive Income</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3</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Calibri;sans-serif" w:hAnsi="Calibri;sans-serif"/>
                  <w:color w:val="0000FF"/>
                  <w:sz w:val="20"/>
                  <w:u w:val="single"/>
                </w:rPr>
                <w:t>Unaudited Condensed Consolidated Statements of Redeemable Noncontrolling Interest and Stockholders’ Equity</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4</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Calibri;sans-serif" w:hAnsi="Calibri;sans-serif"/>
                  <w:color w:val="0000FF"/>
                  <w:sz w:val="20"/>
                  <w:u w:val="single"/>
                </w:rPr>
                <w:t>Unaudited Condensed Consolidated Statements of Cash Flows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Calibri;sans-serif" w:hAnsi="Calibri;sans-serif"/>
                  <w:color w:val="0000FF"/>
                  <w:sz w:val="20"/>
                  <w:u w:val="single"/>
                </w:rPr>
                <w:t>Notes to Unaudited Condensed Consolidated Financial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Calibri;sans-serif" w:hAnsi="Calibri;sans-serif"/>
                  <w:color w:val="0000FF"/>
                  <w:sz w:val="20"/>
                  <w:u w:val="single"/>
                </w:rPr>
                <w:t>Management’s Discussion and Analysis of Financial Condition and Results of Operations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Calibri;sans-serif" w:hAnsi="Calibri;sans-serif"/>
                  <w:color w:val="0000FF"/>
                  <w:sz w:val="20"/>
                  <w:u w:val="single"/>
                </w:rPr>
                <w:t>Quantitative and Qualitative Disclosures About Market Risk</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Calibri;sans-serif" w:hAnsi="Calibri;sans-serif"/>
                  <w:color w:val="0000FF"/>
                  <w:sz w:val="20"/>
                  <w:u w:val="single"/>
                </w:rPr>
                <w:t>Controls and Procedures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PART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Calibri;sans-serif" w:hAnsi="Calibri;sans-serif"/>
                  <w:b/>
                  <w:color w:val="0000FF"/>
                  <w:sz w:val="20"/>
                  <w:u w:val="single"/>
                </w:rPr>
                <w:t>OTHER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Calibri;sans-serif" w:hAnsi="Calibri;sans-serif"/>
                  <w:color w:val="0000FF"/>
                  <w:sz w:val="20"/>
                  <w:u w:val="single"/>
                </w:rPr>
                <w:t>Legal Proceedings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Calibri;sans-serif" w:hAnsi="Calibri;sans-serif"/>
                  <w:color w:val="0000FF"/>
                  <w:sz w:val="20"/>
                  <w:u w:val="single"/>
                </w:rPr>
                <w:t>Risk Factors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_sale_securities">
              <w:r>
                <w:rPr>
                  <w:rStyle w:val="InternetLink"/>
                  <w:rFonts w:ascii="Calibri;sans-serif" w:hAnsi="Calibri;sans-serif"/>
                  <w:color w:val="0000FF"/>
                  <w:sz w:val="20"/>
                  <w:u w:val="single"/>
                </w:rPr>
                <w:t>Unregistered Sales of Equity Securities and Use of Proceeds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Calibri;sans-serif" w:hAnsi="Calibri;sans-serif"/>
                  <w:color w:val="0000FF"/>
                  <w:sz w:val="20"/>
                  <w:u w:val="single"/>
                </w:rPr>
                <w:t>Other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Calibri;sans-serif" w:hAnsi="Calibri;sans-serif"/>
                  <w:color w:val="0000FF"/>
                  <w:sz w:val="20"/>
                  <w:u w:val="single"/>
                </w:rPr>
                <w:t>Exhibits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w:t>
            </w:r>
          </w:p>
        </w:tc>
      </w:tr>
      <w:tr>
        <w:trPr/>
        <w:tc>
          <w:tcPr>
            <w:tcW w:w="972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Calibri;sans-serif" w:hAnsi="Calibri;sans-serif"/>
                  <w:color w:val="0000FF"/>
                  <w:sz w:val="20"/>
                  <w:u w:val="single"/>
                </w:rPr>
                <w:t>Signatures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SPECIAL NOTE REGARDING FORWARD</w:t>
        <w:noBreakHyphen/>
        <w:t>LOOKING STATEMENTS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our growth strategies and our ability to effectively manage any growth;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value proposition of our product offerings for dealers and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ability of our combined suite of offerings to increase a dealer’s return on investment, add scale to our marketplace network, drive powerful network effects, create powerful synergies for dealers, transform the car-shopping journey for both consumers and dealers, and become the marketplace for all steps of the vehicle acquisition and sale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evolution to becoming a transaction-enabled platform where consumers can shop, buy, seek financing, and sell their cars and dealers can predict, source, market, and sell their cars;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belief that certain of our strengths, including our trusted marketplace for consumers, our strong value proposition for dealers, and our data-driven approach, among other things, will lead to an advantage over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value proposition of the CarOffer, LLC, or CarOffer, online wholesale platform, including our belief that as dealer enrollments increase, dealers will see a corresponding increase in inventory on the platform, further enabling liquidity, selection, choice, and business efficiencies;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deliver quality leads at a high volume for our dealer customers and to provide the highest return on a dealer’s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for CarGurus Sell My Car (Instant Max Cash Offer and Top Dealer Offers) as well as our digital retail offerings and continued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maintain and acquire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maintain and build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belief that our partnerships with automotive lending companies provide more transparency to car shoppers and deliver highly qualified car shopper leads to participating dealers;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belief that our Geo Expansion offering promotes participating dealers’ delivery capabilities and increases non-local vehicle detail page views;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outlook for our Restricted Listings product;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the impact of competition in our industry and innovation by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adapt to technological change and effectively enhance, innovate, and scale our platform and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realize benefits from our acquisitions and successfully implement the integration strategies in connection therewith;</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impairment of the carrying value of our goodwill or other assets;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overcome challenges facing the automotive industry ecosystem, including inventory supply problems, global supply chain challenges, changes to trade policies, and other macroeconomic issues;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cash generation and the sufficiency of our cash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expected returns on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our deferred tax assets;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impact of changes in tax law and related guidance and regulations that may be implemented, including on tax rates;</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our expenses generally, including our general and administrative, our product, technology, and development, and our sales and marketing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domestic and global economic conditions affecting us or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the funding of our share repurchase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revolving credit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adequately protect our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our ability to hire and retain necessary qualified employees to expand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material weakness in our internal control over financial reporting that we have identified, and our ability to remediate such weakness and enhance our internal control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maintain an effective system of internal controls necessary to accurately report our financial results and prevent fraud;</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impact of accounting pronouncements;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stay abreast of, and effectively comply with, new or modified laws and regulations that currently apply or become applicable to our business and our beliefs regarding our compliance therewith;</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impact of litigation;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future trading prices of our Class A common stock.</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believe may affect our business, financial condition, operating results, and growth prospects. The outcome of the events described in these forward</w:t>
        <w:noBreakHyphen/>
        <w:t>looking statements is subject to risks, uncertainties, and other factors that are described in this Quarterly Report. We have included important risk factors in the cautionary statements included in our Annual Report on Form 10-K for the fiscal year ended December 31, 2023, filed with the U.S. Securities and Exchange Commission, or SEC, on February 26, 2024, or Annual Report, particularly those discussed in Part I, Item 1A, “Risk Factors,” in our Annual Report and in Part II, Item 1A, “Risk Factors,” of this Quarterly Report, that could cause actual results or events to differ materially from the forward-looking statements that we make. Moreover,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 We cannot assure you that the results, events, and circumstances reflected in the forward</w:t>
        <w:noBreakHyphen/>
        <w:t>looking statements will be achieved or occur, and actual results, events, or circumstances could differ materially from those described in the forward</w:t>
        <w:noBreakHyphen/>
        <w:t>looking statements.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NOTE REGARDING TRADEMARKS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CarGurus® is a registered trademark of CarGurus, Inc., and CarOffer® is a registered trademark of CarOffer, LLC. All other product names, trademarks, and registered trademarks are property of their respective owners. We have omitted the ® and  designations, as applicable, for the trademarks used in this Quarterly Report.</w:t>
      </w:r>
    </w:p>
    <w:p>
      <w:pPr>
        <w:pStyle w:val="TextBody"/>
        <w:bidi w:val="0"/>
        <w:spacing w:before="240" w:after="283"/>
        <w:jc w:val="both"/>
        <w:rPr/>
      </w:pPr>
      <w:r>
        <w:rPr/>
        <w:t>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 w:name="part_ifinancial_information"/>
      <w:bookmarkEnd w:id="2"/>
      <w:r>
        <w:rPr>
          <w:rFonts w:ascii="Calibri;sans-serif" w:hAnsi="Calibri;sans-serif"/>
          <w:b/>
          <w:color w:val="000000"/>
          <w:sz w:val="20"/>
        </w:rPr>
        <w:t>PART I—FINANCIAL INFORMATION</w:t>
      </w:r>
    </w:p>
    <w:p>
      <w:pPr>
        <w:pStyle w:val="TextBody"/>
        <w:bidi w:val="0"/>
        <w:spacing w:before="120" w:after="283"/>
        <w:jc w:val="left"/>
        <w:rPr>
          <w:rFonts w:ascii="Calibri;sans-serif" w:hAnsi="Calibri;sans-serif"/>
          <w:b/>
          <w:color w:val="000000"/>
          <w:sz w:val="20"/>
        </w:rPr>
      </w:pPr>
      <w:bookmarkStart w:id="3" w:name="item_1_financial_statements"/>
      <w:bookmarkEnd w:id="3"/>
      <w:r>
        <w:rPr>
          <w:rFonts w:ascii="Calibri;sans-serif" w:hAnsi="Calibri;sans-serif"/>
          <w:b/>
          <w:color w:val="000000"/>
          <w:sz w:val="20"/>
        </w:rPr>
        <w:t>Item 1. Financial Statements.</w:t>
      </w:r>
    </w:p>
    <w:p>
      <w:pPr>
        <w:pStyle w:val="TextBody"/>
        <w:bidi w:val="0"/>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120" w:after="283"/>
        <w:jc w:val="center"/>
        <w:rPr>
          <w:rFonts w:ascii="Times New Roman" w:hAnsi="Times New Roman"/>
          <w:sz w:val="20"/>
        </w:rPr>
      </w:pPr>
      <w:bookmarkStart w:id="4" w:name="unaudited_condensed_consolidated_balance"/>
      <w:bookmarkEnd w:id="4"/>
      <w:r>
        <w:rPr>
          <w:rFonts w:ascii="Calibri;sans-serif" w:hAnsi="Calibri;sans-serif"/>
          <w:b/>
          <w:color w:val="000000"/>
          <w:sz w:val="20"/>
        </w:rPr>
        <w:t>Unaudited Condensed 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Calibri;sans-serif" w:hAnsi="Calibri;sans-serif"/>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850" w:type="dxa"/>
        <w:jc w:val="left"/>
        <w:tblInd w:w="0" w:type="dxa"/>
        <w:tblLayout w:type="fixed"/>
        <w:tblCellMar>
          <w:top w:w="28" w:type="dxa"/>
          <w:left w:w="28" w:type="dxa"/>
          <w:bottom w:w="28" w:type="dxa"/>
          <w:right w:w="28" w:type="dxa"/>
        </w:tblCellMar>
      </w:tblPr>
      <w:tblGrid>
        <w:gridCol w:w="5766"/>
        <w:gridCol w:w="146"/>
        <w:gridCol w:w="252"/>
        <w:gridCol w:w="888"/>
        <w:gridCol w:w="166"/>
        <w:gridCol w:w="146"/>
        <w:gridCol w:w="242"/>
        <w:gridCol w:w="853"/>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246,748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291,363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20,724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Accounts receivable, net of allowance for doubtful accounts of $826</w:t>
              <w:br/>
              <w:t>   and $610,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44,542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39,963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Prepaid expenses, prepaid income taxes and other current assets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25,152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11,095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Restricted cash</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326,637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391,191</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126,612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83,370</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23,056</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Goodwill</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157,898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127,125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169,682</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Deferred tax assets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120,642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73,356</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Deferred contract costs, net of current portion</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12,998</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7,376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778,161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918,927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Liabilities, redeemable noncontrolling interest and 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47,854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Accrued expenses, accrued income taxes and other current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31,582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33,718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21,322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12,284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110,588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115,178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178,909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182,106</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294,688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302,075</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18"/>
              </w:rPr>
              <w:t>Commitments and contingencies</w:t>
            </w:r>
            <w:r>
              <w:rPr>
                <w:rFonts w:ascii="Times New Roman" w:hAnsi="Times New Roman"/>
                <w:color w:val="000000"/>
                <w:sz w:val="20"/>
              </w:rPr>
              <w:t> </w:t>
            </w:r>
            <w:r>
              <w:rPr>
                <w:rFonts w:ascii="Calibri;sans-serif" w:hAnsi="Calibri;sans-serif"/>
                <w:color w:val="000000"/>
                <w:sz w:val="18"/>
              </w:rPr>
              <w:t>(Note 9)</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18"/>
              </w:rPr>
              <w:t>Preferred stock, $0.001</w:t>
            </w:r>
            <w:r>
              <w:rPr>
                <w:rFonts w:ascii="Times New Roman" w:hAnsi="Times New Roman"/>
                <w:color w:val="000000"/>
                <w:sz w:val="20"/>
              </w:rPr>
              <w:t> </w:t>
            </w:r>
            <w:r>
              <w:rPr>
                <w:rFonts w:ascii="Calibri;sans-serif" w:hAnsi="Calibri;sans-serif"/>
                <w:color w:val="000000"/>
                <w:sz w:val="18"/>
              </w:rPr>
              <w:t>par value per share; 10,000,000</w:t>
            </w:r>
            <w:r>
              <w:rPr>
                <w:rFonts w:ascii="Times New Roman" w:hAnsi="Times New Roman"/>
                <w:color w:val="000000"/>
                <w:sz w:val="20"/>
              </w:rPr>
              <w:t> </w:t>
            </w:r>
            <w:r>
              <w:rPr>
                <w:rFonts w:ascii="Calibri;sans-serif" w:hAnsi="Calibri;sans-serif"/>
                <w:color w:val="000000"/>
                <w:sz w:val="18"/>
              </w:rPr>
              <w:t>shares authorized;</w:t>
              <w:br/>
              <w:t>   no</w:t>
            </w:r>
            <w:r>
              <w:rPr>
                <w:rFonts w:ascii="Times New Roman" w:hAnsi="Times New Roman"/>
                <w:color w:val="000000"/>
                <w:sz w:val="20"/>
              </w:rPr>
              <w:t> </w:t>
            </w:r>
            <w:r>
              <w:rPr>
                <w:rFonts w:ascii="Calibri;sans-serif" w:hAnsi="Calibri;sans-serif"/>
                <w:color w:val="000000"/>
                <w:sz w:val="18"/>
              </w:rPr>
              <w:t>shares issued and outstanding</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18"/>
              </w:rPr>
              <w:t>Class A common stock, $0.001</w:t>
            </w:r>
            <w:r>
              <w:rPr>
                <w:rFonts w:ascii="Times New Roman" w:hAnsi="Times New Roman"/>
                <w:color w:val="000000"/>
                <w:sz w:val="20"/>
              </w:rPr>
              <w:t> </w:t>
            </w:r>
            <w:r>
              <w:rPr>
                <w:rFonts w:ascii="Calibri;sans-serif" w:hAnsi="Calibri;sans-serif"/>
                <w:color w:val="000000"/>
                <w:sz w:val="18"/>
              </w:rPr>
              <w:t>par value per share; 500,000,000</w:t>
            </w:r>
            <w:r>
              <w:rPr>
                <w:rFonts w:ascii="Times New Roman" w:hAnsi="Times New Roman"/>
                <w:color w:val="000000"/>
                <w:sz w:val="20"/>
              </w:rPr>
              <w:t> </w:t>
            </w:r>
            <w:r>
              <w:rPr>
                <w:rFonts w:ascii="Calibri;sans-serif" w:hAnsi="Calibri;sans-serif"/>
                <w:color w:val="000000"/>
                <w:sz w:val="18"/>
              </w:rPr>
              <w:t>shares</w:t>
              <w:br/>
              <w:t>   authorized; 87,582,147</w:t>
            </w:r>
            <w:r>
              <w:rPr>
                <w:rFonts w:ascii="Times New Roman" w:hAnsi="Times New Roman"/>
                <w:color w:val="000000"/>
                <w:sz w:val="20"/>
              </w:rPr>
              <w:t> </w:t>
            </w:r>
            <w:r>
              <w:rPr>
                <w:rFonts w:ascii="Calibri;sans-serif" w:hAnsi="Calibri;sans-serif"/>
                <w:color w:val="000000"/>
                <w:sz w:val="18"/>
              </w:rPr>
              <w:t>and 92,175,243</w:t>
            </w:r>
            <w:r>
              <w:rPr>
                <w:rFonts w:ascii="Times New Roman" w:hAnsi="Times New Roman"/>
                <w:color w:val="000000"/>
                <w:sz w:val="20"/>
              </w:rPr>
              <w:t> </w:t>
            </w:r>
            <w:r>
              <w:rPr>
                <w:rFonts w:ascii="Calibri;sans-serif" w:hAnsi="Calibri;sans-serif"/>
                <w:color w:val="000000"/>
                <w:sz w:val="18"/>
              </w:rPr>
              <w:t>shares issued and outstanding</w:t>
              <w:br/>
              <w:t>   at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18"/>
              </w:rPr>
              <w:t>Class B common stock, $0.001</w:t>
            </w:r>
            <w:r>
              <w:rPr>
                <w:rFonts w:ascii="Times New Roman" w:hAnsi="Times New Roman"/>
                <w:color w:val="000000"/>
                <w:sz w:val="20"/>
              </w:rPr>
              <w:t> </w:t>
            </w:r>
            <w:r>
              <w:rPr>
                <w:rFonts w:ascii="Calibri;sans-serif" w:hAnsi="Calibri;sans-serif"/>
                <w:color w:val="000000"/>
                <w:sz w:val="18"/>
              </w:rPr>
              <w:t>par value per share; 100,000,000</w:t>
            </w:r>
            <w:r>
              <w:rPr>
                <w:rFonts w:ascii="Times New Roman" w:hAnsi="Times New Roman"/>
                <w:color w:val="000000"/>
                <w:sz w:val="20"/>
              </w:rPr>
              <w:t> </w:t>
            </w:r>
            <w:r>
              <w:rPr>
                <w:rFonts w:ascii="Calibri;sans-serif" w:hAnsi="Calibri;sans-serif"/>
                <w:color w:val="000000"/>
                <w:sz w:val="18"/>
              </w:rPr>
              <w:t>shares</w:t>
              <w:br/>
              <w:t>   authorized; 15,757,238</w:t>
            </w:r>
            <w:r>
              <w:rPr>
                <w:rFonts w:ascii="Times New Roman" w:hAnsi="Times New Roman"/>
                <w:color w:val="000000"/>
                <w:sz w:val="20"/>
              </w:rPr>
              <w:t> </w:t>
            </w:r>
            <w:r>
              <w:rPr>
                <w:rFonts w:ascii="Calibri;sans-serif" w:hAnsi="Calibri;sans-serif"/>
                <w:color w:val="000000"/>
                <w:sz w:val="18"/>
              </w:rPr>
              <w:t>and 15,999,173</w:t>
            </w:r>
            <w:r>
              <w:rPr>
                <w:rFonts w:ascii="Times New Roman" w:hAnsi="Times New Roman"/>
                <w:color w:val="000000"/>
                <w:sz w:val="20"/>
              </w:rPr>
              <w:t> </w:t>
            </w:r>
            <w:r>
              <w:rPr>
                <w:rFonts w:ascii="Calibri;sans-serif" w:hAnsi="Calibri;sans-serif"/>
                <w:color w:val="000000"/>
                <w:sz w:val="18"/>
              </w:rPr>
              <w:t>shares issued and outstanding</w:t>
              <w:br/>
              <w:t>   at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154,452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263,498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Retained earnings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329,238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354,147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483,473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616,852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liabilities, redeemable noncontrolling interest and stockholders’ equity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778,161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918,927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Calibri;sans-serif" w:hAnsi="Calibri;sans-serif"/>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CarGurus, Inc.</w:t>
      </w:r>
      <w:r>
        <w:rPr>
          <w:rFonts w:ascii="Times New Roman" w:hAnsi="Times New Roman"/>
          <w:color w:val="000000"/>
          <w:sz w:val="20"/>
        </w:rPr>
        <w:t xml:space="preserve"> </w:t>
      </w:r>
    </w:p>
    <w:p>
      <w:pPr>
        <w:pStyle w:val="TextBody"/>
        <w:bidi w:val="0"/>
        <w:spacing w:before="120" w:after="283"/>
        <w:jc w:val="center"/>
        <w:rPr>
          <w:rFonts w:ascii="Calibri;sans-serif" w:hAnsi="Calibri;sans-serif"/>
          <w:b/>
          <w:color w:val="000000"/>
          <w:sz w:val="20"/>
        </w:rPr>
      </w:pPr>
      <w:bookmarkStart w:id="5" w:name="consolidated_statements_operations"/>
      <w:bookmarkEnd w:id="5"/>
      <w:r>
        <w:rPr>
          <w:rFonts w:ascii="Calibri;sans-serif" w:hAnsi="Calibri;sans-serif"/>
          <w:b/>
          <w:color w:val="000000"/>
          <w:sz w:val="20"/>
        </w:rPr>
        <w:t>Unaudited Condensed Consolidated Income Statements</w:t>
      </w:r>
    </w:p>
    <w:p>
      <w:pPr>
        <w:pStyle w:val="TextBody"/>
        <w:bidi w:val="0"/>
        <w:spacing w:before="120" w:after="283"/>
        <w:jc w:val="center"/>
        <w:rPr>
          <w:rFonts w:ascii="Times New Roman" w:hAnsi="Times New Roman"/>
          <w:sz w:val="20"/>
        </w:rPr>
      </w:pPr>
      <w:r>
        <w:rPr>
          <w:rFonts w:ascii="Calibri;sans-serif" w:hAnsi="Calibri;sans-serif"/>
          <w:b/>
          <w:color w:val="000000"/>
          <w:sz w:val="20"/>
        </w:rPr>
        <w:t>(in thousands, except share and per share data)</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04"/>
        <w:gridCol w:w="146"/>
        <w:gridCol w:w="211"/>
        <w:gridCol w:w="1141"/>
        <w:gridCol w:w="166"/>
        <w:gridCol w:w="146"/>
        <w:gridCol w:w="211"/>
        <w:gridCol w:w="1141"/>
        <w:gridCol w:w="166"/>
        <w:gridCol w:w="146"/>
        <w:gridCol w:w="211"/>
        <w:gridCol w:w="1141"/>
        <w:gridCol w:w="166"/>
        <w:gridCol w:w="146"/>
        <w:gridCol w:w="211"/>
        <w:gridCol w:w="1141"/>
        <w:gridCol w:w="511"/>
      </w:tblGrid>
      <w:tr>
        <w:trPr/>
        <w:tc>
          <w:tcPr>
            <w:tcW w:w="3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20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586,405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515,986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20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78,873</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20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96,260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04"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511" w:type="dxa"/>
            <w:tcBorders/>
            <w:shd w:fill="CFF0FC" w:val="clear"/>
            <w:vAlign w:val="center"/>
          </w:tcPr>
          <w:p>
            <w:pPr>
              <w:pStyle w:val="TableContents"/>
              <w:bidi w:val="0"/>
              <w:spacing w:before="0" w:after="283"/>
              <w:jc w:val="left"/>
              <w:rPr/>
            </w:pPr>
            <w:r>
              <w:rPr/>
              <w:t> </w:t>
            </w:r>
          </w:p>
        </w:tc>
      </w:tr>
      <w:tr>
        <w:trPr/>
        <w:tc>
          <w:tcPr>
            <w:tcW w:w="3204"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Cost of revenue </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320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45,830</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204"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 xml:space="preserve">Wholesale </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67,780</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20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94,090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04" w:type="dxa"/>
            <w:tcBorders/>
            <w:shd w:fill="FFFFFF"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207,700</w:t>
            </w:r>
          </w:p>
        </w:tc>
        <w:tc>
          <w:tcPr>
            <w:tcW w:w="511" w:type="dxa"/>
            <w:tcBorders/>
            <w:shd w:fill="FFFFFF" w:val="clear"/>
            <w:vAlign w:val="center"/>
          </w:tcPr>
          <w:p>
            <w:pPr>
              <w:pStyle w:val="TableContents"/>
              <w:bidi w:val="0"/>
              <w:spacing w:before="0" w:after="283"/>
              <w:jc w:val="left"/>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539,956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483,419</w:t>
            </w:r>
          </w:p>
        </w:tc>
        <w:tc>
          <w:tcPr>
            <w:tcW w:w="511" w:type="dxa"/>
            <w:tcBorders/>
            <w:shd w:fill="CFF0FC" w:val="clear"/>
            <w:vAlign w:val="center"/>
          </w:tcPr>
          <w:p>
            <w:pPr>
              <w:pStyle w:val="TableContents"/>
              <w:bidi w:val="0"/>
              <w:spacing w:before="0" w:after="283"/>
              <w:jc w:val="left"/>
              <w:rPr/>
            </w:pPr>
            <w:r>
              <w:rPr/>
              <w:t> </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320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230,243</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20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109,432</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20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77,090</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20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Goodwill and other asset impairment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320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11,762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04" w:type="dxa"/>
            <w:tcBorders/>
            <w:shd w:fill="FFFFFF"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579,822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428,527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(39,866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54,892</w:t>
            </w:r>
          </w:p>
        </w:tc>
        <w:tc>
          <w:tcPr>
            <w:tcW w:w="511" w:type="dxa"/>
            <w:tcBorders/>
            <w:shd w:fill="CFF0FC" w:val="clear"/>
            <w:vAlign w:val="center"/>
          </w:tcPr>
          <w:p>
            <w:pPr>
              <w:pStyle w:val="TableContents"/>
              <w:bidi w:val="0"/>
              <w:spacing w:before="0" w:after="283"/>
              <w:jc w:val="left"/>
              <w:rPr/>
            </w:pPr>
            <w:r>
              <w:rPr/>
              <w:t> </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320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13,337</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320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Calibri;sans-serif" w:hAnsi="Calibri;sans-serif"/>
                <w:color w:val="000000"/>
                <w:sz w:val="20"/>
              </w:rPr>
            </w:pPr>
            <w:r>
              <w:rPr>
                <w:rFonts w:ascii="Calibri;sans-serif" w:hAnsi="Calibri;sans-serif"/>
                <w:color w:val="000000"/>
                <w:sz w:val="20"/>
              </w:rPr>
              <w:t>)</w:t>
            </w:r>
          </w:p>
        </w:tc>
      </w:tr>
      <w:tr>
        <w:trPr/>
        <w:tc>
          <w:tcPr>
            <w:tcW w:w="3204"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13,185</w:t>
            </w:r>
          </w:p>
        </w:tc>
        <w:tc>
          <w:tcPr>
            <w:tcW w:w="511" w:type="dxa"/>
            <w:tcBorders/>
            <w:shd w:fill="CFF0FC" w:val="clear"/>
            <w:vAlign w:val="center"/>
          </w:tcPr>
          <w:p>
            <w:pPr>
              <w:pStyle w:val="TableContents"/>
              <w:bidi w:val="0"/>
              <w:spacing w:before="0" w:after="283"/>
              <w:jc w:val="left"/>
              <w:rPr/>
            </w:pPr>
            <w:r>
              <w:rPr/>
              <w:t> </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(loss) before income taxes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(30,681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68,077</w:t>
            </w:r>
          </w:p>
        </w:tc>
        <w:tc>
          <w:tcPr>
            <w:tcW w:w="511" w:type="dxa"/>
            <w:tcBorders/>
            <w:shd w:fill="FFFFFF" w:val="clear"/>
            <w:vAlign w:val="center"/>
          </w:tcPr>
          <w:p>
            <w:pPr>
              <w:pStyle w:val="TableContents"/>
              <w:bidi w:val="0"/>
              <w:spacing w:before="0" w:after="283"/>
              <w:jc w:val="left"/>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Provision for (benefit from)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44,656</w:t>
            </w:r>
          </w:p>
        </w:tc>
        <w:tc>
          <w:tcPr>
            <w:tcW w:w="511" w:type="dxa"/>
            <w:tcBorders/>
            <w:shd w:fill="FFFFFF" w:val="clear"/>
            <w:vAlign w:val="center"/>
          </w:tcPr>
          <w:p>
            <w:pPr>
              <w:pStyle w:val="TableContents"/>
              <w:bidi w:val="0"/>
              <w:spacing w:before="0" w:after="283"/>
              <w:jc w:val="left"/>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54,847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per share attributable to common stockholders: (Note 11)</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0.48</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0.39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 xml:space="preserve">Weighted-average number of shares of common stock used in </w:t>
              <w:br/>
              <w:t>   computing net income (loss)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3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103,321,988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113,223,711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104,769,518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113,998,928</w:t>
            </w:r>
          </w:p>
        </w:tc>
        <w:tc>
          <w:tcPr>
            <w:tcW w:w="511" w:type="dxa"/>
            <w:tcBorders/>
            <w:shd w:fill="CFF0FC" w:val="clear"/>
            <w:vAlign w:val="center"/>
          </w:tcPr>
          <w:p>
            <w:pPr>
              <w:pStyle w:val="TableContents"/>
              <w:bidi w:val="0"/>
              <w:spacing w:before="0" w:after="283"/>
              <w:jc w:val="left"/>
              <w:rPr/>
            </w:pPr>
            <w:r>
              <w:rPr/>
              <w:t> </w:t>
            </w:r>
          </w:p>
        </w:tc>
      </w:tr>
      <w:tr>
        <w:trPr/>
        <w:tc>
          <w:tcPr>
            <w:tcW w:w="3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105,059,283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114,322,279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104,769,518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114,901,736</w:t>
            </w:r>
          </w:p>
        </w:tc>
        <w:tc>
          <w:tcPr>
            <w:tcW w:w="511" w:type="dxa"/>
            <w:tcBorders/>
            <w:shd w:fill="FFFFFF" w:val="cle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Includes depreciation and amortization expense for the three months ended September 30, 2024 and 2023 and for the nine months ended September 30, 2024 and 2023 of $2,849, $8,433, $10,968, and $23,951, respectively.</w:t>
      </w:r>
    </w:p>
    <w:p>
      <w:pPr>
        <w:pStyle w:val="TextBody"/>
        <w:bidi w:val="0"/>
        <w:spacing w:before="12" w:after="283"/>
        <w:jc w:val="both"/>
        <w:rPr>
          <w:rFonts w:ascii="Calibri" w:hAnsi="Calibri"/>
          <w:color w:val="000000"/>
          <w:sz w:val="20"/>
        </w:rPr>
      </w:pPr>
      <w:r>
        <w:rPr>
          <w:rFonts w:ascii="Calibri" w:hAnsi="Calibri"/>
          <w:color w:val="000000"/>
          <w:sz w:val="20"/>
        </w:rPr>
        <w:t>(2)</w:t>
      </w:r>
    </w:p>
    <w:p>
      <w:pPr>
        <w:pStyle w:val="TextBody"/>
        <w:bidi w:val="0"/>
        <w:spacing w:before="12" w:after="283"/>
        <w:jc w:val="both"/>
        <w:rPr/>
      </w:pPr>
      <w:r>
        <w:rPr>
          <w:rFonts w:ascii="Calibri;sans-serif" w:hAnsi="Calibri;sans-serif"/>
          <w:color w:val="000000"/>
          <w:sz w:val="13"/>
        </w:rPr>
        <w:t>Includes impairment of other assets for the three months ended September 30, 2024 of $9,750. There was no impairment of other assets for the three months ended September 30, 2023. Includes impairment of other assets for the nine months ended September 30, 2024 and 2023 of $9,930</w:t>
      </w:r>
      <w:r>
        <w:rPr>
          <w:color w:val="000000"/>
        </w:rPr>
        <w:t xml:space="preserve"> </w:t>
      </w:r>
      <w:r>
        <w:rPr>
          <w:rFonts w:ascii="Calibri;sans-serif" w:hAnsi="Calibri;sans-serif"/>
          <w:color w:val="000000"/>
          <w:sz w:val="13"/>
        </w:rPr>
        <w:t>and $184, respectively.</w:t>
      </w:r>
    </w:p>
    <w:p>
      <w:pPr>
        <w:pStyle w:val="TextBody"/>
        <w:bidi w:val="0"/>
        <w:spacing w:before="120" w:after="283"/>
        <w:jc w:val="center"/>
        <w:rPr>
          <w:rFonts w:ascii="Times New Roman" w:hAnsi="Times New Roman"/>
          <w:sz w:val="20"/>
        </w:rPr>
      </w:pPr>
      <w:r>
        <w:rPr>
          <w:rFonts w:ascii="Calibri;sans-serif" w:hAnsi="Calibri;sans-serif"/>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120" w:after="283"/>
        <w:jc w:val="center"/>
        <w:rPr>
          <w:rFonts w:ascii="Calibri;sans-serif" w:hAnsi="Calibri;sans-serif"/>
          <w:b/>
          <w:color w:val="000000"/>
          <w:sz w:val="20"/>
        </w:rPr>
      </w:pPr>
      <w:bookmarkStart w:id="6" w:name="consolidated_statements_comprehensive_lo"/>
      <w:bookmarkEnd w:id="6"/>
      <w:r>
        <w:rPr>
          <w:rFonts w:ascii="Calibri;sans-serif" w:hAnsi="Calibri;sans-serif"/>
          <w:b/>
          <w:color w:val="000000"/>
          <w:sz w:val="20"/>
        </w:rPr>
        <w:t>Unaudited Condensed Consolidated Statements of Comprehensive Income</w:t>
      </w:r>
    </w:p>
    <w:p>
      <w:pPr>
        <w:pStyle w:val="TextBody"/>
        <w:bidi w:val="0"/>
        <w:spacing w:before="120" w:after="283"/>
        <w:jc w:val="center"/>
        <w:rPr>
          <w:rFonts w:ascii="Calibri;sans-serif" w:hAnsi="Calibri;sans-serif"/>
          <w:b/>
          <w:color w:val="000000"/>
          <w:sz w:val="20"/>
        </w:rPr>
      </w:pPr>
      <w:r>
        <w:rPr>
          <w:rFonts w:ascii="Calibri;sans-serif" w:hAnsi="Calibri;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084"/>
        <w:gridCol w:w="146"/>
        <w:gridCol w:w="211"/>
        <w:gridCol w:w="676"/>
        <w:gridCol w:w="146"/>
        <w:gridCol w:w="146"/>
        <w:gridCol w:w="211"/>
        <w:gridCol w:w="676"/>
        <w:gridCol w:w="166"/>
        <w:gridCol w:w="146"/>
        <w:gridCol w:w="211"/>
        <w:gridCol w:w="736"/>
        <w:gridCol w:w="166"/>
        <w:gridCol w:w="146"/>
        <w:gridCol w:w="211"/>
        <w:gridCol w:w="736"/>
        <w:gridCol w:w="391"/>
      </w:tblGrid>
      <w:tr>
        <w:trPr/>
        <w:tc>
          <w:tcPr>
            <w:tcW w:w="5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44,656</w:t>
            </w:r>
          </w:p>
        </w:tc>
        <w:tc>
          <w:tcPr>
            <w:tcW w:w="391" w:type="dxa"/>
            <w:tcBorders/>
            <w:shd w:fill="CFF0FC" w:val="clear"/>
            <w:vAlign w:val="center"/>
          </w:tcPr>
          <w:p>
            <w:pPr>
              <w:pStyle w:val="TableContents"/>
              <w:bidi w:val="0"/>
              <w:spacing w:before="0" w:after="283"/>
              <w:jc w:val="left"/>
              <w:rPr/>
            </w:pPr>
            <w:r>
              <w:rPr/>
              <w:t> </w:t>
            </w:r>
          </w:p>
        </w:tc>
      </w:tr>
      <w:tr>
        <w:trPr/>
        <w:tc>
          <w:tcPr>
            <w:tcW w:w="508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08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8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(24,329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44,181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8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Comprehensive loss attributable to redeemable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8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Comprehensive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54,372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Calibri;sans-serif" w:hAnsi="Calibri;sans-serif"/>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14"/>
        </w:rPr>
      </w:pPr>
      <w:r>
        <w:rPr>
          <w:rFonts w:ascii="Calibri;sans-serif" w:hAnsi="Calibri;sans-serif"/>
          <w:b/>
          <w:color w:val="000000"/>
          <w:sz w:val="14"/>
        </w:rPr>
        <w:t>CarGurus, Inc.</w:t>
      </w:r>
    </w:p>
    <w:p>
      <w:pPr>
        <w:pStyle w:val="TextBody"/>
        <w:bidi w:val="0"/>
        <w:jc w:val="center"/>
        <w:rPr>
          <w:rFonts w:ascii="Times New Roman" w:hAnsi="Times New Roman"/>
          <w:sz w:val="20"/>
        </w:rPr>
      </w:pPr>
      <w:bookmarkStart w:id="7" w:name="stockholders_equity"/>
      <w:bookmarkEnd w:id="7"/>
      <w:r>
        <w:rPr>
          <w:rFonts w:ascii="Calibri;sans-serif" w:hAnsi="Calibri;sans-serif"/>
          <w:b/>
          <w:color w:val="000000"/>
          <w:sz w:val="14"/>
        </w:rPr>
        <w:t>Unaudited Condensed Consolidated Statements of Redeemable Noncontrolling Interest and Stockholders’ Equity</w:t>
      </w:r>
      <w:r>
        <w:rPr>
          <w:rFonts w:ascii="Times New Roman" w:hAnsi="Times New Roman"/>
          <w:color w:val="000000"/>
          <w:sz w:val="20"/>
        </w:rPr>
        <w:t xml:space="preserve"> </w:t>
      </w:r>
    </w:p>
    <w:p>
      <w:pPr>
        <w:pStyle w:val="TextBody"/>
        <w:bidi w:val="0"/>
        <w:jc w:val="center"/>
        <w:rPr>
          <w:rFonts w:ascii="Calibri;sans-serif" w:hAnsi="Calibri;sans-serif"/>
          <w:b/>
          <w:color w:val="000000"/>
          <w:sz w:val="14"/>
        </w:rPr>
      </w:pPr>
      <w:r>
        <w:rPr>
          <w:rFonts w:ascii="Calibri;sans-serif" w:hAnsi="Calibri;sans-serif"/>
          <w:b/>
          <w:color w:val="000000"/>
          <w:sz w:val="14"/>
        </w:rPr>
        <w:t>(in thousands, except share data)</w:t>
      </w:r>
    </w:p>
    <w:tbl>
      <w:tblPr>
        <w:tblW w:w="10205" w:type="dxa"/>
        <w:jc w:val="left"/>
        <w:tblInd w:w="0" w:type="dxa"/>
        <w:tblLayout w:type="fixed"/>
        <w:tblCellMar>
          <w:top w:w="28" w:type="dxa"/>
          <w:left w:w="28" w:type="dxa"/>
          <w:bottom w:w="28" w:type="dxa"/>
          <w:right w:w="28" w:type="dxa"/>
        </w:tblCellMar>
      </w:tblPr>
      <w:tblGrid>
        <w:gridCol w:w="1104"/>
        <w:gridCol w:w="146"/>
        <w:gridCol w:w="227"/>
        <w:gridCol w:w="599"/>
        <w:gridCol w:w="146"/>
        <w:gridCol w:w="146"/>
        <w:gridCol w:w="146"/>
        <w:gridCol w:w="706"/>
        <w:gridCol w:w="146"/>
        <w:gridCol w:w="146"/>
        <w:gridCol w:w="166"/>
        <w:gridCol w:w="346"/>
        <w:gridCol w:w="146"/>
        <w:gridCol w:w="146"/>
        <w:gridCol w:w="146"/>
        <w:gridCol w:w="646"/>
        <w:gridCol w:w="146"/>
        <w:gridCol w:w="146"/>
        <w:gridCol w:w="166"/>
        <w:gridCol w:w="346"/>
        <w:gridCol w:w="146"/>
        <w:gridCol w:w="146"/>
        <w:gridCol w:w="166"/>
        <w:gridCol w:w="496"/>
        <w:gridCol w:w="146"/>
        <w:gridCol w:w="146"/>
        <w:gridCol w:w="166"/>
        <w:gridCol w:w="496"/>
        <w:gridCol w:w="146"/>
        <w:gridCol w:w="146"/>
        <w:gridCol w:w="252"/>
        <w:gridCol w:w="619"/>
        <w:gridCol w:w="146"/>
        <w:gridCol w:w="146"/>
        <w:gridCol w:w="184"/>
        <w:gridCol w:w="553"/>
        <w:gridCol w:w="193"/>
      </w:tblGrid>
      <w:tr>
        <w:trPr/>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Class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Total</w:t>
              <w:br/>
              <w:t>Stockholders’</w:t>
            </w:r>
          </w:p>
        </w:tc>
        <w:tc>
          <w:tcPr>
            <w:tcW w:w="193" w:type="dxa"/>
            <w:tcBorders/>
            <w:shd w:fill="FFFFFF" w:val="clear"/>
            <w:vAlign w:val="center"/>
          </w:tcPr>
          <w:p>
            <w:pPr>
              <w:pStyle w:val="TableContents"/>
              <w:bidi w:val="0"/>
              <w:spacing w:before="0" w:after="283"/>
              <w:jc w:val="center"/>
              <w:rPr/>
            </w:pPr>
            <w:r>
              <w:rPr/>
              <w:t> </w:t>
            </w:r>
          </w:p>
        </w:tc>
      </w:tr>
      <w:tr>
        <w:trPr/>
        <w:tc>
          <w:tcPr>
            <w:tcW w:w="11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92,175,243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263,498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354,147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(901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616,852</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income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21,301</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17,649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36,455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615,383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(213,042</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(5,097</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(5,097</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(3,538,194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(81,751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(81,755</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(599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March 31, 2024</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89,075,845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194,309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375,448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568,362</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loss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(68,721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(68,721</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17,198</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54,382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803,405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(273,422</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(6,291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(6,291</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(2,654,807</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(61,791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(61,794</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Other (Note 6)</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3,507</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(203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June 30, 2024</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87,005,403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146,946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306,727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452,073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income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22,511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22,511</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16,994</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58,922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676,910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(236,722</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(5,986</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(5,986</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(164,301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(3,550</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(3,550</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Conversion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241,935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(241,935</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1,382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September 31, 2024</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87,582,147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15,757,238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154,452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329,238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483,473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36,749</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101,636,649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413,092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323,043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(1,644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734,609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(loss) income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(4,266</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16,132</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16,049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16,049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19</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959,935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(335,448</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(5,652</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(5,652</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(3,989,861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(65,760</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(65,764</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Tax distributions to redeemable noncontrolling interest holders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415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March 31, 2023</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32,475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98,278,975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357,748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339,175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695,808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(loss) income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(2,596</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16,413</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15,895</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697,879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(240,674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(5,196</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(5,196</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(1,311,387</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(21,963</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(21,964</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Tax distributions to redeemable noncontrolling interest holders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at June 30, 2023</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29,865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97,426,273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346,494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355,588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700,854</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(loss) income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(3,329</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22,302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22,302</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15,668</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45</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615,273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(214,187</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(3,915</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(3,915</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(956,248</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(17,181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(17,182</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Tax distributions to redeemable noncontrolling interest holders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(778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26,536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96,877,765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341,110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377,890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716,994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Calibri;sans-serif" w:hAnsi="Calibri;sans-serif"/>
          <w:color w:val="000000"/>
          <w:sz w:val="14"/>
        </w:rPr>
      </w:pPr>
      <w:r>
        <w:rPr>
          <w:rFonts w:ascii="Calibri;sans-serif" w:hAnsi="Calibri;sans-serif"/>
          <w:color w:val="000000"/>
          <w:sz w:val="14"/>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18"/>
        </w:rPr>
      </w:pPr>
      <w:r>
        <w:rPr>
          <w:rFonts w:ascii="Calibri;sans-serif" w:hAnsi="Calibri;sans-serif"/>
          <w:b/>
          <w:color w:val="000000"/>
          <w:sz w:val="18"/>
        </w:rPr>
        <w:t>CarGurus, Inc.</w:t>
      </w:r>
    </w:p>
    <w:p>
      <w:pPr>
        <w:pStyle w:val="TextBody"/>
        <w:bidi w:val="0"/>
        <w:spacing w:before="120" w:after="283"/>
        <w:jc w:val="center"/>
        <w:rPr>
          <w:rFonts w:ascii="Calibri;sans-serif" w:hAnsi="Calibri;sans-serif"/>
          <w:b/>
          <w:color w:val="000000"/>
          <w:sz w:val="18"/>
        </w:rPr>
      </w:pPr>
      <w:bookmarkStart w:id="8" w:name="consolidatedstatementsofcashflows"/>
      <w:bookmarkEnd w:id="8"/>
      <w:r>
        <w:rPr>
          <w:rFonts w:ascii="Calibri;sans-serif" w:hAnsi="Calibri;sans-serif"/>
          <w:b/>
          <w:color w:val="000000"/>
          <w:sz w:val="18"/>
        </w:rPr>
        <w:t>Unaudited Condensed Consolidated Statements of Cash Flows</w:t>
      </w:r>
    </w:p>
    <w:p>
      <w:pPr>
        <w:pStyle w:val="TextBody"/>
        <w:bidi w:val="0"/>
        <w:spacing w:before="120" w:after="283"/>
        <w:jc w:val="center"/>
        <w:rPr>
          <w:rFonts w:ascii="Calibri;sans-serif" w:hAnsi="Calibri;sans-serif"/>
          <w:b/>
          <w:color w:val="000000"/>
          <w:sz w:val="18"/>
        </w:rPr>
      </w:pPr>
      <w:r>
        <w:rPr>
          <w:rFonts w:ascii="Calibri;sans-serif" w:hAnsi="Calibri;sans-serif"/>
          <w:b/>
          <w:color w:val="000000"/>
          <w:sz w:val="18"/>
        </w:rPr>
        <w:t>(in thousands)</w:t>
      </w:r>
    </w:p>
    <w:p>
      <w:pPr>
        <w:pStyle w:val="TextBody"/>
        <w:bidi w:val="0"/>
        <w:jc w:val="center"/>
        <w:rPr/>
      </w:pPr>
      <w:r>
        <w:rPr/>
        <w:t> </w:t>
      </w:r>
    </w:p>
    <w:p>
      <w:pPr>
        <w:pStyle w:val="TextBody"/>
        <w:bidi w:val="0"/>
        <w:jc w:val="both"/>
        <w:rPr/>
      </w:pPr>
      <w:r>
        <w:rPr/>
        <w:t> </w:t>
      </w:r>
    </w:p>
    <w:tbl>
      <w:tblPr>
        <w:tblW w:w="9504" w:type="dxa"/>
        <w:jc w:val="left"/>
        <w:tblInd w:w="0" w:type="dxa"/>
        <w:tblLayout w:type="fixed"/>
        <w:tblCellMar>
          <w:top w:w="28" w:type="dxa"/>
          <w:left w:w="28" w:type="dxa"/>
          <w:bottom w:w="28" w:type="dxa"/>
          <w:right w:w="28" w:type="dxa"/>
        </w:tblCellMar>
      </w:tblPr>
      <w:tblGrid>
        <w:gridCol w:w="6841"/>
        <w:gridCol w:w="146"/>
        <w:gridCol w:w="196"/>
        <w:gridCol w:w="736"/>
        <w:gridCol w:w="151"/>
        <w:gridCol w:w="146"/>
        <w:gridCol w:w="196"/>
        <w:gridCol w:w="736"/>
        <w:gridCol w:w="356"/>
      </w:tblGrid>
      <w:tr>
        <w:trPr/>
        <w:tc>
          <w:tcPr>
            <w:tcW w:w="6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Consolidated net (loss) income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(24,909</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44,656</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Adjustments to reconcile consolidated net (loss) income to 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Depreciation and amortization</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18,322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35,713</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Gain on sale of property and equipment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(460</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Currency (gain) loss on foreign denominated transactions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(234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249</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Other non-cash (income) expense, net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(816</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168</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Deferred taxes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(47,344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(32,129</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Provision for doubtful accounts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1,534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247</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Stock-based compensation expense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46,614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43,769</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387</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Amortization of deferred contract costs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10,241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8,629</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Goodwill and other asset impairment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144,431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184</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Changes in operating assets and liabilities: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ind w:left="0" w:right="0" w:firstLine="160"/>
              <w:jc w:val="right"/>
              <w:rPr/>
            </w:pPr>
            <w:r>
              <w:rPr/>
              <w:t> </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Accounts receivable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(5,393</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337</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Inventory</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4,959</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Prepaid expenses, prepaid income taxes, and other assets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7,093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6,027</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Deferred contract costs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(11,307</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(13,688</w:t>
            </w:r>
          </w:p>
        </w:tc>
        <w:tc>
          <w:tcPr>
            <w:tcW w:w="356" w:type="dxa"/>
            <w:tcBorders/>
            <w:shd w:fill="FFFFFF" w:val="clear"/>
            <w:vAlign w:val="center"/>
          </w:tcPr>
          <w:p>
            <w:pPr>
              <w:pStyle w:val="TableContents"/>
              <w:bidi w:val="0"/>
              <w:spacing w:before="0" w:after="283"/>
              <w:ind w:left="0" w:right="0" w:firstLine="160"/>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Accounts payable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10,770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1,177</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Accrued expenses, accrued income taxes, and other liabilities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(2,568</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1,016</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Deferred revenue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8,797</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Lease obligations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32,232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11,993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179,757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122,031</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Investing Activities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Purchases of property and equipment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(64,937</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(9,048</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Proceeds from sale of property and equipment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460</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Capitalization of website development costs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(15,314</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(11,773</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Purchases of short-term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(494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(96,748</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Sale of short-term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21,218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5,000</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Advance payments to customers, net of collections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(2,908</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cash used in investing activities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(59,268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(115,017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Financing Activities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Proceeds from issuance of common stock upon exercise of stock options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74</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Payment of withholding taxes on net share settlements of restricted stock units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(17,391</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(11,738</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Repurchases of common stock</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(146,180</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(107,409</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Payment of finance lease obligations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(56</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(52</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Payment of tax distributions to redeemable noncontrolling interest holders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(38</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Change in gross advance payments received from third-party transaction processor</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(4,523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cash used in financing activities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(164,256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(123,686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Impact of foreign currency on cash, cash equivalents, and restricted cash</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(506</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decrease in cash, cash equivalents, and restricted cash</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(43,185</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(117,178</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cash equivalents, and restricted cash at beginning of period</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293,926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484,132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250,741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366,954</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paid for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36,959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48,933</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paid for 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11,213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14,762</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411</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Supplemental noncash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Unpaid purchases of property and equipment and capitalized hosting arrangements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6,592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5,706</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Unpaid withholding taxes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3,029</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Unpaid repurchases of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1,173</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Unpaid excise tax on repurchases of 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617</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Capitalized stock-based compensation expense in website development and</w:t>
              <w:br/>
              <w:t>   internal-use software costs and hosting arrangements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5,227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3,843</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Obtaining a right-of-use asset in exchange for an operating lease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(5,029</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145,607</w:t>
            </w:r>
          </w:p>
        </w:tc>
        <w:tc>
          <w:tcPr>
            <w:tcW w:w="356"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center"/>
        <w:rPr>
          <w:rFonts w:ascii="Calibri;sans-serif" w:hAnsi="Calibri;sans-serif"/>
          <w:color w:val="000000"/>
          <w:sz w:val="18"/>
        </w:rPr>
      </w:pPr>
      <w:r>
        <w:rPr>
          <w:rFonts w:ascii="Calibri;sans-serif" w:hAnsi="Calibri;sans-serif"/>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240" w:after="283"/>
        <w:jc w:val="center"/>
        <w:rPr>
          <w:rFonts w:ascii="Times New Roman" w:hAnsi="Times New Roman"/>
          <w:sz w:val="20"/>
        </w:rPr>
      </w:pPr>
      <w:bookmarkStart w:id="9" w:name="notes_to_consolidated_financial_statemen"/>
      <w:bookmarkEnd w:id="9"/>
      <w:r>
        <w:rPr>
          <w:rFonts w:ascii="Calibri;sans-serif" w:hAnsi="Calibri;sans-serif"/>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Calibri;sans-serif" w:hAnsi="Calibri;sans-serif"/>
          <w:b/>
          <w:color w:val="000000"/>
          <w:sz w:val="20"/>
        </w:rPr>
        <w:t>(dollars in thousands, except share and per share data, unless otherwise noted)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1. Organization and Business Description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CarGurus, Inc. (the "Company") is a multinational, online automotive platform for buying and selling vehicles that is building upon its industry-leading listings marketplace with both digital retail solutions and the CarOffer, LLC ("CarOffer") online wholesale platform. The CarGurus platform gives consumers the confidence to purchase and/or sell a vehicle either online or in-person,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operates principally in the United States (the "U.S."). In the U.S. it also operates as independent brands the Autolist online marketplace and the CarOffer online wholesale platform. In addition to the U.S., the Company operates online marketplaces under the CarGurus brand in Canada and the United Kingdom (the "U.K."). In the U.K. it also operates as an independent brand the PistonHeads online marketplace.</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subsidiaries in the U.S., Canada, Ireland, and the U.K. and it has two</w:t>
      </w:r>
      <w:r>
        <w:rPr>
          <w:rFonts w:ascii="Times New Roman" w:hAnsi="Times New Roman"/>
          <w:color w:val="000000"/>
          <w:sz w:val="20"/>
        </w:rPr>
        <w:t xml:space="preserve"> </w:t>
      </w:r>
      <w:r>
        <w:rPr>
          <w:rFonts w:ascii="Calibri;sans-serif" w:hAnsi="Calibri;sans-serif"/>
          <w:color w:val="000000"/>
          <w:sz w:val="20"/>
        </w:rPr>
        <w:t>reportable segments, U.S. Marketplace and Digital Wholesale. See Note 13 of the Unaudited Condensed Consolidated Financial Statements (as defined in Note 2 of the Unaudited Condensed Consolidated Financial Statements) for further segment reporting and geographic information.</w:t>
      </w:r>
    </w:p>
    <w:p>
      <w:pPr>
        <w:pStyle w:val="TextBody"/>
        <w:bidi w:val="0"/>
        <w:spacing w:before="240" w:after="283"/>
        <w:jc w:val="left"/>
        <w:rPr>
          <w:rFonts w:ascii="Calibri;sans-serif" w:hAnsi="Calibri;sans-serif"/>
          <w:b/>
          <w:color w:val="000000"/>
          <w:sz w:val="20"/>
        </w:rPr>
      </w:pPr>
      <w:r>
        <w:rPr>
          <w:rFonts w:ascii="Calibri;sans-serif" w:hAnsi="Calibri;sans-serif"/>
          <w:b/>
          <w:color w:val="000000"/>
          <w:sz w:val="20"/>
        </w:rPr>
        <w:t>2. Summary of Significant Accounting Policies</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Basis of Presentation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statements for interim periods. These interim period results are not necessarily indicative of the results to be expected for any other interim period or the full year.</w:t>
      </w:r>
    </w:p>
    <w:p>
      <w:pPr>
        <w:pStyle w:val="TextBody"/>
        <w:bidi w:val="0"/>
        <w:spacing w:before="240" w:after="283"/>
        <w:jc w:val="both"/>
        <w:rPr>
          <w:rFonts w:ascii="Times New Roman" w:hAnsi="Times New Roman"/>
          <w:sz w:val="20"/>
        </w:rPr>
      </w:pPr>
      <w:r>
        <w:rPr>
          <w:rFonts w:ascii="Calibri;sans-serif" w:hAnsi="Calibri;sans-serif"/>
          <w:color w:val="000000"/>
          <w:sz w:val="20"/>
        </w:rPr>
        <w:t>The Unaudited Condensed Consolidated Financial Statements should be read in conjunction with the Company’s audited consolidated financial statements and the notes thereto included in the Company’s Annual Report on Form 10-K for the fiscal year ended December 31, 2023, filed with the SEC on February 26, 2024 (the “Annual Report”).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While the Company disclosed unpaid excise tax on repurchases of common stock within unpaid repurchases of common stock in the Unaudited Condensed Consolidated Statements of Cash Flows in the Company's Quarterly Report on Form 10-Q for the quarterly period ended September 30, 2023, filed with the SEC on November 7, 2023, the accompanying Unaudited Condensed Consolidated Statements of Cash Flows for the quarterly period ended September 30, 2023, present unpaid excise tax on repurchases of common stock separately from unpaid repurchases of common stock to conform to the current year presentation.</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Principles of Consolidation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Unaudited Condensed Consolidated Financial Statements include the accounts of the Company and its subsidiaries. All intercompany balances and transactions have been eliminated in consolidation.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Subsequent Event Considerations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considers events or transactions that occur after the balance sheet date but prior to the issuance of the Unaudited Condensed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described in Note 14 of these Unaudited Condensed Consolidated Financial Statements.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Use of Estimates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Critical estimates relied upon in preparing the Unaudited Condensed Consolidated Financial Statements include the determination of sales allowance and variable consideration in the Company’s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the Company’s net deferred tax assets and related valuation allowance, the valuation of inventory and the valuation of liability-classified compensation awards. Accordingly, the Company considers these to be its critical accounting estimates, and believes that of the Company’s significant accounting policies, these involve the greatest degree of judgment and complexity. For the three and nine months ended September 30, 2024, there were no estimates related to the valuation of redeemable noncontrolling interest.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three months ended June 30, 2024, the Company identified a triggering event for goodwill and other long-lived assets impairment testing purposes at the CarOffer reporting unit due to recent organizational changes and declines in the volume of the number of vehicles processed from car dealers, consumers, and other marketplaces through the CarOffer website within the applicable period within the Digital Wholesale segment ("Transactions"), which resulted in revisions to the Company’s financial projections for the CarOffer reporting unit. During the three months ended June 30, 2024, the Company performed an updated fair value analysis of the CarOffer reporting unit, resulting in an excess of carrying value over fair value of the CarOffer reporting unit, which led to the impairment of the CarOffer reporting unit, as discussed in Note 6 of the Unaudited Condensed Consolidated Financial Statements.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2024, there was no</w:t>
      </w:r>
      <w:r>
        <w:rPr>
          <w:rFonts w:ascii="Times New Roman" w:hAnsi="Times New Roman"/>
          <w:color w:val="000000"/>
          <w:sz w:val="20"/>
        </w:rPr>
        <w:t xml:space="preserve"> </w:t>
      </w:r>
      <w:r>
        <w:rPr>
          <w:rFonts w:ascii="Calibri;sans-serif" w:hAnsi="Calibri;sans-serif"/>
          <w:color w:val="000000"/>
          <w:sz w:val="20"/>
        </w:rPr>
        <w:t>additional impairment related to the CarOffer reporting unit.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Due to the partial impairment of the CarOffer reporting unit goodwill and other long-term assets during the three months ended June 30, 2024, in which the CarOffer reporting unit was reduced to its fair value, there remains a risk for future impairment charges if projected future operating results further decline, including as a result of economic conditions or operational challenges, which could be material and negatively affect its operations.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further discussion of goodwill and other asset impairments, see Note 6 of the Unaudited Condensed Consolidated Financial Statements.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Concentration of Credit Risk</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no significant off-balance sheet risk, such as foreign exchange contracts, option contracts, or other foreign hedging arrangements.</w:t>
      </w:r>
      <w:r>
        <w:rPr>
          <w:rFonts w:ascii="Times New Roman" w:hAnsi="Times New Roman"/>
          <w:color w:val="000000"/>
          <w:sz w:val="20"/>
        </w:rPr>
        <w:t xml:space="preserve"> </w:t>
      </w:r>
      <w:r>
        <w:rPr>
          <w:rFonts w:ascii="Calibri;sans-serif" w:hAnsi="Calibri;sans-serif"/>
          <w:color w:val="000000"/>
          <w:sz w:val="20"/>
        </w:rPr>
        <w:t>Financial instruments that potentially expose the Company to concentrations of credit risk consist primarily of cash, cash equivalents, short-term investments,</w:t>
      </w:r>
      <w:r>
        <w:rPr>
          <w:rFonts w:ascii="Times New Roman" w:hAnsi="Times New Roman"/>
          <w:color w:val="000000"/>
          <w:sz w:val="20"/>
        </w:rPr>
        <w:t xml:space="preserve"> </w:t>
      </w:r>
      <w:r>
        <w:rPr>
          <w:rFonts w:ascii="Calibri;sans-serif" w:hAnsi="Calibri;sans-serif"/>
          <w:color w:val="000000"/>
          <w:sz w:val="20"/>
        </w:rPr>
        <w:t>trade accounts receivable, and other receivables.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routinely assesses the creditworthiness of its customers and does not require collateral. The Company generally has not experienced any material losses related to receivables from individual customers or groups of customers.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had no material losses related to marketplace receivables as it was dispersed across a large number of customers. The Company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titles are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was believed by management to be probable in the Company’s accounts receivable and other receivables.</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no</w:t>
      </w:r>
      <w:r>
        <w:rPr>
          <w:rFonts w:ascii="Times New Roman" w:hAnsi="Times New Roman"/>
          <w:color w:val="000000"/>
          <w:sz w:val="20"/>
        </w:rPr>
        <w:t xml:space="preserve"> </w:t>
      </w:r>
      <w:r>
        <w:rPr>
          <w:rFonts w:ascii="Calibri;sans-serif" w:hAnsi="Calibri;sans-serif"/>
          <w:color w:val="000000"/>
          <w:sz w:val="20"/>
        </w:rPr>
        <w:t>customer accounted for more than 10% of net accounts receivable and other receivables. All of accounts receivable was dispersed among more than 1,000</w:t>
      </w:r>
      <w:r>
        <w:rPr>
          <w:rFonts w:ascii="Times New Roman" w:hAnsi="Times New Roman"/>
          <w:color w:val="000000"/>
          <w:sz w:val="20"/>
        </w:rPr>
        <w:t xml:space="preserve"> </w:t>
      </w:r>
      <w:r>
        <w:rPr>
          <w:rFonts w:ascii="Calibri;sans-serif" w:hAnsi="Calibri;sans-serif"/>
          <w:color w:val="000000"/>
          <w:sz w:val="20"/>
        </w:rPr>
        <w:t>customers. Therefore, there is no significant credit risk with respect to accounts receivable because credit risk is dispersed due to the large number of customers.</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and nine months ended September 30, 2024 and 2023, no</w:t>
      </w:r>
      <w:r>
        <w:rPr>
          <w:rFonts w:ascii="Times New Roman" w:hAnsi="Times New Roman"/>
          <w:color w:val="000000"/>
          <w:sz w:val="20"/>
        </w:rPr>
        <w:t xml:space="preserve"> </w:t>
      </w:r>
      <w:r>
        <w:rPr>
          <w:rFonts w:ascii="Calibri;sans-serif" w:hAnsi="Calibri;sans-serif"/>
          <w:color w:val="000000"/>
          <w:sz w:val="20"/>
        </w:rPr>
        <w:t>customer accounted for more than 10% of total revenue.</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is exposed to credit losses primarily through its trade accounts receivable, which includes receivables in transit, net of payables due, from a third-party transaction processor. The third-party transaction processor collects customer payments on the Company's behalf and remits them to the Company. Customer payments received by the third-party transaction processor, but not remitted to the Company as of period end, are deemed to be receivables in transit, net of payables due. Additionally, the third-party transaction processor provides payments in advance for certain selling dealers. If the third-party transaction processor does not receive buying dealer payments associated with the transaction paid in advance, the Company would guarantee losses incurred by the third-party transaction processor and the balance would be deducted from future remittances to the Company. To date, losses associated with these guarantees have not been material.</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offsets trade accounts receivables in transit, net of payables due, from the third-party transaction processor with payments received in advance from the third-party transaction processor as it has the right of offset. At any point in time, the Company could have amounts due from the third-party transaction processor for funds the third-party transaction processor has collected from buying dealers and has not yet remitted to the Company (i.e., receivables in transit, net of payables due), as well as amounts paid by the third-party transaction processor to the Company in advance of collecting payments from buying dealers (i.e., payments received in advance). Therefore, as the Company has the right to offset, the Company can either have a net receivable balance due from the third-party transaction processor which is recognized within accounts receivable, net in the Unaudited Condensed Consolidated Balance Sheets, or the Company can have a net liability which is recognized within accrued expenses, accrued income taxes, and other current liabilities in the Unaudited Condensed Consolidated Balance Sheets if the advance payments exceed the receivable position from the third-party transaction processor as of the balance sheet date. The change in payments received in advance from the third-party transaction processor is presented as cash flows from financing activities in the Unaudited Condensed Consolidated Statements of Cash Flows.</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trade accounts receivable from receivables in transit, net of payables due, from the third-party transaction processor was $2,216, offset by payments received in advance of $1,311, which resulted in a net receivable of $905</w:t>
      </w:r>
      <w:r>
        <w:rPr>
          <w:rFonts w:ascii="Times New Roman" w:hAnsi="Times New Roman"/>
          <w:color w:val="000000"/>
          <w:sz w:val="20"/>
        </w:rPr>
        <w:t xml:space="preserve"> </w:t>
      </w:r>
      <w:r>
        <w:rPr>
          <w:rFonts w:ascii="Calibri;sans-serif" w:hAnsi="Calibri;sans-serif"/>
          <w:color w:val="000000"/>
          <w:sz w:val="20"/>
        </w:rPr>
        <w:t>recognized within accounts receivable in the Unaudited Condensed Consolidated Balance Sheets. As of December 31, 2023, trade accounts receivable from receivables in transit, net of payables due, from the third-party transaction processor was $2,868, offset by payments received in advance of $2,015, which resulted in a net receivable of $853</w:t>
      </w:r>
      <w:r>
        <w:rPr>
          <w:rFonts w:ascii="Times New Roman" w:hAnsi="Times New Roman"/>
          <w:color w:val="000000"/>
          <w:sz w:val="20"/>
        </w:rPr>
        <w:t xml:space="preserve"> </w:t>
      </w:r>
      <w:r>
        <w:rPr>
          <w:rFonts w:ascii="Calibri;sans-serif" w:hAnsi="Calibri;sans-serif"/>
          <w:color w:val="000000"/>
          <w:sz w:val="20"/>
        </w:rPr>
        <w:t>recognized within accounts receivable, net in the consolidated balance sheets.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$11,795</w:t>
      </w:r>
      <w:r>
        <w:rPr>
          <w:rFonts w:ascii="Times New Roman" w:hAnsi="Times New Roman"/>
          <w:color w:val="000000"/>
          <w:sz w:val="20"/>
        </w:rPr>
        <w:t xml:space="preserve"> </w:t>
      </w:r>
      <w:r>
        <w:rPr>
          <w:rFonts w:ascii="Calibri;sans-serif" w:hAnsi="Calibri;sans-serif"/>
          <w:color w:val="000000"/>
          <w:sz w:val="20"/>
        </w:rPr>
        <w:t xml:space="preserve">and $9,581, respectively, was included in net accounts receivable, representing unbilled accounts receivable relating primarily to both advertising customers and dealers invoiced in the period subsequent to services rendered and revenue recognition adjustments for Company offered discounts given to dealers in accordance with ASC Topic 606, </w:t>
      </w:r>
      <w:r>
        <w:rPr>
          <w:rFonts w:ascii="Calibri;sans-serif" w:hAnsi="Calibri;sans-serif"/>
          <w:i/>
          <w:color w:val="000000"/>
          <w:sz w:val="20"/>
        </w:rPr>
        <w:t xml:space="preserve">Revenue from Contracts with Customers </w:t>
      </w:r>
      <w:r>
        <w:rPr>
          <w:rFonts w:ascii="Calibri;sans-serif" w:hAnsi="Calibri;sans-serif"/>
          <w:color w:val="000000"/>
          <w:sz w:val="20"/>
        </w:rPr>
        <w:t>("ASC 606").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Significant Accounting Policies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Unaudited Condensed Consolidated Financial Statements reflect the application of certain significant accounting policies as described below and elsewhere in these notes to the Unaudited Condensed Consolidated Financial Statements. As of September 30, 2024, there have been no material changes in the Company’s significant accounting policies, which are detailed in the Annual Report.</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Recent Accounting Pronouncements Not Yet Adopted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September 30, 2024, there are no new accounting pronouncements that the Company is considering adopting, other than those described below.</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In December 2023 the FASB issued ASU 2023-09, </w:t>
      </w:r>
      <w:r>
        <w:rPr>
          <w:rFonts w:ascii="Calibri;sans-serif" w:hAnsi="Calibri;sans-serif"/>
          <w:i/>
          <w:color w:val="000000"/>
          <w:sz w:val="20"/>
        </w:rPr>
        <w:t xml:space="preserve">Income Taxes (Topic 740): Improvements to Income Tax Disclosures </w:t>
      </w:r>
      <w:r>
        <w:rPr>
          <w:rFonts w:ascii="Calibri;sans-serif" w:hAnsi="Calibri;sans-serif"/>
          <w:color w:val="000000"/>
          <w:sz w:val="20"/>
        </w:rPr>
        <w:t>("ASU 2023-09")</w:t>
      </w:r>
      <w:r>
        <w:rPr>
          <w:rFonts w:ascii="Calibri;sans-serif" w:hAnsi="Calibri;sans-serif"/>
          <w:i/>
          <w:color w:val="000000"/>
          <w:sz w:val="20"/>
        </w:rPr>
        <w:t xml:space="preserve">. </w:t>
      </w:r>
      <w:r>
        <w:rPr>
          <w:rFonts w:ascii="Calibri;sans-serif" w:hAnsi="Calibri;sans-serif"/>
          <w:color w:val="1D1C1D"/>
          <w:sz w:val="20"/>
        </w:rPr>
        <w:t>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is currently evaluating the impact of ASU 2023-09 on its future consolidated financial statements and related disclosures.</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In November 2023 the FASB issued ASU 2023-07, </w:t>
      </w:r>
      <w:r>
        <w:rPr>
          <w:rFonts w:ascii="Calibri;sans-serif" w:hAnsi="Calibri;sans-serif"/>
          <w:i/>
          <w:color w:val="000000"/>
          <w:sz w:val="20"/>
        </w:rPr>
        <w:t>Segment Reporting (Topic 280): Improvements to Reportable Segment Disclosures</w:t>
      </w:r>
      <w:r>
        <w:rPr>
          <w:rFonts w:ascii="Times New Roman" w:hAnsi="Times New Roman"/>
          <w:color w:val="000000"/>
          <w:sz w:val="20"/>
        </w:rPr>
        <w:t xml:space="preserve"> </w:t>
      </w:r>
      <w:r>
        <w:rPr>
          <w:rFonts w:ascii="Calibri;sans-serif" w:hAnsi="Calibri;sans-serif"/>
          <w:color w:val="000000"/>
          <w:sz w:val="20"/>
        </w:rPr>
        <w:t xml:space="preserve">("ASU 2023-07"). ASU 2023-07 is intended to enhance disclosures for significant segment expenses for all public entities required to report segment information in accordance with ASC Topic 280, </w:t>
      </w:r>
      <w:r>
        <w:rPr>
          <w:rFonts w:ascii="Calibri;sans-serif" w:hAnsi="Calibri;sans-serif"/>
          <w:i/>
          <w:color w:val="000000"/>
          <w:sz w:val="20"/>
        </w:rPr>
        <w:t>Segment Reporting</w:t>
      </w:r>
      <w:r>
        <w:rPr>
          <w:rFonts w:ascii="Times New Roman" w:hAnsi="Times New Roman"/>
          <w:color w:val="000000"/>
          <w:sz w:val="20"/>
        </w:rPr>
        <w:t xml:space="preserve"> </w:t>
      </w:r>
      <w:r>
        <w:rPr>
          <w:rFonts w:ascii="Calibri;sans-serif" w:hAnsi="Calibri;sans-serif"/>
          <w:color w:val="000000"/>
          <w:sz w:val="20"/>
        </w:rPr>
        <w:t xml:space="preserve">("ASC 280"). ASC 280 requires a public entity to report for each reportable segment a measure of segment profit or loss that its chief operating decision maker (“CODM”) uses to assess segment performance and to make decisions about resource allocations. ASU 2023-07 is intended to improve financial reporting by requiring disclosure of incremental segment information on an annual and interim basis for all public entities to enable investors to develop more useful financial analyses. ASU 2023-07 is effective for fiscal years beginning after December 15, 2023, and interim periods within fiscal years beginning after December 15, 2024. Early adoption is permitted. A public entity should apply ASU 2023-07 retrospectively to all prior periods presented in the consolidated financial statements. The Company is currently evaluating the impact of </w:t>
      </w:r>
      <w:r>
        <w:rPr>
          <w:rFonts w:ascii="Calibri;sans-serif" w:hAnsi="Calibri;sans-serif"/>
          <w:color w:val="1D1C1D"/>
          <w:sz w:val="20"/>
        </w:rPr>
        <w:t>ASU 2023-07</w:t>
      </w:r>
      <w:r>
        <w:rPr>
          <w:rFonts w:ascii="Times New Roman" w:hAnsi="Times New Roman"/>
          <w:color w:val="000000"/>
          <w:sz w:val="20"/>
        </w:rPr>
        <w:t xml:space="preserve"> </w:t>
      </w:r>
      <w:r>
        <w:rPr>
          <w:rFonts w:ascii="Calibri;sans-serif" w:hAnsi="Calibri;sans-serif"/>
          <w:color w:val="000000"/>
          <w:sz w:val="20"/>
        </w:rPr>
        <w:t>on its future consolidated financial statements and related disclosures.</w:t>
      </w:r>
    </w:p>
    <w:p>
      <w:pPr>
        <w:pStyle w:val="TextBody"/>
        <w:bidi w:val="0"/>
        <w:spacing w:before="240" w:after="283"/>
        <w:jc w:val="both"/>
        <w:rPr>
          <w:rFonts w:ascii="Times New Roman" w:hAnsi="Times New Roman"/>
          <w:sz w:val="20"/>
        </w:rPr>
      </w:pPr>
      <w:r>
        <w:rPr>
          <w:rFonts w:ascii="Calibri;sans-serif" w:hAnsi="Calibri;sans-serif"/>
          <w:color w:val="000000"/>
          <w:sz w:val="20"/>
        </w:rPr>
        <w:t>In October 2023 the FASB issued ASU 2023-06,</w:t>
      </w:r>
      <w:r>
        <w:rPr>
          <w:rFonts w:ascii="Times New Roman" w:hAnsi="Times New Roman"/>
          <w:color w:val="000000"/>
          <w:sz w:val="20"/>
        </w:rPr>
        <w:t xml:space="preserve"> </w:t>
      </w:r>
      <w:r>
        <w:rPr>
          <w:rFonts w:ascii="Calibri;sans-serif" w:hAnsi="Calibri;sans-serif"/>
          <w:i/>
          <w:color w:val="000000"/>
          <w:sz w:val="20"/>
        </w:rPr>
        <w:t>Disclosure Improvements – Codification Amendments in Response to the SEC's Disclosure Update and Simplification Initiative</w:t>
      </w:r>
      <w:r>
        <w:rPr>
          <w:rFonts w:ascii="Times New Roman" w:hAnsi="Times New Roman"/>
          <w:color w:val="000000"/>
          <w:sz w:val="20"/>
        </w:rPr>
        <w:t xml:space="preserve"> </w:t>
      </w:r>
      <w:r>
        <w:rPr>
          <w:rFonts w:ascii="Calibri;sans-serif" w:hAnsi="Calibri;sans-serif"/>
          <w:color w:val="000000"/>
          <w:sz w:val="20"/>
        </w:rPr>
        <w:t>("ASU 2023-06"). ASU 2023-06 modifies the disclosure and presentation requirements for a variety of topics in the ASC. The Company is currently evaluating the impact of ASU 2023-06 on its future consolidated financial statements and related disclosures.</w:t>
      </w:r>
    </w:p>
    <w:p>
      <w:pPr>
        <w:pStyle w:val="TextBody"/>
        <w:bidi w:val="0"/>
        <w:spacing w:before="240" w:after="283"/>
        <w:jc w:val="left"/>
        <w:rPr>
          <w:rFonts w:ascii="Calibri;sans-serif" w:hAnsi="Calibri;sans-serif"/>
          <w:b/>
          <w:color w:val="000000"/>
          <w:sz w:val="20"/>
        </w:rPr>
      </w:pPr>
      <w:r>
        <w:rPr>
          <w:rFonts w:ascii="Calibri;sans-serif" w:hAnsi="Calibri;sans-serif"/>
          <w:b/>
          <w:color w:val="000000"/>
          <w:sz w:val="20"/>
        </w:rPr>
        <w:t>3. Revenue Recognition</w:t>
      </w:r>
    </w:p>
    <w:p>
      <w:pPr>
        <w:pStyle w:val="TextBody"/>
        <w:bidi w:val="0"/>
        <w:jc w:val="both"/>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The following table summarizes revenue from contracts with customers by services and products for the three months ended September 30, 2024 and 2023 and for the nine months ended September 30, 2024 and 2023:</w:t>
      </w:r>
    </w:p>
    <w:p>
      <w:pPr>
        <w:pStyle w:val="TextBody"/>
        <w:bidi w:val="0"/>
        <w:jc w:val="both"/>
        <w:rPr/>
      </w:pPr>
      <w:r>
        <w:rPr/>
        <w:t> </w:t>
      </w:r>
    </w:p>
    <w:tbl>
      <w:tblPr>
        <w:tblW w:w="8552" w:type="dxa"/>
        <w:jc w:val="left"/>
        <w:tblInd w:w="0" w:type="dxa"/>
        <w:tblLayout w:type="fixed"/>
        <w:tblCellMar>
          <w:top w:w="28" w:type="dxa"/>
          <w:left w:w="28" w:type="dxa"/>
          <w:bottom w:w="28" w:type="dxa"/>
          <w:right w:w="28" w:type="dxa"/>
        </w:tblCellMar>
      </w:tblPr>
      <w:tblGrid>
        <w:gridCol w:w="2971"/>
        <w:gridCol w:w="146"/>
        <w:gridCol w:w="211"/>
        <w:gridCol w:w="781"/>
        <w:gridCol w:w="146"/>
        <w:gridCol w:w="146"/>
        <w:gridCol w:w="211"/>
        <w:gridCol w:w="781"/>
        <w:gridCol w:w="146"/>
        <w:gridCol w:w="146"/>
        <w:gridCol w:w="211"/>
        <w:gridCol w:w="781"/>
        <w:gridCol w:w="146"/>
        <w:gridCol w:w="146"/>
        <w:gridCol w:w="211"/>
        <w:gridCol w:w="781"/>
        <w:gridCol w:w="5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586,405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515,986</w:t>
            </w:r>
          </w:p>
        </w:tc>
        <w:tc>
          <w:tcPr>
            <w:tcW w:w="5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Dealer-to-Dealer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84,945</w:t>
            </w:r>
          </w:p>
        </w:tc>
        <w:tc>
          <w:tcPr>
            <w:tcW w:w="5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 My Car - Instant Max Cash Offer</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1"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provides disaggregation of revenue by services and products, by income statement presentation, by segment, and by geographic region.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services and products is disaggregated by (i) marketplace services, (ii) Dealer-to-Dealer services and products, and (iii) Sell My Car - Instant Max Cash Offer ("IMCO") services and products as disclosed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income statement presentation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segment is disaggregated by (i) U.S. Marketplace and (ii) Digital Wholesale segments as disclosed in Note 13 of the Unaudited Condensed Consolidated Financial Statements. Marketplace services are included in the U.S. Marketplace segment and in the Other category of segment reporting. Dealer-to-Dealer and IMCO services and products are included in the Digital Wholesale segment.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geographic region is disaggregated by (i) U.S. and (ii) International regions as disclosed in Note 13 of the Unaudited Condensed Consolidated Financial Statements. Marketplace services are provided in the U.S. and International regions. Dealer-to-Dealer and IMCO services and products are provided in the U.S. region.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believes these categories best depict how the nature, amount, timing, and uncertainty of revenue and cash flows are affected by economic factors.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ASC 606 requires that the Company disclose the aggregate amount of transaction price that is allocated to performance obligations that have not yet been satisfied as of the relevant quarter end.</w:t>
      </w:r>
    </w:p>
    <w:p>
      <w:pPr>
        <w:pStyle w:val="TextBody"/>
        <w:bidi w:val="0"/>
        <w:spacing w:before="240" w:after="283"/>
        <w:jc w:val="both"/>
        <w:rPr>
          <w:rFonts w:ascii="Times New Roman" w:hAnsi="Times New Roman"/>
          <w:sz w:val="20"/>
        </w:rPr>
      </w:pPr>
      <w:r>
        <w:rPr>
          <w:rFonts w:ascii="Calibri;sans-serif" w:hAnsi="Calibri;sans-serif"/>
          <w:color w:val="000000"/>
          <w:sz w:val="20"/>
        </w:rPr>
        <w:t>For contracts with an original expected duration greater than one year, the aggregate amount of the transaction price allocated to the performance obligations that were unsatisfied as of September 30, 2024, was approximately $57.6</w:t>
      </w:r>
      <w:r>
        <w:rPr>
          <w:rFonts w:ascii="Times New Roman" w:hAnsi="Times New Roman"/>
          <w:color w:val="000000"/>
          <w:sz w:val="20"/>
        </w:rPr>
        <w:t xml:space="preserve"> </w:t>
      </w:r>
      <w:r>
        <w:rPr>
          <w:rFonts w:ascii="Calibri;sans-serif" w:hAnsi="Calibri;sans-serif"/>
          <w:color w:val="000000"/>
          <w:sz w:val="20"/>
        </w:rPr>
        <w:t>million, which the Company expects to recognize over the next twelve months.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contracts with an original expected duration of one year or less, the Company has applied the practical expedient available under ASC 606 to not disclose the amount of transaction price allocated to unsatisfied performance obligations as of September 30, 2024. For performance obligations not satisfied as of September 30, 2024, and to which this expedient applies, the nature of the performance obligations, the variable consideration, and any consideration from contracts with customers not included in the transaction price is consistent with performance obligations satisfied as of September 30, 2024.</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and 2023, revenue recognized from amounts included in deferred revenue at the beginning of the period was $21,785</w:t>
      </w:r>
      <w:r>
        <w:rPr>
          <w:rFonts w:ascii="Times New Roman" w:hAnsi="Times New Roman"/>
          <w:color w:val="000000"/>
          <w:sz w:val="20"/>
        </w:rPr>
        <w:t xml:space="preserve"> </w:t>
      </w:r>
      <w:r>
        <w:rPr>
          <w:rFonts w:ascii="Calibri;sans-serif" w:hAnsi="Calibri;sans-serif"/>
          <w:color w:val="000000"/>
          <w:sz w:val="20"/>
        </w:rPr>
        <w:t>and $21,267, respectively. For the nine months ended September 30, 2024 and 2023, revenue recognized from amounts included in deferred revenue at the beginning of the period was $21,322</w:t>
      </w:r>
      <w:r>
        <w:rPr>
          <w:rFonts w:ascii="Times New Roman" w:hAnsi="Times New Roman"/>
          <w:color w:val="000000"/>
          <w:sz w:val="20"/>
        </w:rPr>
        <w:t xml:space="preserve"> </w:t>
      </w:r>
      <w:r>
        <w:rPr>
          <w:rFonts w:ascii="Calibri;sans-serif" w:hAnsi="Calibri;sans-serif"/>
          <w:color w:val="000000"/>
          <w:sz w:val="20"/>
        </w:rPr>
        <w:t>and $12,249, respectively.</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4. Fair Value of Financial Instruments</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As of September 30, 2024 and December 31, 2023, assets measured at fair value on a recurring basis consist of the following:</w:t>
      </w:r>
    </w:p>
    <w:p>
      <w:pPr>
        <w:pStyle w:val="TextBody"/>
        <w:bidi w:val="0"/>
        <w:jc w:val="left"/>
        <w:rPr/>
      </w:pPr>
      <w:r>
        <w:rPr/>
        <w:t> </w:t>
      </w:r>
    </w:p>
    <w:tbl>
      <w:tblPr>
        <w:tblW w:w="8166" w:type="dxa"/>
        <w:jc w:val="left"/>
        <w:tblInd w:w="0" w:type="dxa"/>
        <w:tblLayout w:type="fixed"/>
        <w:tblCellMar>
          <w:top w:w="28" w:type="dxa"/>
          <w:left w:w="28" w:type="dxa"/>
          <w:bottom w:w="28" w:type="dxa"/>
          <w:right w:w="28" w:type="dxa"/>
        </w:tblCellMar>
      </w:tblPr>
      <w:tblGrid>
        <w:gridCol w:w="1486"/>
        <w:gridCol w:w="146"/>
        <w:gridCol w:w="296"/>
        <w:gridCol w:w="1099"/>
        <w:gridCol w:w="146"/>
        <w:gridCol w:w="146"/>
        <w:gridCol w:w="510"/>
        <w:gridCol w:w="840"/>
        <w:gridCol w:w="146"/>
        <w:gridCol w:w="146"/>
        <w:gridCol w:w="578"/>
        <w:gridCol w:w="952"/>
        <w:gridCol w:w="146"/>
        <w:gridCol w:w="146"/>
        <w:gridCol w:w="211"/>
        <w:gridCol w:w="781"/>
        <w:gridCol w:w="3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4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137,781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137,781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601" w:type="dxa"/>
        <w:jc w:val="left"/>
        <w:tblInd w:w="0" w:type="dxa"/>
        <w:tblLayout w:type="fixed"/>
        <w:tblCellMar>
          <w:top w:w="28" w:type="dxa"/>
          <w:left w:w="28" w:type="dxa"/>
          <w:bottom w:w="28" w:type="dxa"/>
          <w:right w:w="28" w:type="dxa"/>
        </w:tblCellMar>
      </w:tblPr>
      <w:tblGrid>
        <w:gridCol w:w="2026"/>
        <w:gridCol w:w="146"/>
        <w:gridCol w:w="332"/>
        <w:gridCol w:w="1063"/>
        <w:gridCol w:w="146"/>
        <w:gridCol w:w="146"/>
        <w:gridCol w:w="510"/>
        <w:gridCol w:w="840"/>
        <w:gridCol w:w="146"/>
        <w:gridCol w:w="146"/>
        <w:gridCol w:w="578"/>
        <w:gridCol w:w="952"/>
        <w:gridCol w:w="146"/>
        <w:gridCol w:w="146"/>
        <w:gridCol w:w="211"/>
        <w:gridCol w:w="676"/>
        <w:gridCol w:w="3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73,449</w:t>
            </w:r>
          </w:p>
        </w:tc>
        <w:tc>
          <w:tcPr>
            <w:tcW w:w="391" w:type="dxa"/>
            <w:tcBorders/>
            <w:shd w:fill="FFFFFF" w:val="cle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94,173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Calibri;sans-serif" w:hAnsi="Calibri;sans-serif"/>
          <w:color w:val="000000"/>
          <w:sz w:val="20"/>
        </w:rPr>
        <w:t>For the three months ended September 30, 2024, there was no</w:t>
      </w:r>
      <w:r>
        <w:rPr>
          <w:rFonts w:ascii="Times New Roman" w:hAnsi="Times New Roman"/>
          <w:color w:val="000000"/>
          <w:sz w:val="20"/>
        </w:rPr>
        <w:t xml:space="preserve"> </w:t>
      </w:r>
      <w:r>
        <w:rPr>
          <w:rFonts w:ascii="Calibri;sans-serif" w:hAnsi="Calibri;sans-serif"/>
          <w:color w:val="000000"/>
          <w:sz w:val="20"/>
        </w:rPr>
        <w:t>dividend income recognized within interest income in the Unaudited Condensed Consolidated Income Statements. For the three months ended September 30, 2023 and for the nine months ended September 30, 2024 and 2023, dividend income recognized within interest income in the Unaudited Condensed Consolidated Income Statement was immaterial.</w:t>
      </w:r>
    </w:p>
    <w:p>
      <w:pPr>
        <w:pStyle w:val="TextBody"/>
        <w:bidi w:val="0"/>
        <w:spacing w:before="240" w:after="283"/>
        <w:jc w:val="left"/>
        <w:rPr>
          <w:rFonts w:ascii="Times New Roman" w:hAnsi="Times New Roman"/>
          <w:sz w:val="20"/>
        </w:rPr>
      </w:pPr>
      <w:r>
        <w:rPr>
          <w:rFonts w:ascii="Calibri;sans-serif" w:hAnsi="Calibri;sans-serif"/>
          <w:color w:val="000000"/>
          <w:sz w:val="20"/>
        </w:rPr>
        <w:t>For the three months ended September 30, 2024, there was no</w:t>
      </w:r>
      <w:r>
        <w:rPr>
          <w:rFonts w:ascii="Times New Roman" w:hAnsi="Times New Roman"/>
          <w:color w:val="000000"/>
          <w:sz w:val="20"/>
        </w:rPr>
        <w:t xml:space="preserve"> </w:t>
      </w:r>
      <w:r>
        <w:rPr>
          <w:rFonts w:ascii="Calibri;sans-serif" w:hAnsi="Calibri;sans-serif"/>
          <w:color w:val="000000"/>
          <w:sz w:val="20"/>
        </w:rPr>
        <w:t>unrealized and realized gain on short-term investments in equity securities. For the three months ended September 30, 2023 and for the nine months ended September 30, 2024 and 2023, unrealized and realized gain on short-term investments in equity securities was immaterial.</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As of September 30, 2024, the Company did not have any short-term investments as all were sold during the nine months ended September 30, 2024.</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5. Property and Equipment, Net</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property and equipment, net consist of the following:</w:t>
      </w:r>
      <w:r>
        <w:rPr>
          <w:rFonts w:ascii="Times New Roman" w:hAnsi="Times New Roman"/>
          <w:color w:val="000000"/>
          <w:sz w:val="20"/>
        </w:rPr>
        <w:t xml:space="preserve"> </w:t>
      </w:r>
    </w:p>
    <w:p>
      <w:pPr>
        <w:pStyle w:val="TextBody"/>
        <w:bidi w:val="0"/>
        <w:jc w:val="both"/>
        <w:rPr/>
      </w:pPr>
      <w:r>
        <w:rPr/>
        <w:t> </w:t>
      </w:r>
    </w:p>
    <w:tbl>
      <w:tblPr>
        <w:tblW w:w="7005" w:type="dxa"/>
        <w:jc w:val="left"/>
        <w:tblInd w:w="0" w:type="dxa"/>
        <w:tblLayout w:type="fixed"/>
        <w:tblCellMar>
          <w:top w:w="28" w:type="dxa"/>
          <w:left w:w="28" w:type="dxa"/>
          <w:bottom w:w="28" w:type="dxa"/>
          <w:right w:w="28" w:type="dxa"/>
        </w:tblCellMar>
      </w:tblPr>
      <w:tblGrid>
        <w:gridCol w:w="3901"/>
        <w:gridCol w:w="146"/>
        <w:gridCol w:w="242"/>
        <w:gridCol w:w="898"/>
        <w:gridCol w:w="166"/>
        <w:gridCol w:w="146"/>
        <w:gridCol w:w="233"/>
        <w:gridCol w:w="862"/>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Capitalized equipment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1,326</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Capitalized internal-use software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12,279</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Capitalized website development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57,158</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8,149</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23,308</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39,835</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190,107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142,343</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(58,973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9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83,370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nine months ended September 30, 2024, capitalized website development increased $100</w:t>
      </w:r>
      <w:r>
        <w:rPr>
          <w:rFonts w:ascii="Times New Roman" w:hAnsi="Times New Roman"/>
          <w:color w:val="000000"/>
          <w:sz w:val="20"/>
        </w:rPr>
        <w:t xml:space="preserve"> </w:t>
      </w:r>
      <w:r>
        <w:rPr>
          <w:rFonts w:ascii="Calibri;sans-serif" w:hAnsi="Calibri;sans-serif"/>
          <w:color w:val="000000"/>
          <w:sz w:val="20"/>
        </w:rPr>
        <w:t>due primarily to continued net investment in the Company's product offerings of $19,153, which was</w:t>
      </w:r>
      <w:r>
        <w:rPr>
          <w:rFonts w:ascii="Times New Roman" w:hAnsi="Times New Roman"/>
          <w:color w:val="000000"/>
          <w:sz w:val="20"/>
        </w:rPr>
        <w:t xml:space="preserve"> </w:t>
      </w:r>
      <w:r>
        <w:rPr>
          <w:rFonts w:ascii="Calibri;sans-serif" w:hAnsi="Calibri;sans-serif"/>
          <w:color w:val="000000"/>
          <w:sz w:val="20"/>
        </w:rPr>
        <w:t>offset in part by a $15,583</w:t>
      </w:r>
      <w:r>
        <w:rPr>
          <w:rFonts w:ascii="Times New Roman" w:hAnsi="Times New Roman"/>
          <w:color w:val="000000"/>
          <w:sz w:val="20"/>
        </w:rPr>
        <w:t xml:space="preserve"> </w:t>
      </w:r>
      <w:r>
        <w:rPr>
          <w:rFonts w:ascii="Calibri;sans-serif" w:hAnsi="Calibri;sans-serif"/>
          <w:color w:val="000000"/>
          <w:sz w:val="20"/>
        </w:rPr>
        <w:t>impairment of capitalized website development costs due to the end of the CG Buy Online pilot which allowed consumers to purchase vehicles online, as well as a $3,470</w:t>
      </w:r>
      <w:r>
        <w:rPr>
          <w:rFonts w:ascii="Times New Roman" w:hAnsi="Times New Roman"/>
          <w:color w:val="000000"/>
          <w:sz w:val="20"/>
        </w:rPr>
        <w:t xml:space="preserve"> </w:t>
      </w:r>
      <w:r>
        <w:rPr>
          <w:rFonts w:ascii="Calibri;sans-serif" w:hAnsi="Calibri;sans-serif"/>
          <w:color w:val="000000"/>
          <w:sz w:val="20"/>
        </w:rPr>
        <w:t>disposal of fully depreciated assets for the Company's peer-to-peer product which the Company is no longer offering. For further discussion of goodwill and other asset impairments, see Note 6 of the Unaudited Condensed Consolidated Financial Statements.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nine months ended September 30, 2024, capitalized equipment, furniture and fixtures, and leasehold improvements increased $6,443, $5,511, and $69,644, respectively, due primarily to assets being transferred out of construction in progress and placed into service, as well as additional buildout costs, as the Company began occupying 1001 Boylston Street. The Company also impaired $219</w:t>
      </w:r>
      <w:r>
        <w:rPr>
          <w:rFonts w:ascii="Times New Roman" w:hAnsi="Times New Roman"/>
          <w:color w:val="000000"/>
          <w:sz w:val="20"/>
        </w:rPr>
        <w:t xml:space="preserve"> </w:t>
      </w:r>
      <w:r>
        <w:rPr>
          <w:rFonts w:ascii="Calibri;sans-serif" w:hAnsi="Calibri;sans-serif"/>
          <w:color w:val="000000"/>
          <w:sz w:val="20"/>
        </w:rPr>
        <w:t>of furniture and fixtures due to the end of the CG Buy Online pilot. For further discussion of goodwill and other asset impairments, see Note 6 of the Unaudited Condensed Consolidated Financial Statements.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nine months ended September 30, 2024, capitalized internal-use software increased $6,001, due primarily to continued net investment in the Company's software projects.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nine months ended September 30, 2024, construction in progress decreased $39,835</w:t>
      </w:r>
      <w:r>
        <w:rPr>
          <w:rFonts w:ascii="Times New Roman" w:hAnsi="Times New Roman"/>
          <w:color w:val="000000"/>
          <w:sz w:val="20"/>
        </w:rPr>
        <w:t xml:space="preserve"> </w:t>
      </w:r>
      <w:r>
        <w:rPr>
          <w:rFonts w:ascii="Calibri;sans-serif" w:hAnsi="Calibri;sans-serif"/>
          <w:color w:val="000000"/>
          <w:sz w:val="20"/>
        </w:rPr>
        <w:t>due primarily to assets being transferred out of construction in progress and placed into service in their respective categories as the Company began occupying 1001 Boylston Street.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depreciation and amortization expense, excluding amortization of intangible assets, amortization of capitalized hosting arrangements, and impairments, was $4,669, $4,962, $15,174, and $13,164,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6. Goodwill and Other Asset Impairments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CarOffer Impairment</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Background</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the Company identified a triggering event for goodwill and other long-lived assets impairment testing purposes at the CarOffer reporting unit due to recent organizational changes and Transaction volume declines, which resulted in revisions to the Company’s financial projections for the CarOffer reporting unit.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Prior to testing the goodwill and other long-lived assets included in the CarOffer reporting unit for impairment, the Company first evaluated current assets, inclusive of the cash and cash-equivalents, accounts receivable, inventory, prepaid expenses, and other current assets allocated to the CarOffer reporting unit, under applicable guidance and identified no impairment.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The Company then evaluated other long-lived assets included in the CarOffer reporting unit under ASC 360, </w:t>
      </w:r>
      <w:r>
        <w:rPr>
          <w:rFonts w:ascii="Calibri;sans-serif" w:hAnsi="Calibri;sans-serif"/>
          <w:i/>
          <w:color w:val="000000"/>
          <w:sz w:val="20"/>
        </w:rPr>
        <w:t>Property, Plant, and Equipment</w:t>
      </w:r>
      <w:r>
        <w:rPr>
          <w:rFonts w:ascii="Times New Roman" w:hAnsi="Times New Roman"/>
          <w:color w:val="000000"/>
          <w:sz w:val="20"/>
        </w:rPr>
        <w:t xml:space="preserve"> </w:t>
      </w:r>
      <w:r>
        <w:rPr>
          <w:rFonts w:ascii="Calibri;sans-serif" w:hAnsi="Calibri;sans-serif"/>
          <w:color w:val="000000"/>
          <w:sz w:val="20"/>
        </w:rPr>
        <w:t>(“ASC 360”). Other long-lived assets were tested for impairment at the asset group level. The Company identified the asset group as the entire CarOffer reporting unit, which represents the lowest level for which identifiable cash flows are largely independent of the cash flows of other groups of assets and liabilities. As the CarOffer asset group did not pass the step one recoverability test on an undiscounted cash flow basis, the Company then compared the fair value of the asset group to its carrying value. To estimate the fair value of the asset group, the Company utilized an income-based valuation approach by means of a discounted cash flow method, based on market participant assumptions. The assumptions used to estimate the fair value using a discounted cash flow method included forecasted revenue and EBITDA, long term expectations for growth rates and operating profit margin, expected needs for annual capital expenditure and net working capital, and a market-participant discount rate derived via the capital asset pricing model. The excess of the carrying value of the asset group over the fair value was first allocated amongst the long-lived asset group (excluding goodwill), noting each individual long-lived asset within the group may not be impaired below its individual fair value.</w:t>
      </w:r>
    </w:p>
    <w:p>
      <w:pPr>
        <w:pStyle w:val="TextBody"/>
        <w:bidi w:val="0"/>
        <w:spacing w:before="240" w:after="283"/>
        <w:jc w:val="both"/>
        <w:rPr>
          <w:rFonts w:ascii="Times New Roman" w:hAnsi="Times New Roman"/>
          <w:sz w:val="20"/>
        </w:rPr>
      </w:pPr>
      <w:r>
        <w:rPr>
          <w:rFonts w:ascii="Calibri;sans-serif" w:hAnsi="Calibri;sans-serif"/>
          <w:color w:val="000000"/>
          <w:sz w:val="20"/>
        </w:rPr>
        <w:t>As discussed below, the Company recognized impairments of CarOffer right-of-use assets of $4,731</w:t>
      </w:r>
      <w:r>
        <w:rPr>
          <w:rFonts w:ascii="Times New Roman" w:hAnsi="Times New Roman"/>
          <w:color w:val="000000"/>
          <w:sz w:val="20"/>
        </w:rPr>
        <w:t xml:space="preserve"> </w:t>
      </w:r>
      <w:r>
        <w:rPr>
          <w:rFonts w:ascii="Calibri;sans-serif" w:hAnsi="Calibri;sans-serif"/>
          <w:color w:val="000000"/>
          <w:sz w:val="20"/>
        </w:rPr>
        <w:t>and the CarOffer brand intangible asset of $7,538</w:t>
      </w:r>
      <w:r>
        <w:rPr>
          <w:rFonts w:ascii="Times New Roman" w:hAnsi="Times New Roman"/>
          <w:color w:val="000000"/>
          <w:sz w:val="20"/>
        </w:rPr>
        <w:t xml:space="preserve"> </w:t>
      </w:r>
      <w:r>
        <w:rPr>
          <w:rFonts w:ascii="Calibri;sans-serif" w:hAnsi="Calibri;sans-serif"/>
          <w:color w:val="000000"/>
          <w:sz w:val="20"/>
        </w:rPr>
        <w:t>to bring the long-lived assets’ carrying value to fair value. All other long-lived assets’ carrying value were at or below fair value. Subsequent to performing the impairment assessment of its long-lived assets, the Company then assessed goodwill included in the CarOffer reporting unit, resulting in an impairment charge of $115,206, inclusive of the deferred tax impact of $28,437</w:t>
      </w:r>
      <w:r>
        <w:rPr>
          <w:rFonts w:ascii="Times New Roman" w:hAnsi="Times New Roman"/>
          <w:color w:val="000000"/>
          <w:sz w:val="20"/>
        </w:rPr>
        <w:t xml:space="preserve"> </w:t>
      </w:r>
      <w:r>
        <w:rPr>
          <w:rFonts w:ascii="Calibri;sans-serif" w:hAnsi="Calibri;sans-serif"/>
          <w:color w:val="000000"/>
          <w:sz w:val="20"/>
        </w:rPr>
        <w:t>due to the goodwill being tax deductible. Refer below for further details of each impairment charge.</w:t>
      </w:r>
    </w:p>
    <w:p>
      <w:pPr>
        <w:pStyle w:val="TextBody"/>
        <w:bidi w:val="0"/>
        <w:spacing w:before="240" w:after="283"/>
        <w:jc w:val="both"/>
        <w:rPr>
          <w:rFonts w:ascii="Times New Roman" w:hAnsi="Times New Roman"/>
          <w:sz w:val="20"/>
        </w:rPr>
      </w:pPr>
      <w:r>
        <w:rPr>
          <w:rFonts w:ascii="Calibri;sans-serif" w:hAnsi="Calibri;sans-serif"/>
          <w:color w:val="000000"/>
          <w:sz w:val="20"/>
        </w:rPr>
        <w:t>Accordingly, during the three months ended June 30, 2024, the Company recognized a $127,475</w:t>
      </w:r>
      <w:r>
        <w:rPr>
          <w:rFonts w:ascii="Times New Roman" w:hAnsi="Times New Roman"/>
          <w:color w:val="000000"/>
          <w:sz w:val="20"/>
        </w:rPr>
        <w:t xml:space="preserve"> </w:t>
      </w:r>
      <w:r>
        <w:rPr>
          <w:rFonts w:ascii="Calibri;sans-serif" w:hAnsi="Calibri;sans-serif"/>
          <w:color w:val="000000"/>
          <w:sz w:val="20"/>
        </w:rPr>
        <w:t>impairment to the CarOffer reporting unit, reducing its carrying value to its fair value. During the three months ended September 30, 2024, there was</w:t>
      </w:r>
      <w:r>
        <w:rPr>
          <w:rFonts w:ascii="Times New Roman" w:hAnsi="Times New Roman"/>
          <w:color w:val="FF0000"/>
          <w:sz w:val="20"/>
        </w:rPr>
        <w:t xml:space="preserve"> </w:t>
      </w:r>
      <w:r>
        <w:rPr>
          <w:rFonts w:ascii="Calibri;sans-serif" w:hAnsi="Calibri;sans-serif"/>
          <w:color w:val="000000"/>
          <w:sz w:val="20"/>
        </w:rPr>
        <w:t>no</w:t>
      </w:r>
      <w:r>
        <w:rPr>
          <w:rFonts w:ascii="Times New Roman" w:hAnsi="Times New Roman"/>
          <w:color w:val="000000"/>
          <w:sz w:val="20"/>
        </w:rPr>
        <w:t xml:space="preserve"> </w:t>
      </w:r>
      <w:r>
        <w:rPr>
          <w:rFonts w:ascii="Calibri;sans-serif" w:hAnsi="Calibri;sans-serif"/>
          <w:color w:val="000000"/>
          <w:sz w:val="20"/>
        </w:rPr>
        <w:t>additional impairment related to the CarOffer reporting unit.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Due to the partial impairment of the CarOffer reporting unit goodwill and other assets during the three months ended June 30, 2024, in which the CarOffer reporting unit was reduced to its fair value, there remains a risk for future impairment charges if projected future operating results further decline, including as a result of economic conditions or operational challenges, which could be material and negatively affect its operations.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Right-of-Use Asset</w:t>
      </w:r>
    </w:p>
    <w:p>
      <w:pPr>
        <w:pStyle w:val="TextBody"/>
        <w:bidi w:val="0"/>
        <w:spacing w:before="240" w:after="283"/>
        <w:jc w:val="both"/>
        <w:rPr>
          <w:rFonts w:ascii="Times New Roman" w:hAnsi="Times New Roman"/>
          <w:sz w:val="20"/>
        </w:rPr>
      </w:pPr>
      <w:r>
        <w:rPr>
          <w:rFonts w:ascii="Calibri;sans-serif" w:hAnsi="Calibri;sans-serif"/>
          <w:color w:val="000000"/>
          <w:sz w:val="20"/>
        </w:rPr>
        <w:t>In connection with the triggering event discussed above, the Company assessed the right-of-use assets associated with CarOffer's Addison, Texas lease for impairment.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noted above, the carrying value of the CarOffer asset group was determined to not be recoverable. As such, the Company evaluated the fair value of the CarOffer asset group as of June 30, 2024, using a discounted cash flow method that incorporated market participant assumptions. The resulting impairment loss was then allocated to each of the long-lived assets in the asset group, including the CarOffer right-of-use assets. The fair value measurement is categorized as Level 3 within the fair value hierarchy as there are significant unobservable inputs utilized in the valuation technique. The Company estimated fair value using the discounted cash flow method, with key inputs including the selected market rental rates based upon similar office spaces, the discount rate, and other estimated replacement costs.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 non-cash impairment charge of $4,731</w:t>
      </w:r>
      <w:r>
        <w:rPr>
          <w:rFonts w:ascii="Times New Roman" w:hAnsi="Times New Roman"/>
          <w:color w:val="000000"/>
          <w:sz w:val="20"/>
        </w:rPr>
        <w:t xml:space="preserve"> </w:t>
      </w:r>
      <w:r>
        <w:rPr>
          <w:rFonts w:ascii="Calibri;sans-serif" w:hAnsi="Calibri;sans-serif"/>
          <w:color w:val="000000"/>
          <w:sz w:val="20"/>
        </w:rPr>
        <w:t>was allocated to the right-of-use assets in the CarOffer asset group, which was recognized within goodwill and other asset impairment operating expenses in the Unaudited Condensed Consolidated Income Statements in the Digital Wholesale segment.</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Other Intangible Assets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connection with the triggering event discussed above, the Company recognized an impairment to its brand intangible assets included within the CarOffer asset group as of June 30, 2024 to reduce the carrying value of the brand intangible asset to its fair value. This fair value measurement is categorized as Level 3 within the fair value hierarchy as there are significant unobservable inputs utilized in the valuation technique. The Company estimated fair value using market participant assumptions and the relief from royalty method, with key inputs including forecasted revenue, royalty rate, discount rate, and the useful life.</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 non-cash impairment charge of $7,538</w:t>
      </w:r>
      <w:r>
        <w:rPr>
          <w:rFonts w:ascii="Times New Roman" w:hAnsi="Times New Roman"/>
          <w:color w:val="000000"/>
          <w:sz w:val="20"/>
        </w:rPr>
        <w:t xml:space="preserve"> </w:t>
      </w:r>
      <w:r>
        <w:rPr>
          <w:rFonts w:ascii="Calibri;sans-serif" w:hAnsi="Calibri;sans-serif"/>
          <w:color w:val="000000"/>
          <w:sz w:val="20"/>
        </w:rPr>
        <w:t>was allocated to the brand intangible asset for the CarOffer asset group, which was recognized within goodwill and other asset impairment operating expenses in the Unaudited Condensed Consolidated Income Statements in the Digital Wholesale segment.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and December 31, 2023, intangible assets consist of the following:</w:t>
      </w:r>
    </w:p>
    <w:p>
      <w:pPr>
        <w:pStyle w:val="TextBody"/>
        <w:bidi w:val="0"/>
        <w:jc w:val="both"/>
        <w:rPr/>
      </w:pPr>
      <w:r>
        <w:rPr/>
        <w:t> </w:t>
      </w:r>
    </w:p>
    <w:tbl>
      <w:tblPr>
        <w:tblW w:w="9375" w:type="dxa"/>
        <w:jc w:val="left"/>
        <w:tblInd w:w="0" w:type="dxa"/>
        <w:tblLayout w:type="fixed"/>
        <w:tblCellMar>
          <w:top w:w="28" w:type="dxa"/>
          <w:left w:w="28" w:type="dxa"/>
          <w:bottom w:w="28" w:type="dxa"/>
          <w:right w:w="28" w:type="dxa"/>
        </w:tblCellMar>
      </w:tblPr>
      <w:tblGrid>
        <w:gridCol w:w="1951"/>
        <w:gridCol w:w="146"/>
        <w:gridCol w:w="242"/>
        <w:gridCol w:w="599"/>
        <w:gridCol w:w="146"/>
        <w:gridCol w:w="146"/>
        <w:gridCol w:w="211"/>
        <w:gridCol w:w="781"/>
        <w:gridCol w:w="146"/>
        <w:gridCol w:w="146"/>
        <w:gridCol w:w="246"/>
        <w:gridCol w:w="790"/>
        <w:gridCol w:w="146"/>
        <w:gridCol w:w="146"/>
        <w:gridCol w:w="509"/>
        <w:gridCol w:w="1381"/>
        <w:gridCol w:w="146"/>
        <w:gridCol w:w="146"/>
        <w:gridCol w:w="228"/>
        <w:gridCol w:w="732"/>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8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 Impairment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Brand</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12,389</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Developed technology</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8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 Impairment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Brand</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21,931</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250</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Developed technology</w:t>
            </w:r>
          </w:p>
        </w:tc>
        <w:tc>
          <w:tcPr>
            <w:tcW w:w="146" w:type="dxa"/>
            <w:tcBorders/>
            <w:shd w:fill="CFF0FC" w:val="clear"/>
            <w:vAlign w:val="center"/>
          </w:tcPr>
          <w:p>
            <w:pPr>
              <w:pStyle w:val="TableContents"/>
              <w:bidi w:val="0"/>
              <w:spacing w:before="0" w:after="283"/>
              <w:jc w:val="right"/>
              <w:rPr/>
            </w:pPr>
            <w:r>
              <w:rPr/>
              <w:t> </w:t>
            </w:r>
          </w:p>
        </w:tc>
        <w:tc>
          <w:tcPr>
            <w:tcW w:w="841" w:type="dxa"/>
            <w:gridSpan w:val="2"/>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amortization of intangible assets was $509, $7,508, $3,148, and $22,549, respectively.</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there was no</w:t>
      </w:r>
      <w:r>
        <w:rPr>
          <w:rFonts w:ascii="Times New Roman" w:hAnsi="Times New Roman"/>
          <w:color w:val="000000"/>
          <w:sz w:val="20"/>
        </w:rPr>
        <w:t xml:space="preserve"> </w:t>
      </w:r>
      <w:r>
        <w:rPr>
          <w:rFonts w:ascii="Calibri;sans-serif" w:hAnsi="Calibri;sans-serif"/>
          <w:color w:val="000000"/>
          <w:sz w:val="20"/>
        </w:rPr>
        <w:t>impairment for intangible assets. For the nine months ended September 30, 2024, the Company impaired $7,538</w:t>
      </w:r>
      <w:r>
        <w:rPr>
          <w:rFonts w:ascii="Times New Roman" w:hAnsi="Times New Roman"/>
          <w:color w:val="000000"/>
          <w:sz w:val="20"/>
        </w:rPr>
        <w:t xml:space="preserve"> </w:t>
      </w:r>
      <w:r>
        <w:rPr>
          <w:rFonts w:ascii="Calibri;sans-serif" w:hAnsi="Calibri;sans-serif"/>
          <w:color w:val="000000"/>
          <w:sz w:val="20"/>
        </w:rPr>
        <w:t>of Digital Wholesale segment intangible assets within goodwill and other asset impairment operating expenses in the Unaudited Condensed Consolidated Income Statements related to the impairment discussed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As of September 30, 2024, estimated amortization expense of intangible assets for future periods is as follows:</w:t>
      </w:r>
    </w:p>
    <w:p>
      <w:pPr>
        <w:pStyle w:val="TextBody"/>
        <w:bidi w:val="0"/>
        <w:jc w:val="both"/>
        <w:rPr/>
      </w:pPr>
      <w:r>
        <w:rPr/>
        <w:t> </w:t>
      </w:r>
    </w:p>
    <w:tbl>
      <w:tblPr>
        <w:tblW w:w="3479" w:type="dxa"/>
        <w:jc w:val="left"/>
        <w:tblInd w:w="0" w:type="dxa"/>
        <w:tblLayout w:type="fixed"/>
        <w:tblCellMar>
          <w:top w:w="28" w:type="dxa"/>
          <w:left w:w="28" w:type="dxa"/>
          <w:bottom w:w="28" w:type="dxa"/>
          <w:right w:w="28" w:type="dxa"/>
        </w:tblCellMar>
      </w:tblPr>
      <w:tblGrid>
        <w:gridCol w:w="1951"/>
        <w:gridCol w:w="146"/>
        <w:gridCol w:w="235"/>
        <w:gridCol w:w="756"/>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Amortization</w:t>
              <w:br/>
              <w:t>Expense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509</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2,035</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2,035</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2,035</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2,035</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1,410</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Goodwill</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determined that there were no indicators of impairment for the U.S. Marketplace or U.K. Marketplace reporting units and therefore an interim impairment assessment was not performed at June 30,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connection with the triggering event discussed above, the Company evaluated the CarOffer reporting unit goodwill for impairment as of June 30, 2024, by comparing its estimated fair value to its carrying value. The Company estimated the fair value of the CarOffer reporting unit using an income-based valuation approach by means of a discounted cash flow method. This fair value measurement is categorized as Level 3 within the fair value hierarchy as there are significant unobservable inputs utilized in the valuation technique. The assumptions used to estimate the fair value of the reporting unit included forecasted revenue and EBITDA, long term expectations for growth rates and operating profit margin, expected needs for annual capital expenditure and net working capital, and a market-participant discount rate derived via the capital asset pricing model.</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the carrying value for the CarOffer reporting unit (after adjustments for other long-lived asset impairments discussed above) exceeded its fair value, resulting in a non-cash impairment charge of $86,769, which was recognized within goodwill and other asset impairment operating expenses in the Unaudited Condensed Consolidated Income Statements in the Digital Wholesale segment. As the goodwill for the CarOffer reporting unit is tax deductible, the Company then calculated the deferred tax effect of the goodwill impairment charge using the simultaneous equation method. This resulted in additional goodwill impairment and deferred tax assets of $28,437, for a total goodwill impairment of $115,206</w:t>
      </w:r>
      <w:r>
        <w:rPr>
          <w:rFonts w:ascii="Times New Roman" w:hAnsi="Times New Roman"/>
          <w:color w:val="000000"/>
          <w:sz w:val="20"/>
        </w:rPr>
        <w:t xml:space="preserve"> </w:t>
      </w:r>
      <w:r>
        <w:rPr>
          <w:rFonts w:ascii="Calibri;sans-serif" w:hAnsi="Calibri;sans-serif"/>
          <w:color w:val="000000"/>
          <w:sz w:val="20"/>
        </w:rPr>
        <w:t>recognized within goodwill and other asset impairment operating expenses in the Unaudited Condensed Consolidated Income Statements in the Digital Wholesale segment.</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2024, there was no</w:t>
      </w:r>
      <w:r>
        <w:rPr>
          <w:rFonts w:ascii="Times New Roman" w:hAnsi="Times New Roman"/>
          <w:color w:val="000000"/>
          <w:sz w:val="20"/>
        </w:rPr>
        <w:t xml:space="preserve"> </w:t>
      </w:r>
      <w:r>
        <w:rPr>
          <w:rFonts w:ascii="Calibri;sans-serif" w:hAnsi="Calibri;sans-serif"/>
          <w:color w:val="000000"/>
          <w:sz w:val="20"/>
        </w:rPr>
        <w:t>additional impairment related to the CarOffer reporting unit goodwill.</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changes in the carrying value of goodwill are as follows:</w:t>
      </w:r>
    </w:p>
    <w:p>
      <w:pPr>
        <w:pStyle w:val="TextBody"/>
        <w:bidi w:val="0"/>
        <w:jc w:val="both"/>
        <w:rPr/>
      </w:pPr>
      <w:r>
        <w:rPr/>
        <w:t> </w:t>
      </w:r>
    </w:p>
    <w:tbl>
      <w:tblPr>
        <w:tblW w:w="9688" w:type="dxa"/>
        <w:jc w:val="left"/>
        <w:tblInd w:w="0" w:type="dxa"/>
        <w:tblLayout w:type="fixed"/>
        <w:tblCellMar>
          <w:top w:w="28" w:type="dxa"/>
          <w:left w:w="28" w:type="dxa"/>
          <w:bottom w:w="28" w:type="dxa"/>
          <w:right w:w="28" w:type="dxa"/>
        </w:tblCellMar>
      </w:tblPr>
      <w:tblGrid>
        <w:gridCol w:w="3486"/>
        <w:gridCol w:w="346"/>
        <w:gridCol w:w="306"/>
        <w:gridCol w:w="984"/>
        <w:gridCol w:w="146"/>
        <w:gridCol w:w="146"/>
        <w:gridCol w:w="264"/>
        <w:gridCol w:w="1056"/>
        <w:gridCol w:w="166"/>
        <w:gridCol w:w="146"/>
        <w:gridCol w:w="211"/>
        <w:gridCol w:w="676"/>
        <w:gridCol w:w="146"/>
        <w:gridCol w:w="146"/>
        <w:gridCol w:w="211"/>
        <w:gridCol w:w="841"/>
        <w:gridCol w:w="411"/>
      </w:tblGrid>
      <w:tr>
        <w:trPr/>
        <w:tc>
          <w:tcPr>
            <w:tcW w:w="3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Digital Wholesale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as of December 31, 2023</w:t>
            </w:r>
          </w:p>
        </w:tc>
        <w:tc>
          <w:tcPr>
            <w:tcW w:w="3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130,451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157,898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Impairment of goodwill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(115,206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(115,206</w:t>
            </w:r>
          </w:p>
        </w:tc>
        <w:tc>
          <w:tcPr>
            <w:tcW w:w="41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486" w:type="dxa"/>
            <w:tcBorders/>
            <w:shd w:fill="CFF0FC" w:val="clear"/>
            <w:vAlign w:val="center"/>
          </w:tcPr>
          <w:p>
            <w:pPr>
              <w:pStyle w:val="TableContents"/>
              <w:bidi w:val="0"/>
              <w:spacing w:before="0" w:after="283"/>
              <w:ind w:left="0" w:right="0" w:firstLine="200"/>
              <w:jc w:val="left"/>
              <w:rPr>
                <w:rFonts w:ascii="Times New Roman" w:hAnsi="Times New Roman"/>
                <w:sz w:val="20"/>
              </w:rPr>
            </w:pPr>
            <w:r>
              <w:rPr>
                <w:rFonts w:ascii="Calibri;sans-serif" w:hAnsi="Calibri;sans-serif"/>
                <w:color w:val="000000"/>
                <w:sz w:val="20"/>
              </w:rPr>
              <w:t xml:space="preserve">Other </w:t>
            </w:r>
            <w:r>
              <w:rPr>
                <w:rFonts w:ascii="Calibri;sans-serif" w:hAnsi="Calibri;sans-serif"/>
                <w:color w:val="000000"/>
                <w:sz w:val="13"/>
              </w:rPr>
              <w:t>(1)</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Foreign currency translation adjustment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as of September 30, 2024</w:t>
            </w:r>
          </w:p>
        </w:tc>
        <w:tc>
          <w:tcPr>
            <w:tcW w:w="346"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47,220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sz w:val="20"/>
        </w:rPr>
      </w:pPr>
      <w:r>
        <w:rPr>
          <w:rFonts w:ascii="Calibri;sans-serif" w:hAnsi="Calibri;sans-serif"/>
          <w:color w:val="000000"/>
          <w:sz w:val="13"/>
        </w:rPr>
        <w:t>As of September 30, 2024, the Company recognized an immaterial adjustment to goodwill and additional paid-in-capital,</w:t>
      </w:r>
      <w:r>
        <w:rPr>
          <w:rFonts w:ascii="Calibri;sans-serif" w:hAnsi="Calibri;sans-serif"/>
          <w:color w:val="000000"/>
          <w:sz w:val="20"/>
        </w:rPr>
        <w:t xml:space="preserve"> </w:t>
      </w:r>
      <w:r>
        <w:rPr>
          <w:rFonts w:ascii="Calibri;sans-serif" w:hAnsi="Calibri;sans-serif"/>
          <w:color w:val="000000"/>
          <w:sz w:val="13"/>
        </w:rPr>
        <w:t>associated with the acquisitions of its equity interests in CarOffer.</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the accumulated impairment losses of goodwill were $115,206. As of December 31, 2023, there were no</w:t>
      </w:r>
      <w:r>
        <w:rPr>
          <w:rFonts w:ascii="Times New Roman" w:hAnsi="Times New Roman"/>
          <w:color w:val="000000"/>
          <w:sz w:val="20"/>
        </w:rPr>
        <w:t xml:space="preserve"> </w:t>
      </w:r>
      <w:r>
        <w:rPr>
          <w:rFonts w:ascii="Calibri;sans-serif" w:hAnsi="Calibri;sans-serif"/>
          <w:color w:val="000000"/>
          <w:sz w:val="20"/>
        </w:rPr>
        <w:t>accumulated impairment losses of goodwill.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CG Buy Online Impairment</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2024, the Company decided to end its CG Buy Online pilot in order to redirect those resources toward other investment opportunities, including continued product innovation and development across the business. The CG Buy Online pilot was one of the initiatives that allowed consumers to purchase vehicles online. The pilot ended on October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This was identified as a triggering event for long-lived asset impairment testing under ASC 360. Other long-lived assets are tested for impairment at the asset group level, and the Company identified the asset group as the CG Buy Online Pilot assets, which represents the lowest level for which identifiable cash flows are largely independent of the cash flows of other groups of assets and liabilities. These assets were included in the CG Buy Online reporting unit. As the asset group did not pass the step one recoverability test on an undiscounted cash flow basis, the Company then compared the fair value of the asset group to its carrying value. As the Company has decided to end this pilot, the estimated future cash flows, and related fair value are both $0. There is no</w:t>
      </w:r>
      <w:r>
        <w:rPr>
          <w:rFonts w:ascii="Times New Roman" w:hAnsi="Times New Roman"/>
          <w:color w:val="000000"/>
          <w:sz w:val="20"/>
        </w:rPr>
        <w:t xml:space="preserve"> </w:t>
      </w:r>
      <w:r>
        <w:rPr>
          <w:rFonts w:ascii="Calibri;sans-serif" w:hAnsi="Calibri;sans-serif"/>
          <w:color w:val="000000"/>
          <w:sz w:val="20"/>
        </w:rPr>
        <w:t>goodwill associated with this asset group.</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2024, the Company impaired $15,583</w:t>
      </w:r>
      <w:r>
        <w:rPr>
          <w:rFonts w:ascii="Times New Roman" w:hAnsi="Times New Roman"/>
          <w:color w:val="000000"/>
          <w:sz w:val="20"/>
        </w:rPr>
        <w:t xml:space="preserve"> </w:t>
      </w:r>
      <w:r>
        <w:rPr>
          <w:rFonts w:ascii="Calibri;sans-serif" w:hAnsi="Calibri;sans-serif"/>
          <w:color w:val="000000"/>
          <w:sz w:val="20"/>
        </w:rPr>
        <w:t>and $219</w:t>
      </w:r>
      <w:r>
        <w:rPr>
          <w:rFonts w:ascii="Times New Roman" w:hAnsi="Times New Roman"/>
          <w:color w:val="000000"/>
          <w:sz w:val="20"/>
        </w:rPr>
        <w:t xml:space="preserve"> </w:t>
      </w:r>
      <w:r>
        <w:rPr>
          <w:rFonts w:ascii="Calibri;sans-serif" w:hAnsi="Calibri;sans-serif"/>
          <w:color w:val="000000"/>
          <w:sz w:val="20"/>
        </w:rPr>
        <w:t>of Digital Wholesale segment capitalized website development costs and furniture and fixtures, respectively, within property and equipment, net in the Unaudited Condensed Consolidated Balance Sheets. Additionally, the Company impaired $527</w:t>
      </w:r>
      <w:r>
        <w:rPr>
          <w:rFonts w:ascii="Times New Roman" w:hAnsi="Times New Roman"/>
          <w:color w:val="000000"/>
          <w:sz w:val="20"/>
        </w:rPr>
        <w:t xml:space="preserve"> </w:t>
      </w:r>
      <w:r>
        <w:rPr>
          <w:rFonts w:ascii="Calibri;sans-serif" w:hAnsi="Calibri;sans-serif"/>
          <w:color w:val="000000"/>
          <w:sz w:val="20"/>
        </w:rPr>
        <w:t>and $447</w:t>
      </w:r>
      <w:r>
        <w:rPr>
          <w:rFonts w:ascii="Times New Roman" w:hAnsi="Times New Roman"/>
          <w:color w:val="000000"/>
          <w:sz w:val="20"/>
        </w:rPr>
        <w:t xml:space="preserve"> </w:t>
      </w:r>
      <w:r>
        <w:rPr>
          <w:rFonts w:ascii="Calibri;sans-serif" w:hAnsi="Calibri;sans-serif"/>
          <w:color w:val="000000"/>
          <w:sz w:val="20"/>
        </w:rPr>
        <w:t>of capitalized hosting arrangements within prepaid expenses, prepaid income taxes and other current assets, and other non-current assets, respectively, in the Unaudited Condensed Consolidated Balance Sheets. These costs were included in the CG Buy Online reporting unit. There is an immaterial remaining balance of these assets, that amortized until the end of the pilot on October 31, 2024.</w:t>
      </w:r>
    </w:p>
    <w:p>
      <w:pPr>
        <w:pStyle w:val="TextBody"/>
        <w:bidi w:val="0"/>
        <w:spacing w:before="240" w:after="283"/>
        <w:jc w:val="both"/>
        <w:rPr>
          <w:rFonts w:ascii="Times New Roman" w:hAnsi="Times New Roman"/>
          <w:sz w:val="20"/>
        </w:rPr>
      </w:pPr>
      <w:r>
        <w:rPr>
          <w:rFonts w:ascii="Calibri;sans-serif" w:hAnsi="Calibri;sans-serif"/>
          <w:color w:val="000000"/>
          <w:sz w:val="20"/>
        </w:rPr>
        <w:t>For both the three and nine months ended September 30, 2024, the Company recognized $9,750</w:t>
      </w:r>
      <w:r>
        <w:rPr>
          <w:rFonts w:ascii="Times New Roman" w:hAnsi="Times New Roman"/>
          <w:color w:val="000000"/>
          <w:sz w:val="20"/>
        </w:rPr>
        <w:t xml:space="preserve"> </w:t>
      </w:r>
      <w:r>
        <w:rPr>
          <w:rFonts w:ascii="Calibri;sans-serif" w:hAnsi="Calibri;sans-serif"/>
          <w:color w:val="000000"/>
          <w:sz w:val="20"/>
        </w:rPr>
        <w:t>and $7,026</w:t>
      </w:r>
      <w:r>
        <w:rPr>
          <w:rFonts w:ascii="Times New Roman" w:hAnsi="Times New Roman"/>
          <w:color w:val="000000"/>
          <w:sz w:val="20"/>
        </w:rPr>
        <w:t xml:space="preserve"> </w:t>
      </w:r>
      <w:r>
        <w:rPr>
          <w:rFonts w:ascii="Calibri;sans-serif" w:hAnsi="Calibri;sans-serif"/>
          <w:color w:val="000000"/>
          <w:sz w:val="20"/>
        </w:rPr>
        <w:t>of Digital Wholesale segment impairment charges, related to the CG Buy Online pilot, as wholesale cost of revenue and goodwill and other asset impairment operating expense, respectively, in the Unaudited Condensed Consolidated Income Statement.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the nine months ended September 30, 2024, the Company recognized $16,766</w:t>
      </w:r>
      <w:r>
        <w:rPr>
          <w:rFonts w:ascii="Times New Roman" w:hAnsi="Times New Roman"/>
          <w:color w:val="000000"/>
          <w:sz w:val="20"/>
        </w:rPr>
        <w:t xml:space="preserve"> </w:t>
      </w:r>
      <w:r>
        <w:rPr>
          <w:rFonts w:ascii="Calibri;sans-serif" w:hAnsi="Calibri;sans-serif"/>
          <w:color w:val="000000"/>
          <w:sz w:val="20"/>
        </w:rPr>
        <w:t>of Digital Wholesale segment impairment charges as goodwill and other asset impairment adjustment to reconcile net income to net cash in the Unaudited Condensed Consolidated Statements of Cash Flows.</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7. Accrued Expenses, Accrued Income Taxes, and Other Current Liabilities</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accrued expenses, accrued income taxes, and other current liabilities consist of the following:</w:t>
      </w:r>
      <w:r>
        <w:rPr>
          <w:rFonts w:ascii="Times New Roman" w:hAnsi="Times New Roman"/>
          <w:color w:val="000000"/>
          <w:sz w:val="20"/>
        </w:rPr>
        <w:t xml:space="preserve"> </w:t>
      </w:r>
    </w:p>
    <w:p>
      <w:pPr>
        <w:pStyle w:val="TextBody"/>
        <w:bidi w:val="0"/>
        <w:jc w:val="both"/>
        <w:rPr/>
      </w:pPr>
      <w:r>
        <w:rPr/>
        <w:t> </w:t>
      </w:r>
    </w:p>
    <w:tbl>
      <w:tblPr>
        <w:tblW w:w="9180" w:type="dxa"/>
        <w:jc w:val="left"/>
        <w:tblInd w:w="0" w:type="dxa"/>
        <w:tblLayout w:type="fixed"/>
        <w:tblCellMar>
          <w:top w:w="28" w:type="dxa"/>
          <w:left w:w="28" w:type="dxa"/>
          <w:bottom w:w="28" w:type="dxa"/>
          <w:right w:w="28" w:type="dxa"/>
        </w:tblCellMar>
      </w:tblPr>
      <w:tblGrid>
        <w:gridCol w:w="6016"/>
        <w:gridCol w:w="146"/>
        <w:gridCol w:w="271"/>
        <w:gridCol w:w="869"/>
        <w:gridCol w:w="146"/>
        <w:gridCol w:w="146"/>
        <w:gridCol w:w="260"/>
        <w:gridCol w:w="835"/>
        <w:gridCol w:w="49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bonus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15,247</w:t>
            </w:r>
          </w:p>
        </w:tc>
        <w:tc>
          <w:tcPr>
            <w:tcW w:w="491" w:type="dxa"/>
            <w:tcBorders/>
            <w:shd w:fill="CFF0FC" w:val="clear"/>
            <w:vAlign w:val="center"/>
          </w:tcPr>
          <w:p>
            <w:pPr>
              <w:pStyle w:val="TableContents"/>
              <w:bidi w:val="0"/>
              <w:spacing w:before="0" w:after="283"/>
              <w:jc w:val="left"/>
              <w:rPr/>
            </w:pPr>
            <w:r>
              <w:rPr/>
              <w:t> </w:t>
            </w:r>
          </w:p>
        </w:tc>
      </w:tr>
      <w:tr>
        <w:trPr/>
        <w:tc>
          <w:tcPr>
            <w:tcW w:w="601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accrued expenses, accrued income taxes, and other current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18,471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16"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33,718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The decrease of $3,562</w:t>
      </w:r>
      <w:r>
        <w:rPr>
          <w:rFonts w:ascii="Times New Roman" w:hAnsi="Times New Roman"/>
          <w:color w:val="000000"/>
          <w:sz w:val="20"/>
        </w:rPr>
        <w:t xml:space="preserve"> </w:t>
      </w:r>
      <w:r>
        <w:rPr>
          <w:rFonts w:ascii="Calibri;sans-serif" w:hAnsi="Calibri;sans-serif"/>
          <w:color w:val="000000"/>
          <w:sz w:val="20"/>
        </w:rPr>
        <w:t>in accrued bonus was due primarily to the midyear payout of the fiscal year 2024 bonuses in third quarter of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8. Debt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the Company had no</w:t>
      </w:r>
      <w:r>
        <w:rPr>
          <w:rFonts w:ascii="Times New Roman" w:hAnsi="Times New Roman"/>
          <w:color w:val="000000"/>
          <w:sz w:val="20"/>
        </w:rPr>
        <w:t xml:space="preserve"> </w:t>
      </w:r>
      <w:r>
        <w:rPr>
          <w:rFonts w:ascii="Calibri;sans-serif" w:hAnsi="Calibri;sans-serif"/>
          <w:color w:val="000000"/>
          <w:sz w:val="20"/>
        </w:rPr>
        <w:t>long-term debt outstanding.</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Revolving Credit Facility</w:t>
      </w:r>
    </w:p>
    <w:p>
      <w:pPr>
        <w:pStyle w:val="TextBody"/>
        <w:bidi w:val="0"/>
        <w:spacing w:before="240" w:after="283"/>
        <w:jc w:val="both"/>
        <w:rPr>
          <w:rFonts w:ascii="Times New Roman" w:hAnsi="Times New Roman"/>
          <w:sz w:val="20"/>
        </w:rPr>
      </w:pPr>
      <w:r>
        <w:rPr>
          <w:rFonts w:ascii="Calibri;sans-serif" w:hAnsi="Calibri;sans-serif"/>
          <w:color w:val="000000"/>
          <w:sz w:val="20"/>
        </w:rPr>
        <w:t>On September 26, 2022, the Company entered into a Credit Agreement (the “Credit Agreement”) with PNC Bank, National Association, as administrative agent and collateral agent and an L/C Issuer (as defined in the Credit Agreement), and the other lenders, L/C Issuers, and parties thereto from time to time. The Credit Agreement consists of a revolving credit facility (the “2022 Revolver”), which allows the Company to borrow up to $400.0</w:t>
      </w:r>
      <w:r>
        <w:rPr>
          <w:rFonts w:ascii="Times New Roman" w:hAnsi="Times New Roman"/>
          <w:color w:val="000000"/>
          <w:sz w:val="20"/>
        </w:rPr>
        <w:t xml:space="preserve"> </w:t>
      </w:r>
      <w:r>
        <w:rPr>
          <w:rFonts w:ascii="Calibri;sans-serif" w:hAnsi="Calibri;sans-serif"/>
          <w:color w:val="000000"/>
          <w:sz w:val="20"/>
        </w:rPr>
        <w:t>million, $50.0</w:t>
      </w:r>
      <w:r>
        <w:rPr>
          <w:rFonts w:ascii="Times New Roman" w:hAnsi="Times New Roman"/>
          <w:color w:val="000000"/>
          <w:sz w:val="20"/>
        </w:rPr>
        <w:t xml:space="preserve"> </w:t>
      </w:r>
      <w:r>
        <w:rPr>
          <w:rFonts w:ascii="Calibri;sans-serif" w:hAnsi="Calibri;sans-serif"/>
          <w:color w:val="000000"/>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Times New Roman" w:hAnsi="Times New Roman"/>
          <w:color w:val="000000"/>
          <w:sz w:val="20"/>
        </w:rPr>
        <w:t xml:space="preserve"> </w:t>
      </w:r>
      <w:r>
        <w:rPr>
          <w:rFonts w:ascii="Calibri;sans-serif" w:hAnsi="Calibri;sans-serif"/>
          <w:color w:val="000000"/>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September 30, 2024.</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there were no</w:t>
      </w:r>
      <w:r>
        <w:rPr>
          <w:rFonts w:ascii="Times New Roman" w:hAnsi="Times New Roman"/>
          <w:color w:val="000000"/>
          <w:sz w:val="20"/>
        </w:rPr>
        <w:t xml:space="preserve"> </w:t>
      </w:r>
      <w:r>
        <w:rPr>
          <w:rFonts w:ascii="Calibri;sans-serif" w:hAnsi="Calibri;sans-serif"/>
          <w:color w:val="000000"/>
          <w:sz w:val="20"/>
        </w:rPr>
        <w:t>borrowings and $9,907</w:t>
      </w:r>
      <w:r>
        <w:rPr>
          <w:rFonts w:ascii="Times New Roman" w:hAnsi="Times New Roman"/>
          <w:color w:val="000000"/>
          <w:sz w:val="20"/>
        </w:rPr>
        <w:t xml:space="preserve"> </w:t>
      </w:r>
      <w:r>
        <w:rPr>
          <w:rFonts w:ascii="Calibri;sans-serif" w:hAnsi="Calibri;sans-serif"/>
          <w:color w:val="000000"/>
          <w:sz w:val="20"/>
        </w:rPr>
        <w:t>in letters of credit outstanding under the 2022 Revolver associated with the Company's leases, which reduced the borrowing capacity under the 2022 Revolver to $390,093. As of December 31, 2023, there were no</w:t>
      </w:r>
      <w:r>
        <w:rPr>
          <w:rFonts w:ascii="Times New Roman" w:hAnsi="Times New Roman"/>
          <w:color w:val="000000"/>
          <w:sz w:val="20"/>
        </w:rPr>
        <w:t xml:space="preserve"> </w:t>
      </w:r>
      <w:r>
        <w:rPr>
          <w:rFonts w:ascii="Calibri;sans-serif" w:hAnsi="Calibri;sans-serif"/>
          <w:color w:val="000000"/>
          <w:sz w:val="20"/>
        </w:rPr>
        <w:t>borrowings and $9,627</w:t>
      </w:r>
      <w:r>
        <w:rPr>
          <w:rFonts w:ascii="Times New Roman" w:hAnsi="Times New Roman"/>
          <w:color w:val="000000"/>
          <w:sz w:val="20"/>
        </w:rPr>
        <w:t xml:space="preserve"> </w:t>
      </w:r>
      <w:r>
        <w:rPr>
          <w:rFonts w:ascii="Calibri;sans-serif" w:hAnsi="Calibri;sans-serif"/>
          <w:color w:val="000000"/>
          <w:sz w:val="20"/>
        </w:rPr>
        <w:t>in letters of credit outstanding under the 2022 Revolver, which reduced the borrowing capacity under the 2022 Revolver to $390,373.</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deferred financing costs were $1,540</w:t>
      </w:r>
      <w:r>
        <w:rPr>
          <w:rFonts w:ascii="Times New Roman" w:hAnsi="Times New Roman"/>
          <w:color w:val="000000"/>
          <w:sz w:val="20"/>
        </w:rPr>
        <w:t xml:space="preserve"> </w:t>
      </w:r>
      <w:r>
        <w:rPr>
          <w:rFonts w:ascii="Calibri;sans-serif" w:hAnsi="Calibri;sans-serif"/>
          <w:color w:val="000000"/>
          <w:sz w:val="20"/>
        </w:rPr>
        <w:t>and $1,927, respectively.</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amortization expense associated with deferred financing costs was immaterial.</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and 2023 and for the nine months ended September 30, 2024 and 2023, commitment fees under the 2022 Revolver were immaterial.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9. Commitments and Contingencies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all of the Company’s property and equipment and hosting arrangements have been purchased with cash with the exception of unpaid amounts as disclosed in the Unaudited Condensed Consolidated Statements of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In connection with the Company’s operating lease agreement in Boston, Massachusetts for 225,428</w:t>
      </w:r>
      <w:r>
        <w:rPr>
          <w:rFonts w:ascii="Times New Roman" w:hAnsi="Times New Roman"/>
          <w:color w:val="000000"/>
          <w:sz w:val="20"/>
        </w:rPr>
        <w:t xml:space="preserve"> </w:t>
      </w:r>
      <w:r>
        <w:rPr>
          <w:rFonts w:ascii="Calibri;sans-serif" w:hAnsi="Calibri;sans-serif"/>
          <w:color w:val="000000"/>
          <w:sz w:val="20"/>
        </w:rPr>
        <w:t>square feet at 1001 Boylston Street (the “1001 Boylston Street Lease"), the Company expects to incur an additional $5,580</w:t>
      </w:r>
      <w:r>
        <w:rPr>
          <w:rFonts w:ascii="Times New Roman" w:hAnsi="Times New Roman"/>
          <w:color w:val="000000"/>
          <w:sz w:val="20"/>
        </w:rPr>
        <w:t xml:space="preserve"> </w:t>
      </w:r>
      <w:r>
        <w:rPr>
          <w:rFonts w:ascii="Calibri;sans-serif" w:hAnsi="Calibri;sans-serif"/>
          <w:color w:val="000000"/>
          <w:sz w:val="20"/>
        </w:rPr>
        <w:t>of costs to complete its buildout, of which $4,581</w:t>
      </w:r>
      <w:r>
        <w:rPr>
          <w:rFonts w:ascii="Times New Roman" w:hAnsi="Times New Roman"/>
          <w:color w:val="000000"/>
          <w:sz w:val="20"/>
        </w:rPr>
        <w:t xml:space="preserve"> </w:t>
      </w:r>
      <w:r>
        <w:rPr>
          <w:rFonts w:ascii="Calibri;sans-serif" w:hAnsi="Calibri;sans-serif"/>
          <w:color w:val="000000"/>
          <w:sz w:val="20"/>
        </w:rPr>
        <w:t>has been committed but not incurred as of September 30, 2024. The Company expects the future costs to complete the buildout to be less than the remaining tenant improvement allowance.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Leases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Company’s material lease obligations consist of various leases for office space in: Boston, Massachusetts; Cambridge, Massachusetts; Addison, Texas; and Dublin, Ireland.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there were no material changes in the Company’s leases from those disclosed in the Annual Report, other than those described below.</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Addison, Texas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three months ended June 30, 2024, the Company identified an impairment of right-of-use assets associated with its Addison, Texas lease. For further information on goodwill and other asset impairments, see Note 6 of the Unaudited Condensed Consolidated Financial Statements.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1001 Boylston Street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three months ended September 30, 2024, the Company began occupying 1001 Boylston Street. As of September 30, 2024, all assets associated with the 1001 Boylston Street lease were placed into service.</w:t>
      </w:r>
    </w:p>
    <w:p>
      <w:pPr>
        <w:pStyle w:val="TextBody"/>
        <w:bidi w:val="0"/>
        <w:spacing w:before="240" w:after="283"/>
        <w:jc w:val="both"/>
        <w:rPr>
          <w:rFonts w:ascii="Times New Roman" w:hAnsi="Times New Roman"/>
          <w:sz w:val="20"/>
        </w:rPr>
      </w:pPr>
      <w:r>
        <w:rPr>
          <w:rFonts w:ascii="Calibri;sans-serif" w:hAnsi="Calibri;sans-serif"/>
          <w:color w:val="000000"/>
          <w:sz w:val="20"/>
        </w:rPr>
        <w:t>On April 12, 2024 and May 3, 2024, the Company entered into various change orders regarding the 1001 Boylston Street Lease and related buildout. The change orders modify the responsibilities outlined in the 1001 Boylston Street Lease and reallocate the responsibility of certain buildout costs from the landlord to the Company. The costs related to this work are reimbursable by the landlord, effectively increasing the tenant improvement allowance from the 1001 Boylston Street Lease by $456. The Company accounted for these change orders as a remeasurement of the 1001 Boylston Street Lease, using an incremental borrowing rate as of the modification date, May 3, 2024. The lease remeasurement resulted in a decrease in the lease liability and right-of-use asset on the Unaudited Condensed Consolidated Balance Sheets of $1,493. There was not a material impact on the Unaudited Condensed Consolidated Income Statement or future minimum lease payments.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On March 19, 2024, the Company entered into a letter agreement regarding the 1001 Boylston Street Lease (the "2024 Letter Agreement"). The 2024 Letter Agreement memorializes the Substantial Completion Date, Commencement Date, Fixed Rent Commencement Date (as each term is defined in the 1001 Boylston Street Lease), and the rental credits and holdover compensation owed to the Company per the 1001 Boylston Street Lease. The 2024 Letter Agreement also modifies the parking privileges and payments, which commenced on June 1, 2024, and provides reimbursement from the landlord to the Company for additional unexpected costs incurred. The Company accounted for the 2024 Letter Agreement as a remeasurement of the 1001 Boylston Street Lease, using an incremental borrowing rate as of the modification date, March 19, 2024. The lease remeasurement resulted in a decrease in the lease liability and right-of-use asset on the Unaudited Condensed Consolidated Balance Sheets of $3,536. There was not a material impact on the Unaudited Condensed Consolidated Income Statement or future minimum lease payments.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Restricted Cash</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restricted cash was $3,993</w:t>
      </w:r>
      <w:r>
        <w:rPr>
          <w:rFonts w:ascii="Times New Roman" w:hAnsi="Times New Roman"/>
          <w:color w:val="000000"/>
          <w:sz w:val="20"/>
        </w:rPr>
        <w:t xml:space="preserve"> </w:t>
      </w:r>
      <w:r>
        <w:rPr>
          <w:rFonts w:ascii="Calibri;sans-serif" w:hAnsi="Calibri;sans-serif"/>
          <w:color w:val="000000"/>
          <w:sz w:val="20"/>
        </w:rPr>
        <w:t>and $2,563, respectively, and in each case related to pass-through payments from customers related to the Company’s Digital Wholesale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Legal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Guarantees and Indemnification Obligations</w:t>
      </w:r>
    </w:p>
    <w:p>
      <w:pPr>
        <w:pStyle w:val="TextBody"/>
        <w:bidi w:val="0"/>
        <w:spacing w:before="240" w:after="283"/>
        <w:jc w:val="both"/>
        <w:rPr>
          <w:rFonts w:ascii="Times New Roman" w:hAnsi="Times New Roman"/>
          <w:sz w:val="20"/>
        </w:rPr>
      </w:pPr>
      <w:r>
        <w:rPr>
          <w:rFonts w:ascii="Calibri;sans-serif" w:hAnsi="Calibri;sans-serif"/>
          <w:color w:val="000000"/>
          <w:sz w:val="20"/>
        </w:rPr>
        <w:t>In the ordinary course of business, the Company enters into agreements with its customers, partners, and service providers that include commercial provisions with respect to licensing, infringement, guarantees, indemnification, and other common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The Company provides certain guarantees to dealers through products such as its 45-Day Guarantee and OfferGuard service offerings on the CarOffer platform, which are accounted for under ASC Topic 460, </w:t>
      </w:r>
      <w:r>
        <w:rPr>
          <w:rFonts w:ascii="Calibri;sans-serif" w:hAnsi="Calibri;sans-serif"/>
          <w:i/>
          <w:color w:val="000000"/>
          <w:sz w:val="20"/>
        </w:rPr>
        <w:t>Guarantees</w:t>
      </w:r>
      <w:r>
        <w:rPr>
          <w:rFonts w:ascii="Calibri;sans-serif" w:hAnsi="Calibri;sans-serif"/>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income for guarantees purchased by dealers was $118, $348, $481, and $1,508, respectively. For the three months ended September 30, 2024 and 2023 and for the nine months ended September 30, 2024 and 2023, the net gains or losses recognized within cost of revenue in the Unaudited Condensed Consolidated Income Statements resulting from dealers' exercise of guarantees was immaterial.</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the maximum potential amount of future payments that the Company could be required to make under these guarantees was $3,780. Of the maximum potential amount of future payments, the losses that were probable were not material. As such, as of September 30, 2024, the Company had no material contingent loss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December 31, 2023, the maximum potential amount of future payments that the Company could be required to make under these guarantees was $10,158. Of the maximum potential amount of future payments, the losses that were probable were not material. As such, as of December 31, 2023, the Company had no material contingent loss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10. Stock-based Compensation and Common Stock Share Repurchases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Stock-based Compensation Expense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stock-based compensation expense by award type and where the stock-based compensation expense was recognized in the Unaudited Condensed Consolidated Income Statements is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62"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676"/>
        <w:gridCol w:w="166"/>
        <w:gridCol w:w="146"/>
        <w:gridCol w:w="211"/>
        <w:gridCol w:w="676"/>
        <w:gridCol w:w="146"/>
        <w:gridCol w:w="146"/>
        <w:gridCol w:w="211"/>
        <w:gridCol w:w="676"/>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1,795</w:t>
            </w:r>
          </w:p>
        </w:tc>
        <w:tc>
          <w:tcPr>
            <w:tcW w:w="3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13,672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42,047</w:t>
            </w:r>
          </w:p>
        </w:tc>
        <w:tc>
          <w:tcPr>
            <w:tcW w:w="3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CO Incentive Units and Subject Units </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15,455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43,842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(1) As each term is defined in Note 2 to the consolidated financial statements contained within the Annual Report.</w:t>
      </w:r>
    </w:p>
    <w:p>
      <w:pPr>
        <w:pStyle w:val="TextBody"/>
        <w:bidi w:val="0"/>
        <w:jc w:val="both"/>
        <w:rPr/>
      </w:pPr>
      <w:r>
        <w:rPr/>
        <w:t> </w:t>
      </w:r>
    </w:p>
    <w:tbl>
      <w:tblPr>
        <w:tblW w:w="8832" w:type="dxa"/>
        <w:jc w:val="left"/>
        <w:tblInd w:w="0" w:type="dxa"/>
        <w:tblLayout w:type="fixed"/>
        <w:tblCellMar>
          <w:top w:w="28" w:type="dxa"/>
          <w:left w:w="28" w:type="dxa"/>
          <w:bottom w:w="28" w:type="dxa"/>
          <w:right w:w="28" w:type="dxa"/>
        </w:tblCellMar>
      </w:tblPr>
      <w:tblGrid>
        <w:gridCol w:w="3871"/>
        <w:gridCol w:w="146"/>
        <w:gridCol w:w="211"/>
        <w:gridCol w:w="676"/>
        <w:gridCol w:w="146"/>
        <w:gridCol w:w="146"/>
        <w:gridCol w:w="211"/>
        <w:gridCol w:w="676"/>
        <w:gridCol w:w="146"/>
        <w:gridCol w:w="146"/>
        <w:gridCol w:w="211"/>
        <w:gridCol w:w="676"/>
        <w:gridCol w:w="146"/>
        <w:gridCol w:w="146"/>
        <w:gridCol w:w="211"/>
        <w:gridCol w:w="67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513</w:t>
            </w:r>
          </w:p>
        </w:tc>
        <w:tc>
          <w:tcPr>
            <w:tcW w:w="3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Sales and marketing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8,736</w:t>
            </w:r>
          </w:p>
        </w:tc>
        <w:tc>
          <w:tcPr>
            <w:tcW w:w="3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technology,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18,068</w:t>
            </w:r>
          </w:p>
        </w:tc>
        <w:tc>
          <w:tcPr>
            <w:tcW w:w="3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43,842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and 2023 and for the nine months ended September 30, 2024 and 2023, stock-based compensation expense excluded $1,539, $1,406, $5,227, and $3,843, respectively, of capitalized website development costs, capitalized internal-use software costs, and capitalized hosting arrangements.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Common Stock Share Repurchases</w:t>
      </w:r>
    </w:p>
    <w:p>
      <w:pPr>
        <w:pStyle w:val="TextBody"/>
        <w:bidi w:val="0"/>
        <w:spacing w:before="240" w:after="283"/>
        <w:jc w:val="both"/>
        <w:rPr>
          <w:rFonts w:ascii="Times New Roman" w:hAnsi="Times New Roman"/>
          <w:sz w:val="20"/>
        </w:rPr>
      </w:pPr>
      <w:r>
        <w:rPr>
          <w:rFonts w:ascii="Calibri;sans-serif" w:hAnsi="Calibri;sans-serif"/>
          <w:color w:val="000000"/>
          <w:sz w:val="20"/>
        </w:rPr>
        <w:t>On November 7, 2023, the Company announced that the Board of Directors authorized a share repurchase program (the "2024 Share Repurchase Program") pursuant to which the Company may, from time to time, purchase shares of its Class A common stock for an aggregate purchase price not to exceed $250.0</w:t>
      </w:r>
      <w:r>
        <w:rPr>
          <w:rFonts w:ascii="Times New Roman" w:hAnsi="Times New Roman"/>
          <w:color w:val="000000"/>
          <w:sz w:val="20"/>
        </w:rPr>
        <w:t xml:space="preserve"> </w:t>
      </w:r>
      <w:r>
        <w:rPr>
          <w:rFonts w:ascii="Calibri;sans-serif" w:hAnsi="Calibri;sans-serif"/>
          <w:color w:val="000000"/>
          <w:sz w:val="20"/>
        </w:rPr>
        <w:t>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"Exchange Act"). The 2024 Share Repurchase Program does not obligate the Company to repurchase any minimum dollar amount or number of shares. The 2024 Share Repurchase Program has an effective date of January 1, 2024, and an expiration date of December 31, 2024, and prior to its expiration may be modified, suspended, or discontinued by the Board of Directors at any time without prior notice. All repurchased shares of Class A common stock under the 2024 Share Repurchase Program will be retired. The Company has funded and expects to continue to fund any additional share repurchases under the 2024 Share Repurchase Program through cash on hand and cash generated from operations.</w:t>
      </w:r>
    </w:p>
    <w:p>
      <w:pPr>
        <w:pStyle w:val="TextBody"/>
        <w:bidi w:val="0"/>
        <w:spacing w:before="240" w:after="283"/>
        <w:jc w:val="both"/>
        <w:rPr>
          <w:rFonts w:ascii="Times New Roman" w:hAnsi="Times New Roman"/>
          <w:sz w:val="20"/>
        </w:rPr>
      </w:pPr>
      <w:r>
        <w:rPr>
          <w:rFonts w:ascii="Calibri;sans-serif" w:hAnsi="Calibri;sans-serif"/>
          <w:color w:val="000000"/>
          <w:sz w:val="20"/>
        </w:rPr>
        <w:t>On December 8, 2022, the Company announced that the Board of Directors authorized a share repurchase program (the “2022 Share Repurchase Program”) pursuant to which the Company could, from time to time, purchase shares of its Class A common stock for an aggregate purchase price not to exceed $250.0</w:t>
      </w:r>
      <w:r>
        <w:rPr>
          <w:rFonts w:ascii="Times New Roman" w:hAnsi="Times New Roman"/>
          <w:color w:val="000000"/>
          <w:sz w:val="20"/>
        </w:rPr>
        <w:t xml:space="preserve"> </w:t>
      </w:r>
      <w:r>
        <w:rPr>
          <w:rFonts w:ascii="Calibri;sans-serif" w:hAnsi="Calibri;sans-serif"/>
          <w:color w:val="000000"/>
          <w:sz w:val="20"/>
        </w:rPr>
        <w:t>million. The 2022 Share Repurchase Program expired on December 31, 2023. The 2022 Share Repurchase Program did not obligate the Company to repurchase any minimum dollar amount or number of shares. All repurchased shares of Class A common stock under the 2022 Share Repurchase Program were retired. The Company funded share repurchases under the 2022 Share Repurchase Program through cash on hand and cash generated from operations.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On November 7, 2024, the Company announced that the Board of Directors authorized a share repurchase program with an effective date of January 1, 2025, and an expiration date of December 31, 2025. See Note 14 of these Unaudited Condensed Consolidated Financial Statements for additional information.</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2024, the Company repurchased and retired 164,301</w:t>
      </w:r>
      <w:r>
        <w:rPr>
          <w:rFonts w:ascii="Times New Roman" w:hAnsi="Times New Roman"/>
          <w:color w:val="000000"/>
          <w:sz w:val="20"/>
        </w:rPr>
        <w:t xml:space="preserve"> </w:t>
      </w:r>
      <w:r>
        <w:rPr>
          <w:rFonts w:ascii="Calibri;sans-serif" w:hAnsi="Calibri;sans-serif"/>
          <w:color w:val="000000"/>
          <w:sz w:val="20"/>
        </w:rPr>
        <w:t>shares for $3,700, exclusive of commissions and excise tax, at an average cost of $22.52</w:t>
      </w:r>
      <w:r>
        <w:rPr>
          <w:rFonts w:ascii="Times New Roman" w:hAnsi="Times New Roman"/>
          <w:color w:val="000000"/>
          <w:sz w:val="20"/>
        </w:rPr>
        <w:t xml:space="preserve"> </w:t>
      </w:r>
      <w:r>
        <w:rPr>
          <w:rFonts w:ascii="Calibri;sans-serif" w:hAnsi="Calibri;sans-serif"/>
          <w:color w:val="000000"/>
          <w:sz w:val="20"/>
        </w:rPr>
        <w:t>per share, under the 2024 Share Repurchase Program. During the nine months ended September 30, 2024, the Company repurchased and retired 6,357,302</w:t>
      </w:r>
      <w:r>
        <w:rPr>
          <w:rFonts w:ascii="Times New Roman" w:hAnsi="Times New Roman"/>
          <w:color w:val="000000"/>
          <w:sz w:val="20"/>
        </w:rPr>
        <w:t xml:space="preserve"> </w:t>
      </w:r>
      <w:r>
        <w:rPr>
          <w:rFonts w:ascii="Calibri;sans-serif" w:hAnsi="Calibri;sans-serif"/>
          <w:color w:val="000000"/>
          <w:sz w:val="20"/>
        </w:rPr>
        <w:t>shares for $146,117, exclusive of commissions and excise tax, at an average cost of $22.98</w:t>
      </w:r>
      <w:r>
        <w:rPr>
          <w:rFonts w:ascii="Times New Roman" w:hAnsi="Times New Roman"/>
          <w:color w:val="000000"/>
          <w:sz w:val="20"/>
        </w:rPr>
        <w:t xml:space="preserve"> </w:t>
      </w:r>
      <w:r>
        <w:rPr>
          <w:rFonts w:ascii="Calibri;sans-serif" w:hAnsi="Calibri;sans-serif"/>
          <w:color w:val="000000"/>
          <w:sz w:val="20"/>
        </w:rPr>
        <w:t>per share, under the 2024 Share Repurchase Program. As of September 30, 2024, the Company had remaining authorization to purchase up to $103,883</w:t>
      </w:r>
      <w:r>
        <w:rPr>
          <w:rFonts w:ascii="Times New Roman" w:hAnsi="Times New Roman"/>
          <w:color w:val="000000"/>
          <w:sz w:val="20"/>
        </w:rPr>
        <w:t xml:space="preserve"> </w:t>
      </w:r>
      <w:r>
        <w:rPr>
          <w:rFonts w:ascii="Calibri;sans-serif" w:hAnsi="Calibri;sans-serif"/>
          <w:color w:val="000000"/>
          <w:sz w:val="20"/>
        </w:rPr>
        <w:t>of the Company's Class A common stock under the 2024 Share Repurchase Program.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2023, the Company repurchased and retired 956,248</w:t>
      </w:r>
      <w:r>
        <w:rPr>
          <w:rFonts w:ascii="Times New Roman" w:hAnsi="Times New Roman"/>
          <w:color w:val="000000"/>
          <w:sz w:val="20"/>
        </w:rPr>
        <w:t xml:space="preserve"> </w:t>
      </w:r>
      <w:r>
        <w:rPr>
          <w:rFonts w:ascii="Calibri;sans-serif" w:hAnsi="Calibri;sans-serif"/>
          <w:color w:val="000000"/>
          <w:sz w:val="20"/>
        </w:rPr>
        <w:t>shares for $17,115, exclusive of commissions and excise tax, at an average cost of $17.90</w:t>
      </w:r>
      <w:r>
        <w:rPr>
          <w:rFonts w:ascii="Times New Roman" w:hAnsi="Times New Roman"/>
          <w:color w:val="000000"/>
          <w:sz w:val="20"/>
        </w:rPr>
        <w:t xml:space="preserve"> </w:t>
      </w:r>
      <w:r>
        <w:rPr>
          <w:rFonts w:ascii="Calibri;sans-serif" w:hAnsi="Calibri;sans-serif"/>
          <w:color w:val="000000"/>
          <w:sz w:val="20"/>
        </w:rPr>
        <w:t>per share, under the 2022 Share Repurchase Program. During the nine months ended September 30, 2023, the Company repurchased and retired 6,257,496</w:t>
      </w:r>
      <w:r>
        <w:rPr>
          <w:rFonts w:ascii="Times New Roman" w:hAnsi="Times New Roman"/>
          <w:color w:val="000000"/>
          <w:sz w:val="20"/>
        </w:rPr>
        <w:t xml:space="preserve"> </w:t>
      </w:r>
      <w:r>
        <w:rPr>
          <w:rFonts w:ascii="Calibri;sans-serif" w:hAnsi="Calibri;sans-serif"/>
          <w:color w:val="000000"/>
          <w:sz w:val="20"/>
        </w:rPr>
        <w:t>shares for $104,234, exclusive of commissions and excise tax, at an average cost of $16.66</w:t>
      </w:r>
      <w:r>
        <w:rPr>
          <w:rFonts w:ascii="Times New Roman" w:hAnsi="Times New Roman"/>
          <w:color w:val="000000"/>
          <w:sz w:val="20"/>
        </w:rPr>
        <w:t xml:space="preserve"> </w:t>
      </w:r>
      <w:r>
        <w:rPr>
          <w:rFonts w:ascii="Calibri;sans-serif" w:hAnsi="Calibri;sans-serif"/>
          <w:color w:val="000000"/>
          <w:sz w:val="20"/>
        </w:rPr>
        <w:t>per share, under the 2022 Share Repurchase Program.</w:t>
      </w:r>
    </w:p>
    <w:p>
      <w:pPr>
        <w:pStyle w:val="TextBody"/>
        <w:bidi w:val="0"/>
        <w:spacing w:before="240" w:after="283"/>
        <w:jc w:val="left"/>
        <w:rPr>
          <w:rFonts w:ascii="Times New Roman" w:hAnsi="Times New Roman"/>
          <w:sz w:val="20"/>
        </w:rPr>
      </w:pPr>
      <w:r>
        <w:rPr>
          <w:rFonts w:ascii="Calibri;sans-serif" w:hAnsi="Calibri;sans-serif"/>
          <w:b/>
          <w:color w:val="000000"/>
          <w:sz w:val="20"/>
        </w:rPr>
        <w:t>11. Earnings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w:t>
      </w:r>
      <w:r>
        <w:rPr>
          <w:rFonts w:ascii="Times New Roman" w:hAnsi="Times New Roman"/>
          <w:color w:val="000000"/>
          <w:sz w:val="20"/>
        </w:rPr>
        <w:t xml:space="preserve"> </w:t>
      </w:r>
      <w:r>
        <w:rPr>
          <w:rFonts w:ascii="Calibri;sans-serif" w:hAnsi="Calibri;sans-serif"/>
          <w:color w:val="000000"/>
          <w:sz w:val="20"/>
        </w:rPr>
        <w:t>and each share of Class B common stock is entitled to</w:t>
      </w:r>
      <w:r>
        <w:rPr>
          <w:rFonts w:ascii="Times New Roman" w:hAnsi="Times New Roman"/>
          <w:color w:val="000000"/>
          <w:sz w:val="20"/>
        </w:rPr>
        <w:t xml:space="preserve"> </w:t>
      </w:r>
      <w:r>
        <w:rPr>
          <w:rFonts w:ascii="Calibri;sans-serif" w:hAnsi="Calibri;sans-serif"/>
          <w:color w:val="000000"/>
          <w:sz w:val="20"/>
        </w:rPr>
        <w:t>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w:t>
      </w:r>
      <w:r>
        <w:rPr>
          <w:rFonts w:ascii="Times New Roman" w:hAnsi="Times New Roman"/>
          <w:color w:val="000000"/>
          <w:sz w:val="20"/>
        </w:rPr>
        <w:t xml:space="preserve"> </w:t>
      </w:r>
      <w:r>
        <w:rPr>
          <w:rFonts w:ascii="Calibri;sans-serif" w:hAnsi="Calibri;sans-serif"/>
          <w:color w:val="000000"/>
          <w:sz w:val="20"/>
        </w:rPr>
        <w:t>The Company allocates undistributed earnings attributable to common stock between the common stock classes on a one</w:t>
        <w:noBreakHyphen/>
        <w:t>to</w:t>
        <w:noBreakHyphen/>
        <w:t>one</w:t>
      </w:r>
      <w:r>
        <w:rPr>
          <w:rFonts w:ascii="Times New Roman" w:hAnsi="Times New Roman"/>
          <w:color w:val="000000"/>
          <w:sz w:val="20"/>
        </w:rPr>
        <w:t xml:space="preserve"> </w:t>
      </w:r>
      <w:r>
        <w:rPr>
          <w:rFonts w:ascii="Calibri;sans-serif" w:hAnsi="Calibri;sans-serif"/>
          <w:color w:val="000000"/>
          <w:sz w:val="20"/>
        </w:rPr>
        <w:t>basis when computing net income per share. As a result, basic and diluted net income per share of Class A common stock and per share of Class B common stock are equivalent.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and nine months ended September 30, 2024, 241,935</w:t>
      </w:r>
      <w:r>
        <w:rPr>
          <w:rFonts w:ascii="Times New Roman" w:hAnsi="Times New Roman"/>
          <w:color w:val="000000"/>
          <w:sz w:val="20"/>
        </w:rPr>
        <w:t xml:space="preserve"> </w:t>
      </w:r>
      <w:r>
        <w:rPr>
          <w:rFonts w:ascii="Calibri;sans-serif" w:hAnsi="Calibri;sans-serif"/>
          <w:color w:val="000000"/>
          <w:sz w:val="20"/>
        </w:rPr>
        <w:t>shares of Class B common stock were converted into Class A common stock. During the three and nine months ended September 30, 2023, no</w:t>
      </w:r>
      <w:r>
        <w:rPr>
          <w:rFonts w:ascii="Times New Roman" w:hAnsi="Times New Roman"/>
          <w:color w:val="000000"/>
          <w:sz w:val="20"/>
        </w:rPr>
        <w:t xml:space="preserve"> </w:t>
      </w:r>
      <w:r>
        <w:rPr>
          <w:rFonts w:ascii="Calibri;sans-serif" w:hAnsi="Calibri;sans-serif"/>
          <w:color w:val="000000"/>
          <w:sz w:val="20"/>
        </w:rPr>
        <w:t>shares of Class B common stock were converted into Class A common stock.</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Basic net income (loss) per share (“Basic EPS”) is computed by dividing consolidated net income adjusted for net loss attributable to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both"/>
        <w:rPr>
          <w:rFonts w:ascii="Times New Roman" w:hAnsi="Times New Roman"/>
          <w:sz w:val="20"/>
        </w:rPr>
      </w:pPr>
      <w:r>
        <w:rPr>
          <w:rFonts w:ascii="Calibri;sans-serif" w:hAnsi="Calibri;sans-serif"/>
          <w:color w:val="000000"/>
          <w:sz w:val="20"/>
        </w:rPr>
        <w:t>Diluted net income (loss) per share (“Diluted EPS”) gives effect to all potentially dilutive securities. Diluted EPS is computed by dividing consolidated net income adjusted for net loss attributable to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restricted stock units. The dilutive effect of these common stock equivalents is reflected in diluted earnings per share by application of the treasury stock method. For previous periods, the if-converted method was used to calculate the number of shares issuable upon exercise of the 2024 Put Right (as defined in Note 2 to the consolidated financial statements contained within the Annual Report), inclusive of CarOffer noncontrolling interest and CO Incentive and Subject Units (as each term is defined in Note 2 to the consolidated financial statements contained within the Annual Report), that would have been issuable as of the end of the reporting period assuming the end of the reporting period was also the end of the contingency period.</w:t>
      </w:r>
      <w:r>
        <w:rPr>
          <w:rFonts w:ascii="Times New Roman" w:hAnsi="Times New Roman"/>
          <w:color w:val="FF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and 2023 and for the nine months ended September 30, 2024 and 2023, a reconciliation of the numerator and denominator used in the calculation of basic and diluted net income (loss) per share is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141"/>
        <w:gridCol w:w="146"/>
        <w:gridCol w:w="146"/>
        <w:gridCol w:w="211"/>
        <w:gridCol w:w="1141"/>
        <w:gridCol w:w="166"/>
        <w:gridCol w:w="146"/>
        <w:gridCol w:w="211"/>
        <w:gridCol w:w="1141"/>
        <w:gridCol w:w="166"/>
        <w:gridCol w:w="146"/>
        <w:gridCol w:w="211"/>
        <w:gridCol w:w="1141"/>
        <w:gridCol w:w="3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44,656</w:t>
            </w:r>
          </w:p>
        </w:tc>
        <w:tc>
          <w:tcPr>
            <w:tcW w:w="391" w:type="dxa"/>
            <w:tcBorders/>
            <w:shd w:fill="FFFFFF" w:val="clear"/>
            <w:vAlign w:val="center"/>
          </w:tcPr>
          <w:p>
            <w:pPr>
              <w:pStyle w:val="TableContents"/>
              <w:bidi w:val="0"/>
              <w:spacing w:before="0" w:after="283"/>
              <w:jc w:val="left"/>
              <w:rPr/>
            </w:pPr>
            <w:r>
              <w:rPr/>
              <w:t> </w:t>
            </w:r>
          </w:p>
        </w:tc>
      </w:tr>
      <w:tr>
        <w:trPr/>
        <w:tc>
          <w:tcPr>
            <w:tcW w:w="33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(10,191</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attributable to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22,302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54,847</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(10,191</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attributable to common stockholders — diluted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18,973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44,656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 xml:space="preserve">Weighted-average number of shares of common stock used </w:t>
              <w:br/>
              <w:t xml:space="preserve">   in computing net income (loss) per share attributable to </w:t>
              <w:br/>
              <w:t>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103,321,988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113,223,711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104,769,518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113,998,928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Dilutive effect of share equivalents resulting from stock </w:t>
              <w:br/>
              <w:t>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224,061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226,715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4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Dilutive effect of share equivalents resulting from</w:t>
              <w:br/>
              <w:t>   unvested 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1,628,426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874,507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676,093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Weighted-average number of shares of common stock </w:t>
              <w:br/>
              <w:t xml:space="preserve">   used in computing net income per share attributable to </w:t>
              <w:br/>
              <w:t>   common stockholders — diluted</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105,059,283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114,322,279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104,769,518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114,901,736</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3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and 2023 and for the nine months ended September 30, 2024 and 2023, potentially dilutive common stock equivalents that have been excluded from the calculation of diluted weighted-average shares outstanding as their effect would have been anti-dilutive are as follows:</w:t>
      </w:r>
      <w:r>
        <w:rPr>
          <w:rFonts w:ascii="Times New Roman" w:hAnsi="Times New Roman"/>
          <w:color w:val="000000"/>
          <w:sz w:val="20"/>
        </w:rPr>
        <w:t xml:space="preserve"> </w:t>
      </w:r>
    </w:p>
    <w:p>
      <w:pPr>
        <w:pStyle w:val="TextBody"/>
        <w:bidi w:val="0"/>
        <w:jc w:val="left"/>
        <w:rPr/>
      </w:pPr>
      <w:r>
        <w:rPr/>
        <w:t> </w:t>
      </w:r>
    </w:p>
    <w:tbl>
      <w:tblPr>
        <w:tblW w:w="8147" w:type="dxa"/>
        <w:jc w:val="left"/>
        <w:tblInd w:w="0" w:type="dxa"/>
        <w:tblLayout w:type="fixed"/>
        <w:tblCellMar>
          <w:top w:w="28" w:type="dxa"/>
          <w:left w:w="28" w:type="dxa"/>
          <w:bottom w:w="28" w:type="dxa"/>
          <w:right w:w="28" w:type="dxa"/>
        </w:tblCellMar>
      </w:tblPr>
      <w:tblGrid>
        <w:gridCol w:w="2776"/>
        <w:gridCol w:w="146"/>
        <w:gridCol w:w="146"/>
        <w:gridCol w:w="781"/>
        <w:gridCol w:w="146"/>
        <w:gridCol w:w="146"/>
        <w:gridCol w:w="146"/>
        <w:gridCol w:w="931"/>
        <w:gridCol w:w="146"/>
        <w:gridCol w:w="146"/>
        <w:gridCol w:w="146"/>
        <w:gridCol w:w="931"/>
        <w:gridCol w:w="146"/>
        <w:gridCol w:w="146"/>
        <w:gridCol w:w="146"/>
        <w:gridCol w:w="93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506,554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701,884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555,601</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stock units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512,198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2,035,557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6,264,428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2,511,429</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For the nine months ended September 30, 2024, there was no</w:t>
      </w:r>
      <w:r>
        <w:rPr>
          <w:rFonts w:ascii="Times New Roman" w:hAnsi="Times New Roman"/>
          <w:color w:val="000000"/>
          <w:sz w:val="20"/>
        </w:rPr>
        <w:t xml:space="preserve"> </w:t>
      </w:r>
      <w:r>
        <w:rPr>
          <w:rFonts w:ascii="Calibri;sans-serif" w:hAnsi="Calibri;sans-serif"/>
          <w:color w:val="000000"/>
          <w:sz w:val="20"/>
        </w:rPr>
        <w:t>effect of potentially dilutive shares as the numerator was negative and there were no contingently issuable shares as a result of the acquisition of remaining minority equity interests in CarOffer in 2023. For the three and nine months ended September 30, 2023, the number of issuable shares estimated upon exercise of the 2024 Put Right was zero.</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12. Income Taxes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2024 and 2023, the Company recognized an income tax provision of $7,546</w:t>
      </w:r>
      <w:r>
        <w:rPr>
          <w:rFonts w:ascii="Times New Roman" w:hAnsi="Times New Roman"/>
          <w:color w:val="000000"/>
          <w:sz w:val="20"/>
        </w:rPr>
        <w:t xml:space="preserve"> </w:t>
      </w:r>
      <w:r>
        <w:rPr>
          <w:rFonts w:ascii="Calibri;sans-serif" w:hAnsi="Calibri;sans-serif"/>
          <w:color w:val="000000"/>
          <w:sz w:val="20"/>
        </w:rPr>
        <w:t>and $8,289, respectively, representing an effective tax rate of 25.1%</w:t>
      </w:r>
      <w:r>
        <w:rPr>
          <w:rFonts w:ascii="Times New Roman" w:hAnsi="Times New Roman"/>
          <w:color w:val="000000"/>
          <w:sz w:val="20"/>
        </w:rPr>
        <w:t xml:space="preserve"> </w:t>
      </w:r>
      <w:r>
        <w:rPr>
          <w:rFonts w:ascii="Calibri;sans-serif" w:hAnsi="Calibri;sans-serif"/>
          <w:color w:val="000000"/>
          <w:sz w:val="20"/>
        </w:rPr>
        <w:t>and 27.1%, respectively. During the nine months ended September 30, 2024 and 2023, the Company recognized an income tax benefit of $5,772</w:t>
      </w:r>
      <w:r>
        <w:rPr>
          <w:rFonts w:ascii="Times New Roman" w:hAnsi="Times New Roman"/>
          <w:color w:val="000000"/>
          <w:sz w:val="20"/>
        </w:rPr>
        <w:t xml:space="preserve"> </w:t>
      </w:r>
      <w:r>
        <w:rPr>
          <w:rFonts w:ascii="Calibri;sans-serif" w:hAnsi="Calibri;sans-serif"/>
          <w:color w:val="000000"/>
          <w:sz w:val="20"/>
        </w:rPr>
        <w:t>and income tax provision of $23,421, representing an effective tax rate of 18.8%, and 29.9%,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effective tax rates for the three months ended September 30, 2024 and 2023 and the nine months ended September 30, 2023, was greater than the statutory tax rate of 21%, principally due to state and local income taxes, the Section 162(m) excess officer compensation limitation, and non-deductible meals and commuter fringe benefits, partially offset by federal and state research and development tax credits. The effective tax rate for the nine months ended September 30, 2024, was less than the statutory tax rate of 21% principally due to federal and state research and development tax credits, stock-based compensation windfalls, and the discrete tax benefit associated with the impairment charges, partially offset by state and local income taxes, the Section 162(m) excess officer compensation limitation, and non-deductible meals and commuter fringe benefits.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Organisation for Economic Co-operation and Development introduced an international tax framework under Pillar Two, which includes a global minimum tax of 15%. Pillar Two legislation has been enacted or substantively enacted in certain jurisdictions where the Company operates. The Pillar Two legislation became effective for the Company's fiscal year beginning January 1, 2024. The Company performed an assessment of its potential exposure to Pillar Two income taxes based on the Company's most recent tax filings, country-by-country reporting, and financial statements for the constituent entities within the Company. Based on the assessment performed, the Company meets the Pillar Two transitional safe harbor effective tax rate relief as all jurisdictions in which the Company operates are above 15%. The Company does not expect any exposure to Pillar Two income taxes in any jurisdictions.</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and its subsidiaries are subject to various U.S. federal, state, and foreign income tax examinations. The Company is currently not subject to income tax examination for the tax years 2019</w:t>
      </w:r>
      <w:r>
        <w:rPr>
          <w:rFonts w:ascii="Times New Roman" w:hAnsi="Times New Roman"/>
          <w:color w:val="000000"/>
          <w:sz w:val="20"/>
        </w:rPr>
        <w:t xml:space="preserve"> </w:t>
      </w:r>
      <w:r>
        <w:rPr>
          <w:rFonts w:ascii="Calibri;sans-serif" w:hAnsi="Calibri;sans-serif"/>
          <w:color w:val="000000"/>
          <w:sz w:val="20"/>
        </w:rPr>
        <w:t>and prior as a result of applicable statute of limitations of the Internal Revenue Service and a majority of applicable state jurisdictions. The Company is currently not subject to examination in its foreign jurisdictions for the tax years 2018</w:t>
      </w:r>
      <w:r>
        <w:rPr>
          <w:rFonts w:ascii="Times New Roman" w:hAnsi="Times New Roman"/>
          <w:color w:val="000000"/>
          <w:sz w:val="20"/>
        </w:rPr>
        <w:t xml:space="preserve"> </w:t>
      </w:r>
      <w:r>
        <w:rPr>
          <w:rFonts w:ascii="Calibri;sans-serif" w:hAnsi="Calibri;sans-serif"/>
          <w:color w:val="000000"/>
          <w:sz w:val="20"/>
        </w:rPr>
        <w:t>and prior.</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13. Segment and Geographic Information</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two</w:t>
      </w:r>
      <w:r>
        <w:rPr>
          <w:rFonts w:ascii="Times New Roman" w:hAnsi="Times New Roman"/>
          <w:color w:val="000000"/>
          <w:sz w:val="20"/>
        </w:rPr>
        <w:t xml:space="preserve"> </w:t>
      </w:r>
      <w:r>
        <w:rPr>
          <w:rFonts w:ascii="Calibri;sans-serif" w:hAnsi="Calibri;sans-serif"/>
          <w:color w:val="000000"/>
          <w:sz w:val="20"/>
        </w:rPr>
        <w:t>reportable segments, U.S. Marketplace and Digital Wholesale. Segment information is presented in the same manner as the Company’s CODM reviews the Company’s operating results in assessing performance and allocating resources. The CODM reviews segment revenue and segment operating income (loss) as a proxy for the performance of the Company's operations. The Company’s Chief Executive Officer is the CODM on behalf of both reportable segments.</w:t>
      </w:r>
    </w:p>
    <w:p>
      <w:pPr>
        <w:pStyle w:val="TextBody"/>
        <w:bidi w:val="0"/>
        <w:spacing w:before="240" w:after="283"/>
        <w:jc w:val="both"/>
        <w:rPr>
          <w:rFonts w:ascii="Times New Roman" w:hAnsi="Times New Roman"/>
          <w:sz w:val="20"/>
        </w:rPr>
      </w:pPr>
      <w:r>
        <w:rPr>
          <w:rFonts w:ascii="Calibri;sans-serif" w:hAnsi="Calibri;sans-serif"/>
          <w:color w:val="000000"/>
          <w:sz w:val="20"/>
        </w:rPr>
        <w:t>The U.S. Marketplace segment derives revenue from marketplace services from customers within the U.S. The Digital Wholesale segment primarily derives revenue from Dealer-to-Dealer and IMCO services and products which are sold on the CarOffer platform. The Company also has two operating segments which are individually immaterial and therefore aggregated into the Other category to reconcile reportable segments to the Unaudited Condensed Consolidated Income Statements. The Other category derives revenue from marketplace services from customers outside of the U.S.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and costs discretely incurred by reportable segments, including depreciation and amortization, are included in the calculation of reportable segment income (loss) from operations. For the three and nine months ended September 30, 2023, Digital Wholesale segment loss from operations also reflects certain IMCO marketing and lead generation fees allocated from the U.S. Marketplace segment. Asset information by reportable segment is not provided to the CODM as asset information is assessed and reviewed on a consolidated basis.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segment revenue, segment income (loss) from operations, and segment depreciation and amortization are as follows:</w:t>
      </w:r>
    </w:p>
    <w:p>
      <w:pPr>
        <w:pStyle w:val="TextBody"/>
        <w:bidi w:val="0"/>
        <w:jc w:val="both"/>
        <w:rPr/>
      </w:pPr>
      <w:r>
        <w:rPr/>
        <w:t> </w:t>
      </w:r>
    </w:p>
    <w:tbl>
      <w:tblPr>
        <w:tblW w:w="9267" w:type="dxa"/>
        <w:jc w:val="left"/>
        <w:tblInd w:w="0" w:type="dxa"/>
        <w:tblLayout w:type="fixed"/>
        <w:tblCellMar>
          <w:top w:w="28" w:type="dxa"/>
          <w:left w:w="28" w:type="dxa"/>
          <w:bottom w:w="28" w:type="dxa"/>
          <w:right w:w="28" w:type="dxa"/>
        </w:tblCellMar>
      </w:tblPr>
      <w:tblGrid>
        <w:gridCol w:w="1686"/>
        <w:gridCol w:w="546"/>
        <w:gridCol w:w="211"/>
        <w:gridCol w:w="781"/>
        <w:gridCol w:w="546"/>
        <w:gridCol w:w="546"/>
        <w:gridCol w:w="211"/>
        <w:gridCol w:w="781"/>
        <w:gridCol w:w="546"/>
        <w:gridCol w:w="546"/>
        <w:gridCol w:w="211"/>
        <w:gridCol w:w="781"/>
        <w:gridCol w:w="146"/>
        <w:gridCol w:w="146"/>
        <w:gridCol w:w="211"/>
        <w:gridCol w:w="781"/>
        <w:gridCol w:w="591"/>
      </w:tblGrid>
      <w:tr>
        <w:trPr/>
        <w:tc>
          <w:tcPr>
            <w:tcW w:w="16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Revenue:</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U.S. Marketplace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187,253</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164,323</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540,293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478,387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6"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27,339</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41,510</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175,133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Other</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16,766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13,586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6" w:type="dxa"/>
            <w:tcBorders/>
            <w:shd w:fill="CFF0FC"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Total</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3316"/>
        <w:gridCol w:w="146"/>
        <w:gridCol w:w="211"/>
        <w:gridCol w:w="736"/>
        <w:gridCol w:w="166"/>
        <w:gridCol w:w="146"/>
        <w:gridCol w:w="211"/>
        <w:gridCol w:w="736"/>
        <w:gridCol w:w="166"/>
        <w:gridCol w:w="146"/>
        <w:gridCol w:w="211"/>
        <w:gridCol w:w="841"/>
        <w:gridCol w:w="166"/>
        <w:gridCol w:w="146"/>
        <w:gridCol w:w="211"/>
        <w:gridCol w:w="736"/>
        <w:gridCol w:w="6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84,443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(25,317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(11,652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(173,815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(29,184</w:t>
            </w:r>
          </w:p>
        </w:tc>
        <w:tc>
          <w:tcPr>
            <w:tcW w:w="61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3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331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402" w:type="dxa"/>
        <w:jc w:val="left"/>
        <w:tblInd w:w="0" w:type="dxa"/>
        <w:tblLayout w:type="fixed"/>
        <w:tblCellMar>
          <w:top w:w="28" w:type="dxa"/>
          <w:left w:w="28" w:type="dxa"/>
          <w:bottom w:w="28" w:type="dxa"/>
          <w:right w:w="28" w:type="dxa"/>
        </w:tblCellMar>
      </w:tblPr>
      <w:tblGrid>
        <w:gridCol w:w="3346"/>
        <w:gridCol w:w="146"/>
        <w:gridCol w:w="211"/>
        <w:gridCol w:w="571"/>
        <w:gridCol w:w="146"/>
        <w:gridCol w:w="146"/>
        <w:gridCol w:w="211"/>
        <w:gridCol w:w="676"/>
        <w:gridCol w:w="146"/>
        <w:gridCol w:w="146"/>
        <w:gridCol w:w="211"/>
        <w:gridCol w:w="676"/>
        <w:gridCol w:w="146"/>
        <w:gridCol w:w="146"/>
        <w:gridCol w:w="211"/>
        <w:gridCol w:w="676"/>
        <w:gridCol w:w="5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Depreciation and Amortization:</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8,534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26,728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35,713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and 2023 and for the nine months ended September 30, 2024 and 2023, a reconciliation between total segment income (loss) from operations to consolidated income (loss) before income taxes is as follows:</w:t>
      </w:r>
      <w:r>
        <w:rPr>
          <w:rFonts w:ascii="Times New Roman" w:hAnsi="Times New Roman"/>
          <w:color w:val="000000"/>
          <w:sz w:val="20"/>
        </w:rPr>
        <w:t xml:space="preserve"> </w:t>
      </w:r>
    </w:p>
    <w:p>
      <w:pPr>
        <w:pStyle w:val="TextBody"/>
        <w:bidi w:val="0"/>
        <w:jc w:val="both"/>
        <w:rPr/>
      </w:pPr>
      <w:r>
        <w:rPr/>
        <w:t> </w:t>
      </w:r>
    </w:p>
    <w:tbl>
      <w:tblPr>
        <w:tblW w:w="8712" w:type="dxa"/>
        <w:jc w:val="left"/>
        <w:tblInd w:w="0" w:type="dxa"/>
        <w:tblLayout w:type="fixed"/>
        <w:tblCellMar>
          <w:top w:w="28" w:type="dxa"/>
          <w:left w:w="28" w:type="dxa"/>
          <w:bottom w:w="28" w:type="dxa"/>
          <w:right w:w="28" w:type="dxa"/>
        </w:tblCellMar>
      </w:tblPr>
      <w:tblGrid>
        <w:gridCol w:w="3871"/>
        <w:gridCol w:w="146"/>
        <w:gridCol w:w="211"/>
        <w:gridCol w:w="676"/>
        <w:gridCol w:w="146"/>
        <w:gridCol w:w="146"/>
        <w:gridCol w:w="211"/>
        <w:gridCol w:w="676"/>
        <w:gridCol w:w="146"/>
        <w:gridCol w:w="146"/>
        <w:gridCol w:w="211"/>
        <w:gridCol w:w="736"/>
        <w:gridCol w:w="166"/>
        <w:gridCol w:w="146"/>
        <w:gridCol w:w="211"/>
        <w:gridCol w:w="67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segment income (loss)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(39,866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54,892</w:t>
            </w:r>
          </w:p>
        </w:tc>
        <w:tc>
          <w:tcPr>
            <w:tcW w:w="1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income (loss)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68,077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and December 31, 2023, segment assets are as follows:</w:t>
      </w:r>
    </w:p>
    <w:p>
      <w:pPr>
        <w:pStyle w:val="TextBody"/>
        <w:bidi w:val="0"/>
        <w:jc w:val="both"/>
        <w:rPr/>
      </w:pPr>
      <w:r>
        <w:rPr/>
        <w:t> </w:t>
      </w:r>
    </w:p>
    <w:tbl>
      <w:tblPr>
        <w:tblW w:w="4950" w:type="dxa"/>
        <w:jc w:val="left"/>
        <w:tblInd w:w="0" w:type="dxa"/>
        <w:tblLayout w:type="fixed"/>
        <w:tblCellMar>
          <w:top w:w="28" w:type="dxa"/>
          <w:left w:w="28" w:type="dxa"/>
          <w:bottom w:w="28" w:type="dxa"/>
          <w:right w:w="28" w:type="dxa"/>
        </w:tblCellMar>
      </w:tblPr>
      <w:tblGrid>
        <w:gridCol w:w="1686"/>
        <w:gridCol w:w="146"/>
        <w:gridCol w:w="242"/>
        <w:gridCol w:w="898"/>
        <w:gridCol w:w="146"/>
        <w:gridCol w:w="146"/>
        <w:gridCol w:w="233"/>
        <w:gridCol w:w="862"/>
        <w:gridCol w:w="591"/>
      </w:tblGrid>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6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615,771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607,307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118,839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258,458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53,162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778,161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918,927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20"/>
        </w:rPr>
        <w:t>Digital Wholesale segment assets decreased $139,619, due primarily to goodwill and other asset impairments. As of September 30, 2024, the Company recognized a $127,475</w:t>
      </w:r>
      <w:r>
        <w:rPr>
          <w:rFonts w:ascii="Times New Roman" w:hAnsi="Times New Roman"/>
          <w:color w:val="000000"/>
          <w:sz w:val="20"/>
        </w:rPr>
        <w:t xml:space="preserve"> </w:t>
      </w:r>
      <w:r>
        <w:rPr>
          <w:rFonts w:ascii="Calibri;sans-serif" w:hAnsi="Calibri;sans-serif"/>
          <w:color w:val="000000"/>
          <w:sz w:val="20"/>
        </w:rPr>
        <w:t>CarOffer reporting unit impairment and a $16,776</w:t>
      </w:r>
      <w:r>
        <w:rPr>
          <w:rFonts w:ascii="Times New Roman" w:hAnsi="Times New Roman"/>
          <w:color w:val="000000"/>
          <w:sz w:val="20"/>
        </w:rPr>
        <w:t xml:space="preserve"> </w:t>
      </w:r>
      <w:r>
        <w:rPr>
          <w:rFonts w:ascii="Calibri;sans-serif" w:hAnsi="Calibri;sans-serif"/>
          <w:color w:val="000000"/>
          <w:sz w:val="20"/>
        </w:rPr>
        <w:t>CG Buy Online reporting unit</w:t>
      </w:r>
      <w:r>
        <w:rPr>
          <w:rFonts w:ascii="Times New Roman" w:hAnsi="Times New Roman"/>
          <w:color w:val="000000"/>
          <w:sz w:val="20"/>
        </w:rPr>
        <w:t xml:space="preserve"> </w:t>
      </w:r>
      <w:r>
        <w:rPr>
          <w:rFonts w:ascii="Calibri;sans-serif" w:hAnsi="Calibri;sans-serif"/>
          <w:color w:val="000000"/>
          <w:sz w:val="20"/>
        </w:rPr>
        <w:t>impairment due to the end of the CG Buy Online pilot. For further discussion of goodwill and other asset impairments, see Note 6 of the Unaudited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20"/>
        </w:rPr>
        <w:t>For the three months ended September 30, 2024 and 2023 and for the nine months ended September 30, 2024 and 2023, revenue by geographical region is as follows:</w:t>
      </w:r>
      <w:r>
        <w:rPr>
          <w:rFonts w:ascii="Times New Roman" w:hAnsi="Times New Roman"/>
          <w:color w:val="000000"/>
          <w:sz w:val="20"/>
        </w:rPr>
        <w:t xml:space="preserve"> </w:t>
      </w:r>
    </w:p>
    <w:p>
      <w:pPr>
        <w:pStyle w:val="TextBody"/>
        <w:bidi w:val="0"/>
        <w:jc w:val="both"/>
        <w:rPr/>
      </w:pPr>
      <w:r>
        <w:rPr/>
        <w:t> </w:t>
      </w:r>
    </w:p>
    <w:tbl>
      <w:tblPr>
        <w:tblW w:w="8222"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781"/>
        <w:gridCol w:w="146"/>
        <w:gridCol w:w="146"/>
        <w:gridCol w:w="211"/>
        <w:gridCol w:w="781"/>
        <w:gridCol w:w="146"/>
        <w:gridCol w:w="146"/>
        <w:gridCol w:w="211"/>
        <w:gridCol w:w="781"/>
        <w:gridCol w:w="5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Revenue by Geographic Region: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619,734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653,520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41"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14. Subsequent Events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2025 Share Repurchase Program</w:t>
      </w:r>
    </w:p>
    <w:p>
      <w:pPr>
        <w:pStyle w:val="TextBody"/>
        <w:bidi w:val="0"/>
        <w:spacing w:before="240" w:after="283"/>
        <w:jc w:val="both"/>
        <w:rPr>
          <w:rFonts w:ascii="Times New Roman" w:hAnsi="Times New Roman"/>
          <w:sz w:val="20"/>
        </w:rPr>
      </w:pPr>
      <w:r>
        <w:rPr>
          <w:rFonts w:ascii="Calibri;sans-serif" w:hAnsi="Calibri;sans-serif"/>
          <w:color w:val="000000"/>
          <w:sz w:val="20"/>
        </w:rPr>
        <w:t>On November 7, 2024, the Company announced that the Board of Directors authorized a share repurchase program (the “2025 Share Repurchase Program”), pursuant to which the Company may, from time to time, purchase shares of its Class A common stock for an aggregate purchase price not to exceed $200.0</w:t>
      </w:r>
      <w:r>
        <w:rPr>
          <w:rFonts w:ascii="Times New Roman" w:hAnsi="Times New Roman"/>
          <w:color w:val="000000"/>
          <w:sz w:val="20"/>
        </w:rPr>
        <w:t xml:space="preserve"> </w:t>
      </w:r>
      <w:r>
        <w:rPr>
          <w:rFonts w:ascii="Calibri;sans-serif" w:hAnsi="Calibri;sans-serif"/>
          <w:color w:val="000000"/>
          <w:sz w:val="20"/>
        </w:rPr>
        <w:t>million.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2025 Share Repurchase Program does not obligate the Company to repurchase any minimum dollar amount or number of shares. The 2025 Share Repurchase Program has an effective date of January 1, 2025, and an expiration date of December 31, 2025, and prior to its expiration may be modified, suspended, or discontinued by the Board of Directors at any time without prior notice. All repurchased shares under the 2025 Share Repurchase Program will be retired. The Company expects to fund share repurchases under the 2025 Share Repurchase Program through cash on hand and cash generated from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0" w:name="i_item2"/>
      <w:bookmarkEnd w:id="10"/>
      <w:r>
        <w:rPr>
          <w:rFonts w:ascii="Calibri;sans-serif" w:hAnsi="Calibri;sans-serif"/>
          <w:b/>
          <w:color w:val="000000"/>
          <w:sz w:val="20"/>
        </w:rPr>
        <w:t xml:space="preserve">Item 2. Management’s Discussion and Analysis of </w:t>
      </w:r>
      <w:bookmarkStart w:id="11" w:name="item_2_managements_discussion_analysis_f"/>
      <w:bookmarkEnd w:id="11"/>
      <w:r>
        <w:rPr>
          <w:rFonts w:ascii="Calibri;sans-serif" w:hAnsi="Calibri;sans-serif"/>
          <w:b/>
          <w:color w:val="000000"/>
          <w:sz w:val="20"/>
        </w:rPr>
        <w:t>Financial Condition and Results of Operations.</w:t>
      </w:r>
    </w:p>
    <w:p>
      <w:pPr>
        <w:pStyle w:val="TextBody"/>
        <w:bidi w:val="0"/>
        <w:spacing w:before="240" w:after="283"/>
        <w:jc w:val="both"/>
        <w:rPr>
          <w:rFonts w:ascii="Times New Roman" w:hAnsi="Times New Roman"/>
          <w:sz w:val="20"/>
        </w:rPr>
      </w:pPr>
      <w:r>
        <w:rPr>
          <w:rFonts w:ascii="Calibri;sans-serif" w:hAnsi="Calibri;sans-serif"/>
          <w:i/>
          <w:color w:val="000000"/>
          <w:sz w:val="20"/>
        </w:rPr>
        <w:t>You should read the following discussion and analysis of our financial condition and results of operations together with our unaudited interim condensed consolidated financial statements, or the Unaudited Condensed Consolidated Financial Statements, and the related notes thereto, included elsewhere in this Quarterly Report, and our consolidated financial statements and the related notes and other financial information included in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For a discussion of important factors that could cause actual results to differ materially from the results described in or implied by the forward-looking statements contained in the following discussion and analysis you should review our Annual Report, including those cautionary statements set forth under Part I, Item 1A “Risk Factors,” and in Part II, Item 1A, “Risk Factors,” of this Quarterly Report. We qualify all of our forward-looking statements by such cautionary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i/>
          <w:color w:val="000000"/>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or U.S., generally accepted accounting principles, or GAAP.</w:t>
      </w:r>
      <w:r>
        <w:rPr>
          <w:rFonts w:ascii="Times New Roman" w:hAnsi="Times New Roman"/>
          <w:color w:val="000000"/>
          <w:sz w:val="20"/>
        </w:rPr>
        <w:t xml:space="preserve">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This section of this Quarterly Report discusses 2024 and 2023 items and period-to-period comparisons between 2024 and 2023. The period</w:t>
        <w:noBreakHyphen/>
        <w:t>to</w:t>
        <w:noBreakHyphen/>
        <w:t>period comparison of financial results is not necessarily indicative of future results.</w:t>
      </w:r>
    </w:p>
    <w:p>
      <w:pPr>
        <w:pStyle w:val="TextBody"/>
        <w:bidi w:val="0"/>
        <w:spacing w:before="240" w:after="283"/>
        <w:jc w:val="both"/>
        <w:rPr>
          <w:rFonts w:ascii="Times New Roman" w:hAnsi="Times New Roman"/>
          <w:sz w:val="20"/>
        </w:rPr>
      </w:pPr>
      <w:r>
        <w:rPr>
          <w:rFonts w:ascii="Calibri;sans-serif" w:hAnsi="Calibri;sans-serif"/>
          <w:b/>
          <w:color w:val="000000"/>
          <w:sz w:val="20"/>
        </w:rPr>
        <w:t>Company Overview</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CarGurus, Inc. is a multinational, online automotive platform for buying and selling vehicles that is building upon its industry-leading listings marketplace with both digital retail solutions and the CarOffer online wholesale platform. The CarGurus platform gives consumers the confidence to purchase and/or sell a vehicle either online or in person, and it gives dealerships the power to accurately price, effectively market, instantly acquire, and quickly sell vehicles, all with a nationwide reach. We use proprietary technology, search algorithms, and data analytics to bring trust, transparency, and competitive pricing to the automotive shopping experience.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operate principally in the U.S. In the U.S., we also operate as independent brands the Autolist online marketplace and the CarOffer online wholesale platform. In addition to the U.S., we operate online marketplaces under the CarGurus brand in Canada and the United Kingdom, or U.K. In the U.K., we also operate as an independent brand the PistonHeads online marketplace.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have subsidiaries in the U.S., Canada, Ireland, and the U.K. and we have two reportable segments, U.S. Marketplace and Digital Wholesale. See Note 13 of the Unaudited Condensed Consolidated Financial Statements included elsewhere in this Quarterly Report for further segment reporting and geographic information.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and Real-time Performance Marketing, or RPM, digital advertising suite, Digital Retail, and Sell My Car - Top Dealer Offers, or TDO, (ii) advertising revenue from auto manufacturers and other auto-related brand advertisers, and (iii) revenue from partnerships with financing services companies. We generate wholesale revenue primarily from (x) transaction fees earned from the purchase and sale of vehicles between dealers, or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(as defined below). We generate product revenue primarily from (A) aggregate proceeds received from the sale of vehicles to dealers that were acquired directly from customers, or Sell My Car - Instant Max Cash Offer, or IMCO transactions and (B) proceeds received from the sale of vehicles that were acquired through arbitration.</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we generated revenue of $231.4 million, a 5% increase from $219.4 million of revenue for the three months ended September 30, 2023. For the three months ended September 30, 2024, we generated consolidated net income of $22.5 million and Consolidated Adjusted EBITDA of $64.9 million, compared to consolidated net income of $19.0 million and Consolidated Adjusted EBITDA of $48.6 million for the three months ended September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For the nine months ended September 30, 2024, we generated revenue of $665.8 million, a 4% decrease from $691.1 million of revenue for the nine months ended September 30, 2023. For the nine months ended September 30, 2024, we generated consolidated net loss of $24.9 million and Consolidated Adjusted EBITDA of $170.8 million, compared to consolidated net income of $44.7 million and Consolidated Adjusted EBITDA of $134.6 million for the nine months ended September 30,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See below for more information regarding our use and reconciliation of these non-GAAP financial measures.</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Key Business Metrics</w:t>
      </w:r>
    </w:p>
    <w:p>
      <w:pPr>
        <w:pStyle w:val="TextBody"/>
        <w:bidi w:val="0"/>
        <w:spacing w:before="240" w:after="283"/>
        <w:jc w:val="both"/>
        <w:rPr>
          <w:rFonts w:ascii="Times New Roman" w:hAnsi="Times New Roman"/>
          <w:sz w:val="20"/>
        </w:rPr>
      </w:pPr>
      <w:r>
        <w:rPr>
          <w:rFonts w:ascii="Calibri;sans-serif" w:hAnsi="Calibri;sans-serif"/>
          <w:color w:val="000000"/>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U.S. and International geographic regions. The International region derives revenue from marketplace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Historically, we have used data from Google Universal Analytics, or Google Analytics, to measure two of our key business metrics: monthly unique users and monthly sessions. Effective July 1, 2024, Google Analytics 4, or GA4, replaced Google Analytics. The methodologies used in GA4 are different and not comparable to the methodologies used in Google Analytics. As discussed below, we also make certain adjustments to the GA4 data in order to improve the accuracy of the reported monthly unique users and monthly sessions. Due to this change in methodology, we are unable to provide comparable monthly unique user and monthly session information for prior periods, including any periods prior to June 30, 2024.</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Monthly Unique Users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each of our websites (excluding the CarOffer website), we define a monthly unique user as an individual who has visited any such website and taken a visitor action (as defined below) within a calendar month, based on data as measured by GA4. We calculate average monthly unique users as the sum of the monthly unique users of each of our websites in a given period, divided by the number of months in that period. Effective July 1, 2024,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pStyle w:val="TextBody"/>
        <w:bidi w:val="0"/>
        <w:jc w:val="both"/>
        <w:rPr/>
      </w:pPr>
      <w:r>
        <w:rPr/>
        <w:t> </w:t>
      </w:r>
    </w:p>
    <w:tbl>
      <w:tblPr>
        <w:tblW w:w="5803" w:type="dxa"/>
        <w:jc w:val="left"/>
        <w:tblInd w:w="0" w:type="dxa"/>
        <w:tblLayout w:type="fixed"/>
        <w:tblCellMar>
          <w:top w:w="28" w:type="dxa"/>
          <w:left w:w="28" w:type="dxa"/>
          <w:bottom w:w="28" w:type="dxa"/>
          <w:right w:w="28" w:type="dxa"/>
        </w:tblCellMar>
      </w:tblPr>
      <w:tblGrid>
        <w:gridCol w:w="2266"/>
        <w:gridCol w:w="146"/>
        <w:gridCol w:w="146"/>
        <w:gridCol w:w="676"/>
        <w:gridCol w:w="146"/>
        <w:gridCol w:w="146"/>
        <w:gridCol w:w="586"/>
        <w:gridCol w:w="146"/>
        <w:gridCol w:w="648"/>
        <w:gridCol w:w="161"/>
        <w:gridCol w:w="73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2024</w:t>
            </w:r>
            <w:r>
              <w:rPr>
                <w:rFonts w:ascii="Calibri;sans-serif" w:hAnsi="Calibri;sans-serif"/>
                <w:b/>
                <w:color w:val="000000"/>
                <w:sz w:val="11"/>
              </w:rPr>
              <w:t>(1)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0" w:type="dxa"/>
            <w:gridSpan w:val="5"/>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545" w:type="dxa"/>
            <w:gridSpan w:val="3"/>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r>
      <w:tr>
        <w:trPr/>
        <w:tc>
          <w:tcPr>
            <w:tcW w:w="22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46"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6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r>
      <w:tr>
        <w:trPr/>
        <w:tc>
          <w:tcPr>
            <w:tcW w:w="22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N/A</w:t>
            </w:r>
          </w:p>
        </w:tc>
      </w:tr>
      <w:tr>
        <w:trPr/>
        <w:tc>
          <w:tcPr>
            <w:tcW w:w="22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r>
    </w:tbl>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(1) As a result of the change from Google Analytics to GA4, we are unable to provide comparable monthly unique user information for this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Monthly Sessions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monthly sessions as the number of distinct visits to our websites (excluding the CarOffer website) that include a visitor action that take place each month within a given time frame, as measured and defined by GA4. We calculate average monthly sessions as the sum of the monthly sessions in a given period, divided by the number of months in that period. Effective July 1, 2024,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5563" w:type="dxa"/>
        <w:jc w:val="left"/>
        <w:tblInd w:w="0" w:type="dxa"/>
        <w:tblLayout w:type="fixed"/>
        <w:tblCellMar>
          <w:top w:w="28" w:type="dxa"/>
          <w:left w:w="28" w:type="dxa"/>
          <w:bottom w:w="28" w:type="dxa"/>
          <w:right w:w="28" w:type="dxa"/>
        </w:tblCellMar>
      </w:tblPr>
      <w:tblGrid>
        <w:gridCol w:w="1921"/>
        <w:gridCol w:w="146"/>
        <w:gridCol w:w="146"/>
        <w:gridCol w:w="781"/>
        <w:gridCol w:w="146"/>
        <w:gridCol w:w="146"/>
        <w:gridCol w:w="586"/>
        <w:gridCol w:w="146"/>
        <w:gridCol w:w="648"/>
        <w:gridCol w:w="161"/>
        <w:gridCol w:w="73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2024</w:t>
            </w:r>
            <w:r>
              <w:rPr>
                <w:rFonts w:ascii="Calibri;sans-serif" w:hAnsi="Calibri;sans-serif"/>
                <w:b/>
                <w:color w:val="000000"/>
                <w:sz w:val="11"/>
              </w:rPr>
              <w:t>(1)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5" w:type="dxa"/>
            <w:gridSpan w:val="5"/>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545" w:type="dxa"/>
            <w:gridSpan w:val="3"/>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r>
      <w:tr>
        <w:trPr/>
        <w:tc>
          <w:tcPr>
            <w:tcW w:w="1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46"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6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r>
      <w:tr>
        <w:trPr/>
        <w:tc>
          <w:tcPr>
            <w:tcW w:w="1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N/A</w:t>
            </w:r>
          </w:p>
        </w:tc>
      </w:tr>
      <w:tr>
        <w:trPr/>
        <w:tc>
          <w:tcPr>
            <w:tcW w:w="192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N/A</w:t>
            </w:r>
          </w:p>
        </w:tc>
      </w:tr>
    </w:tbl>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(1) As a result of the change from Google Analytics to GA4, we are unable to provide comparable monthly sessions information for this period.</w:t>
      </w:r>
    </w:p>
    <w:p>
      <w:pPr>
        <w:pStyle w:val="TextBody"/>
        <w:bidi w:val="0"/>
        <w:spacing w:before="240" w:after="283"/>
        <w:jc w:val="both"/>
        <w:rPr>
          <w:rFonts w:ascii="Times New Roman" w:hAnsi="Times New Roman"/>
          <w:sz w:val="20"/>
        </w:rPr>
      </w:pPr>
      <w:r>
        <w:rPr>
          <w:rFonts w:ascii="Calibri;sans-serif" w:hAnsi="Calibri;sans-serif"/>
          <w:b/>
          <w:i/>
          <w:color w:val="000000"/>
          <w:sz w:val="20"/>
        </w:rPr>
        <w:t>Number of Paying Dealers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pStyle w:val="TextBody"/>
        <w:bidi w:val="0"/>
        <w:jc w:val="both"/>
        <w:rPr/>
      </w:pPr>
      <w:r>
        <w:rPr/>
        <w:t> </w:t>
      </w:r>
    </w:p>
    <w:tbl>
      <w:tblPr>
        <w:tblW w:w="4364" w:type="dxa"/>
        <w:jc w:val="left"/>
        <w:tblInd w:w="0" w:type="dxa"/>
        <w:tblLayout w:type="fixed"/>
        <w:tblCellMar>
          <w:top w:w="28" w:type="dxa"/>
          <w:left w:w="28" w:type="dxa"/>
          <w:bottom w:w="28" w:type="dxa"/>
          <w:right w:w="28" w:type="dxa"/>
        </w:tblCellMar>
      </w:tblPr>
      <w:tblGrid>
        <w:gridCol w:w="1891"/>
        <w:gridCol w:w="146"/>
        <w:gridCol w:w="146"/>
        <w:gridCol w:w="676"/>
        <w:gridCol w:w="146"/>
        <w:gridCol w:w="146"/>
        <w:gridCol w:w="146"/>
        <w:gridCol w:w="676"/>
        <w:gridCol w:w="3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8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24,368</w:t>
            </w:r>
          </w:p>
        </w:tc>
        <w:tc>
          <w:tcPr>
            <w:tcW w:w="391" w:type="dxa"/>
            <w:tcBorders/>
            <w:shd w:fill="CFF0FC"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31,191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Transactions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Transactions within the Digital Wholesale segment as the number of vehicles processed from car dealers, consumers, and other marketplaces through the CarOffer website within the applicable period. Transactions consists of each unique vehicle (based on vehicle identification number) that reaches "sold and invoiced" status on the CarOffer website within the applicable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Digital Wholesale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w:t>
      </w:r>
    </w:p>
    <w:p>
      <w:pPr>
        <w:pStyle w:val="TextBody"/>
        <w:bidi w:val="0"/>
        <w:jc w:val="both"/>
        <w:rPr/>
      </w:pPr>
      <w:r>
        <w:rPr/>
        <w:t> </w:t>
      </w:r>
    </w:p>
    <w:tbl>
      <w:tblPr>
        <w:tblW w:w="5507" w:type="dxa"/>
        <w:jc w:val="left"/>
        <w:tblInd w:w="0" w:type="dxa"/>
        <w:tblLayout w:type="fixed"/>
        <w:tblCellMar>
          <w:top w:w="28" w:type="dxa"/>
          <w:left w:w="28" w:type="dxa"/>
          <w:bottom w:w="28" w:type="dxa"/>
          <w:right w:w="28" w:type="dxa"/>
        </w:tblCellMar>
      </w:tblPr>
      <w:tblGrid>
        <w:gridCol w:w="1111"/>
        <w:gridCol w:w="146"/>
        <w:gridCol w:w="146"/>
        <w:gridCol w:w="571"/>
        <w:gridCol w:w="146"/>
        <w:gridCol w:w="146"/>
        <w:gridCol w:w="146"/>
        <w:gridCol w:w="676"/>
        <w:gridCol w:w="146"/>
        <w:gridCol w:w="146"/>
        <w:gridCol w:w="146"/>
        <w:gridCol w:w="676"/>
        <w:gridCol w:w="146"/>
        <w:gridCol w:w="146"/>
        <w:gridCol w:w="146"/>
        <w:gridCol w:w="676"/>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51,860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Quarterly Average Revenue per Subscribing Dealer (QARSD)</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QARSD, which is measured at the end of a fiscal quarter, as the marketplace revenue primarily from subscriptions to our Listings packages and RPM, our digital advertising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spacing w:before="240" w:after="283"/>
        <w:jc w:val="both"/>
        <w:rPr/>
      </w:pPr>
      <w:r>
        <w:rPr/>
        <w:t> </w:t>
      </w:r>
    </w:p>
    <w:tbl>
      <w:tblPr>
        <w:tblW w:w="6439" w:type="dxa"/>
        <w:jc w:val="left"/>
        <w:tblInd w:w="0" w:type="dxa"/>
        <w:tblLayout w:type="fixed"/>
        <w:tblCellMar>
          <w:top w:w="28" w:type="dxa"/>
          <w:left w:w="28" w:type="dxa"/>
          <w:bottom w:w="28" w:type="dxa"/>
          <w:right w:w="28" w:type="dxa"/>
        </w:tblCellMar>
      </w:tblPr>
      <w:tblGrid>
        <w:gridCol w:w="4246"/>
        <w:gridCol w:w="146"/>
        <w:gridCol w:w="211"/>
        <w:gridCol w:w="571"/>
        <w:gridCol w:w="146"/>
        <w:gridCol w:w="146"/>
        <w:gridCol w:w="211"/>
        <w:gridCol w:w="57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6,332</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1,721</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5,317</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Consolidated Adjusted EBITDA, Adjusted EBITDA, and Adjusted EBITDA attributable to redeemable noncontrolling interest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 provide investors with additional information regarding our financial results, we have presented within this Quarterly Report Consolidated Adjusted EBITDA, Adjusted EBITDA, and Adjusted EBITDA attributable to redeemable noncontrolling interest, each of which is a non</w:t>
        <w:noBreakHyphen/>
        <w:t>GAAP financial measure. These non</w:t>
        <w:noBreakHyphen/>
        <w:t>GAAP financial measures are not based on any standardized methodology prescribed by GAAP, and are not necessarily comparable to any similarly titled measures presented by other companies.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Consolidated Adjusted EBITDA as consolidated net income (loss), adjusted to exclude: depreciation and amortization, goodwill and other asset impairment, stock</w:t>
        <w:noBreakHyphen/>
        <w:t>based compensation expense, stock-based compensation expense for CarOffer, LLC Units (as defined below), transaction-related expenses, other income, net, and provision for (benefit from) income taxes.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Adjusted EBITDA as Consolidated Adjusted EBITDA adjusted to exclude: Adjusted EBITDA attributable to redeemable noncontrolling interest.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Adjusted EBITDA attributable to redeemable noncontrolling interest as net loss attributable to redeemable noncontrolling interest, adjusted to exclude: depreciation and amortization, other long-lived asset impairment, stock</w:t>
        <w:noBreakHyphen/>
        <w:t>based compensation expense, stock-based compensation expense for CarOffer, LLC Units, other expense, net, and provision for income taxes. These exclusions are adjusted for redeemable noncontrolling interest of 38% by taking the noncontrolling interest's full financial results and multiplying each line item in the reconciliation by 38%. We note that we use 38%, versus 49%, to allocate the share of loss because it represents the portion attributable to the redeemable noncontrolling interest. The 38% is exclusive of CO Incentive Units, Subject Units, and 2021 Incentive Units (as each term is defined in Note 2 to our consolidated financial statements contained within our Annual Report), which are liability-classified awards that do not participate in the share of loss. Adjusted EBITDA attributable to redeemable noncontrolling interest is reflective of our acquisition of the remaining minority equity interests in CarOffer completed on December 1, 2023, or the 2023 CarOffer Transaction. Following the 2023 CarOffer Transaction there was no redeemable noncontrolling interest as of December 1, 2023, and as a result, Consolidated Adjusted EBITDA is equivalent to Adjusted EBITDA for the three and nine months ended September 30,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have presented Consolidated Adjusted EBITDA and Adjusted EBITDA within this Quarterly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and Adjusted EBITDA can produce a useful measure for period</w:t>
        <w:noBreakHyphen/>
        <w:t>to</w:t>
        <w:noBreakHyphen/>
        <w:t>period comparisons of our business. We have presented Adjusted EBITDA attributable to redeemable noncontrolling interest because it is used by our management to reconcile Consolidated Adjusted EBITDA to Adjusted EBITDA. It represents the portion of Consolidated Adjusted EBITDA that is attributable to our redeemable noncontrolling interest. Adjusted EBITDA attributable to redeemable noncontrolling interest is not intended to be reviewed on its 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use Consolidated Adjusted EBITDA and Adjusted EBITDA to evaluate our operating performance and trends and make planning decisions. We believe Consolidated Adjusted EBITDA and Adjusted EBITDA help identify underlying trends in our business that could otherwise be masked by the effect of the expenses that we exclude. Accordingly, we believe that Consolidated Adjusted EBITDA and Adjusted EBITDA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 We use Adjusted EBITDA attributable to redeemable noncontrolling interest to reconcile Consolidated Adjusted EBITDA to Adjusted EBITDA. It enables an investor to gain a clearer understanding of the portion of Consolidated Adjusted EBITDA that is attributable to our redeemable noncontrolling interest.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attributable to redeemable noncontrolling interest, respectively, which are the most directly comparable GAAP equivalents. Some of these limitations are: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depreciation and amortization expense and, although these are non</w:t>
        <w:noBreakHyphen/>
        <w:t>cash expenses, the assets being depreciated may have to be replaced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goodwill and other asset impairment, which include non-cash one-time expenses associated with the impairment of the CarOffer reporting unit as well as other long-lived asset impairments, certain of which may have to be replaced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stock</w:t>
        <w:noBreakHyphen/>
        <w:t>based compensation expense, which will be, for the foreseeable future, a significant recurring expense for our business and an important part of our compensation strategy;</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stock</w:t>
        <w:noBreakHyphen/>
        <w:t>based compensation expense for CarOffer, LLC Units, which consists of one-time modifications and expense associated with our CO Incentive Units and Subject Units (as defined in Note 2 to the consolidated financial statements contained within our Annual Report) and Noncontrolling Interest Units (as defined in Note 4 to the consolidated financial statements contained within our Annual Report);</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and Adjusted EBITDA exclude transaction-related expenses incurred by us during a reporting period, which are inclusive of certain transaction and integration costs associated with the 2023 CarOffer Transaction and which may not be reflective of our operational performance during such period, for acquisitions that have been completed as of the filing date of our annual or quarterly report (as applicable) relating to such period;</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other income, net, which consists primarily of interest income earned on our cash, cash equivalents, and short-term investments, and foreign exchange gains and losses;</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 xml:space="preserve">Consolidated Adjusted EBITDA, Adjusted EBITDA, and Adjusted EBITDA attributable to redeemable noncontrolling interest exclude the provision for (benefit from) income taxes; </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Adjusted EBITDA excludes Adjusted EBITDA attributable to redeemable noncontrolling interest, which is calculated as the net loss attributable to redeemable noncontrolling interest, adjusted for all exclusions used to calculate Consolidated Adjusted EBITDA as described above; and</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other companies, including companies in our industry, may calculate Consolidated Adjusted EBITDA, Adjusted EBITDA, and Adjusted EBITDA attributable to redeemable noncontrolling interest differently, which reduces their usefulness as a comparative measure.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the following table presents a reconciliation of Consolidated Adjusted EBITDA and Adjusted EBITDA to consolidated net (loss) income, the most directly comparable measure calculated in accordance with GAAP for each of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54"/>
        <w:gridCol w:w="146"/>
        <w:gridCol w:w="211"/>
        <w:gridCol w:w="676"/>
        <w:gridCol w:w="166"/>
        <w:gridCol w:w="146"/>
        <w:gridCol w:w="211"/>
        <w:gridCol w:w="676"/>
        <w:gridCol w:w="166"/>
        <w:gridCol w:w="146"/>
        <w:gridCol w:w="211"/>
        <w:gridCol w:w="781"/>
        <w:gridCol w:w="166"/>
        <w:gridCol w:w="146"/>
        <w:gridCol w:w="211"/>
        <w:gridCol w:w="781"/>
        <w:gridCol w:w="211"/>
      </w:tblGrid>
      <w:tr>
        <w:trPr/>
        <w:tc>
          <w:tcPr>
            <w:tcW w:w="5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Reconciliation of Consolidated Adjusted EBITDA and Adjusted EBITDA:</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44,656</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35,713</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Goodwill and other asset impairment </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144,431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43,842</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 expense for CarOffer, LLC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(1,225</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Transaction-related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(2,623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(4,167</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(9,185</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(13,185</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Provision for (benefit from)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170,836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134,631</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During the three months ended December 31, 2023, we updated the table to separately disclose the stock-based compensation expense for CarOffer, LLC Units; the three and nine months ended September 30, 2023 have been updated for comparison purposes.</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jc w:val="both"/>
        <w:rPr>
          <w:rFonts w:ascii="Calibri;sans-serif" w:hAnsi="Calibri;sans-serif"/>
          <w:color w:val="000000"/>
          <w:sz w:val="13"/>
        </w:rPr>
      </w:pPr>
      <w:r>
        <w:rPr>
          <w:rFonts w:ascii="Calibri;sans-serif" w:hAnsi="Calibri;sans-serif"/>
          <w:color w:val="000000"/>
          <w:sz w:val="13"/>
        </w:rPr>
        <w:t>During the nine months ended September 30, 2024, we recognized a goodwill impairment charge of $127.5 million and presented it with other asset impairments. The remaining charges related to other asset impairments. During the three months ended September 30, 2024 and the three and nine months ended September 30, 2023, we did not have a goodwill impairment.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the following table presents a reconciliation of Adjusted EBITDA attributable to redeemable noncontrolling interest to net loss attributable to redeemable noncontrolling interest, the most directly comparable measure calculated in accordance with GAAP, for each of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049"/>
        <w:gridCol w:w="146"/>
        <w:gridCol w:w="211"/>
        <w:gridCol w:w="346"/>
        <w:gridCol w:w="146"/>
        <w:gridCol w:w="146"/>
        <w:gridCol w:w="211"/>
        <w:gridCol w:w="631"/>
        <w:gridCol w:w="166"/>
        <w:gridCol w:w="146"/>
        <w:gridCol w:w="211"/>
        <w:gridCol w:w="346"/>
        <w:gridCol w:w="146"/>
        <w:gridCol w:w="146"/>
        <w:gridCol w:w="211"/>
        <w:gridCol w:w="736"/>
        <w:gridCol w:w="211"/>
      </w:tblGrid>
      <w:tr>
        <w:trPr/>
        <w:tc>
          <w:tcPr>
            <w:tcW w:w="6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1"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604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Reconciliation of 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04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(10,191</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049"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Depreciation and amortization </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8,874</w:t>
            </w:r>
          </w:p>
        </w:tc>
        <w:tc>
          <w:tcPr>
            <w:tcW w:w="211" w:type="dxa"/>
            <w:tcBorders/>
            <w:shd w:fill="CFF0FC" w:val="clear"/>
            <w:vAlign w:val="center"/>
          </w:tcPr>
          <w:p>
            <w:pPr>
              <w:pStyle w:val="TableContents"/>
              <w:bidi w:val="0"/>
              <w:spacing w:before="0" w:after="283"/>
              <w:jc w:val="left"/>
              <w:rPr/>
            </w:pPr>
            <w:r>
              <w:rPr/>
              <w:t> </w:t>
            </w:r>
          </w:p>
        </w:tc>
      </w:tr>
      <w:tr>
        <w:trPr/>
        <w:tc>
          <w:tcPr>
            <w:tcW w:w="6049"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Other long-lived asset impairment</w:t>
            </w:r>
            <w:r>
              <w:rPr>
                <w:rFonts w:ascii="Times New Roman" w:hAnsi="Times New Roman"/>
                <w:color w:val="000000"/>
                <w:sz w:val="20"/>
              </w:rPr>
              <w:t> </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w:t>
            </w:r>
          </w:p>
        </w:tc>
        <w:tc>
          <w:tcPr>
            <w:tcW w:w="211" w:type="dxa"/>
            <w:tcBorders/>
            <w:shd w:fill="FFFFFF" w:val="clear"/>
            <w:vAlign w:val="center"/>
          </w:tcPr>
          <w:p>
            <w:pPr>
              <w:pStyle w:val="TableContents"/>
              <w:bidi w:val="0"/>
              <w:spacing w:before="0" w:after="283"/>
              <w:jc w:val="left"/>
              <w:rPr/>
            </w:pPr>
            <w:r>
              <w:rPr/>
              <w:t> </w:t>
            </w:r>
          </w:p>
        </w:tc>
      </w:tr>
      <w:tr>
        <w:trPr/>
        <w:tc>
          <w:tcPr>
            <w:tcW w:w="6049"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Stock-based compensation expense </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639</w:t>
            </w:r>
          </w:p>
        </w:tc>
        <w:tc>
          <w:tcPr>
            <w:tcW w:w="211" w:type="dxa"/>
            <w:tcBorders/>
            <w:shd w:fill="CFF0FC" w:val="clear"/>
            <w:vAlign w:val="center"/>
          </w:tcPr>
          <w:p>
            <w:pPr>
              <w:pStyle w:val="TableContents"/>
              <w:bidi w:val="0"/>
              <w:spacing w:before="0" w:after="283"/>
              <w:jc w:val="left"/>
              <w:rPr/>
            </w:pPr>
            <w:r>
              <w:rPr/>
              <w:t> </w:t>
            </w:r>
          </w:p>
        </w:tc>
      </w:tr>
      <w:tr>
        <w:trPr/>
        <w:tc>
          <w:tcPr>
            <w:tcW w:w="6049"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Stock-based compensation expense for CarOffer, LLC Units</w:t>
            </w:r>
            <w:r>
              <w:rPr>
                <w:rFonts w:ascii="Times New Roman" w:hAnsi="Times New Roman"/>
                <w:color w:val="000000"/>
                <w:sz w:val="20"/>
              </w:rPr>
              <w:t> </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(467</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6049"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Other expense, net</w:t>
            </w:r>
            <w:r>
              <w:rPr>
                <w:rFonts w:ascii="Times New Roman" w:hAnsi="Times New Roman"/>
                <w:color w:val="000000"/>
                <w:sz w:val="20"/>
              </w:rPr>
              <w:t> </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972</w:t>
            </w:r>
          </w:p>
        </w:tc>
        <w:tc>
          <w:tcPr>
            <w:tcW w:w="211" w:type="dxa"/>
            <w:tcBorders/>
            <w:shd w:fill="CFF0FC" w:val="clear"/>
            <w:vAlign w:val="center"/>
          </w:tcPr>
          <w:p>
            <w:pPr>
              <w:pStyle w:val="TableContents"/>
              <w:bidi w:val="0"/>
              <w:spacing w:before="0" w:after="283"/>
              <w:jc w:val="left"/>
              <w:rPr/>
            </w:pPr>
            <w:r>
              <w:rPr/>
              <w:t> </w:t>
            </w:r>
          </w:p>
        </w:tc>
      </w:tr>
      <w:tr>
        <w:trPr/>
        <w:tc>
          <w:tcPr>
            <w:tcW w:w="6049"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Provision for income taxes </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These exclusions are adjusted to reflect the noncontrolling interest of 38% for the period prior to the 2023 CarOffer Transaction.</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jc w:val="both"/>
        <w:rPr>
          <w:rFonts w:ascii="Calibri;sans-serif" w:hAnsi="Calibri;sans-serif"/>
          <w:color w:val="000000"/>
          <w:sz w:val="13"/>
        </w:rPr>
      </w:pPr>
      <w:r>
        <w:rPr>
          <w:rFonts w:ascii="Calibri;sans-serif" w:hAnsi="Calibri;sans-serif"/>
          <w:color w:val="000000"/>
          <w:sz w:val="13"/>
        </w:rPr>
        <w:t>During the three months ended December 31, 2023, we updated the table to separately disclose the stock-based compensation expense for CarOffer, LLC Units; the three and nine months ended September 30, 2023 have been updated for comparison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Components of Unaudited Condensed Consolidated Income Statements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RPM, digital advertising suite, Digital Retail, and TDO, (ii) advertising revenue from auto manufacturers and other auto</w:t>
        <w:noBreakHyphen/>
        <w:t>related brand advertisers, and (iii) revenue from partnerships with financing services companies. We generate wholesale revenue primarily from (x) transaction fees earned from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We generate product revenue primarily from (A) aggregate proceeds received from the sale of vehicles that were acquired through IMCO transactions and (B) proceeds received from the sale of vehicles that were acquired through arbitration.</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Marketplace Revenue</w:t>
      </w:r>
    </w:p>
    <w:p>
      <w:pPr>
        <w:pStyle w:val="TextBody"/>
        <w:bidi w:val="0"/>
        <w:spacing w:before="240" w:after="283"/>
        <w:jc w:val="both"/>
        <w:rPr>
          <w:rFonts w:ascii="Times New Roman" w:hAnsi="Times New Roman"/>
          <w:sz w:val="20"/>
        </w:rPr>
      </w:pPr>
      <w:r>
        <w:rPr>
          <w:rFonts w:ascii="Calibri;sans-serif" w:hAnsi="Calibri;sans-serif"/>
          <w:color w:val="000000"/>
          <w:sz w:val="20"/>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Instant Market Value, or IMV, Scan tool. For details on the Dealer Dashboard and these merchandising tools, refer to “Our Products and Services – U.S. Marketplace and Other – Dealer Offerings – Dealer Dashboard and Merchandising Tools” in Part I, Item 1 in our Annual Report.</w:t>
      </w:r>
    </w:p>
    <w:p>
      <w:pPr>
        <w:pStyle w:val="TextBody"/>
        <w:bidi w:val="0"/>
        <w:spacing w:before="240" w:after="283"/>
        <w:jc w:val="both"/>
        <w:rPr>
          <w:rFonts w:ascii="Times New Roman" w:hAnsi="Times New Roman"/>
          <w:sz w:val="20"/>
        </w:rPr>
      </w:pPr>
      <w:r>
        <w:rPr>
          <w:rFonts w:ascii="Calibri;sans-serif" w:hAnsi="Calibri;sans-serif"/>
          <w:color w:val="000000"/>
          <w:sz w:val="20"/>
        </w:rPr>
        <w:t>We also offer paid Listings packages for the Autolist and PistonHeads websites.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addition to displaying inventory in our marketplace and providing access to the Dealer Dashboard, we offer dealers subscribing to certain of our Listings packages other subscription advertising and customer acquisition products and enhancements marketed under RPM and our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also offer dealer advertising products for the PistonHeads website.</w:t>
      </w:r>
    </w:p>
    <w:p>
      <w:pPr>
        <w:pStyle w:val="TextBody"/>
        <w:bidi w:val="0"/>
        <w:spacing w:before="240" w:after="283"/>
        <w:jc w:val="both"/>
        <w:rPr>
          <w:rFonts w:ascii="Times New Roman" w:hAnsi="Times New Roman"/>
          <w:sz w:val="20"/>
        </w:rPr>
      </w:pPr>
      <w:r>
        <w:rPr>
          <w:rFonts w:ascii="Calibri;sans-serif" w:hAnsi="Calibri;sans-serif"/>
          <w:color w:val="000000"/>
          <w:sz w:val="20"/>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Geo Expansion, which expands the visibility of a dealer’s inventory in the search results beyond its local market, and (iii) Hard Pull Financing, which provides loan information.</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also offer dealers subscribing to certain of our Listings packages other subscription advertising and customer acquisition products and enhancements such as TDO, which allows dealers to pay for leads to receive direct access to shoppers actively looking to sell their vehicles. Dealers can acquire inventory from shoppers who are looking to sell directly through the CarGurus Sell My Car page.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Marketplace revenue also consists of non-dealer advertising revenue from auto manufacturers and other auto-related brand advertisers sold on a cost-per-thousand impressions basis, or CPM basis. An impression is an advertisement loaded on a web page. In addition to advertising sold on a CPM basis,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also offer non-dealer advertising products for the Autolist and PistonHeads websites.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Wholesale Revenue</w:t>
      </w:r>
    </w:p>
    <w:p>
      <w:pPr>
        <w:pStyle w:val="TextBody"/>
        <w:bidi w:val="0"/>
        <w:spacing w:before="240" w:after="283"/>
        <w:jc w:val="both"/>
        <w:rPr>
          <w:rFonts w:ascii="Times New Roman" w:hAnsi="Times New Roman"/>
          <w:sz w:val="20"/>
        </w:rPr>
      </w:pPr>
      <w:r>
        <w:rPr>
          <w:rFonts w:ascii="Calibri;sans-serif" w:hAnsi="Calibri;sans-serif"/>
          <w:color w:val="000000"/>
          <w:sz w:val="20"/>
        </w:rPr>
        <w:t>The CarOffer Matrix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also includes fees earned from performing inspection and transportation services, where we collect fees from the buying dealer. Inspection and transportation service revenue is inclusive of Dealer-to-Dealer transactions, other marketplace-to-dealer transactions, and IMCO transactions.</w:t>
      </w:r>
    </w:p>
    <w:p>
      <w:pPr>
        <w:pStyle w:val="TextBody"/>
        <w:bidi w:val="0"/>
        <w:spacing w:before="240" w:after="283"/>
        <w:jc w:val="both"/>
        <w:rPr>
          <w:rFonts w:ascii="Times New Roman" w:hAnsi="Times New Roman"/>
          <w:sz w:val="20"/>
        </w:rPr>
      </w:pPr>
      <w:r>
        <w:rPr>
          <w:rFonts w:ascii="Calibri;sans-serif" w:hAnsi="Calibri;sans-serif"/>
          <w:color w:val="000000"/>
          <w:sz w:val="20"/>
        </w:rPr>
        <w:t>Wholesale revenue also includes arbitration in which the vehicle is rematched to a new buyer and not acquired by us. Arbitration is the process by which we investigate and resolve claims from buying dealers.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also includes fees earned from certain guarantees offered to dealers (which include 45-Day Guarantee and OfferGuard products), where we collect fees from the buying dealer or selling dealer, as applicable.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Revenue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CarOffer Matrix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we investigate and resolve claims from buying dealers. We control the vehicle in these transactions and therefore act as the principal.</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Marketplace Cost of Revenue</w:t>
      </w:r>
    </w:p>
    <w:p>
      <w:pPr>
        <w:pStyle w:val="TextBody"/>
        <w:bidi w:val="0"/>
        <w:spacing w:before="240" w:after="283"/>
        <w:jc w:val="both"/>
        <w:rPr>
          <w:rFonts w:ascii="Times New Roman" w:hAnsi="Times New Roman"/>
          <w:sz w:val="20"/>
        </w:rPr>
      </w:pPr>
      <w:r>
        <w:rPr>
          <w:rFonts w:ascii="Calibri;sans-serif" w:hAnsi="Calibri;sans-serif"/>
          <w:color w:val="000000"/>
          <w:sz w:val="20"/>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and impairment of capitalized website development; amortization of capitalized hosting arrangements; and allocated overhead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We allocate overhead expenses, such as rent and facility expenses, software expense, and employee benefit expense, to all departments based on headcount. As such, general overhead expenses are reflected in cost of revenue and each operating expense category.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Wholesale Cost of Revenue</w:t>
      </w:r>
    </w:p>
    <w:p>
      <w:pPr>
        <w:pStyle w:val="TextBody"/>
        <w:bidi w:val="0"/>
        <w:spacing w:before="240" w:after="283"/>
        <w:jc w:val="both"/>
        <w:rPr>
          <w:rFonts w:ascii="Times New Roman" w:hAnsi="Times New Roman"/>
          <w:sz w:val="20"/>
        </w:rPr>
      </w:pPr>
      <w:r>
        <w:rPr>
          <w:rFonts w:ascii="Calibri;sans-serif" w:hAnsi="Calibri;sans-serif"/>
          <w:color w:val="000000"/>
          <w:sz w:val="20"/>
        </w:rPr>
        <w:t>Wholesale cost of revenue includes expenses related to supporting and hosting Digital Wholesale service offerings, including Dealer-to-Dealer transactions and vehicles sold to dealers acquired at other marketplaces on the CarOffer Matrix.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and impairment of capitalized website development; and allocated overhead expenses.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allocate overhead expenses, such as rent and facility expenses, software expense, and employee benefit expense, to all departments based on headcount. As such, general overhead expenses are reflected in cost of revenue and each operating expense category.</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Cost of Revenue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cost of revenue includes expenses related to vehicles sold to dealers through IMCO transactions and vehicles sold to dealers acquired through arbitration. These expenses include the cost of the vehicle and transportation expenses.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Sales and Marketing</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due to seasonality and as we respond to changes in the macroeconomic and competitive landscapes affecting our existing dealers, consumer audience, and brand awareness.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Technology, and Development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technology, and development expenses consist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expenses to remain relatively flat for the remainder of the year.</w:t>
      </w:r>
    </w:p>
    <w:p>
      <w:pPr>
        <w:pStyle w:val="TextBody"/>
        <w:bidi w:val="0"/>
        <w:spacing w:before="240" w:after="283"/>
        <w:jc w:val="left"/>
        <w:rPr>
          <w:rFonts w:ascii="Calibri;sans-serif" w:hAnsi="Calibri;sans-serif"/>
          <w:i/>
          <w:color w:val="000000"/>
          <w:sz w:val="20"/>
        </w:rPr>
      </w:pPr>
      <w:r>
        <w:rPr>
          <w:rFonts w:ascii="Calibri;sans-serif" w:hAnsi="Calibri;sans-serif"/>
          <w:i/>
          <w:color w:val="000000"/>
          <w:sz w:val="20"/>
        </w:rPr>
        <w:t>General and Administrative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General and administrative expenses consist primarily of personnel and related expenses for our executive, finance, legal, people &amp;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expenses are expensed as incurred. We expect general and administrative expenses to remain relatively flat for the remainder of the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i/>
          <w:color w:val="000000"/>
          <w:sz w:val="20"/>
        </w:rPr>
      </w:pPr>
      <w:r>
        <w:rPr>
          <w:rFonts w:ascii="Calibri;sans-serif" w:hAnsi="Calibri;sans-serif"/>
          <w:i/>
          <w:color w:val="000000"/>
          <w:sz w:val="20"/>
        </w:rPr>
        <w:t>Goodwill and Other Asset Impairment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three months ended June 30, 2024, we identified a triggering event for goodwill and other assets impairment testing purposes at the CarOffer reporting unit due to recent organizational changes and Transaction volume declines, which resulted in revisions to our financial projections for the CarOffer reporting unit. As a result, we performed an updated fair value analysis of the CarOffer reporting unit, and subsequently recognized impairment losses of $4.7 million, $7.6 million, and $115.2 million for right-of-use assets, intangible assets, and goodwill, respectively. For the three months ended September 30, 2024, there were no impairment losses recognized related to the CarOffer reporting unit. For the nine months ended September 30, 2024, we recognized Digital Wholesale segment impairment charges related to the CarOffer reporting unit of $127.5 million as goodwill and other asset impairment operating expense.</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September 30, 2024, we decided to end our CG Buy Online pilot in order to redirect those resources toward other investment opportunities, including continued product innovation and development across our business. The CG Buy Online pilot was a one of the initiatives that allowed consumers to purchase vehicles online. As a result, we recognized impairment losses of $15.8 million, $0.5 million and $0.5 million for property and equipment, net, prepaid expenses, prepaid income taxes and other current assets, and other non-current assets, respectively. For both the three and nine months ended September 30, 2024, we recognized Digital Wholesale segment impairment charges related to the CG Buy Online reporting unit of $9.8 million and $7.0 million as wholesale cost of revenue and goodwill and other asset impairment operating expense,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further discussion of goodwill and other asset impairments, see Note 6 of the Unaudited Condensed Consolidated Financial Statements included elsewhere in this Quarterly Report</w:t>
      </w:r>
      <w:r>
        <w:rPr>
          <w:rFonts w:ascii="Times New Roman" w:hAnsi="Times New Roman"/>
          <w:color w:val="000000"/>
          <w:sz w:val="24"/>
        </w:rPr>
        <w:t>.</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Depreciation and Amortization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Depreciation and amortization expenses consist of depreciation on property and equipment and amortization of intangible assets and internal-use software.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Net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Other income, net consists primarily of interest income earned on our cash, cash equivalents, and short-term investments and foreign exchange gains and losses.</w:t>
      </w:r>
    </w:p>
    <w:p>
      <w:pPr>
        <w:pStyle w:val="TextBody"/>
        <w:bidi w:val="0"/>
        <w:spacing w:before="240" w:after="283"/>
        <w:jc w:val="both"/>
        <w:rPr>
          <w:rFonts w:ascii="Times New Roman" w:hAnsi="Times New Roman"/>
          <w:sz w:val="20"/>
        </w:rPr>
      </w:pPr>
      <w:r>
        <w:rPr>
          <w:rFonts w:ascii="Calibri;sans-serif" w:hAnsi="Calibri;sans-serif"/>
          <w:b/>
          <w:i/>
          <w:color w:val="000000"/>
          <w:sz w:val="20"/>
        </w:rPr>
        <w:t>Provision for (Benefit from) Income Taxes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We are subject to federal and state income taxes in the U.S. and taxes in foreign jurisdictions in which we operate. For the three months ended September 30, 2024, a provision for income taxes was recognized as a result of the consolidated taxable income position. For the nine months ended September 30, 2024, a benefit from income taxes was recognized as a result of the discrete tax benefit associated with the impairment charges and our consolidated taxable loss position. For the three and nine months ended September 30, 2023, a provision for income taxes was recognized as a result of the consolidated taxable income position.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We recognize deferred tax assets and liabilities based on temporary differences between the financial reporting and income tax bases of assets and liabilities using enacted tax rates in effect for the year in which the temporary differences are expected to be recovered or settled.</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regularly assess the need to recognize a valuation allowance against net deferred tax assets if, based upon the available evidence, it is more likely than not that some or all of the deferred tax assets will not be realized. As of September 30, 2024 and December 31, 2023, valuation allowances were immaterial.</w:t>
      </w:r>
    </w:p>
    <w:p>
      <w:pPr>
        <w:pStyle w:val="TextBody"/>
        <w:bidi w:val="0"/>
        <w:spacing w:before="240" w:after="283"/>
        <w:jc w:val="both"/>
        <w:rPr>
          <w:rFonts w:ascii="Times New Roman" w:hAnsi="Times New Roman"/>
          <w:sz w:val="20"/>
        </w:rPr>
      </w:pPr>
      <w:r>
        <w:rPr>
          <w:rFonts w:ascii="Calibri;sans-serif" w:hAnsi="Calibri;sans-serif"/>
          <w:color w:val="000000"/>
          <w:sz w:val="20"/>
        </w:rPr>
        <w:t>We assess our income tax positions and recognize an income tax benefit or expense based upon our evaluation of the facts, circumstances, and information available at the reporting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and nine months ended September 30, 2024, income tax expense recognized related to uncertain tax provisions was immaterial. An immaterial amount of the reserve relating to uncertain tax positions was released as we would be more-likely-than-not to prevail should these tax positions be challenged by the respective tax authorities. As of September 30, 2024, the income tax liability related to uncertain tax positions, exclusive of immaterial interest or penalties related to uncertain tax provisions, was $0.9 million, which would have favorably affected our effective tax rate, if recognized.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and nine months ended September 30, 2023, we did not recognize income tax expense related to uncertain tax provisions. As of December 31, 2023, the income tax liability related to uncertain tax positions, exclusive of immaterial interest or penalties related to uncertain tax provisions, was $0.8 million, which would have favorably affected our effective tax rate, if recognized.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Organisation for Economic Co-operation and Development introduced an international tax framework under Pillar Two, which includes a global minimum tax of 15%. Pillar Two legislation has been enacted or substantively enacted in certain jurisdictions where we operate. The Pillar Two legislation became effective for our fiscal year beginning January 1, 2024. We have performed an assessment of its potential exposure to Pillar Two income taxes based on our most recent tax filings, country-by-country reporting, and financial statements for our constituent entities. Based on the assessment performed, we meet the Pillar Two transitional safe harbor effective tax rate relief as all jurisdictions in which we operate are above 15%. We do not expect any material exposure to Pillar Two income taxes in any jurisdictions.</w:t>
      </w:r>
    </w:p>
    <w:p>
      <w:pPr>
        <w:pStyle w:val="TextBody"/>
        <w:bidi w:val="0"/>
        <w:spacing w:before="240" w:after="283"/>
        <w:jc w:val="both"/>
        <w:rPr>
          <w:rFonts w:ascii="Times New Roman" w:hAnsi="Times New Roman"/>
          <w:sz w:val="20"/>
        </w:rPr>
      </w:pPr>
      <w:r>
        <w:rPr>
          <w:rFonts w:ascii="Calibri;sans-serif" w:hAnsi="Calibri;sans-serif"/>
          <w:b/>
          <w:color w:val="000000"/>
          <w:sz w:val="20"/>
        </w:rPr>
        <w:t>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September 30, 2024 and 2023 and for the nine months ended September 30, 2024 and 2023, the Unaudited Condensed Consolidated Income Statements are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44"/>
        <w:gridCol w:w="146"/>
        <w:gridCol w:w="211"/>
        <w:gridCol w:w="781"/>
        <w:gridCol w:w="166"/>
        <w:gridCol w:w="146"/>
        <w:gridCol w:w="211"/>
        <w:gridCol w:w="781"/>
        <w:gridCol w:w="166"/>
        <w:gridCol w:w="146"/>
        <w:gridCol w:w="211"/>
        <w:gridCol w:w="781"/>
        <w:gridCol w:w="166"/>
        <w:gridCol w:w="146"/>
        <w:gridCol w:w="211"/>
        <w:gridCol w:w="781"/>
        <w:gridCol w:w="611"/>
      </w:tblGrid>
      <w:tr>
        <w:trPr/>
        <w:tc>
          <w:tcPr>
            <w:tcW w:w="4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611" w:type="dxa"/>
            <w:tcBorders/>
            <w:shd w:fill="FFFFFF" w:val="clear"/>
            <w:vAlign w:val="center"/>
          </w:tcPr>
          <w:p>
            <w:pPr>
              <w:pStyle w:val="TableContents"/>
              <w:bidi w:val="0"/>
              <w:spacing w:before="0" w:after="283"/>
              <w:jc w:val="center"/>
              <w:rPr/>
            </w:pPr>
            <w:r>
              <w:rPr/>
              <w:t> </w:t>
            </w:r>
          </w:p>
        </w:tc>
      </w:tr>
      <w:tr>
        <w:trPr/>
        <w:tc>
          <w:tcPr>
            <w:tcW w:w="45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54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586,405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515,986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78,873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54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96,260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4"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611" w:type="dxa"/>
            <w:tcBorders/>
            <w:shd w:fill="CFF0FC" w:val="clear"/>
            <w:vAlign w:val="center"/>
          </w:tcPr>
          <w:p>
            <w:pPr>
              <w:pStyle w:val="TableContents"/>
              <w:bidi w:val="0"/>
              <w:spacing w:before="0" w:after="283"/>
              <w:jc w:val="left"/>
              <w:rPr/>
            </w:pPr>
            <w:r>
              <w:rPr/>
              <w:t> </w:t>
            </w:r>
          </w:p>
        </w:tc>
      </w:tr>
      <w:tr>
        <w:trPr/>
        <w:tc>
          <w:tcPr>
            <w:tcW w:w="45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5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45,830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54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67,780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94,090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4"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207,700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539,956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483,419</w:t>
            </w:r>
          </w:p>
        </w:tc>
        <w:tc>
          <w:tcPr>
            <w:tcW w:w="611" w:type="dxa"/>
            <w:tcBorders/>
            <w:shd w:fill="CFF0FC" w:val="clear"/>
            <w:vAlign w:val="center"/>
          </w:tcPr>
          <w:p>
            <w:pPr>
              <w:pStyle w:val="TableContents"/>
              <w:bidi w:val="0"/>
              <w:spacing w:before="0" w:after="283"/>
              <w:jc w:val="left"/>
              <w:rPr/>
            </w:pPr>
            <w:r>
              <w:rPr/>
              <w:t> </w:t>
            </w:r>
          </w:p>
        </w:tc>
      </w:tr>
      <w:tr>
        <w:trPr/>
        <w:tc>
          <w:tcPr>
            <w:tcW w:w="45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5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230,243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54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109,432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77,090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54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Goodwill and other asset impairment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4"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579,822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428,527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(39,866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54,892</w:t>
            </w:r>
          </w:p>
        </w:tc>
        <w:tc>
          <w:tcPr>
            <w:tcW w:w="611" w:type="dxa"/>
            <w:tcBorders/>
            <w:shd w:fill="CFF0FC" w:val="clear"/>
            <w:vAlign w:val="center"/>
          </w:tcPr>
          <w:p>
            <w:pPr>
              <w:pStyle w:val="TableContents"/>
              <w:bidi w:val="0"/>
              <w:spacing w:before="0" w:after="283"/>
              <w:jc w:val="left"/>
              <w:rPr/>
            </w:pPr>
            <w:r>
              <w:rPr/>
              <w:t> </w:t>
            </w:r>
          </w:p>
        </w:tc>
      </w:tr>
      <w:tr>
        <w:trPr/>
        <w:tc>
          <w:tcPr>
            <w:tcW w:w="45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54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13,337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54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4544"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13,185</w:t>
            </w:r>
          </w:p>
        </w:tc>
        <w:tc>
          <w:tcPr>
            <w:tcW w:w="611" w:type="dxa"/>
            <w:tcBorders/>
            <w:shd w:fill="CFF0FC" w:val="clear"/>
            <w:vAlign w:val="center"/>
          </w:tcPr>
          <w:p>
            <w:pPr>
              <w:pStyle w:val="TableContents"/>
              <w:bidi w:val="0"/>
              <w:spacing w:before="0" w:after="283"/>
              <w:jc w:val="left"/>
              <w:rPr/>
            </w:pPr>
            <w:r>
              <w:rPr/>
              <w:t> </w:t>
            </w:r>
          </w:p>
        </w:tc>
      </w:tr>
      <w:tr>
        <w:trPr/>
        <w:tc>
          <w:tcPr>
            <w:tcW w:w="45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(30,681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68,077</w:t>
            </w:r>
          </w:p>
        </w:tc>
        <w:tc>
          <w:tcPr>
            <w:tcW w:w="611" w:type="dxa"/>
            <w:tcBorders/>
            <w:shd w:fill="FFFFFF" w:val="clear"/>
            <w:vAlign w:val="center"/>
          </w:tcPr>
          <w:p>
            <w:pPr>
              <w:pStyle w:val="TableContents"/>
              <w:bidi w:val="0"/>
              <w:spacing w:before="0" w:after="283"/>
              <w:jc w:val="left"/>
              <w:rPr/>
            </w:pPr>
            <w:r>
              <w:rPr/>
              <w:t> </w:t>
            </w:r>
          </w:p>
        </w:tc>
      </w:tr>
      <w:tr>
        <w:trPr/>
        <w:tc>
          <w:tcPr>
            <w:tcW w:w="45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Provision for (benefit from)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44,656</w:t>
            </w:r>
          </w:p>
        </w:tc>
        <w:tc>
          <w:tcPr>
            <w:tcW w:w="611" w:type="dxa"/>
            <w:tcBorders/>
            <w:shd w:fill="FFFFFF" w:val="clear"/>
            <w:vAlign w:val="center"/>
          </w:tcPr>
          <w:p>
            <w:pPr>
              <w:pStyle w:val="TableContents"/>
              <w:bidi w:val="0"/>
              <w:spacing w:before="0" w:after="283"/>
              <w:jc w:val="left"/>
              <w:rPr/>
            </w:pPr>
            <w:r>
              <w:rPr/>
              <w:t> </w:t>
            </w:r>
          </w:p>
        </w:tc>
      </w:tr>
      <w:tr>
        <w:trPr/>
        <w:tc>
          <w:tcPr>
            <w:tcW w:w="45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5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our segment revenue and our segment income (loss) from operations are as follows:</w:t>
      </w:r>
    </w:p>
    <w:tbl>
      <w:tblPr>
        <w:tblW w:w="8987"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781"/>
        <w:gridCol w:w="166"/>
        <w:gridCol w:w="146"/>
        <w:gridCol w:w="211"/>
        <w:gridCol w:w="841"/>
        <w:gridCol w:w="166"/>
        <w:gridCol w:w="146"/>
        <w:gridCol w:w="211"/>
        <w:gridCol w:w="78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187,253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540,293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478,387</w:t>
            </w:r>
          </w:p>
        </w:tc>
        <w:tc>
          <w:tcPr>
            <w:tcW w:w="4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175,133</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84,443</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(25,317</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(11,652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(173,815</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(29,184</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the Unaudited Condensed Consolidated Income Statements as a percentage of total revenue are as follows (amounts in the table below may not sum due to rounding):</w:t>
      </w:r>
    </w:p>
    <w:p>
      <w:pPr>
        <w:pStyle w:val="TextBody"/>
        <w:bidi w:val="0"/>
        <w:jc w:val="both"/>
        <w:rPr/>
      </w:pPr>
      <w:r>
        <w:rPr/>
        <w:t> </w:t>
      </w:r>
    </w:p>
    <w:tbl>
      <w:tblPr>
        <w:tblW w:w="9023" w:type="dxa"/>
        <w:jc w:val="left"/>
        <w:tblInd w:w="0" w:type="dxa"/>
        <w:tblLayout w:type="fixed"/>
        <w:tblCellMar>
          <w:top w:w="28" w:type="dxa"/>
          <w:left w:w="28" w:type="dxa"/>
          <w:bottom w:w="28" w:type="dxa"/>
          <w:right w:w="28" w:type="dxa"/>
        </w:tblCellMar>
      </w:tblPr>
      <w:tblGrid>
        <w:gridCol w:w="4756"/>
        <w:gridCol w:w="146"/>
        <w:gridCol w:w="148"/>
        <w:gridCol w:w="427"/>
        <w:gridCol w:w="244"/>
        <w:gridCol w:w="148"/>
        <w:gridCol w:w="148"/>
        <w:gridCol w:w="427"/>
        <w:gridCol w:w="241"/>
        <w:gridCol w:w="146"/>
        <w:gridCol w:w="146"/>
        <w:gridCol w:w="421"/>
        <w:gridCol w:w="301"/>
        <w:gridCol w:w="146"/>
        <w:gridCol w:w="146"/>
        <w:gridCol w:w="421"/>
        <w:gridCol w:w="6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2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61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6"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6" w:type="dxa"/>
            <w:tcBorders/>
            <w:shd w:fill="FFFFFF"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Goodwill and other asset impairment</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5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475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6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(loss) before income taxes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61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Provision for (benefit from)income taxes</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income (loss)</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61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September 30, 2024 and 2023 and for the nine months ended September 30, 2024 and 2023, our segment revenue as a percentage of total revenue and our segment income (loss) from operations as a percentage of segment revenue are as follows (amounts in the table below may not sum due to rounding):</w:t>
      </w:r>
    </w:p>
    <w:p>
      <w:pPr>
        <w:pStyle w:val="TextBody"/>
        <w:bidi w:val="0"/>
        <w:jc w:val="both"/>
        <w:rPr/>
      </w:pPr>
      <w:r>
        <w:rPr/>
        <w:t> </w:t>
      </w:r>
    </w:p>
    <w:tbl>
      <w:tblPr>
        <w:tblW w:w="7593" w:type="dxa"/>
        <w:jc w:val="left"/>
        <w:tblInd w:w="0" w:type="dxa"/>
        <w:tblLayout w:type="fixed"/>
        <w:tblCellMar>
          <w:top w:w="28" w:type="dxa"/>
          <w:left w:w="28" w:type="dxa"/>
          <w:bottom w:w="28" w:type="dxa"/>
          <w:right w:w="28" w:type="dxa"/>
        </w:tblCellMar>
      </w:tblPr>
      <w:tblGrid>
        <w:gridCol w:w="3466"/>
        <w:gridCol w:w="146"/>
        <w:gridCol w:w="148"/>
        <w:gridCol w:w="427"/>
        <w:gridCol w:w="244"/>
        <w:gridCol w:w="148"/>
        <w:gridCol w:w="148"/>
        <w:gridCol w:w="427"/>
        <w:gridCol w:w="241"/>
        <w:gridCol w:w="146"/>
        <w:gridCol w:w="146"/>
        <w:gridCol w:w="481"/>
        <w:gridCol w:w="301"/>
        <w:gridCol w:w="146"/>
        <w:gridCol w:w="146"/>
        <w:gridCol w:w="42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75"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2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4"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CFF0FC" w:val="cle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575"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w:t>
            </w:r>
          </w:p>
        </w:tc>
        <w:tc>
          <w:tcPr>
            <w:tcW w:w="24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w:t>
            </w:r>
          </w:p>
        </w:tc>
        <w:tc>
          <w:tcPr>
            <w:tcW w:w="24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8" w:type="dxa"/>
            <w:tcBorders/>
            <w:shd w:fill="FFFFFF" w:val="cle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For the three months ended September 30, 2024 and 2023</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Revenue by Source</w:t>
      </w:r>
    </w:p>
    <w:p>
      <w:pPr>
        <w:pStyle w:val="TextBody"/>
        <w:bidi w:val="0"/>
        <w:jc w:val="both"/>
        <w:rPr/>
      </w:pPr>
      <w:r>
        <w:rPr/>
        <w:t> </w:t>
      </w:r>
    </w:p>
    <w:tbl>
      <w:tblPr>
        <w:tblW w:w="752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676"/>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7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204,019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177,909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12,107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21,735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(9,628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15,232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19,775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revenue increased $11.9 million, or 5%, in the three months ended September 30, 2024, compared to the three months ended September 30, 2023.</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revenue increased $26.1 million, or 15%, in the three months ended September 30, 2024, compared to the three months ended September 30, 2023, and represented 88% of total revenue for the three months ended September 30, 2024, compared to 81% of total revenue for the three months ended September 30, 2023. The increase was due primarily to an increase in Listings revenue, inclusive of certain digital add-on products, as a result of growth in QARSD, which was driven by signing on new dealers with higher average subscription revenue and revenue expansion through product adoption or upgrades and price increases for existing dealers. The increase was also due in part to an increase in TDO revenue as we expanded into more geographies following the completion of the TDO pilot and an increase in advertising revenue due primarily to increased spend by advertisers related to new and existing campaigns.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decreased $9.6 million, or 44%, in the three months ended September 30, 2024, compared to the three months ended September 30, 2023, and represented 5% of total revenue for the three months ended September 30, 2024, compared to 10% of total revenue for the three months ended September 30, 2023. The decrease was due primarily to a 39% decrease in Transactions, which includes Dealer-to-Dealer transactions and IMCO transactions, to 8,249 for the three months ended September 30, 2024, from 13,562 for the three months ended September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revenue decreased $4.5 million, or 23%, in the three months ended September 30, 2024, compared to the three months ended September 30, 2023, and represented 7% of total revenue for the three months ended September 30, 2024, compared to 9% of total revenue for the three months ended September 30, 2023. The decrease was due primarily to a decrease in proceeds received from the sale of vehicles through IMCO transactions, driven by a decrease in Transactions. The decrease in product revenue was offset in part by an increase in proceeds received from the sale of vehicles acquired through arbitration.</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Segment Revenue</w:t>
      </w:r>
    </w:p>
    <w:p>
      <w:pPr>
        <w:pStyle w:val="TextBody"/>
        <w:bidi w:val="0"/>
        <w:jc w:val="both"/>
        <w:rPr/>
      </w:pPr>
      <w:r>
        <w:rPr/>
        <w:t> </w:t>
      </w:r>
    </w:p>
    <w:tbl>
      <w:tblPr>
        <w:tblW w:w="756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736"/>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187,253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27,339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41,510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(14,171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16,766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13,586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231,358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219,419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revenue increased $22.9 million, or 14%, in the three months ended September 30, 2024, compared to the three months ended September 30, 2023, and represented 81% of total revenue for the three months ended September 30, 2024, compared to 75% of total revenue for the three months ended September 30, 2023. The increase was due primarily to a $26.1 million increase in marketplace revenue, as described above.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Digital Wholesale segment revenue, which is comprised of wholesale revenue and product revenue, decreased $14.2 million, or 34%, in the three months ended September 30, 2024, compared to the three months ended September 30, 2023, and represented 12% of total revenue for the three months ended September 30, 2024, compared to 19% of total revenue for the three months ended September 30, 2023. The decrease in Digital Wholesale segment revenue was due to a $9.6 million decrease in wholesale revenue and a $4.5 million decrease in product revenue, as described above.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jc w:val="both"/>
        <w:rPr/>
      </w:pPr>
      <w:r>
        <w:rPr/>
        <w:t> </w:t>
      </w:r>
    </w:p>
    <w:tbl>
      <w:tblPr>
        <w:tblW w:w="7272" w:type="dxa"/>
        <w:jc w:val="left"/>
        <w:tblInd w:w="0" w:type="dxa"/>
        <w:tblLayout w:type="fixed"/>
        <w:tblCellMar>
          <w:top w:w="28" w:type="dxa"/>
          <w:left w:w="28" w:type="dxa"/>
          <w:bottom w:w="28" w:type="dxa"/>
          <w:right w:w="28" w:type="dxa"/>
        </w:tblCellMar>
      </w:tblPr>
      <w:tblGrid>
        <w:gridCol w:w="2491"/>
        <w:gridCol w:w="146"/>
        <w:gridCol w:w="211"/>
        <w:gridCol w:w="676"/>
        <w:gridCol w:w="241"/>
        <w:gridCol w:w="146"/>
        <w:gridCol w:w="211"/>
        <w:gridCol w:w="676"/>
        <w:gridCol w:w="241"/>
        <w:gridCol w:w="146"/>
        <w:gridCol w:w="211"/>
        <w:gridCol w:w="63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2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13,521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20,415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21,284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19,014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48,807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55,121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(6,314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cost of revenue decreased $6.3 million, or 11%, in the three months ended September 30, 2024, compared to the three months ended September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cost of revenue decreased $1.3 million, or 9%, in the three months ended September 30, 2024, compared to the three months ended September 30, 2023, and represented 6% of total revenue for the three months ended September 30, 2024, compared to 7% of total revenue for the three months ended September 30, 2023. The decrease was due primarily to a $1.4 million decrease in fees related to provisioning advertising campaigns on our websites.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cost of revenue decreased $0.9 million, or 4%, in the three months ended September 30, 2024, compared to the three months ended September 30, 2023, and represented 9% of total revenue for the three months ended September 30, 2024, compared to 10% of total revenue for the three months ended September 30, 2023. The decrease was due primarily to a $5.2 million decrease in amortization related to the CarOffer acquired developed technology intangible asset as it became fully amortized during the first quarter of 2024. The decrease was also due in part to a $3.6 million decrease in transportation expense and a $0.8 million decrease in inspection expense as a result of lower Transaction volume, and a $0.5 million decrease in employee-related expenses. The decrease in wholesale cost of revenue was offset in part by a $9.8 million increase in impairment of capitalized website development costs due to the end of the CG Buy Online pilot.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cost of revenue decreased $4.1 million, or 22%, in the three months ended September 30, 2024, compared to the three months ended September 30, 2023, and represented 6% of total revenue for the three months ended September 30, 2024, compared to 9% of total revenue for the three months ended September 30, 2023. The decrease was due primarily to a decrease in expenses related to vehicles sold to dealers through IMCO transactions as a result of lower Transaction volume. The decrease in product cost of revenue was offset in part by an increase in expenses related to vehicles sold to dealers acquired through arbitration.</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Times New Roman" w:hAnsi="Times New Roman"/>
          <w:sz w:val="20"/>
        </w:rPr>
      </w:pPr>
      <w:r>
        <w:rPr>
          <w:rFonts w:ascii="Calibri;sans-serif" w:hAnsi="Calibri;sans-serif"/>
          <w:i/>
          <w:color w:val="000000"/>
          <w:sz w:val="20"/>
        </w:rPr>
        <w:t>Sales and Marketing Expense</w:t>
      </w:r>
      <w:r>
        <w:rPr>
          <w:rFonts w:ascii="Times New Roman" w:hAnsi="Times New Roman"/>
          <w:color w:val="000000"/>
          <w:sz w:val="20"/>
        </w:rPr>
        <w:t xml:space="preserve"> </w:t>
      </w:r>
    </w:p>
    <w:p>
      <w:pPr>
        <w:pStyle w:val="TextBody"/>
        <w:bidi w:val="0"/>
        <w:jc w:val="both"/>
        <w:rPr/>
      </w:pPr>
      <w:r>
        <w:rPr/>
        <w:t> </w:t>
      </w:r>
    </w:p>
    <w:tbl>
      <w:tblPr>
        <w:tblW w:w="670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571"/>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7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81,216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76,828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Sales and marketing expense increased $4.4 million, or 6%, in the three months ended September 30, 2024, compared to the three months ended September 30, 2023. The increase was due primarily to a $3.3 million increase in advertising and marketing expense for strategic advertising spend with our performance marketing vendors to maintain year-over-year lead volume and grow with the market, as well as our brand awareness campaigns. The increase in sales and marketing expense was also due in part to a $1.1 million increase in salaries and employee-related expenses due primarily to an increase in commissions expense as a result of higher sales, and merit increases.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Technology, and Development Expense</w:t>
      </w:r>
    </w:p>
    <w:p>
      <w:pPr>
        <w:pStyle w:val="TextBody"/>
        <w:bidi w:val="0"/>
        <w:jc w:val="both"/>
        <w:rPr/>
      </w:pPr>
      <w:r>
        <w:rPr/>
        <w:t> </w:t>
      </w:r>
    </w:p>
    <w:tbl>
      <w:tblPr>
        <w:tblW w:w="7486" w:type="dxa"/>
        <w:jc w:val="left"/>
        <w:tblInd w:w="0" w:type="dxa"/>
        <w:tblLayout w:type="fixed"/>
        <w:tblCellMar>
          <w:top w:w="28" w:type="dxa"/>
          <w:left w:w="28" w:type="dxa"/>
          <w:bottom w:w="28" w:type="dxa"/>
          <w:right w:w="28" w:type="dxa"/>
        </w:tblCellMar>
      </w:tblPr>
      <w:tblGrid>
        <w:gridCol w:w="3181"/>
        <w:gridCol w:w="146"/>
        <w:gridCol w:w="211"/>
        <w:gridCol w:w="676"/>
        <w:gridCol w:w="241"/>
        <w:gridCol w:w="146"/>
        <w:gridCol w:w="211"/>
        <w:gridCol w:w="676"/>
        <w:gridCol w:w="241"/>
        <w:gridCol w:w="146"/>
        <w:gridCol w:w="225"/>
        <w:gridCol w:w="451"/>
        <w:gridCol w:w="146"/>
        <w:gridCol w:w="146"/>
        <w:gridCol w:w="146"/>
        <w:gridCol w:w="211"/>
        <w:gridCol w:w="28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73"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36,359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35,434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5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1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technology, and development expense increased $0.9 million, or 3%, in the three months ended September 30, 2024, compared to the three months ended September 30, 2023. The increase was due primarily to a $1.9 million increase in salaries and employee-related expenses due primarily to merit increases. The increase in product, technology, and development expense was offset in part by a $0.8 million decrease in expense as a result of increased capitalized website development and a $0.8 million decrease in rent and facilities expense due to the expiration of the lease of office space at 2 Canal Park and a portion of our office space at 55 Cambridge Parkway.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i/>
          <w:color w:val="000000"/>
          <w:sz w:val="20"/>
        </w:rPr>
        <w:t>General and Administrative Expense</w:t>
      </w:r>
      <w:r>
        <w:rPr>
          <w:rFonts w:ascii="Times New Roman" w:hAnsi="Times New Roman"/>
          <w:color w:val="000000"/>
          <w:sz w:val="20"/>
        </w:rPr>
        <w:t xml:space="preserve"> </w:t>
      </w:r>
    </w:p>
    <w:p>
      <w:pPr>
        <w:pStyle w:val="TextBody"/>
        <w:bidi w:val="0"/>
        <w:jc w:val="both"/>
        <w:rPr/>
      </w:pPr>
      <w:r>
        <w:rPr/>
        <w:t> </w:t>
      </w:r>
    </w:p>
    <w:tbl>
      <w:tblPr>
        <w:tblW w:w="6812"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571"/>
        <w:gridCol w:w="146"/>
        <w:gridCol w:w="146"/>
        <w:gridCol w:w="146"/>
        <w:gridCol w:w="316"/>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8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28,187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24,904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General and administrative expense increased $3.3 million, or 13%, in the three months ended September 30, 2024, compared to the three months ended September 30, 2023. The increase was due primarily to a $3.6 million increase in salaries and employee-related expenses, inclusive of a $1.9 million increase in stock-based compensation expense, due primarily to an 8% increase in headcount and merit increases. The increase was also due in part to a $0.5 million increase in tax expense related to the accrual for the non-income tax-related expense. The increase in general and administrative expense was offset in part by a $1.3 million decrease in legal expenses.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Goodwill and Other Asset Impairment</w:t>
      </w:r>
    </w:p>
    <w:p>
      <w:pPr>
        <w:pStyle w:val="TextBody"/>
        <w:bidi w:val="0"/>
        <w:jc w:val="both"/>
        <w:rPr/>
      </w:pPr>
      <w:r>
        <w:rPr/>
        <w:t> </w:t>
      </w:r>
    </w:p>
    <w:tbl>
      <w:tblPr>
        <w:tblW w:w="7025" w:type="dxa"/>
        <w:jc w:val="left"/>
        <w:tblInd w:w="0" w:type="dxa"/>
        <w:tblLayout w:type="fixed"/>
        <w:tblCellMar>
          <w:top w:w="28" w:type="dxa"/>
          <w:left w:w="28" w:type="dxa"/>
          <w:bottom w:w="28" w:type="dxa"/>
          <w:right w:w="28" w:type="dxa"/>
        </w:tblCellMar>
      </w:tblPr>
      <w:tblGrid>
        <w:gridCol w:w="3046"/>
        <w:gridCol w:w="146"/>
        <w:gridCol w:w="211"/>
        <w:gridCol w:w="571"/>
        <w:gridCol w:w="241"/>
        <w:gridCol w:w="146"/>
        <w:gridCol w:w="211"/>
        <w:gridCol w:w="346"/>
        <w:gridCol w:w="241"/>
        <w:gridCol w:w="146"/>
        <w:gridCol w:w="211"/>
        <w:gridCol w:w="571"/>
        <w:gridCol w:w="146"/>
        <w:gridCol w:w="146"/>
        <w:gridCol w:w="64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33" w:type="dxa"/>
            <w:gridSpan w:val="13"/>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r>
      <w:tr>
        <w:trPr/>
        <w:tc>
          <w:tcPr>
            <w:tcW w:w="30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 and other asset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7,026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sz w:val="20"/>
              </w:rPr>
            </w:pPr>
            <w:r>
              <w:rPr>
                <w:rFonts w:ascii="Calibri;sans-serif" w:hAnsi="Calibri;sans-serif"/>
                <w:color w:val="000000"/>
                <w:sz w:val="20"/>
              </w:rPr>
              <w:t xml:space="preserve">NM </w:t>
            </w:r>
            <w:r>
              <w:rPr>
                <w:rFonts w:ascii="Calibri;sans-serif" w:hAnsi="Calibri;sans-serif"/>
                <w:color w:val="000000"/>
                <w:sz w:val="13"/>
              </w:rPr>
              <w:t>(1)</w:t>
            </w:r>
          </w:p>
        </w:tc>
      </w:tr>
      <w:tr>
        <w:trPr/>
        <w:tc>
          <w:tcPr>
            <w:tcW w:w="30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Not meaningful</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Goodwill and other asset impairment increased $7.0 million in the three months ended September 30, 2024, compared to the three months ended September 30, 2023. The increase was due to a $7.0 impairment due to the end of the CG Buy Online pilot. For further discussion of goodwill and other asset impairments, see Note 6 of the Unaudited Condensed Consolidated Financial Statements included elsewhere in this Quarterly Report.</w:t>
      </w:r>
    </w:p>
    <w:p>
      <w:pPr>
        <w:pStyle w:val="TextBody"/>
        <w:bidi w:val="0"/>
        <w:spacing w:before="240" w:after="283"/>
        <w:jc w:val="both"/>
        <w:rPr>
          <w:rFonts w:ascii="Times New Roman" w:hAnsi="Times New Roman"/>
          <w:sz w:val="20"/>
        </w:rPr>
      </w:pPr>
      <w:r>
        <w:rPr>
          <w:rFonts w:ascii="Calibri;sans-serif" w:hAnsi="Calibri;sans-serif"/>
          <w:i/>
          <w:color w:val="000000"/>
          <w:sz w:val="20"/>
        </w:rPr>
        <w:t>Depreciation and Amortization Expense</w:t>
      </w:r>
      <w:r>
        <w:rPr>
          <w:rFonts w:ascii="Times New Roman" w:hAnsi="Times New Roman"/>
          <w:color w:val="000000"/>
          <w:sz w:val="20"/>
        </w:rPr>
        <w:t xml:space="preserve"> </w:t>
      </w:r>
    </w:p>
    <w:p>
      <w:pPr>
        <w:pStyle w:val="TextBody"/>
        <w:bidi w:val="0"/>
        <w:jc w:val="both"/>
        <w:rPr/>
      </w:pPr>
      <w:r>
        <w:rPr/>
        <w:t> </w:t>
      </w:r>
    </w:p>
    <w:tbl>
      <w:tblPr>
        <w:tblW w:w="7027" w:type="dxa"/>
        <w:jc w:val="left"/>
        <w:tblInd w:w="0" w:type="dxa"/>
        <w:tblLayout w:type="fixed"/>
        <w:tblCellMar>
          <w:top w:w="28" w:type="dxa"/>
          <w:left w:w="28" w:type="dxa"/>
          <w:bottom w:w="28" w:type="dxa"/>
          <w:right w:w="28" w:type="dxa"/>
        </w:tblCellMar>
      </w:tblPr>
      <w:tblGrid>
        <w:gridCol w:w="2521"/>
        <w:gridCol w:w="146"/>
        <w:gridCol w:w="211"/>
        <w:gridCol w:w="571"/>
        <w:gridCol w:w="241"/>
        <w:gridCol w:w="146"/>
        <w:gridCol w:w="211"/>
        <w:gridCol w:w="571"/>
        <w:gridCol w:w="241"/>
        <w:gridCol w:w="146"/>
        <w:gridCol w:w="211"/>
        <w:gridCol w:w="631"/>
        <w:gridCol w:w="166"/>
        <w:gridCol w:w="146"/>
        <w:gridCol w:w="146"/>
        <w:gridCol w:w="376"/>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1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4,037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Depreciation and amortization expense decreased $1.7 million, or 42%, in the three months ended September 30, 2024, compared to the three months ended September 30, 2023. The decrease was due primarily to the CarOffer customer relationships intangible asset becoming fully amortized during the first quarter of 2024.</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net</w:t>
      </w:r>
    </w:p>
    <w:p>
      <w:pPr>
        <w:pStyle w:val="TextBody"/>
        <w:bidi w:val="0"/>
        <w:jc w:val="both"/>
        <w:rPr/>
      </w:pPr>
      <w:r>
        <w:rPr/>
        <w:t> </w:t>
      </w:r>
    </w:p>
    <w:tbl>
      <w:tblPr>
        <w:tblW w:w="7102" w:type="dxa"/>
        <w:jc w:val="left"/>
        <w:tblInd w:w="0" w:type="dxa"/>
        <w:tblLayout w:type="fixed"/>
        <w:tblCellMar>
          <w:top w:w="28" w:type="dxa"/>
          <w:left w:w="28" w:type="dxa"/>
          <w:bottom w:w="28" w:type="dxa"/>
          <w:right w:w="28" w:type="dxa"/>
        </w:tblCellMar>
      </w:tblPr>
      <w:tblGrid>
        <w:gridCol w:w="2491"/>
        <w:gridCol w:w="146"/>
        <w:gridCol w:w="211"/>
        <w:gridCol w:w="571"/>
        <w:gridCol w:w="241"/>
        <w:gridCol w:w="146"/>
        <w:gridCol w:w="211"/>
        <w:gridCol w:w="631"/>
        <w:gridCol w:w="241"/>
        <w:gridCol w:w="146"/>
        <w:gridCol w:w="211"/>
        <w:gridCol w:w="631"/>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2,717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5,261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2,623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Total other income, net decreased $1.5 million, or 37%, in the three months ended September 30, 2024, compared to the three months ended September 30, 2023. The $2.5 million decrease in interest income was due primarily to the sale of interest-bearing short-term investments during the first quarter of 2024 as well as a decrease in cash equivalents to fund the share repurchase program pursuant to which we may, from time to time, purchase shares of our Class A common stock for an aggregate purchase price not to exceed $250.0 million, which we refer to as the 2024 Share Repurchase Program. The $1.0 million decrease in other expense, net was due primarily to an increase in foreign currency gains in the current year compared to foreign currency losses in the prior year.</w:t>
      </w:r>
    </w:p>
    <w:p>
      <w:pPr>
        <w:pStyle w:val="TextBody"/>
        <w:bidi w:val="0"/>
        <w:spacing w:before="240" w:after="283"/>
        <w:jc w:val="both"/>
        <w:rPr>
          <w:rFonts w:ascii="Times New Roman" w:hAnsi="Times New Roman"/>
          <w:sz w:val="20"/>
        </w:rPr>
      </w:pPr>
      <w:r>
        <w:rPr>
          <w:rFonts w:ascii="Calibri;sans-serif" w:hAnsi="Calibri;sans-serif"/>
          <w:b/>
          <w:i/>
          <w:color w:val="000000"/>
          <w:sz w:val="20"/>
        </w:rPr>
        <w:t>Provision for Income Taxes</w:t>
      </w:r>
      <w:r>
        <w:rPr>
          <w:rFonts w:ascii="Times New Roman" w:hAnsi="Times New Roman"/>
          <w:color w:val="000000"/>
          <w:sz w:val="20"/>
        </w:rPr>
        <w:t xml:space="preserve"> </w:t>
      </w:r>
    </w:p>
    <w:p>
      <w:pPr>
        <w:pStyle w:val="TextBody"/>
        <w:bidi w:val="0"/>
        <w:jc w:val="both"/>
        <w:rPr/>
      </w:pPr>
      <w:r>
        <w:rPr/>
        <w:t> </w:t>
      </w:r>
    </w:p>
    <w:tbl>
      <w:tblPr>
        <w:tblW w:w="6547" w:type="dxa"/>
        <w:jc w:val="left"/>
        <w:tblInd w:w="0" w:type="dxa"/>
        <w:tblLayout w:type="fixed"/>
        <w:tblCellMar>
          <w:top w:w="28" w:type="dxa"/>
          <w:left w:w="28" w:type="dxa"/>
          <w:bottom w:w="28" w:type="dxa"/>
          <w:right w:w="28" w:type="dxa"/>
        </w:tblCellMar>
      </w:tblPr>
      <w:tblGrid>
        <w:gridCol w:w="2296"/>
        <w:gridCol w:w="146"/>
        <w:gridCol w:w="211"/>
        <w:gridCol w:w="571"/>
        <w:gridCol w:w="241"/>
        <w:gridCol w:w="146"/>
        <w:gridCol w:w="211"/>
        <w:gridCol w:w="571"/>
        <w:gridCol w:w="241"/>
        <w:gridCol w:w="146"/>
        <w:gridCol w:w="211"/>
        <w:gridCol w:w="481"/>
        <w:gridCol w:w="166"/>
        <w:gridCol w:w="146"/>
        <w:gridCol w:w="146"/>
        <w:gridCol w:w="271"/>
        <w:gridCol w:w="34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5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7,546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Provision for income taxes decreased $0.7 million, or 9%, in the three months ended September 30, 2024, compared to the three months ended September 30, 2023. The decrease was due primarily to increased federal and state research development tax credits and a $4.1 million discrete deferred tax benefit in association with the CG Buy Online reporting unit impairment charges recognized during the three months ended September 30, 2024 offset by the higher tax expense as a result of the prorated pre-tax profit as determined under Accounting Standards Codification Topic 740,</w:t>
      </w:r>
      <w:r>
        <w:rPr>
          <w:rFonts w:ascii="Times New Roman" w:hAnsi="Times New Roman"/>
          <w:color w:val="000000"/>
          <w:sz w:val="20"/>
        </w:rPr>
        <w:t xml:space="preserve"> </w:t>
      </w:r>
      <w:r>
        <w:rPr>
          <w:rFonts w:ascii="Calibri;sans-serif" w:hAnsi="Calibri;sans-serif"/>
          <w:i/>
          <w:color w:val="000000"/>
          <w:sz w:val="20"/>
        </w:rPr>
        <w:t>Income Taxes</w:t>
      </w:r>
      <w:r>
        <w:rPr>
          <w:rFonts w:ascii="Calibri;sans-serif" w:hAnsi="Calibri;sans-serif"/>
          <w:color w:val="000000"/>
          <w:sz w:val="20"/>
        </w:rPr>
        <w:t>.</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Segment Income (Loss) from Operations</w:t>
      </w:r>
    </w:p>
    <w:p>
      <w:pPr>
        <w:pStyle w:val="TextBody"/>
        <w:bidi w:val="0"/>
        <w:jc w:val="both"/>
        <w:rPr/>
      </w:pPr>
      <w:r>
        <w:rPr/>
        <w:t> </w:t>
      </w:r>
    </w:p>
    <w:tbl>
      <w:tblPr>
        <w:tblW w:w="8557" w:type="dxa"/>
        <w:jc w:val="left"/>
        <w:tblInd w:w="0" w:type="dxa"/>
        <w:tblLayout w:type="fixed"/>
        <w:tblCellMar>
          <w:top w:w="28" w:type="dxa"/>
          <w:left w:w="28" w:type="dxa"/>
          <w:bottom w:w="28" w:type="dxa"/>
          <w:right w:w="28" w:type="dxa"/>
        </w:tblCellMar>
      </w:tblPr>
      <w:tblGrid>
        <w:gridCol w:w="3466"/>
        <w:gridCol w:w="146"/>
        <w:gridCol w:w="211"/>
        <w:gridCol w:w="736"/>
        <w:gridCol w:w="241"/>
        <w:gridCol w:w="146"/>
        <w:gridCol w:w="211"/>
        <w:gridCol w:w="736"/>
        <w:gridCol w:w="241"/>
        <w:gridCol w:w="146"/>
        <w:gridCol w:w="211"/>
        <w:gridCol w:w="736"/>
        <w:gridCol w:w="166"/>
        <w:gridCol w:w="146"/>
        <w:gridCol w:w="146"/>
        <w:gridCol w:w="48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50,410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33,285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(25,317</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(11,652</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(13,665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27,434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23,095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segment revenue: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income from operations increased $17.1 million, or 51%, in the three months ended September 30, 2024, compared to the three months ended September 30, 2023, and represented 27% of U.S. Marketplace segment revenue for the three months ended September 30, 2024, compared to 20% of U.S. Marketplace segment revenue for the three months ended September 30, 2023. The increase was due to an increase in revenue of $22.9 million, a decrease in cost of revenue of $1.9 million, and an increase in operating expenses of $7.7 million.</w:t>
      </w:r>
    </w:p>
    <w:p>
      <w:pPr>
        <w:pStyle w:val="TextBody"/>
        <w:bidi w:val="0"/>
        <w:spacing w:before="240" w:after="283"/>
        <w:jc w:val="both"/>
        <w:rPr>
          <w:rFonts w:ascii="Times New Roman" w:hAnsi="Times New Roman"/>
          <w:sz w:val="20"/>
        </w:rPr>
      </w:pPr>
      <w:r>
        <w:rPr>
          <w:rFonts w:ascii="Calibri;sans-serif" w:hAnsi="Calibri;sans-serif"/>
          <w:color w:val="000000"/>
          <w:sz w:val="20"/>
        </w:rPr>
        <w:t>Digital Wholesale segment loss from operations increased $13.7 million, or 117%, in the three months ended September 30, 2024, compared to the three months ended September 30, 2023, and represented (93)% of Digital Wholesale segment revenue for the three months ended September 30, 2024, compared to (28)% of Digital Wholesale segment revenue for the three months ended September 30, 2023. The increase was due primarily to a $16.8 million impairment due to the end of the CG Buy Online pilot. For further discussion of goodwill and other asset impairments see Note 6 of the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For the nine months ended September 30, 2024 and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i/>
          <w:color w:val="000000"/>
          <w:sz w:val="20"/>
        </w:rPr>
        <w:t>Revenue by Source</w:t>
      </w:r>
      <w:r>
        <w:rPr>
          <w:rFonts w:ascii="Times New Roman" w:hAnsi="Times New Roman"/>
          <w:color w:val="000000"/>
          <w:sz w:val="20"/>
        </w:rPr>
        <w:t xml:space="preserve"> </w:t>
      </w:r>
    </w:p>
    <w:p>
      <w:pPr>
        <w:pStyle w:val="TextBody"/>
        <w:bidi w:val="0"/>
        <w:jc w:val="both"/>
        <w:rPr/>
      </w:pPr>
      <w:r>
        <w:rPr/>
        <w:t> </w:t>
      </w:r>
    </w:p>
    <w:tbl>
      <w:tblPr>
        <w:tblW w:w="758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736"/>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586,405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515,986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41,351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78,873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(37,522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38,090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96,260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revenue decreased $25.3 million, or 4%, in the nine months ended September 30, 2024, compared to the nine months ended September 30, 2023.</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revenue increased $70.4 million, or 14%, in the nine months ended September 30, 2024, compared to the nine months ended September 30, 2023, and represented 88% of total revenue for the nine months ended September 30, 2024, compared to 75% of total revenue for the nine months ended September 30, 2023. The increase was due primarily to an increase in Listings revenue, inclusive of certain digital add-on products, as a result of growth in QARSD, which was driven by signing on new dealers with higher average subscription revenue and revenue expansion through product adoption or upgrades and price increases for existing dealers. The increase was also due in part to an increase in TDO revenue as we expanded into more geographies following the completion of the TDO pilot and an increase in advertising revenue due primarily to increased spend by advertisers related to new and existing campaigns.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decreased $37.5 million, or 48%, in the nine months ended September 30, 2024, compared to the nine months ended September 30, 2023, and represented 6% of total revenue for the nine months ended September 30, 2024, compared to 11% of total revenue for the nine months ended September 30, 2023. The decrease was due primarily to a 47% decrease in Transactions, which includes Dealer-to-Dealer transactions and IMCO transactions, to 27,329 for the nine months ended September 30, 2024, from 51,860 for the nine months ended September 30, 2023.</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revenue decreased $58.2 million, or 60%, in the nine months ended September 30, 2024, compared to the nine months ended September 30, 2023, and represented 6% of total revenue for the nine months ended September 30, 2024, compared to 14% of total revenue for the nine months ended September 30, 2023. The decrease was due primarily to a decrease in proceeds received from the sale of vehicles through IMCO transactions, driven by a decrease in Transactions. The decrease in product revenue was also due in part to a decrease in proceeds received from the sale of vehicles acquired through arbitration as a result of decreased arbitration claims due primarily to lower Transaction volume.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Segment Revenue</w:t>
      </w:r>
    </w:p>
    <w:p>
      <w:pPr>
        <w:pStyle w:val="TextBody"/>
        <w:bidi w:val="0"/>
        <w:jc w:val="both"/>
        <w:rPr/>
      </w:pPr>
      <w:r>
        <w:rPr/>
        <w:t> </w:t>
      </w:r>
    </w:p>
    <w:tbl>
      <w:tblPr>
        <w:tblW w:w="756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736"/>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540,293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478,387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79,441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175,133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(95,692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46,112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37,599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665,846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691,119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revenue increased $61.9 million, or 13%, in the nine months ended September 30, 2024, compared to the nine months ended September 30, 2023, and represented 81% of total revenue for the nine months ended September 30, 2024, compared to 69% of total revenue for the nine months ended September 30, 2023. The increase was due primarily to a $70.4 million increase in marketplace revenue, as described above.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Digital Wholesale segment revenue, which is comprised of wholesale revenue and product revenue, decreased $95.7 million, or 55%, in the nine months ended September 30, 2024, compared to the nine months ended September 30, 2023, and represented 12% of total revenue for the nine months ended September 30, 2024, compared to 25% of total revenue for the nine months ended September 30, 2023. The decrease in Digital Wholesale segment revenue was due to a $37.5 million decrease in wholesale revenue and a $58.2 million decrease in product revenue, as described above.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jc w:val="left"/>
        <w:rPr/>
      </w:pPr>
      <w:r>
        <w:rPr/>
        <w:t> </w:t>
      </w:r>
    </w:p>
    <w:tbl>
      <w:tblPr>
        <w:tblW w:w="7987" w:type="dxa"/>
        <w:jc w:val="left"/>
        <w:tblInd w:w="0" w:type="dxa"/>
        <w:tblLayout w:type="fixed"/>
        <w:tblCellMar>
          <w:top w:w="28" w:type="dxa"/>
          <w:left w:w="28" w:type="dxa"/>
          <w:bottom w:w="28" w:type="dxa"/>
          <w:right w:w="28" w:type="dxa"/>
        </w:tblCellMar>
      </w:tblPr>
      <w:tblGrid>
        <w:gridCol w:w="2691"/>
        <w:gridCol w:w="346"/>
        <w:gridCol w:w="211"/>
        <w:gridCol w:w="781"/>
        <w:gridCol w:w="241"/>
        <w:gridCol w:w="146"/>
        <w:gridCol w:w="211"/>
        <w:gridCol w:w="781"/>
        <w:gridCol w:w="241"/>
        <w:gridCol w:w="146"/>
        <w:gridCol w:w="211"/>
        <w:gridCol w:w="736"/>
        <w:gridCol w:w="166"/>
        <w:gridCol w:w="146"/>
        <w:gridCol w:w="146"/>
        <w:gridCol w:w="376"/>
        <w:gridCol w:w="411"/>
      </w:tblGrid>
      <w:tr>
        <w:trPr/>
        <w:tc>
          <w:tcPr>
            <w:tcW w:w="2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6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Cost of Revenue:</w:t>
            </w:r>
          </w:p>
        </w:tc>
        <w:tc>
          <w:tcPr>
            <w:tcW w:w="3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Marketplace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41,051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45,830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(4,779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Wholesale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47,272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67,780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(20,508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Product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37,567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94,090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Total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125,890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207,700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(81,810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b/>
                <w:color w:val="000000"/>
                <w:sz w:val="20"/>
              </w:rPr>
            </w:pPr>
            <w:r>
              <w:rPr>
                <w:rFonts w:ascii="Calibri;sans-serif" w:hAnsi="Calibri;sans-serif"/>
                <w:b/>
                <w:color w:val="000000"/>
                <w:sz w:val="20"/>
              </w:rPr>
              <w:t>Percentage of total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Marketplace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Wholesale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Product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cost of revenue decreased $81.8 million, or 39%, in the nine months ended September 30, 2024, compared to the nine months ended September 30, 2023.</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cost of revenue decreased $4.8 million, or 10%, in the nine months ended September 30, 2024, compared to the nine months ended September 30, 2023, and represented 6% of total revenue for the nine months ended September 30, 2024, compared to 7% of total revenue for the nine months ended September 30, 2023. The decrease was due primarily to a $3.9 million decrease in fees related to provisioning advertising campaigns on our websites.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cost of revenue decreased $20.5 million, or 30%, in the nine months ended September 30, 2024, compared to the nine months ended September 30, 2023, and represented 7% of total revenue for the nine months ended September 30, 2024, compared to 10% of total revenue for the nine months ended September 30, 2023. The decrease was due primarily to a $12.9 million decrease in transportation expense and a $3.3 million decrease in inspection expense as a result of lower Transaction volume. The decrease was also due in part to a $12.2 million decrease in amortization related to the CarOffer acquired developed technology intangible asset as it became fully amortized during the first quarter of 2024 and a $1.6 million decrease in employee-related expenses. The decrease in wholesale cost of revenue was offset in part by a $9.8 million increase in impairment of capitalized website development costs due to the end of the CG Buy Online pilot.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cost of revenue decreased $56.5 million, or 60%, in the nine months ended September 30, 2024, compared to the nine months ended September 30, 2023, and represented 6% of total revenue for the nine months ended September 30, 2024, compared to 14% of total revenue for the nine months ended September 30, 2023. The decrease was due primarily to a decrease in expenses related to vehicles sold to dealers through IMCO transactions as a result of lower Transaction volume. The decrease in product cost of revenue was also due in part to a decrease in expenses related to vehicles sold to dealers acquired through arbitration as a result of decreased arbitration claims due primarily to lower Transaction volume.</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Times New Roman" w:hAnsi="Times New Roman"/>
          <w:sz w:val="20"/>
        </w:rPr>
      </w:pPr>
      <w:r>
        <w:rPr>
          <w:rFonts w:ascii="Calibri;sans-serif" w:hAnsi="Calibri;sans-serif"/>
          <w:i/>
          <w:color w:val="000000"/>
          <w:sz w:val="20"/>
        </w:rPr>
        <w:t>Sales and Marketing Expense</w:t>
      </w:r>
      <w:r>
        <w:rPr>
          <w:rFonts w:ascii="Times New Roman" w:hAnsi="Times New Roman"/>
          <w:color w:val="000000"/>
          <w:sz w:val="20"/>
        </w:rPr>
        <w:t xml:space="preserve"> </w:t>
      </w:r>
    </w:p>
    <w:p>
      <w:pPr>
        <w:pStyle w:val="TextBody"/>
        <w:bidi w:val="0"/>
        <w:jc w:val="both"/>
        <w:rPr/>
      </w:pPr>
      <w:r>
        <w:rPr/>
        <w:t> </w:t>
      </w:r>
    </w:p>
    <w:tbl>
      <w:tblPr>
        <w:tblW w:w="7022" w:type="dxa"/>
        <w:jc w:val="left"/>
        <w:tblInd w:w="0" w:type="dxa"/>
        <w:tblLayout w:type="fixed"/>
        <w:tblCellMar>
          <w:top w:w="28" w:type="dxa"/>
          <w:left w:w="28" w:type="dxa"/>
          <w:bottom w:w="28" w:type="dxa"/>
          <w:right w:w="28" w:type="dxa"/>
        </w:tblCellMar>
      </w:tblPr>
      <w:tblGrid>
        <w:gridCol w:w="2296"/>
        <w:gridCol w:w="146"/>
        <w:gridCol w:w="211"/>
        <w:gridCol w:w="781"/>
        <w:gridCol w:w="241"/>
        <w:gridCol w:w="146"/>
        <w:gridCol w:w="211"/>
        <w:gridCol w:w="781"/>
        <w:gridCol w:w="241"/>
        <w:gridCol w:w="146"/>
        <w:gridCol w:w="211"/>
        <w:gridCol w:w="676"/>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9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245,801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230,243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Sales and marketing expense increased $15.6 million, or 7%, in the nine months ended September 30, 2024, compared to the nine months ended September 30, 2023. The increase was due primarily to a $14.0 million increase in advertising and marketing expense for strategic advertising spend with our performance marketing vendors to maintain year-over-year lead volume and grow with the market, as well as our brand awareness campaigns. The increase in sales and marketing expense was also due in part to a $1.2 million increase in software subscriptions.</w:t>
      </w:r>
    </w:p>
    <w:p>
      <w:pPr>
        <w:pStyle w:val="TextBody"/>
        <w:bidi w:val="0"/>
        <w:spacing w:before="240" w:after="283"/>
        <w:jc w:val="both"/>
        <w:rPr>
          <w:rFonts w:ascii="Times New Roman" w:hAnsi="Times New Roman"/>
          <w:sz w:val="20"/>
        </w:rPr>
      </w:pPr>
      <w:r>
        <w:rPr>
          <w:rFonts w:ascii="Calibri;sans-serif" w:hAnsi="Calibri;sans-serif"/>
          <w:i/>
          <w:color w:val="000000"/>
          <w:sz w:val="20"/>
        </w:rPr>
        <w:t>Product, Technology, and Development Expense</w:t>
      </w:r>
      <w:r>
        <w:rPr>
          <w:rFonts w:ascii="Times New Roman" w:hAnsi="Times New Roman"/>
          <w:color w:val="000000"/>
          <w:sz w:val="20"/>
        </w:rPr>
        <w:t xml:space="preserve"> </w:t>
      </w:r>
    </w:p>
    <w:p>
      <w:pPr>
        <w:pStyle w:val="TextBody"/>
        <w:bidi w:val="0"/>
        <w:jc w:val="both"/>
        <w:rPr/>
      </w:pPr>
      <w:r>
        <w:rPr/>
        <w:t> </w:t>
      </w:r>
    </w:p>
    <w:tbl>
      <w:tblPr>
        <w:tblW w:w="7852" w:type="dxa"/>
        <w:jc w:val="left"/>
        <w:tblInd w:w="0" w:type="dxa"/>
        <w:tblLayout w:type="fixed"/>
        <w:tblCellMar>
          <w:top w:w="28" w:type="dxa"/>
          <w:left w:w="28" w:type="dxa"/>
          <w:bottom w:w="28" w:type="dxa"/>
          <w:right w:w="28" w:type="dxa"/>
        </w:tblCellMar>
      </w:tblPr>
      <w:tblGrid>
        <w:gridCol w:w="3181"/>
        <w:gridCol w:w="146"/>
        <w:gridCol w:w="211"/>
        <w:gridCol w:w="781"/>
        <w:gridCol w:w="241"/>
        <w:gridCol w:w="146"/>
        <w:gridCol w:w="211"/>
        <w:gridCol w:w="781"/>
        <w:gridCol w:w="241"/>
        <w:gridCol w:w="146"/>
        <w:gridCol w:w="211"/>
        <w:gridCol w:w="481"/>
        <w:gridCol w:w="166"/>
        <w:gridCol w:w="146"/>
        <w:gridCol w:w="146"/>
        <w:gridCol w:w="271"/>
        <w:gridCol w:w="34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108,484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109,432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1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technology, and development expense decreased $0.9 million, or 1%, in the nine months ended September 30, 2024, compared to the nine months ended September 30, 2023. The decrease was due primarily to a $5.4 million decrease in expenses as a result of increased capitalized website development, and a $1.5 million decrease in consulting expenses due to the conclusion of consulting services. The decrease in product, technology, and development expense was offset in part by a $4.4 million increase in salaries and employee-related expenses due primarily to merit increases and a $1.2 million increase in software subscriptions.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i/>
          <w:color w:val="000000"/>
          <w:sz w:val="20"/>
        </w:rPr>
        <w:t>General and Administrative Expense</w:t>
      </w:r>
      <w:r>
        <w:rPr>
          <w:rFonts w:ascii="Times New Roman" w:hAnsi="Times New Roman"/>
          <w:color w:val="000000"/>
          <w:sz w:val="20"/>
        </w:rPr>
        <w:t xml:space="preserve"> </w:t>
      </w:r>
    </w:p>
    <w:p>
      <w:pPr>
        <w:pStyle w:val="TextBody"/>
        <w:bidi w:val="0"/>
        <w:jc w:val="both"/>
        <w:rPr/>
      </w:pPr>
      <w:r>
        <w:rPr/>
        <w:t> </w:t>
      </w:r>
    </w:p>
    <w:tbl>
      <w:tblPr>
        <w:tblW w:w="670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571"/>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83,682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77,090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General and administrative expense increased $6.6 million, or 9%, in the nine months ended September 30, 2024, compared to the nine months ended September 30, 2023. The increase was due primarily to a $7.0 million increase in salaries and employee-related expenses, inclusive of a $2.6 million increase in stock-based compensation expense, due primarily to an 8% increase in headcount and merit increases. The increase was also due in part to a $1.3 million increase in bad debt expense and a $1.0 million increase in payment processing expenses. The increase in general and administrative expense was offset in part by a $1.7 million decrease in legal expenses and a $1.5 million decrease in consulting and recruiting expenses.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Goodwill and Other Asset Impairment</w:t>
      </w:r>
    </w:p>
    <w:p>
      <w:pPr>
        <w:pStyle w:val="TextBody"/>
        <w:bidi w:val="0"/>
        <w:jc w:val="both"/>
        <w:rPr/>
      </w:pPr>
      <w:r>
        <w:rPr/>
        <w:t> </w:t>
      </w:r>
    </w:p>
    <w:tbl>
      <w:tblPr>
        <w:tblW w:w="7445" w:type="dxa"/>
        <w:jc w:val="left"/>
        <w:tblInd w:w="0" w:type="dxa"/>
        <w:tblLayout w:type="fixed"/>
        <w:tblCellMar>
          <w:top w:w="28" w:type="dxa"/>
          <w:left w:w="28" w:type="dxa"/>
          <w:bottom w:w="28" w:type="dxa"/>
          <w:right w:w="28" w:type="dxa"/>
        </w:tblCellMar>
      </w:tblPr>
      <w:tblGrid>
        <w:gridCol w:w="3046"/>
        <w:gridCol w:w="146"/>
        <w:gridCol w:w="211"/>
        <w:gridCol w:w="781"/>
        <w:gridCol w:w="241"/>
        <w:gridCol w:w="146"/>
        <w:gridCol w:w="211"/>
        <w:gridCol w:w="346"/>
        <w:gridCol w:w="241"/>
        <w:gridCol w:w="146"/>
        <w:gridCol w:w="211"/>
        <w:gridCol w:w="781"/>
        <w:gridCol w:w="146"/>
        <w:gridCol w:w="146"/>
        <w:gridCol w:w="64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53" w:type="dxa"/>
            <w:gridSpan w:val="13"/>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r>
      <w:tr>
        <w:trPr/>
        <w:tc>
          <w:tcPr>
            <w:tcW w:w="30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 and other asset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134,501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sz w:val="20"/>
              </w:rPr>
            </w:pPr>
            <w:r>
              <w:rPr>
                <w:rFonts w:ascii="Calibri;sans-serif" w:hAnsi="Calibri;sans-serif"/>
                <w:color w:val="000000"/>
                <w:sz w:val="20"/>
              </w:rPr>
              <w:t xml:space="preserve">NM </w:t>
            </w:r>
            <w:r>
              <w:rPr>
                <w:rFonts w:ascii="Calibri;sans-serif" w:hAnsi="Calibri;sans-serif"/>
                <w:color w:val="000000"/>
                <w:sz w:val="13"/>
              </w:rPr>
              <w:t>(1)</w:t>
            </w:r>
          </w:p>
        </w:tc>
      </w:tr>
      <w:tr>
        <w:trPr/>
        <w:tc>
          <w:tcPr>
            <w:tcW w:w="30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Not meaningful</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Goodwill and other asset impairment increased $134.5 million in the nine months ended September 30, 2024, compared to the nine months ended September 30, 2023. The increase was due to a $127.5 million CarOffer reporting unit impairment and a $7.0 million impairment due to the end of the CG Buy Online pilot. For further discussion of goodwill and other asset impairments, see Note 6 of the Unaudited Condensed Consolidated Financial Statements included elsewhere in this Quarterly Report.</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i/>
          <w:color w:val="000000"/>
          <w:sz w:val="20"/>
        </w:rPr>
        <w:t>Depreciation and Amortization Expense</w:t>
      </w:r>
      <w:r>
        <w:rPr>
          <w:rFonts w:ascii="Times New Roman" w:hAnsi="Times New Roman"/>
          <w:color w:val="000000"/>
          <w:sz w:val="20"/>
        </w:rPr>
        <w:t xml:space="preserve"> </w:t>
      </w:r>
    </w:p>
    <w:p>
      <w:pPr>
        <w:pStyle w:val="TextBody"/>
        <w:bidi w:val="0"/>
        <w:jc w:val="both"/>
        <w:rPr/>
      </w:pPr>
      <w:r>
        <w:rPr/>
        <w:t> </w:t>
      </w:r>
    </w:p>
    <w:tbl>
      <w:tblPr>
        <w:tblW w:w="7132" w:type="dxa"/>
        <w:jc w:val="left"/>
        <w:tblInd w:w="0" w:type="dxa"/>
        <w:tblLayout w:type="fixed"/>
        <w:tblCellMar>
          <w:top w:w="28" w:type="dxa"/>
          <w:left w:w="28" w:type="dxa"/>
          <w:bottom w:w="28" w:type="dxa"/>
          <w:right w:w="28" w:type="dxa"/>
        </w:tblCellMar>
      </w:tblPr>
      <w:tblGrid>
        <w:gridCol w:w="2521"/>
        <w:gridCol w:w="146"/>
        <w:gridCol w:w="211"/>
        <w:gridCol w:w="571"/>
        <w:gridCol w:w="241"/>
        <w:gridCol w:w="146"/>
        <w:gridCol w:w="211"/>
        <w:gridCol w:w="676"/>
        <w:gridCol w:w="241"/>
        <w:gridCol w:w="146"/>
        <w:gridCol w:w="211"/>
        <w:gridCol w:w="631"/>
        <w:gridCol w:w="166"/>
        <w:gridCol w:w="146"/>
        <w:gridCol w:w="146"/>
        <w:gridCol w:w="376"/>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1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7,354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11,762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(4,408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Depreciation and amortization expense decreased $4.4 million, or 37%, in the nine months ended September 30, 2024, compared to the nine months ended September 30, 2023. The decrease was due primarily to the CarOffer customer relationships intangible asset becoming fully amortized during the first quarter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net</w:t>
      </w:r>
    </w:p>
    <w:p>
      <w:pPr>
        <w:pStyle w:val="TextBody"/>
        <w:bidi w:val="0"/>
        <w:jc w:val="both"/>
        <w:rPr/>
      </w:pPr>
      <w:r>
        <w:rPr/>
        <w:t> </w:t>
      </w:r>
    </w:p>
    <w:tbl>
      <w:tblPr>
        <w:tblW w:w="7192" w:type="dxa"/>
        <w:jc w:val="left"/>
        <w:tblInd w:w="0" w:type="dxa"/>
        <w:tblLayout w:type="fixed"/>
        <w:tblCellMar>
          <w:top w:w="28" w:type="dxa"/>
          <w:left w:w="28" w:type="dxa"/>
          <w:bottom w:w="28" w:type="dxa"/>
          <w:right w:w="28" w:type="dxa"/>
        </w:tblCellMar>
      </w:tblPr>
      <w:tblGrid>
        <w:gridCol w:w="2491"/>
        <w:gridCol w:w="146"/>
        <w:gridCol w:w="211"/>
        <w:gridCol w:w="571"/>
        <w:gridCol w:w="241"/>
        <w:gridCol w:w="146"/>
        <w:gridCol w:w="211"/>
        <w:gridCol w:w="676"/>
        <w:gridCol w:w="241"/>
        <w:gridCol w:w="146"/>
        <w:gridCol w:w="211"/>
        <w:gridCol w:w="631"/>
        <w:gridCol w:w="166"/>
        <w:gridCol w:w="146"/>
        <w:gridCol w:w="146"/>
        <w:gridCol w:w="421"/>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9,063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(4,274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13,185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Total other income, net decreased $4.0 million, or 30%, in the nine months ended September 30, 2024, compared to the nine months ended September 30, 2023. The $4.3 million decrease in interest income was due primarily to the sale of interest-bearing short-term investments during the first quarter of 2024 as well as a decrease in cash equivalents to fund the 2024 Share Repurchase Program. Other income (expense), net was relatively flat during the nine months ended September 30, 2024, compared to the nine months ended September 30, 2023.</w:t>
      </w:r>
    </w:p>
    <w:p>
      <w:pPr>
        <w:pStyle w:val="TextBody"/>
        <w:bidi w:val="0"/>
        <w:spacing w:before="240" w:after="283"/>
        <w:jc w:val="both"/>
        <w:rPr>
          <w:rFonts w:ascii="Times New Roman" w:hAnsi="Times New Roman"/>
          <w:sz w:val="20"/>
        </w:rPr>
      </w:pPr>
      <w:r>
        <w:rPr>
          <w:rFonts w:ascii="Calibri;sans-serif" w:hAnsi="Calibri;sans-serif"/>
          <w:b/>
          <w:i/>
          <w:color w:val="000000"/>
          <w:sz w:val="20"/>
        </w:rPr>
        <w:t>(Benefit from) Provision for Income Taxes</w:t>
      </w:r>
      <w:r>
        <w:rPr>
          <w:rFonts w:ascii="Times New Roman" w:hAnsi="Times New Roman"/>
          <w:color w:val="000000"/>
          <w:sz w:val="20"/>
        </w:rPr>
        <w:t xml:space="preserve"> </w:t>
      </w:r>
    </w:p>
    <w:p>
      <w:pPr>
        <w:pStyle w:val="TextBody"/>
        <w:bidi w:val="0"/>
        <w:jc w:val="both"/>
        <w:rPr/>
      </w:pPr>
      <w:r>
        <w:rPr/>
        <w:t> </w:t>
      </w:r>
    </w:p>
    <w:tbl>
      <w:tblPr>
        <w:tblW w:w="8317" w:type="dxa"/>
        <w:jc w:val="left"/>
        <w:tblInd w:w="0" w:type="dxa"/>
        <w:tblLayout w:type="fixed"/>
        <w:tblCellMar>
          <w:top w:w="28" w:type="dxa"/>
          <w:left w:w="28" w:type="dxa"/>
          <w:bottom w:w="28" w:type="dxa"/>
          <w:right w:w="28" w:type="dxa"/>
        </w:tblCellMar>
      </w:tblPr>
      <w:tblGrid>
        <w:gridCol w:w="3376"/>
        <w:gridCol w:w="146"/>
        <w:gridCol w:w="211"/>
        <w:gridCol w:w="631"/>
        <w:gridCol w:w="301"/>
        <w:gridCol w:w="146"/>
        <w:gridCol w:w="211"/>
        <w:gridCol w:w="676"/>
        <w:gridCol w:w="241"/>
        <w:gridCol w:w="146"/>
        <w:gridCol w:w="211"/>
        <w:gridCol w:w="736"/>
        <w:gridCol w:w="166"/>
        <w:gridCol w:w="146"/>
        <w:gridCol w:w="146"/>
        <w:gridCol w:w="481"/>
        <w:gridCol w:w="3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4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(5,772</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23,421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(29,193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(Benefit from) provision for income taxes changed $29.2 million, or 125%, in the nine months ended September 30, 2024, compared to the nine months ended September 30, 2023. The change was due primarily to increased federal and state research and development tax credits, a $31.5 million discrete deferred tax benefit in association with the goodwill and long-term asset impairment charges related to the CarOffer reporting unit, and a $4.1 million discrete deferred tax benefit in association with the CG Buy Online reporting unit impairment charges, offset by an aggregated $0.9 million shortfalls on the taxable compensation of stock-based awards and the Section 162(m) excess officer compensation limitation recognized during the nine months ended September 30, 2024, compared to an aggregated $4.4 million shortfalls on the taxable compensation of stock-based awards and the Section 162(m) excess officer compensation limitation recognized during the nine months ended September 30, 2023.</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Segment Income (Loss) from Operations</w:t>
      </w:r>
    </w:p>
    <w:p>
      <w:pPr>
        <w:pStyle w:val="TextBody"/>
        <w:bidi w:val="0"/>
        <w:jc w:val="both"/>
        <w:rPr/>
      </w:pPr>
      <w:r>
        <w:rPr/>
        <w:t> </w:t>
      </w:r>
    </w:p>
    <w:tbl>
      <w:tblPr>
        <w:tblW w:w="8917" w:type="dxa"/>
        <w:jc w:val="left"/>
        <w:tblInd w:w="0" w:type="dxa"/>
        <w:tblLayout w:type="fixed"/>
        <w:tblCellMar>
          <w:top w:w="28" w:type="dxa"/>
          <w:left w:w="28" w:type="dxa"/>
          <w:bottom w:w="28" w:type="dxa"/>
          <w:right w:w="28" w:type="dxa"/>
        </w:tblCellMar>
      </w:tblPr>
      <w:tblGrid>
        <w:gridCol w:w="3466"/>
        <w:gridCol w:w="146"/>
        <w:gridCol w:w="211"/>
        <w:gridCol w:w="841"/>
        <w:gridCol w:w="301"/>
        <w:gridCol w:w="146"/>
        <w:gridCol w:w="211"/>
        <w:gridCol w:w="736"/>
        <w:gridCol w:w="241"/>
        <w:gridCol w:w="146"/>
        <w:gridCol w:w="211"/>
        <w:gridCol w:w="841"/>
        <w:gridCol w:w="166"/>
        <w:gridCol w:w="146"/>
        <w:gridCol w:w="146"/>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1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126,670</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84,443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42,227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(173,815</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(29,184</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(144,631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(496</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(39,866</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54,892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segment revenue:</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income from operations increased $42.2 million, or 50%, in the nine months ended September 30, 2024, compared to the nine months ended September 30, 2023, and represented 23% of U.S. Marketplace segment revenue for the nine months ended September 30, 2024, compared to 18% of U.S. Marketplace segment revenue for the nine months ended September 30, 2023. The increase was due to an increase in revenue of $61.9 million, a decrease in cost of revenue of $5.3 million, and an increase in operating expenses of $25.0 million.</w:t>
      </w:r>
    </w:p>
    <w:p>
      <w:pPr>
        <w:pStyle w:val="TextBody"/>
        <w:bidi w:val="0"/>
        <w:spacing w:before="240" w:after="283"/>
        <w:jc w:val="both"/>
        <w:rPr>
          <w:rFonts w:ascii="Times New Roman" w:hAnsi="Times New Roman"/>
          <w:sz w:val="20"/>
        </w:rPr>
      </w:pPr>
      <w:r>
        <w:rPr>
          <w:rFonts w:ascii="Calibri;sans-serif" w:hAnsi="Calibri;sans-serif"/>
          <w:color w:val="000000"/>
          <w:sz w:val="20"/>
        </w:rPr>
        <w:t>Digital Wholesale segment loss from operations increased $144.6 million, or 496%, in the nine months ended September 30, 2024, compared to the nine months ended September 30, 2023, and represented (219)% of Digital Wholesale segment revenue for the nine months ended September 30, 2024, compared to (17)% of Digital Wholesale segment revenue for the nine months ended September 30, 2023. The increase was due primarily to a $127.5 million CarOffer reporting unit impairment and a $16.8 million impairment due to the end of the CG Buy Online pilot. For further discussion of goodwill and other asset impairments, see Note 6 of the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Liquidity and Capital Resources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Cash, Cash Equivalents, Short-term Investments, and Borrowing Capacity</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our principal sources of liquidity were cash and cash equivalents of $246.7 million. As of December 31, 2023, our principal sources of liquidity were cash and cash equivalents of $291.4 million and short-term investments of $20.7 million. As of September 30, 2024, our borrowing capacity under the 2022 Revolver (as defined below) was $390.1 million.</w:t>
      </w:r>
    </w:p>
    <w:p>
      <w:pPr>
        <w:pStyle w:val="TextBody"/>
        <w:bidi w:val="0"/>
        <w:spacing w:before="240" w:after="283"/>
        <w:jc w:val="both"/>
        <w:rPr>
          <w:rFonts w:ascii="Times New Roman" w:hAnsi="Times New Roman"/>
          <w:sz w:val="20"/>
        </w:rPr>
      </w:pPr>
      <w:r>
        <w:rPr>
          <w:rFonts w:ascii="Calibri;sans-serif" w:hAnsi="Calibri;sans-serif"/>
          <w:b/>
          <w:i/>
          <w:color w:val="000000"/>
          <w:sz w:val="20"/>
        </w:rPr>
        <w:t>Sources and Uses of Cash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nine months ended September 30, 2024 and 2023, our cash flows from operating, investing, and financing activities, as reflected in the Unaudited Condensed Consolidated Statements of Cash Flows, were as follows:</w:t>
      </w:r>
      <w:r>
        <w:rPr>
          <w:rFonts w:ascii="Times New Roman" w:hAnsi="Times New Roman"/>
          <w:color w:val="000000"/>
          <w:sz w:val="20"/>
        </w:rPr>
        <w:t xml:space="preserve"> </w:t>
      </w:r>
    </w:p>
    <w:p>
      <w:pPr>
        <w:pStyle w:val="TextBody"/>
        <w:bidi w:val="0"/>
        <w:jc w:val="both"/>
        <w:rPr/>
      </w:pPr>
      <w:r>
        <w:rPr/>
        <w:t> </w:t>
      </w:r>
    </w:p>
    <w:tbl>
      <w:tblPr>
        <w:tblW w:w="7439" w:type="dxa"/>
        <w:jc w:val="left"/>
        <w:tblInd w:w="0" w:type="dxa"/>
        <w:tblLayout w:type="fixed"/>
        <w:tblCellMar>
          <w:top w:w="28" w:type="dxa"/>
          <w:left w:w="28" w:type="dxa"/>
          <w:bottom w:w="28" w:type="dxa"/>
          <w:right w:w="28" w:type="dxa"/>
        </w:tblCellMar>
      </w:tblPr>
      <w:tblGrid>
        <w:gridCol w:w="4666"/>
        <w:gridCol w:w="146"/>
        <w:gridCol w:w="211"/>
        <w:gridCol w:w="841"/>
        <w:gridCol w:w="166"/>
        <w:gridCol w:w="146"/>
        <w:gridCol w:w="211"/>
        <w:gridCol w:w="84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Nine Months Ended </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11" w:type="dxa"/>
            <w:tcBorders/>
            <w:shd w:fill="FFFFFF" w:val="clear"/>
            <w:vAlign w:val="center"/>
          </w:tcPr>
          <w:p>
            <w:pPr>
              <w:pStyle w:val="TableContents"/>
              <w:bidi w:val="0"/>
              <w:spacing w:before="0" w:after="283"/>
              <w:jc w:val="center"/>
              <w:rPr/>
            </w:pPr>
            <w:r>
              <w:rPr/>
              <w:t> </w:t>
            </w:r>
          </w:p>
        </w:tc>
      </w:tr>
      <w:tr>
        <w:trPr/>
        <w:tc>
          <w:tcPr>
            <w:tcW w:w="46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179,757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122,031</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(59,268</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(115,017</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(164,256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(123,686</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Impact of foreign currency on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(117,178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Our operations have been financed primarily from operating activities. During the nine months ended September 30, 2024 and 2023, we generated cash from operating activities of $179.8 million and $122.0 million, respectively.</w:t>
      </w:r>
    </w:p>
    <w:p>
      <w:pPr>
        <w:pStyle w:val="TextBody"/>
        <w:bidi w:val="0"/>
        <w:spacing w:before="240" w:after="283"/>
        <w:jc w:val="both"/>
        <w:rPr>
          <w:rFonts w:ascii="Times New Roman" w:hAnsi="Times New Roman"/>
          <w:sz w:val="20"/>
        </w:rPr>
      </w:pPr>
      <w:r>
        <w:rPr>
          <w:rFonts w:ascii="Calibri;sans-serif" w:hAnsi="Calibri;sans-serif"/>
          <w:color w:val="000000"/>
          <w:sz w:val="20"/>
        </w:rPr>
        <w:t>We believe that our existing sources of liquidity, including access to the 2022 Revolver, will be sufficient to fund our operations for at least the next 12 months from the date of the filing of this Quarterly Report. Our future capital requirements will depend on many factors, including our revenue; expenses associated with our sales and marketing activities and the support of our product, technology, and development efforts; expenses associated with the completion of our facilities buildout under our 1001 Boylston Street lease in excess of tenant improvement allowance; payments received in advance from a third-party transaction processor; activity under the 2024 Share Repurchase Program; and our investments in international markets. Cash from operations could also be affected by various risks and uncertainties, including, but not limited to, macroeconomic effects and other risks detailed more specifically in the “Risk Factors” section in Part I, Item 1A in our Annual Report and in the “Risk Factors” section in Part II, Item 1A in this Quarterly Report.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September 30, 2024, there were no borrowings and $9.9 million in letters of credit outstanding under the 2022 Revolver, which reduced the borrowing capacity under the 2022 Revolver to $390.1 million. As of December 31, 2023, there were no borrowings and $9.6 million in letters of credit outstanding under the 2022 Revolver, which reduced the borrowing capacity under the 2022 Revolver to $390.4 million.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connection with the 1001 Boylston Street lease, we expect to incur an additional $5.6 million of costs to complete our buildout, of which $4.6 million has been committed, but not incurred, as of September 30, 2024. We expect future costs to complete the buildout to be less than the remaining tenant improvement allowance.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On November 7, 2023, we announced that our Board of Directors authorized the 2024 Share Repurchase Program, pursuant to which we may, from time to time, purchase shares of our Class A common stock for an aggregate purchase price not to exceed $250.0 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2024 Share Repurchase Program does not obligate us to repurchase any minimum dollar amount or number of shares. The 2024 Share Repurchase Program has an effective date of January 1, 2024, and an expiration date of December 31, 2024, and prior to its expiration may be modified, suspended, or discontinued by our Board of Directors at any time without prior notice. All repurchased shares of our Class A common stock under the 2024 Share Repurchase Program will be retired. We have funded share repurchases and expect to continue to fund any additional share repurchases under the 2024 Share Repurchase Program through cash on hand and cash generated from operations. During the three months ended September 30, 2024, we repurchased and retired 164,301 shares for $3.7 million, exclusive of commissions and excise tax, at an average cost of $22.52 per share under the 2024 Share Repurchase Program. During the nine months ended September 30, 2024, we repurchased and retired 6,357,302 shares for $146.1 million, exclusive of commissions and excise tax, at an average cost of $22.98 per share under the 2024 Share Repurchase Program. As of September 30, 2024, we had remaining authorization to purchase up to $103.9 million of our Class A common stock under the 2024 Share Repurchase Program.</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On November 7, 2024, we announced that our Board of Directors authorized a share repurchase program, or the 2025 Share Repurchase Program, pursuant to which we may, from time to time, purchase shares of our Class A common stock for an aggregate purchase price not to exceed $200.0 million.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2025 Share Repurchase Program does not obligate us to repurchase any minimum dollar amount or number of shares. The 2025 Share Repurchase Program has an effective date of January 1, 2025, and an expiration date of December 31, 2025, and prior to its expiration may be modified, suspended, or discontinued by our Board of Directors at any time without prior notice. All repurchased shares under the 2025 Share Repurchase Program will be retired. We expect to fund share repurchases under the 2025 Share Repurchase Program through cash on hand and cash generated from operations.</w:t>
      </w:r>
    </w:p>
    <w:p>
      <w:pPr>
        <w:pStyle w:val="TextBody"/>
        <w:bidi w:val="0"/>
        <w:spacing w:before="240" w:after="283"/>
        <w:jc w:val="both"/>
        <w:rPr>
          <w:rFonts w:ascii="Times New Roman" w:hAnsi="Times New Roman"/>
          <w:sz w:val="20"/>
        </w:rPr>
      </w:pPr>
      <w:r>
        <w:rPr>
          <w:rFonts w:ascii="Calibri;sans-serif" w:hAnsi="Calibri;sans-serif"/>
          <w:color w:val="000000"/>
          <w:sz w:val="20"/>
        </w:rPr>
        <w:t>To the extent that our operating income, existing cash, cash equivalents,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Calibri;sans-serif" w:hAnsi="Calibri;sans-serif"/>
          <w:i/>
          <w:color w:val="000000"/>
          <w:sz w:val="20"/>
        </w:rPr>
        <w:t xml:space="preserve">Risk Factors—Risks Related to Our Business and Industry—We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Calibri;sans-serif" w:hAnsi="Calibri;sans-serif"/>
          <w:color w:val="000000"/>
          <w:sz w:val="20"/>
        </w:rPr>
        <w:t>in Part I, Item 1A in our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Operating Activities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provided by operating activities of $179.8 million during the nine months ended September 30, 2024 was due primarily to consolidated net loss of $24.9 million, adjusted for $144.4 million of goodwill and other asset impairment due to the CarOffer reporting unit impairment and the end of the CG Buy Online pilot, as discussed in Note 6 of the Unaudited Condensed Consolidated Financial Statements included elsewhere in this Quarterly Report, $47.3 million of deferred taxes, $46.6 million of stock-based compensation expense for equity classified awards to employees, and depreciation and amortization expense of $18.3 million. Net cash provided by operating activities was also attributable to a $32.2 million increase in lease obligations primarily related to tenant improvement allowance costs incurred and amortization reducing the right-of-use asset related to 1001 Boylston Street, partially offset by typical rent payments decreasing the lease liability.</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provided by operating activities of 122.0 million during the nine months ended September 30, 2023 was due primarily to consolidated net income of $44.7 million, adjusted for $43.8 million of stock-based compensation expense for equity classified awards, $35.7 million of depreciation and amortization, and $8.6 million of amortization of deferred contract costs, partially offset by $32.1 million of deferred taxes. Net cash provided by operating activities was also attributable to a $12.0 million increase in lease obligations, a $8.8 million increase in deferred revenue, a $6.0 million decrease in prepaid expenses, prepaid income taxes, and other assets, a $5.0 million decrease in inventory, a $1.2 million increase in accounts payable, and a $1.0 million increase in accrued expenses, accrued income taxes, and other liabilities. The increase in cash flow from operations was partially offset by a $13.7 million increase in deferred contract costs.</w:t>
      </w:r>
    </w:p>
    <w:p>
      <w:pPr>
        <w:pStyle w:val="TextBody"/>
        <w:bidi w:val="0"/>
        <w:spacing w:before="240" w:after="283"/>
        <w:jc w:val="both"/>
        <w:rPr>
          <w:rFonts w:ascii="Times New Roman" w:hAnsi="Times New Roman"/>
          <w:sz w:val="20"/>
        </w:rPr>
      </w:pPr>
      <w:r>
        <w:rPr>
          <w:rFonts w:ascii="Calibri;sans-serif" w:hAnsi="Calibri;sans-serif"/>
          <w:b/>
          <w:i/>
          <w:color w:val="000000"/>
          <w:sz w:val="20"/>
        </w:rPr>
        <w:t>Investing Activities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used in investing activities of $59.3 million during the nine months ended September 30, 2024 was due primarily to $64.9 million in purchases of property and equipment primarily related to our new headquarters at 1001 Boylston Street and $15.3 million in capitalized website development costs due to continued investment on our product offerings, offset in part by $21.2 million in sales of short-term investments.</w:t>
      </w:r>
    </w:p>
    <w:p>
      <w:pPr>
        <w:pStyle w:val="TextBody"/>
        <w:bidi w:val="0"/>
        <w:spacing w:before="240" w:after="283"/>
        <w:jc w:val="both"/>
        <w:rPr>
          <w:rFonts w:ascii="Times New Roman" w:hAnsi="Times New Roman"/>
          <w:sz w:val="20"/>
        </w:rPr>
      </w:pPr>
      <w:r>
        <w:rPr>
          <w:rFonts w:ascii="Calibri;sans-serif" w:hAnsi="Calibri;sans-serif"/>
          <w:color w:val="000000"/>
          <w:sz w:val="20"/>
        </w:rPr>
        <w:t>Net cash used in investing activities of $115.0 million during the nine months ended September 30, 2023 was due to $96.7 million in purchases of short-term investments, $11.8 million of capitalization of website development costs, $9.0 million of purchases of property and equipment, and $2.9 million in advance payments to customers, offset in part by $5.0 million of sales of short-term investments and $0.5 million in proceeds from the sale of property and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Financing Activities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used in financing activities of $164.3 million during the nine months ended September 30, 2024 was due primarily to $146.2 million related to the repurchase of our Class A common stock under the 2024 Share Repurchase Program and $17.4 million related to the payment of withholding taxes on net share settlements of restricted stock units.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used in financing activities of $123.7 million during the nine months ended September 30, 2023 was due primarily to $107.4 million of payment for the repurchase of our Class A common stock under the share repurchase program announced by our Board of Directors in December 2022, pursuant to which we could, from time to time, purchase of shares of our Class A common stock for an aggregate purchase price not to exceed $250.0 million, $11.7 million of payment of withholding taxes on net share settlements of restricted stock units, and $4.5 million of change in gross advance payments received from third-party transaction processor.</w:t>
      </w:r>
    </w:p>
    <w:p>
      <w:pPr>
        <w:pStyle w:val="TextBody"/>
        <w:bidi w:val="0"/>
        <w:spacing w:before="240" w:after="283"/>
        <w:jc w:val="both"/>
        <w:rPr>
          <w:rFonts w:ascii="Times New Roman" w:hAnsi="Times New Roman"/>
          <w:sz w:val="20"/>
        </w:rPr>
      </w:pPr>
      <w:r>
        <w:rPr>
          <w:rFonts w:ascii="Calibri;sans-serif" w:hAnsi="Calibri;sans-serif"/>
          <w:b/>
          <w:color w:val="000000"/>
          <w:sz w:val="20"/>
        </w:rPr>
        <w:t>Contractual Obligations and Known Future Cash Requirements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there were no material changes in our contractual obligations and commitments from those disclosed in our Annual Report, other than those appearing in the notes to the Unaudited Condensed Consolidated Financial Statements included elsewhere in this Quarterly Report, which are hereby incorporated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Seasonality</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driven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pStyle w:val="TextBody"/>
        <w:bidi w:val="0"/>
        <w:spacing w:before="240" w:after="283"/>
        <w:jc w:val="both"/>
        <w:rPr>
          <w:rFonts w:ascii="Times New Roman" w:hAnsi="Times New Roman"/>
          <w:sz w:val="20"/>
        </w:rPr>
      </w:pPr>
      <w:r>
        <w:rPr>
          <w:rFonts w:ascii="Calibri;sans-serif" w:hAnsi="Calibri;sans-serif"/>
          <w:color w:val="000000"/>
          <w:sz w:val="20"/>
        </w:rPr>
        <w:t>Macroeconomic conditions, such as slower growth or recession, higher interest rates, unemployment, consumer confidence in the economy, consumer debt levels, labor, disruptions, work stoppages, or strikes, the ongoing military conflict between Russia and Ukraine, the conflict in Israel and surrounding areas and the possible expansion of such conflict, foreign currency exchange rate fluctuations, and other matters that influence consumer spending and preferences, can also impact the volume of wholesale vehicle sales, as was evidenced by the global semiconductor chip shortage and other supply related shortages.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as our business and markets mature.</w:t>
      </w:r>
    </w:p>
    <w:p>
      <w:pPr>
        <w:pStyle w:val="TextBody"/>
        <w:bidi w:val="0"/>
        <w:spacing w:before="240" w:after="283"/>
        <w:jc w:val="both"/>
        <w:rPr>
          <w:rFonts w:ascii="Times New Roman" w:hAnsi="Times New Roman"/>
          <w:sz w:val="20"/>
        </w:rPr>
      </w:pPr>
      <w:r>
        <w:rPr>
          <w:rFonts w:ascii="Calibri;sans-serif" w:hAnsi="Calibri;sans-serif"/>
          <w:color w:val="000000"/>
          <w:sz w:val="20"/>
        </w:rPr>
        <w:t>As a result, revenue and cost of revenue related to volume will fluctuate accordingly on a quarterly basis. Typical seasonality trends may not be observed in periods where other external factors more significantly impact the wholesale industry.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Off-Balance Sheet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September 30, 2024 and December 31, 2023, we did not have any off-balance sheet arrangement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Critical Accounting Estimates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pStyle w:val="TextBody"/>
        <w:bidi w:val="0"/>
        <w:spacing w:before="240" w:after="283"/>
        <w:jc w:val="both"/>
        <w:rPr>
          <w:rFonts w:ascii="Times New Roman" w:hAnsi="Times New Roman"/>
          <w:sz w:val="20"/>
        </w:rPr>
      </w:pPr>
      <w:r>
        <w:rPr>
          <w:rFonts w:ascii="Calibri;sans-serif" w:hAnsi="Calibri;sans-serif"/>
          <w:color w:val="000000"/>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Critical estimates relied upon in preparing the Unaudited Condensed Consolidated Financial Statements include the determination of sales allowance and variable consideration in our revenue recognition, allowance for doubtful accounts, the impairment of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our net deferred tax assets and related valuation allowance, the valuation of inventory, and the valuation of liability-classified compensation awards. Accordingly, we consider these to be our critical accounting estimates and believe that of our significant accounting policies, these involve the greatest degree of judgment and complexity. For the three and nine months ended September 30, 2024, there were no estimates related to the valuation of redeemable noncontrolling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three months ended June 30, 2024, we identified a triggering event for goodwill and other long-lived assets impairment testing purposes at the CarOffer reporting unit due to recent organizational changes and Transaction volume declines, which resulted in revisions to our financial projections for the CarOffer reporting unit. During the three months ended June 30, 2024, we performed an updated fair value analysis of the CarOffer reporting unit, resulting in an excess of carrying value over fair value of the CarOffer reporting unit, which led to the impairment of the CarOffer reporting unit, as discussed in Note 6 of the Unaudited Condensed Consolidated Financial Statements included elsewhere in this Quarterly Report.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three months ended September 30, 2024, there was no additional impairment related to the CarOffer reporting unit.</w:t>
      </w:r>
    </w:p>
    <w:p>
      <w:pPr>
        <w:pStyle w:val="TextBody"/>
        <w:bidi w:val="0"/>
        <w:spacing w:before="240" w:after="283"/>
        <w:jc w:val="both"/>
        <w:rPr>
          <w:rFonts w:ascii="Times New Roman" w:hAnsi="Times New Roman"/>
          <w:sz w:val="20"/>
        </w:rPr>
      </w:pPr>
      <w:r>
        <w:rPr>
          <w:rFonts w:ascii="Calibri;sans-serif" w:hAnsi="Calibri;sans-serif"/>
          <w:color w:val="000000"/>
          <w:sz w:val="20"/>
        </w:rPr>
        <w:t>Due to the partial impairment of the CarOffer reporting unit goodwill and other long-term assets during the three months ended June 30, 2024, in which the CarOffer reporting unit was reduced to its fair value, there remains a risk for future impairment charges if projected future operating results further decline, including as a result of economic conditions or operational challenges, which could be material and negatively affect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further discussion of goodwill and other asset impairments, see Note 6 of the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a detailed explanation of the judgments made in these areas, see Note 2 of the Unaudited Condensed Consolidated Financial Statements included elsewhere in this Quarterly Report and “Management’s Discussion and Analysis of Financial Condition and Results of Operations” in our Annual Report.</w:t>
      </w:r>
    </w:p>
    <w:p>
      <w:pPr>
        <w:pStyle w:val="TextBody"/>
        <w:bidi w:val="0"/>
        <w:spacing w:before="240" w:after="283"/>
        <w:jc w:val="both"/>
        <w:rPr>
          <w:rFonts w:ascii="Times New Roman" w:hAnsi="Times New Roman"/>
          <w:sz w:val="20"/>
        </w:rPr>
      </w:pPr>
      <w:r>
        <w:rPr>
          <w:rFonts w:ascii="Calibri;sans-serif" w:hAnsi="Calibri;sans-serif"/>
          <w:b/>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Information concerning recently issued accounting pronouncements may be found in Note 2 of the Unaudited Condensed Consolidated Financial Statements included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2" w:name="item_3_quantitative_qualitative_disclosu"/>
      <w:bookmarkEnd w:id="12"/>
      <w:r>
        <w:rPr>
          <w:rFonts w:ascii="Calibri;sans-serif" w:hAnsi="Calibri;sans-serif"/>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Market risk represents the risk of loss that may affect our financial position due to adverse changes in financial market prices and rates. We are exposed to market risks as described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Interest Rate Risk</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our exposure to market risk associated with changes in interest rates relates primarily to the 2022 Revolver, which allows us to borrow up to $400.0 million. The applicable interest rate is, at our option, based on a number of different benchmark rates and applicable spreads, as determined by the Consolidated Secured Net Leverage Ratio (as defined in Note 8 of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September 30, 2024, there were no borrowings and $9.9 million in letters of credit outstanding under the 2022 Revolver, which reduced the borrowing capacity under the 2022 Revolver to $390.1 million. As of December 31, 2023, there were no borrowings and $9.6 million in letters of credit outstanding under the 2022 Revolver, which reduced the borrowing capacity under the 2022 Revolver to $390.4 million.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we had cash and cash equivalents of $246.7 million, which consisted of bank deposits, money market accounts, and mutual funds. As of December 31, 2023, we had cash, cash equivalents, and short-term investments of $312.1 million, which consisted of bank deposits, money market accounts, and mutual funds.</w:t>
      </w:r>
    </w:p>
    <w:p>
      <w:pPr>
        <w:pStyle w:val="TextBody"/>
        <w:bidi w:val="0"/>
        <w:spacing w:before="240" w:after="283"/>
        <w:jc w:val="both"/>
        <w:rPr>
          <w:rFonts w:ascii="Times New Roman" w:hAnsi="Times New Roman"/>
          <w:sz w:val="20"/>
        </w:rPr>
      </w:pPr>
      <w:r>
        <w:rPr>
          <w:rFonts w:ascii="Calibri;sans-serif" w:hAnsi="Calibri;sans-serif"/>
          <w:color w:val="000000"/>
          <w:sz w:val="20"/>
        </w:rPr>
        <w:t>Such interest-earning instruments carry a degree of interest rate risk.</w:t>
      </w:r>
      <w:r>
        <w:rPr>
          <w:rFonts w:ascii="Times New Roman" w:hAnsi="Times New Roman"/>
          <w:color w:val="000000"/>
          <w:sz w:val="20"/>
        </w:rPr>
        <w:t xml:space="preserve"> </w:t>
      </w:r>
      <w:r>
        <w:rPr>
          <w:rFonts w:ascii="Calibri;sans-serif" w:hAnsi="Calibri;sans-serif"/>
          <w:color w:val="000000"/>
          <w:sz w:val="20"/>
        </w:rPr>
        <w:t>Given recent changes in the interest rate environment and in an effort to ensure liquidity, we expect variable returns from our cash equivalents for the foreseeable future. For the three months ended September 30, 2024 and 2023 and for the nine months ended September 30, 2024 and 2023, fluctuations resulting from changes in the interest rate environment in interest income have not been material to the operations of the business.</w:t>
      </w:r>
    </w:p>
    <w:p>
      <w:pPr>
        <w:pStyle w:val="TextBody"/>
        <w:bidi w:val="0"/>
        <w:spacing w:before="240" w:after="283"/>
        <w:jc w:val="both"/>
        <w:rPr>
          <w:rFonts w:ascii="Times New Roman" w:hAnsi="Times New Roman"/>
          <w:sz w:val="20"/>
        </w:rPr>
      </w:pPr>
      <w:r>
        <w:rPr>
          <w:rFonts w:ascii="Calibri;sans-serif" w:hAnsi="Calibri;sans-serif"/>
          <w:color w:val="000000"/>
          <w:sz w:val="20"/>
        </w:rPr>
        <w:t>We do not enter into investments for trading or speculative purposes and have not used any derivative financial instruments to manage our interest rate risk exposure.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Inflation Risk</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TextBody"/>
        <w:bidi w:val="0"/>
        <w:spacing w:before="240" w:after="283"/>
        <w:jc w:val="both"/>
        <w:rPr>
          <w:rFonts w:ascii="Times New Roman" w:hAnsi="Times New Roman"/>
          <w:sz w:val="20"/>
        </w:rPr>
      </w:pPr>
      <w:r>
        <w:rPr>
          <w:rFonts w:ascii="Calibri;sans-serif" w:hAnsi="Calibri;sans-serif"/>
          <w:b/>
          <w:i/>
          <w:color w:val="000000"/>
          <w:sz w:val="20"/>
        </w:rPr>
        <w:t>Foreign Currency Exchange Risk</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September 30, 2024 and December 31, 2023, we had immaterial foreign currency exposures in the British pound, the Euro, and the Canadian dollar. Historically, because our operations and sales have been primarily in the U.S., we have not faced any material foreign currency risk.</w:t>
      </w:r>
    </w:p>
    <w:p>
      <w:pPr>
        <w:pStyle w:val="TextBody"/>
        <w:bidi w:val="0"/>
        <w:spacing w:before="240" w:after="283"/>
        <w:jc w:val="both"/>
        <w:rPr>
          <w:rFonts w:ascii="Times New Roman" w:hAnsi="Times New Roman"/>
          <w:sz w:val="20"/>
        </w:rPr>
      </w:pPr>
      <w:r>
        <w:rPr>
          <w:rFonts w:ascii="Calibri;sans-serif" w:hAnsi="Calibri;sans-serif"/>
          <w:color w:val="000000"/>
          <w:sz w:val="20"/>
        </w:rPr>
        <w:t>As we seek to grow our international operations in Canada and the U.K., our risks associated with fluctuation in currency rates may become greater, and we will continue to reassess our approach to managing these risks.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3" w:name="item_4_controls_procedures"/>
      <w:bookmarkEnd w:id="13"/>
      <w:r>
        <w:rPr>
          <w:rFonts w:ascii="Calibri;sans-serif" w:hAnsi="Calibri;sans-serif"/>
          <w:b/>
          <w:color w:val="000000"/>
          <w:sz w:val="20"/>
        </w:rPr>
        <w:t>Item 4. Controls</w:t>
      </w:r>
      <w:r>
        <w:rPr>
          <w:rFonts w:ascii="Times New Roman" w:hAnsi="Times New Roman"/>
          <w:color w:val="000000"/>
          <w:sz w:val="20"/>
        </w:rPr>
        <w:t xml:space="preserve"> </w:t>
      </w:r>
      <w:r>
        <w:rPr>
          <w:rFonts w:ascii="Calibri;sans-serif" w:hAnsi="Calibri;sans-serif"/>
          <w:b/>
          <w:color w:val="000000"/>
          <w:sz w:val="20"/>
        </w:rPr>
        <w:t>and Procedures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Evaluation of Disclosure Controls and Procedures</w:t>
      </w:r>
    </w:p>
    <w:p>
      <w:pPr>
        <w:pStyle w:val="TextBody"/>
        <w:bidi w:val="0"/>
        <w:spacing w:before="240" w:after="283"/>
        <w:jc w:val="both"/>
        <w:rPr>
          <w:rFonts w:ascii="Times New Roman" w:hAnsi="Times New Roman"/>
          <w:sz w:val="20"/>
        </w:rPr>
      </w:pPr>
      <w:r>
        <w:rPr>
          <w:rFonts w:ascii="Calibri;sans-serif" w:hAnsi="Calibri;sans-serif"/>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240" w:after="283"/>
        <w:jc w:val="both"/>
        <w:rPr>
          <w:rFonts w:ascii="Times New Roman" w:hAnsi="Times New Roman"/>
          <w:sz w:val="20"/>
        </w:rPr>
      </w:pPr>
      <w:r>
        <w:rPr>
          <w:rFonts w:ascii="Calibri;sans-serif" w:hAnsi="Calibri;sans-serif"/>
          <w:color w:val="000000"/>
          <w:sz w:val="20"/>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described below, based on the evaluation of our disclosure controls and procedures as of the end of the period covered by this Quarterly Report, management identified a material weakness in our internal control over financial reporting. As a result of the material weakness, our Principal Executive Officer and Principal Financial Officer have concluded that, as of such date, our disclosure controls and procedures were not effective to provide reasonable assurance that information required to be disclosed in the reports we file and submit under the Exchange Act is recorded, processed, summarized, and reported as and when required.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Notwithstanding this material weakness noted above, our management, including our Principal Executive Officer and Principal Financial Officer, has concluded that our financial statements included in this Quarterly Report present fairly, in all material respects, our financial position, results of operations, and cash flows for the periods presented in accordance with GAAP.</w:t>
      </w:r>
    </w:p>
    <w:p>
      <w:pPr>
        <w:pStyle w:val="TextBody"/>
        <w:bidi w:val="0"/>
        <w:spacing w:before="240" w:after="283"/>
        <w:jc w:val="both"/>
        <w:rPr>
          <w:rFonts w:ascii="Times New Roman" w:hAnsi="Times New Roman"/>
          <w:sz w:val="20"/>
        </w:rPr>
      </w:pPr>
      <w:r>
        <w:rPr>
          <w:rFonts w:ascii="Calibri;sans-serif" w:hAnsi="Calibri;sans-serif"/>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control deficiencies, which, in the aggregate, were assessed as a material weakness as disclosed in our Annual Report, have not yet been fully remediated.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At December 31, 2023, we had unremediated operational control deficiencies at CarOffer associated with the operation of logical access and change management of information technology, or IT General Controls, around program change and logical access in certain IT systems. Therefore, we were not able to demonstrate consistent, effective operation of manual controls that rely on data produced by and maintained within these affected IT systems. As of September 30, 2024, management has not concluded on the consistent, effective operation of IT General Controls and manual controls that rely on data produced by and maintained within affected IT systems. As a result, we did not have effective operation of internal controls over financial reporting to address the risks of material misstatement of various financial statement accounts at September 30, 2024. Management has determined that the impact of the previously identified deficiencies continue to aggregate into a material weakness at September 30,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This material weakness did not result in a known material misstatement to our financial statements. However, the material weakness could have resulted in material misstatements in our interim or annual financial statements and disclosures which then may not have been prevented or detected. The material weakness also impacts the effectiveness of segregation of duties, impacts the effectiveness of financial controls which rely on information from relevant financial systems, and increases the reliance on corporate accounting personnel to identify errors at the CarOffer subsidiary level.</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Remediation Plan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 address the material weaknesses in our internal control over financial reporting as of December 31, 2023, we have continued remediation efforts outlined in previous financial statements, as applicable, including enhancing our control procedures, and in some cases, increasing the frequency at which controls are performed for logical access in IT systems. In addition, until remediation steps have been completed and are operated for a sufficient period of time, and subsequent evaluation of their effectiveness is completed, the material weakness described above will continue to exist. Our ongoing remediation efforts are focused on continued employee training related to internal control over financial reporting and confirming sustained operation of effectively designed control activities, including IT General Controls.</w:t>
      </w:r>
    </w:p>
    <w:p>
      <w:pPr>
        <w:pStyle w:val="TextBody"/>
        <w:bidi w:val="0"/>
        <w:spacing w:before="240" w:after="283"/>
        <w:jc w:val="both"/>
        <w:rPr>
          <w:rFonts w:ascii="Times New Roman" w:hAnsi="Times New Roman"/>
          <w:sz w:val="20"/>
        </w:rPr>
      </w:pPr>
      <w:r>
        <w:rPr>
          <w:rFonts w:ascii="Calibri;sans-serif" w:hAnsi="Calibri;sans-serif"/>
          <w:color w:val="000000"/>
          <w:sz w:val="20"/>
        </w:rPr>
        <w:t>Management is committed to successfully implementing the remediation plan as promptly as possible. As of September 30, 2024, management has implemented or enhanced certain controls to address specific issues related to the material weakness.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 See “</w:t>
      </w:r>
      <w:r>
        <w:rPr>
          <w:rFonts w:ascii="Calibri;sans-serif" w:hAnsi="Calibri;sans-serif"/>
          <w:i/>
          <w:color w:val="000000"/>
          <w:sz w:val="20"/>
        </w:rPr>
        <w:t xml:space="preserve">Risk Factors—Risks Related to Our Business and Industry—We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 </w:t>
      </w:r>
      <w:r>
        <w:rPr>
          <w:rFonts w:ascii="Calibri;sans-serif" w:hAnsi="Calibri;sans-serif"/>
          <w:color w:val="000000"/>
          <w:sz w:val="20"/>
        </w:rPr>
        <w:t>in Part I, Item 1A in our Annual Report.</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Changes in Internal Control over Financial Reporting</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Except as otherwise noted above under "Remediation Plan," including the on-going remediation efforts described, there were no changes in our internal control over financial reporting (as such term is defined in Exchange Act Rules 13a-15(f) and 15d-15(f)) during the period covered by this Quarterly Report that have materially affected, or are reasonably likely to materially affect, our internal control over financial reporting. Our plans for remediating the material weakness, described above, will constitute changes in our internal control over financial reporting, prospectively, when such remediation plans are effectively implemented.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center"/>
        <w:rPr>
          <w:rFonts w:ascii="Calibri;sans-serif" w:hAnsi="Calibri;sans-serif"/>
          <w:b/>
          <w:color w:val="000000"/>
          <w:sz w:val="20"/>
        </w:rPr>
      </w:pPr>
      <w:bookmarkStart w:id="14" w:name="part_iior_information"/>
      <w:bookmarkEnd w:id="14"/>
      <w:r>
        <w:rPr>
          <w:rFonts w:ascii="Calibri;sans-serif" w:hAnsi="Calibri;sans-serif"/>
          <w:b/>
          <w:color w:val="000000"/>
          <w:sz w:val="20"/>
        </w:rPr>
        <w:t>PART II—OTHER INFORMATION</w:t>
      </w:r>
    </w:p>
    <w:p>
      <w:pPr>
        <w:pStyle w:val="TextBody"/>
        <w:bidi w:val="0"/>
        <w:spacing w:before="120" w:after="120"/>
        <w:jc w:val="both"/>
        <w:rPr>
          <w:rFonts w:ascii="Calibri;sans-serif" w:hAnsi="Calibri;sans-serif"/>
          <w:b/>
          <w:color w:val="000000"/>
          <w:sz w:val="20"/>
        </w:rPr>
      </w:pPr>
      <w:bookmarkStart w:id="15" w:name="item_1_legal_proceedings"/>
      <w:bookmarkEnd w:id="15"/>
      <w:r>
        <w:rPr>
          <w:rFonts w:ascii="Calibri;sans-serif" w:hAnsi="Calibri;sans-serif"/>
          <w:b/>
          <w:color w:val="000000"/>
          <w:sz w:val="20"/>
        </w:rPr>
        <w:t>Item 1. Legal Proceedings.</w:t>
      </w:r>
    </w:p>
    <w:p>
      <w:pPr>
        <w:pStyle w:val="TextBody"/>
        <w:bidi w:val="0"/>
        <w:spacing w:before="120" w:after="120"/>
        <w:jc w:val="both"/>
        <w:rPr>
          <w:rFonts w:ascii="Calibri;sans-serif" w:hAnsi="Calibri;sans-serif"/>
          <w:color w:val="000000"/>
          <w:sz w:val="20"/>
        </w:rPr>
      </w:pPr>
      <w:r>
        <w:rPr>
          <w:rFonts w:ascii="Calibri;sans-serif" w:hAnsi="Calibri;sans-serif"/>
          <w:color w:val="000000"/>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pStyle w:val="TextBody"/>
        <w:bidi w:val="0"/>
        <w:spacing w:before="60" w:after="60"/>
        <w:jc w:val="both"/>
        <w:rPr>
          <w:rFonts w:ascii="Calibri;sans-serif" w:hAnsi="Calibri;sans-serif"/>
          <w:b/>
          <w:color w:val="000000"/>
          <w:sz w:val="20"/>
        </w:rPr>
      </w:pPr>
      <w:bookmarkStart w:id="16" w:name="item_1a_risk_factors"/>
      <w:bookmarkEnd w:id="16"/>
      <w:r>
        <w:rPr>
          <w:rFonts w:ascii="Calibri;sans-serif" w:hAnsi="Calibri;sans-serif"/>
          <w:b/>
          <w:color w:val="000000"/>
          <w:sz w:val="20"/>
        </w:rPr>
        <w:t>Item 1A. Risk Factors.</w:t>
      </w:r>
    </w:p>
    <w:p>
      <w:pPr>
        <w:pStyle w:val="TextBody"/>
        <w:bidi w:val="0"/>
        <w:jc w:val="both"/>
        <w:rPr>
          <w:rFonts w:ascii="Times New Roman" w:hAnsi="Times New Roman"/>
          <w:sz w:val="20"/>
        </w:rPr>
      </w:pPr>
      <w:r>
        <w:rPr>
          <w:rFonts w:ascii="Calibri;sans-serif" w:hAnsi="Calibri;sans-serif"/>
          <w:color w:val="000000"/>
          <w:sz w:val="20"/>
        </w:rPr>
        <w:t>Careful consideration should be given to the factors discussed in Part I, Item 1A, “Risk Factors,” in our Annual Report, which could materially affect our business, financial condition, or future results, in addition to the information set forth in this Quarterly Report</w:t>
      </w:r>
      <w:r>
        <w:rPr>
          <w:rFonts w:ascii="Times New Roman" w:hAnsi="Times New Roman"/>
          <w:color w:val="000000"/>
          <w:sz w:val="16"/>
        </w:rPr>
        <w:t xml:space="preserve">. </w:t>
      </w:r>
      <w:r>
        <w:rPr>
          <w:rFonts w:ascii="Calibri;sans-serif" w:hAnsi="Calibri;sans-serif"/>
          <w:color w:val="000000"/>
          <w:sz w:val="20"/>
        </w:rPr>
        <w:t>The risk factor set forth below updates the risk factors in our Annual Report.</w:t>
      </w:r>
    </w:p>
    <w:p>
      <w:pPr>
        <w:pStyle w:val="TextBody"/>
        <w:bidi w:val="0"/>
        <w:jc w:val="both"/>
        <w:rPr/>
      </w:pPr>
      <w:r>
        <w:rPr/>
        <w:t> </w:t>
      </w:r>
    </w:p>
    <w:p>
      <w:pPr>
        <w:pStyle w:val="TextBody"/>
        <w:bidi w:val="0"/>
        <w:jc w:val="both"/>
        <w:rPr>
          <w:rFonts w:ascii="Calibri;sans-serif" w:hAnsi="Calibri;sans-serif"/>
          <w:b/>
          <w:i/>
          <w:color w:val="000000"/>
          <w:sz w:val="20"/>
        </w:rPr>
      </w:pPr>
      <w:r>
        <w:rPr>
          <w:rFonts w:ascii="Calibri;sans-serif" w:hAnsi="Calibri;sans-serif"/>
          <w:b/>
          <w:i/>
          <w:color w:val="000000"/>
          <w:sz w:val="20"/>
        </w:rPr>
        <w:t>Our goodwill, intangible assets, right-of-use assets, and other assets have been subject to impairment and may be subject to further impairment in the future, which could have a material adverse effect on our results of operations, financial condition, or future operating results.</w:t>
      </w:r>
    </w:p>
    <w:p>
      <w:pPr>
        <w:pStyle w:val="TextBody"/>
        <w:bidi w:val="0"/>
        <w:jc w:val="both"/>
        <w:rPr>
          <w:rFonts w:ascii="Calibri;sans-serif" w:hAnsi="Calibri;sans-serif"/>
          <w:color w:val="000000"/>
          <w:sz w:val="20"/>
        </w:rPr>
      </w:pPr>
      <w:r>
        <w:rPr>
          <w:rFonts w:ascii="Calibri;sans-serif" w:hAnsi="Calibri;sans-serif"/>
          <w:color w:val="000000"/>
          <w:sz w:val="20"/>
        </w:rPr>
        <w:t>We evaluate the recoverability of recognized goodwill amounts and indefinite-lived intangible assets for impairment at least annually and whenever events or changes in circumstances indicate that the carrying value of the asset may not be recoverable. These impairment tests are based on several factors requiring management’s judgment, including identification of triggering events for reassessment and determination of the fair value of related assets. If such goodwill or intangible assets are deemed to be impaired, an impairment loss equal to the amount by which the carrying amount exceeds the fair value of the assets would be recognized. Future events may cause impairments of our goodwill or intangible assets based on factors such as the price of our Class A common stock, projected cash flows, assumptions used, or other variables.</w:t>
      </w:r>
    </w:p>
    <w:p>
      <w:pPr>
        <w:pStyle w:val="TextBody"/>
        <w:bidi w:val="0"/>
        <w:jc w:val="left"/>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In the three months ended June 30, 2024, we recognized a partial impairment charge of $127.5 million related to the CarOffer reporting unit. We cannot accurately predict the amount and timing of any impairment of goodwill, intangible assets, right-of-use assets, or other assets. We may be required to record an additional charge during the period in which further impairment of our goodwill or intangible assets is determined, which could have a material adverse effect on our results of operations, financial condition, or future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Calibri;sans-serif" w:hAnsi="Calibri;sans-serif"/>
          <w:b/>
          <w:color w:val="000000"/>
          <w:sz w:val="20"/>
        </w:rPr>
      </w:pPr>
      <w:bookmarkStart w:id="17" w:name="item_2_unreg_sale_securities"/>
      <w:bookmarkEnd w:id="17"/>
      <w:r>
        <w:rPr>
          <w:rFonts w:ascii="Calibri;sans-serif" w:hAnsi="Calibri;sans-serif"/>
          <w:b/>
          <w:color w:val="000000"/>
          <w:sz w:val="20"/>
        </w:rPr>
        <w:t>Item 2. Unregistered Sales of Equity Securities and Use of Proceeds.</w:t>
      </w:r>
    </w:p>
    <w:p>
      <w:pPr>
        <w:pStyle w:val="TextBody"/>
        <w:bidi w:val="0"/>
        <w:spacing w:before="120" w:after="283"/>
        <w:jc w:val="both"/>
        <w:rPr>
          <w:rFonts w:ascii="Calibri;sans-serif" w:hAnsi="Calibri;sans-serif"/>
          <w:b/>
          <w:i/>
          <w:color w:val="000000"/>
          <w:sz w:val="20"/>
        </w:rPr>
      </w:pPr>
      <w:r>
        <w:rPr>
          <w:rFonts w:ascii="Calibri;sans-serif" w:hAnsi="Calibri;sans-serif"/>
          <w:b/>
          <w:i/>
          <w:color w:val="000000"/>
          <w:sz w:val="20"/>
        </w:rPr>
        <w:t>Recent Sales of Unregistered Securities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None.</w:t>
      </w:r>
    </w:p>
    <w:p>
      <w:pPr>
        <w:pStyle w:val="TextBody"/>
        <w:bidi w:val="0"/>
        <w:spacing w:before="120" w:after="283"/>
        <w:jc w:val="both"/>
        <w:rPr>
          <w:rFonts w:ascii="Calibri;sans-serif" w:hAnsi="Calibri;sans-serif"/>
          <w:b/>
          <w:i/>
          <w:color w:val="000000"/>
          <w:sz w:val="20"/>
        </w:rPr>
      </w:pPr>
      <w:r>
        <w:rPr>
          <w:rFonts w:ascii="Calibri;sans-serif" w:hAnsi="Calibri;sans-serif"/>
          <w:b/>
          <w:i/>
          <w:color w:val="000000"/>
          <w:sz w:val="20"/>
        </w:rPr>
        <w:t>Purchases of Equity Securities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following table summarizes information about our purchases of our Class A common stock equity securities for each of the months during the three months ended September 30,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62"/>
        <w:gridCol w:w="146"/>
        <w:gridCol w:w="221"/>
        <w:gridCol w:w="1185"/>
        <w:gridCol w:w="146"/>
        <w:gridCol w:w="146"/>
        <w:gridCol w:w="371"/>
        <w:gridCol w:w="1011"/>
        <w:gridCol w:w="146"/>
        <w:gridCol w:w="146"/>
        <w:gridCol w:w="319"/>
        <w:gridCol w:w="1709"/>
        <w:gridCol w:w="146"/>
        <w:gridCol w:w="146"/>
        <w:gridCol w:w="491"/>
        <w:gridCol w:w="1819"/>
        <w:gridCol w:w="395"/>
      </w:tblGrid>
      <w:tr>
        <w:trPr/>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662" w:type="dxa"/>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Period</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Weighted Average Price Paid per Share of Common Stock</w:t>
            </w:r>
            <w:r>
              <w:rPr>
                <w:rFonts w:ascii="Calibri;sans-serif" w:hAnsi="Calibr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Total Number of Shares of Common Stock Purchased as Part of Publicly Announced Plans or Programs</w:t>
            </w:r>
            <w:r>
              <w:rPr>
                <w:rFonts w:ascii="Calibri;sans-serif" w:hAnsi="Calibri;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 xml:space="preserve">Maximum Approximate Dollar Value of Shares of Common Stock that May Yet be Purchased Under the Plans or Programs </w:t>
              <w:br/>
              <w:t>(in thousands)</w:t>
            </w:r>
            <w:r>
              <w:rPr>
                <w:rFonts w:ascii="Calibri;sans-serif" w:hAnsi="Calibri;sans-serif"/>
                <w:b/>
                <w:color w:val="000000"/>
                <w:sz w:val="11"/>
              </w:rPr>
              <w:t>(2)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62"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color w:val="000000"/>
                <w:sz w:val="20"/>
              </w:rPr>
              <w:t>July 1, 2024 through July 31, 2024</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17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1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107,583</w:t>
            </w:r>
          </w:p>
        </w:tc>
        <w:tc>
          <w:tcPr>
            <w:tcW w:w="395" w:type="dxa"/>
            <w:tcBorders/>
            <w:shd w:fill="CFF0FC" w:val="clear"/>
            <w:vAlign w:val="center"/>
          </w:tcPr>
          <w:p>
            <w:pPr>
              <w:pStyle w:val="TableContents"/>
              <w:bidi w:val="0"/>
              <w:spacing w:before="0" w:after="283"/>
              <w:ind w:left="0" w:right="0" w:firstLine="100"/>
              <w:jc w:val="left"/>
              <w:rPr/>
            </w:pPr>
            <w:r>
              <w:rPr/>
              <w:t> </w:t>
            </w:r>
          </w:p>
        </w:tc>
      </w:tr>
      <w:tr>
        <w:trPr/>
        <w:tc>
          <w:tcPr>
            <w:tcW w:w="1662"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color w:val="000000"/>
                <w:sz w:val="20"/>
              </w:rPr>
              <w:t>August 1, 2024 through August 31, 2024</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103,883</w:t>
            </w:r>
          </w:p>
        </w:tc>
        <w:tc>
          <w:tcPr>
            <w:tcW w:w="395" w:type="dxa"/>
            <w:tcBorders/>
            <w:shd w:fill="FFFFFF" w:val="clear"/>
            <w:vAlign w:val="center"/>
          </w:tcPr>
          <w:p>
            <w:pPr>
              <w:pStyle w:val="TableContents"/>
              <w:bidi w:val="0"/>
              <w:spacing w:before="0" w:after="283"/>
              <w:ind w:left="0" w:right="0" w:firstLine="100"/>
              <w:jc w:val="left"/>
              <w:rPr/>
            </w:pPr>
            <w:r>
              <w:rPr/>
              <w:t> </w:t>
            </w:r>
          </w:p>
        </w:tc>
      </w:tr>
      <w:tr>
        <w:trPr/>
        <w:tc>
          <w:tcPr>
            <w:tcW w:w="1662"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color w:val="000000"/>
                <w:sz w:val="20"/>
              </w:rPr>
              <w:t>September 1, 2024 through September 30, 2024</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1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103,883</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662"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164,301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103,883</w:t>
            </w:r>
          </w:p>
        </w:tc>
        <w:tc>
          <w:tcPr>
            <w:tcW w:w="395" w:type="dxa"/>
            <w:tcBorders/>
            <w:shd w:fill="FFFFFF" w:val="cle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The weighted average price paid per share of our Class A common stock does not include cost of commissions.</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spacing w:before="0" w:after="0"/>
        <w:jc w:val="both"/>
        <w:rPr>
          <w:rFonts w:ascii="Calibri;sans-serif" w:hAnsi="Calibri;sans-serif"/>
          <w:color w:val="000000"/>
          <w:sz w:val="13"/>
        </w:rPr>
      </w:pPr>
      <w:r>
        <w:rPr>
          <w:rFonts w:ascii="Calibri;sans-serif" w:hAnsi="Calibri;sans-serif"/>
          <w:color w:val="000000"/>
          <w:sz w:val="13"/>
        </w:rPr>
        <w:t>On November 7, 2023, we announced that our Board of Directors authorized the 2024 Share Repurchase Program, pursuant to which we may, from time to time, purchase shares of our Class A common stock for an aggregate purchase price not to exceed $250.0 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2024 Share Repurchase Program does not obligate us to repurchase any minimum dollar amount or number of shares. The 2024 Share Repurchase Program has an effective date of January 1, 2024, and an expiration date of December 31, 2024, and prior to its expiration may be modified, suspended, or discontinued by our Board of Directors at any time without prior notice. All repurchased shares of our Class A common stock under the 2024 Share Repurchase Program will be retired. We have funded share repurchases and expect to continue to fund any additional share repurchases under the 2024 Share Repurchase Program through cash on hand and cash generated from operations. On November 7, 2024, we announced that our Board of Directors authorized the 2025 Share Repurchase Program, pursuant to which we may, from time to time, purchase shares of our Class A common stock for an aggregate purchase price not to exceed $200.0 million.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2025 Share Repurchase Program does not obligate us to repurchase any minimum dollar amount or number of shares. The 2025 Share Repurchase Program has an effective date of January 1, 2025, and an expiration date of December 31, 2025, and prior to its expiration may be modified, suspended, or discontinued by our Board of Directors at any time without prior notice. All repurchased shares under the 2025 Share Repurchase Program will be retired. We expect to fund share repurchases under the 2025 Share Repurchase Program through cash on hand and cash generated from operations.</w:t>
      </w:r>
    </w:p>
    <w:p>
      <w:pPr>
        <w:pStyle w:val="TextBody"/>
        <w:bidi w:val="0"/>
        <w:spacing w:before="0" w:after="0"/>
        <w:jc w:val="both"/>
        <w:rPr>
          <w:rFonts w:ascii="Calibri" w:hAnsi="Calibri"/>
          <w:color w:val="000000"/>
          <w:sz w:val="20"/>
        </w:rPr>
      </w:pPr>
      <w:r>
        <w:rPr>
          <w:rFonts w:ascii="Calibri" w:hAnsi="Calibri"/>
          <w:color w:val="000000"/>
          <w:sz w:val="20"/>
        </w:rPr>
        <w:t>(3)</w:t>
      </w:r>
    </w:p>
    <w:p>
      <w:pPr>
        <w:pStyle w:val="TextBody"/>
        <w:bidi w:val="0"/>
        <w:jc w:val="both"/>
        <w:rPr>
          <w:rFonts w:ascii="Calibri;sans-serif" w:hAnsi="Calibri;sans-serif"/>
          <w:color w:val="000000"/>
          <w:sz w:val="13"/>
        </w:rPr>
      </w:pPr>
      <w:r>
        <w:rPr>
          <w:rFonts w:ascii="Calibri;sans-serif" w:hAnsi="Calibri;sans-serif"/>
          <w:color w:val="000000"/>
          <w:sz w:val="13"/>
        </w:rPr>
        <w:t>The total number of shares of our Class A common stock purchased as part of the 2024 Share Repurchase Program was inclusive of any shares purchased but not settled as of September 30,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color w:val="000000"/>
          <w:sz w:val="20"/>
        </w:rPr>
      </w:pPr>
      <w:bookmarkStart w:id="18" w:name="item_5_other_information"/>
      <w:bookmarkEnd w:id="18"/>
      <w:r>
        <w:rPr>
          <w:rFonts w:ascii="Calibri;sans-serif" w:hAnsi="Calibri;sans-serif"/>
          <w:b/>
          <w:color w:val="000000"/>
          <w:sz w:val="20"/>
        </w:rPr>
        <w:t>Item 5. Other Information</w:t>
      </w:r>
    </w:p>
    <w:p>
      <w:pPr>
        <w:pStyle w:val="TextBody"/>
        <w:bidi w:val="0"/>
        <w:jc w:val="both"/>
        <w:rPr/>
      </w:pPr>
      <w:r>
        <w:rPr/>
        <w:t> </w:t>
      </w:r>
    </w:p>
    <w:p>
      <w:pPr>
        <w:pStyle w:val="TextBody"/>
        <w:bidi w:val="0"/>
        <w:jc w:val="both"/>
        <w:rPr>
          <w:rFonts w:ascii="Calibri;sans-serif" w:hAnsi="Calibri;sans-serif"/>
          <w:b/>
          <w:i/>
          <w:color w:val="000000"/>
          <w:sz w:val="20"/>
        </w:rPr>
      </w:pPr>
      <w:r>
        <w:rPr>
          <w:rFonts w:ascii="Calibri;sans-serif" w:hAnsi="Calibri;sans-serif"/>
          <w:b/>
          <w:i/>
          <w:color w:val="000000"/>
          <w:sz w:val="20"/>
        </w:rPr>
        <w:t>Rule 10b5-1 Plan Trading Arrangements</w:t>
      </w:r>
    </w:p>
    <w:p>
      <w:pPr>
        <w:pStyle w:val="TextBody"/>
        <w:bidi w:val="0"/>
        <w:jc w:val="both"/>
        <w:rPr>
          <w:rFonts w:ascii="Times New Roman" w:hAnsi="Times New Roman"/>
          <w:sz w:val="20"/>
        </w:rPr>
      </w:pPr>
      <w:r>
        <w:rPr>
          <w:rFonts w:ascii="Calibri;sans-serif" w:hAnsi="Calibri;sans-serif"/>
          <w:color w:val="000000"/>
          <w:sz w:val="20"/>
        </w:rPr>
        <w:t>During the three months ended September 30, 2024, the following officer adopted</w:t>
      </w:r>
      <w:r>
        <w:rPr>
          <w:rFonts w:ascii="Times New Roman" w:hAnsi="Times New Roman"/>
          <w:color w:val="000000"/>
          <w:sz w:val="20"/>
        </w:rPr>
        <w:t xml:space="preserve"> </w:t>
      </w:r>
      <w:r>
        <w:rPr>
          <w:rFonts w:ascii="Calibri;sans-serif" w:hAnsi="Calibri;sans-serif"/>
          <w:color w:val="000000"/>
          <w:sz w:val="20"/>
        </w:rPr>
        <w:t>a “Rule 10b5-1 trading arrangement” (as defined in Item 408 of Regulation S-K) that is intended to satisfy the affirmative defense of Rule 10b5-1(c) under the Exchange Act and our policies on insider trading: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1291"/>
        <w:gridCol w:w="146"/>
        <w:gridCol w:w="4729"/>
        <w:gridCol w:w="146"/>
        <w:gridCol w:w="1366"/>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381"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Name &amp; 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Date Adopted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2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Aggregate Number of Shares of Class A Common Stock to be Purchased or Sold Pursuant to Trading Arrangement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Expiration Date</w:t>
            </w:r>
          </w:p>
        </w:tc>
      </w:tr>
      <w:tr>
        <w:trPr/>
        <w:tc>
          <w:tcPr>
            <w:tcW w:w="2381" w:type="dxa"/>
            <w:tcBorders/>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Zachary Hallowell,</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Executive Officer, CarOffer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August 16,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Up to 78,915</w:t>
            </w:r>
            <w:r>
              <w:rPr>
                <w:rFonts w:ascii="Times New Roman" w:hAnsi="Times New Roman"/>
                <w:color w:val="000000"/>
                <w:sz w:val="20"/>
              </w:rPr>
              <w:t xml:space="preserve"> </w:t>
            </w:r>
            <w:r>
              <w:rPr>
                <w:rFonts w:ascii="Calibri;sans-serif" w:hAnsi="Calibri;sans-serif"/>
                <w:color w:val="000000"/>
                <w:sz w:val="20"/>
              </w:rPr>
              <w:t>shares to be sold</w:t>
            </w:r>
            <w:r>
              <w:rPr>
                <w:rFonts w:ascii="Calibri;sans-serif" w:hAnsi="Calibri;sans-serif"/>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August 15, 2025</w:t>
            </w:r>
            <w:r>
              <w:rPr>
                <w:rFonts w:ascii="Calibri;sans-serif" w:hAnsi="Calibri;sans-serif"/>
                <w:color w:val="000000"/>
                <w:sz w:val="13"/>
              </w:rPr>
              <w:t>(2)</w:t>
            </w:r>
          </w:p>
        </w:tc>
      </w:tr>
      <w:tr>
        <w:trPr/>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Calibri;sans-serif" w:hAnsi="Calibri;sans-serif"/>
                <w:color w:val="000000"/>
                <w:sz w:val="20"/>
              </w:rPr>
              <w:t>Langley Steinert,</w:t>
            </w:r>
            <w:r>
              <w:rPr>
                <w:rFonts w:ascii="Times New Roman" w:hAnsi="Times New Roman"/>
                <w:color w:val="000000"/>
                <w:sz w:val="20"/>
              </w:rPr>
              <w:t xml:space="preserve"> </w:t>
            </w:r>
          </w:p>
          <w:p>
            <w:pPr>
              <w:pStyle w:val="TableContents"/>
              <w:bidi w:val="0"/>
              <w:spacing w:before="0" w:after="283"/>
              <w:jc w:val="left"/>
              <w:rPr>
                <w:rFonts w:ascii="Times New Roman" w:hAnsi="Times New Roman"/>
                <w:sz w:val="20"/>
              </w:rPr>
            </w:pPr>
            <w:r>
              <w:rPr>
                <w:rFonts w:ascii="Calibri;sans-serif" w:hAnsi="Calibri;sans-serif"/>
                <w:color w:val="000000"/>
                <w:sz w:val="20"/>
              </w:rPr>
              <w:t>Executive Chair and Chair of the Board of Directors</w:t>
            </w:r>
            <w:r>
              <w:rPr>
                <w:rFonts w:ascii="Calibri;sans-serif" w:hAnsi="Calibri;sans-serif"/>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September 12,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1,782,923</w:t>
            </w:r>
            <w:r>
              <w:rPr>
                <w:rFonts w:ascii="Times New Roman" w:hAnsi="Times New Roman"/>
                <w:color w:val="000000"/>
                <w:sz w:val="20"/>
              </w:rPr>
              <w:t xml:space="preserve"> </w:t>
            </w:r>
            <w:r>
              <w:rPr>
                <w:rFonts w:ascii="Calibri;sans-serif" w:hAnsi="Calibri;sans-serif"/>
                <w:color w:val="000000"/>
                <w:sz w:val="20"/>
              </w:rPr>
              <w:t>shares to be sold</w:t>
            </w:r>
            <w:r>
              <w:rPr>
                <w:rFonts w:ascii="Calibri;sans-serif" w:hAnsi="Calibri;sans-serif"/>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June 18, 2025</w:t>
            </w:r>
            <w:r>
              <w:rPr>
                <w:rFonts w:ascii="Calibri;sans-serif" w:hAnsi="Calibri;sans-serif"/>
                <w:color w:val="000000"/>
                <w:sz w:val="13"/>
              </w:rPr>
              <w:t>(4)</w:t>
            </w:r>
          </w:p>
        </w:tc>
      </w:tr>
      <w:tr>
        <w:trPr/>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tcBorders/>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Samuel Zales,</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President and Chief Operating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September 13,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Up to 264,374</w:t>
            </w:r>
            <w:r>
              <w:rPr>
                <w:rFonts w:ascii="Times New Roman" w:hAnsi="Times New Roman"/>
                <w:color w:val="000000"/>
                <w:sz w:val="20"/>
              </w:rPr>
              <w:t xml:space="preserve"> </w:t>
            </w:r>
            <w:r>
              <w:rPr>
                <w:rFonts w:ascii="Calibri;sans-serif" w:hAnsi="Calibri;sans-serif"/>
                <w:color w:val="000000"/>
                <w:sz w:val="20"/>
              </w:rPr>
              <w:t>shares to be sold</w:t>
            </w:r>
            <w:r>
              <w:rPr>
                <w:rFonts w:ascii="Calibri;sans-serif" w:hAnsi="Calibri;sans-serif"/>
                <w:color w:val="000000"/>
                <w:sz w:val="13"/>
              </w:rPr>
              <w:t>(5)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December 31, 2025</w:t>
            </w:r>
            <w:r>
              <w:rPr>
                <w:rFonts w:ascii="Calibri;sans-serif" w:hAnsi="Calibri;sans-serif"/>
                <w:color w:val="000000"/>
                <w:sz w:val="13"/>
              </w:rPr>
              <w:t>(2)</w:t>
            </w:r>
          </w:p>
        </w:tc>
      </w:tr>
    </w:tbl>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13"/>
        </w:rPr>
        <w:t>(1)</w:t>
      </w:r>
      <w:r>
        <w:rPr>
          <w:rFonts w:ascii="Times New Roman" w:hAnsi="Times New Roman"/>
          <w:color w:val="000000"/>
          <w:sz w:val="20"/>
        </w:rPr>
        <w:t xml:space="preserve"> </w:t>
      </w:r>
      <w:r>
        <w:rPr>
          <w:rFonts w:ascii="Calibri;sans-serif" w:hAnsi="Calibri;sans-serif"/>
          <w:color w:val="000000"/>
          <w:sz w:val="20"/>
        </w:rPr>
        <w:t>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Mr. Hallowell’s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 Furthermore, the Rule 10b5-1 trading arrangement provides for the sale of 7,148</w:t>
      </w:r>
      <w:r>
        <w:rPr>
          <w:rFonts w:ascii="Times New Roman" w:hAnsi="Times New Roman"/>
          <w:color w:val="000000"/>
          <w:sz w:val="20"/>
        </w:rPr>
        <w:t xml:space="preserve"> </w:t>
      </w:r>
      <w:r>
        <w:rPr>
          <w:rFonts w:ascii="Calibri;sans-serif" w:hAnsi="Calibri;sans-serif"/>
          <w:color w:val="000000"/>
          <w:sz w:val="20"/>
        </w:rPr>
        <w:t>shares directly held by Mr. Hallowell and the sale of up to 50% of the net shares that vest on certain applicable vesting dates, up to 71,767</w:t>
      </w:r>
      <w:r>
        <w:rPr>
          <w:rFonts w:ascii="Times New Roman" w:hAnsi="Times New Roman"/>
          <w:color w:val="000000"/>
          <w:sz w:val="20"/>
        </w:rPr>
        <w:t xml:space="preserve"> </w:t>
      </w:r>
      <w:r>
        <w:rPr>
          <w:rFonts w:ascii="Calibri;sans-serif" w:hAnsi="Calibri;sans-serif"/>
          <w:color w:val="000000"/>
          <w:sz w:val="20"/>
        </w:rPr>
        <w:t>shares.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13"/>
        </w:rPr>
        <w:t>(2)</w:t>
      </w:r>
      <w:r>
        <w:rPr>
          <w:rFonts w:ascii="Times New Roman" w:hAnsi="Times New Roman"/>
          <w:color w:val="000000"/>
          <w:sz w:val="20"/>
        </w:rPr>
        <w:t xml:space="preserve"> </w:t>
      </w:r>
      <w:r>
        <w:rPr>
          <w:rFonts w:ascii="Calibri;sans-serif" w:hAnsi="Calibri;sans-serif"/>
          <w:color w:val="000000"/>
          <w:sz w:val="20"/>
        </w:rPr>
        <w:t>The Rule 10b5-1 trading arrangement permits transactions through and including the earlier to occur of (a) the completion of all sales or (b) the date listed in the table. The arrangement also provides for automatic expiration in the event of liquidation, dissolution, bankruptcy, insolvency, or death of the adopting person.</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13"/>
        </w:rPr>
        <w:t xml:space="preserve">(3) </w:t>
      </w:r>
      <w:r>
        <w:rPr>
          <w:rFonts w:ascii="Calibri;sans-serif" w:hAnsi="Calibri;sans-serif"/>
          <w:color w:val="000000"/>
          <w:sz w:val="20"/>
        </w:rPr>
        <w:t>The Rule 10b5-1 trading arrangement was entered</w:t>
      </w:r>
      <w:r>
        <w:rPr>
          <w:rFonts w:ascii="Times New Roman" w:hAnsi="Times New Roman"/>
          <w:color w:val="000000"/>
          <w:sz w:val="20"/>
        </w:rPr>
        <w:t xml:space="preserve"> </w:t>
      </w:r>
      <w:r>
        <w:rPr>
          <w:rFonts w:ascii="Calibri;sans-serif" w:hAnsi="Calibri;sans-serif"/>
          <w:color w:val="000000"/>
          <w:sz w:val="20"/>
        </w:rPr>
        <w:t>into among Hilary and Langley Steinert, acting jointly; Langley Steinert Irrevocable Family Trust dated June 21, 2024, or the Steinert Trust; and Comet Foundation, which we collectively refer to as the Steinert Sellers. Of the 1,782,923</w:t>
      </w:r>
      <w:r>
        <w:rPr>
          <w:rFonts w:ascii="Times New Roman" w:hAnsi="Times New Roman"/>
          <w:color w:val="000000"/>
          <w:sz w:val="20"/>
        </w:rPr>
        <w:t xml:space="preserve"> </w:t>
      </w:r>
      <w:r>
        <w:rPr>
          <w:rFonts w:ascii="Calibri;sans-serif" w:hAnsi="Calibri;sans-serif"/>
          <w:color w:val="000000"/>
          <w:sz w:val="20"/>
        </w:rPr>
        <w:t>shares to be sold</w:t>
      </w:r>
      <w:r>
        <w:rPr>
          <w:rFonts w:ascii="Times New Roman" w:hAnsi="Times New Roman"/>
          <w:color w:val="000000"/>
          <w:sz w:val="20"/>
        </w:rPr>
        <w:t xml:space="preserve"> </w:t>
      </w:r>
      <w:r>
        <w:rPr>
          <w:rFonts w:ascii="Calibri;sans-serif" w:hAnsi="Calibri;sans-serif"/>
          <w:color w:val="000000"/>
          <w:sz w:val="20"/>
        </w:rPr>
        <w:t>pursuant to this Rule 10b5-1 trading arrangement, Hilary and Langley Steinert, acting jointly, contributed 1,386,889</w:t>
      </w:r>
      <w:r>
        <w:rPr>
          <w:rFonts w:ascii="Times New Roman" w:hAnsi="Times New Roman"/>
          <w:color w:val="000000"/>
          <w:sz w:val="20"/>
        </w:rPr>
        <w:t xml:space="preserve"> </w:t>
      </w:r>
      <w:r>
        <w:rPr>
          <w:rFonts w:ascii="Calibri;sans-serif" w:hAnsi="Calibri;sans-serif"/>
          <w:color w:val="000000"/>
          <w:sz w:val="20"/>
        </w:rPr>
        <w:t>shares, the Steinert Trust contributed 154,099</w:t>
      </w:r>
      <w:r>
        <w:rPr>
          <w:rFonts w:ascii="Times New Roman" w:hAnsi="Times New Roman"/>
          <w:color w:val="000000"/>
          <w:sz w:val="20"/>
        </w:rPr>
        <w:t xml:space="preserve"> </w:t>
      </w:r>
      <w:r>
        <w:rPr>
          <w:rFonts w:ascii="Calibri;sans-serif" w:hAnsi="Calibri;sans-serif"/>
          <w:color w:val="000000"/>
          <w:sz w:val="20"/>
        </w:rPr>
        <w:t>shares, and the Comet Foundation contributed 241,935</w:t>
      </w:r>
      <w:r>
        <w:rPr>
          <w:rFonts w:ascii="Times New Roman" w:hAnsi="Times New Roman"/>
          <w:color w:val="000000"/>
          <w:sz w:val="20"/>
        </w:rPr>
        <w:t xml:space="preserve"> </w:t>
      </w:r>
      <w:r>
        <w:rPr>
          <w:rFonts w:ascii="Calibri;sans-serif" w:hAnsi="Calibri;sans-serif"/>
          <w:color w:val="000000"/>
          <w:sz w:val="20"/>
        </w:rPr>
        <w:t>shares.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13"/>
        </w:rPr>
        <w:t xml:space="preserve">(4) </w:t>
      </w:r>
      <w:r>
        <w:rPr>
          <w:rFonts w:ascii="Calibri;sans-serif" w:hAnsi="Calibri;sans-serif"/>
          <w:color w:val="000000"/>
          <w:sz w:val="20"/>
        </w:rPr>
        <w:t>The Rule 10b5-1 trading arrangement permits transactions through June 18, 2025, subject to early termination for certain specified events set forth in the Rule 10b5-1 trading arrangement, or earlier if all transactions under the Rule 10b5-1 trading arrangement are completed.</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13"/>
        </w:rPr>
        <w:t xml:space="preserve">(5) </w:t>
      </w:r>
      <w:r>
        <w:rPr>
          <w:rFonts w:ascii="Calibri;sans-serif" w:hAnsi="Calibri;sans-serif"/>
          <w:color w:val="000000"/>
          <w:sz w:val="20"/>
        </w:rPr>
        <w:t>The Rule 10b5-1 trading arrangement includes the sale of 120,000</w:t>
      </w:r>
      <w:r>
        <w:rPr>
          <w:rFonts w:ascii="Times New Roman" w:hAnsi="Times New Roman"/>
          <w:color w:val="000000"/>
          <w:sz w:val="20"/>
        </w:rPr>
        <w:t xml:space="preserve"> </w:t>
      </w:r>
      <w:r>
        <w:rPr>
          <w:rFonts w:ascii="Calibri;sans-serif" w:hAnsi="Calibri;sans-serif"/>
          <w:color w:val="000000"/>
          <w:sz w:val="20"/>
        </w:rPr>
        <w:t>shares directly held by Mr. Zales and an aggregate of 19,714</w:t>
      </w:r>
      <w:r>
        <w:rPr>
          <w:rFonts w:ascii="Times New Roman" w:hAnsi="Times New Roman"/>
          <w:color w:val="000000"/>
          <w:sz w:val="20"/>
        </w:rPr>
        <w:t xml:space="preserve"> </w:t>
      </w:r>
      <w:r>
        <w:rPr>
          <w:rFonts w:ascii="Calibri;sans-serif" w:hAnsi="Calibri;sans-serif"/>
          <w:color w:val="000000"/>
          <w:sz w:val="20"/>
        </w:rPr>
        <w:t>shares underlying vested and unvested stock options, plus additional shares that remain unsold under Mr. Zales’ existing Rule 10b5-1 trading arrangement up to 124,660</w:t>
      </w:r>
      <w:r>
        <w:rPr>
          <w:rFonts w:ascii="Times New Roman" w:hAnsi="Times New Roman"/>
          <w:color w:val="000000"/>
          <w:sz w:val="20"/>
        </w:rPr>
        <w:t xml:space="preserve"> </w:t>
      </w:r>
      <w:r>
        <w:rPr>
          <w:rFonts w:ascii="Calibri;sans-serif" w:hAnsi="Calibri;sans-serif"/>
          <w:color w:val="000000"/>
          <w:sz w:val="20"/>
        </w:rPr>
        <w:t>shares.</w:t>
      </w:r>
    </w:p>
    <w:p>
      <w:pPr>
        <w:pStyle w:val="TextBody"/>
        <w:bidi w:val="0"/>
        <w:spacing w:before="240" w:after="283"/>
        <w:jc w:val="both"/>
        <w:rPr>
          <w:rFonts w:ascii="Times New Roman" w:hAnsi="Times New Roman"/>
          <w:sz w:val="20"/>
        </w:rPr>
      </w:pPr>
      <w:r>
        <w:rPr>
          <w:rFonts w:ascii="Calibri;sans-serif" w:hAnsi="Calibri;sans-serif"/>
          <w:color w:val="000000"/>
          <w:sz w:val="20"/>
        </w:rPr>
        <w:t>Other than those disclosed above, none of our directors or officers adopted, modified, or terminated</w:t>
      </w:r>
      <w:r>
        <w:rPr>
          <w:rFonts w:ascii="Times New Roman" w:hAnsi="Times New Roman"/>
          <w:color w:val="000000"/>
          <w:sz w:val="20"/>
        </w:rPr>
        <w:t xml:space="preserve"> </w:t>
      </w:r>
      <w:r>
        <w:rPr>
          <w:rFonts w:ascii="Calibri;sans-serif" w:hAnsi="Calibri;sans-serif"/>
          <w:color w:val="000000"/>
          <w:sz w:val="20"/>
        </w:rPr>
        <w:t>a “Rule 10b5-1 trading arrangement” or “non-Rule 10b5-1 trading arrangement,” in each case as defined in Item 408 of Regulation S-K.</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color w:val="000000"/>
          <w:sz w:val="20"/>
        </w:rPr>
      </w:pPr>
      <w:bookmarkStart w:id="19" w:name="item_6_exhibits"/>
      <w:bookmarkEnd w:id="19"/>
      <w:r>
        <w:rPr>
          <w:rFonts w:ascii="Calibri;sans-serif" w:hAnsi="Calibri;sans-serif"/>
          <w:b/>
          <w:color w:val="000000"/>
          <w:sz w:val="20"/>
        </w:rPr>
        <w:t>Item 6. Exhibits.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exhibits listed below are filed, furnished, or incorporated by reference into this Quarterly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9"/>
        <w:gridCol w:w="146"/>
        <w:gridCol w:w="5317"/>
        <w:gridCol w:w="146"/>
        <w:gridCol w:w="466"/>
        <w:gridCol w:w="146"/>
        <w:gridCol w:w="676"/>
        <w:gridCol w:w="146"/>
        <w:gridCol w:w="481"/>
        <w:gridCol w:w="146"/>
        <w:gridCol w:w="676"/>
        <w:gridCol w:w="146"/>
        <w:gridCol w:w="994"/>
      </w:tblGrid>
      <w:tr>
        <w:trPr/>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83"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Incorporated by Reference</w:t>
            </w:r>
          </w:p>
        </w:tc>
        <w:tc>
          <w:tcPr>
            <w:tcW w:w="99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19" w:type="dxa"/>
            <w:tcBorders/>
            <w:vAlign w:val="center"/>
          </w:tcPr>
          <w:p>
            <w:pPr>
              <w:pStyle w:val="TableContents"/>
              <w:bidi w:val="0"/>
              <w:jc w:val="left"/>
              <w:rPr>
                <w:rFonts w:ascii="Calibri;sans-serif" w:hAnsi="Calibri;sans-serif"/>
                <w:b/>
                <w:color w:val="000000"/>
                <w:sz w:val="16"/>
              </w:rPr>
            </w:pPr>
            <w:r>
              <w:rPr>
                <w:rFonts w:ascii="Calibri;sans-serif" w:hAnsi="Calibri;sans-serif"/>
                <w:b/>
                <w:color w:val="000000"/>
                <w:sz w:val="16"/>
              </w:rPr>
              <w:t>Exhibit</w:t>
            </w:r>
          </w:p>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Exhibit Description</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Form</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File</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Filing</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Date</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Exhibit</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Filed or Furnished</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Herewith</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pPr>
            <w:hyperlink w:anchor="carg-ex10_1.htm">
              <w:r>
                <w:rPr>
                  <w:rStyle w:val="InternetLink"/>
                  <w:rFonts w:ascii="Calibri;sans-serif" w:hAnsi="Calibri;sans-serif"/>
                  <w:color w:val="0000FF"/>
                  <w:sz w:val="20"/>
                  <w:u w:val="single"/>
                </w:rPr>
                <w:t>Fourth Amendment to Lease, dated as of July 11, 2024, between 55 Cambridge Parkway, LLC and the Registrant.</w:t>
              </w:r>
            </w:hyperlink>
            <w:r>
              <w:rPr>
                <w:rFonts w:ascii="Calibri;sans-serif" w:hAnsi="Calibri;sans-serif"/>
                <w:color w:val="000000"/>
                <w:sz w:val="20"/>
              </w:rPr>
              <w: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31.1</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pPr>
            <w:hyperlink w:anchor="carg-ex31_1.htm">
              <w:r>
                <w:rPr>
                  <w:rStyle w:val="InternetLink"/>
                  <w:rFonts w:ascii="Calibri;sans-serif" w:hAnsi="Calibri;sans-serif"/>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31.2</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pPr>
            <w:hyperlink w:anchor="carg-ex31_2.htm">
              <w:r>
                <w:rPr>
                  <w:rStyle w:val="InternetLink"/>
                  <w:rFonts w:ascii="Calibri;sans-serif" w:hAnsi="Calibri;sans-serif"/>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32.1**</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pPr>
            <w:hyperlink w:anchor="carg-ex32_1.htm">
              <w:r>
                <w:rPr>
                  <w:rStyle w:val="InternetLink"/>
                  <w:rFonts w:ascii="Calibri;sans-serif" w:hAnsi="Calibri;sans-serif"/>
                  <w:color w:val="0000FF"/>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32.2**</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pPr>
            <w:hyperlink w:anchor="carg-ex32_2.htm">
              <w:r>
                <w:rPr>
                  <w:rStyle w:val="InternetLink"/>
                  <w:rFonts w:ascii="Calibri;sans-serif" w:hAnsi="Calibri;sans-serif"/>
                  <w:color w:val="0000FF"/>
                  <w:sz w:val="20"/>
                  <w:u w:val="single"/>
                </w:rPr>
                <w:t>Certification of Principal Financial Officer pursuant to 18 U.S.C. Section 1350, as adopted pursuant to Section 906 of the Sarbanes-Oxley Act of 2002.</w:t>
              </w:r>
            </w:hyperlink>
            <w:hyperlink w:anchor="carg-ex32_2.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101.INS</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Instance Document-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spacing w:before="0" w:after="283"/>
              <w:jc w:val="center"/>
              <w:rPr/>
            </w:pPr>
            <w:r>
              <w:rPr/>
              <w:t> </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101.SCH</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Schema With Embedded Linkbase Documents.</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9"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w:t>
            </w:r>
          </w:p>
        </w:tc>
        <w:tc>
          <w:tcPr>
            <w:tcW w:w="146" w:type="dxa"/>
            <w:tcBorders/>
            <w:vAlign w:val="center"/>
          </w:tcPr>
          <w:p>
            <w:pPr>
              <w:pStyle w:val="TableContents"/>
              <w:bidi w:val="0"/>
              <w:spacing w:before="0" w:after="283"/>
              <w:jc w:val="left"/>
              <w:rPr/>
            </w:pPr>
            <w:r>
              <w:rPr/>
              <w:t> </w:t>
            </w:r>
          </w:p>
        </w:tc>
        <w:tc>
          <w:tcPr>
            <w:tcW w:w="5317"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Cover Page Interactive Data File (Embedded within the Inline XBRL document and included in Exhibit)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both"/>
        <w:rPr>
          <w:rFonts w:ascii="Calibri;sans-serif" w:hAnsi="Calibri;sans-serif"/>
          <w:color w:val="000000"/>
          <w:sz w:val="20"/>
        </w:rPr>
      </w:pPr>
      <w:r>
        <w:rPr>
          <w:rFonts w:ascii="Calibri;sans-serif" w:hAnsi="Calibri;sans-serif"/>
          <w:color w:val="000000"/>
          <w:sz w:val="20"/>
        </w:rPr>
        <w:t>* The exhibits and schedules to this agreement have been omitted pursuant to Item 601(b)(2) of Regulation S-K and the Registrant agrees to furnish supplementally a copy of any omitted schedule to the staff of the SEC upon request.</w:t>
      </w:r>
    </w:p>
    <w:p>
      <w:pPr>
        <w:pStyle w:val="TextBody"/>
        <w:bidi w:val="0"/>
        <w:spacing w:before="40" w:after="283"/>
        <w:jc w:val="both"/>
        <w:rPr/>
      </w:pPr>
      <w:r>
        <w:rPr/>
        <w:t> </w:t>
      </w:r>
    </w:p>
    <w:p>
      <w:pPr>
        <w:pStyle w:val="TextBody"/>
        <w:bidi w:val="0"/>
        <w:spacing w:before="40" w:after="283"/>
        <w:jc w:val="both"/>
        <w:rPr>
          <w:rFonts w:ascii="Calibri;sans-serif" w:hAnsi="Calibri;sans-serif"/>
          <w:color w:val="000000"/>
          <w:sz w:val="20"/>
        </w:rPr>
      </w:pPr>
      <w:r>
        <w:rPr>
          <w:rFonts w:ascii="Calibri;sans-serif" w:hAnsi="Calibri;sans-serif"/>
          <w:color w:val="000000"/>
          <w:sz w:val="20"/>
        </w:rPr>
        <w:t>** The certifications furnished in Exhibit 32.1 and Exhibit 32.2 hereto are deemed to accompany this Quarterly Report and will not be deemed “filed” for purposes of Section 18 of the Exchange Act,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0" w:name="signatures"/>
      <w:bookmarkEnd w:id="20"/>
      <w:r>
        <w:rPr>
          <w:rFonts w:ascii="Calibri;sans-serif" w:hAnsi="Calibri;sans-serif"/>
          <w:b/>
          <w:color w:val="000000"/>
          <w:sz w:val="20"/>
        </w:rPr>
        <w:t>SIGNATURES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807" w:type="dxa"/>
        <w:jc w:val="left"/>
        <w:tblInd w:w="0" w:type="dxa"/>
        <w:tblLayout w:type="fixed"/>
        <w:tblCellMar>
          <w:top w:w="28" w:type="dxa"/>
          <w:left w:w="28" w:type="dxa"/>
          <w:bottom w:w="28" w:type="dxa"/>
          <w:right w:w="28" w:type="dxa"/>
        </w:tblCellMar>
      </w:tblPr>
      <w:tblGrid>
        <w:gridCol w:w="2056"/>
        <w:gridCol w:w="109"/>
        <w:gridCol w:w="346"/>
        <w:gridCol w:w="2296"/>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CarGurus, Inc.</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22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shd w:fill="FFFFFF" w:val="clear"/>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Chief Executive Officer</w:t>
            </w:r>
          </w:p>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(Principal Executive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u w:val="single"/>
        </w:rPr>
      </w:pPr>
      <w:bookmarkStart w:id="21" w:name="carg-ex10_1.htm"/>
      <w:bookmarkStart w:id="22" w:name="kscargex10_1"/>
      <w:bookmarkEnd w:id="21"/>
      <w:bookmarkEnd w:id="22"/>
      <w:r>
        <w:rPr>
          <w:rFonts w:ascii="Times New Roman" w:hAnsi="Times New Roman"/>
          <w:b/>
          <w:color w:val="000000"/>
          <w:sz w:val="24"/>
          <w:u w:val="single"/>
        </w:rPr>
        <w:t>FOURTH AMENDMENT TO LEASE</w:t>
      </w:r>
      <w:r>
        <w:br w:type="page"/>
      </w:r>
    </w:p>
    <w:p>
      <w:pPr>
        <w:pStyle w:val="TextBody"/>
        <w:bidi w:val="0"/>
        <w:spacing w:before="271" w:after="283"/>
        <w:jc w:val="both"/>
        <w:rPr>
          <w:rFonts w:ascii="Times New Roman" w:hAnsi="Times New Roman"/>
          <w:sz w:val="20"/>
        </w:rPr>
      </w:pPr>
      <w:r>
        <w:rPr>
          <w:rFonts w:ascii="Times New Roman" w:hAnsi="Times New Roman"/>
          <w:color w:val="000000"/>
          <w:sz w:val="24"/>
        </w:rPr>
        <w:t>THIS FOURTH AMENDMENT TO LEASE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made as of this 11</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July, 2024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55 CAMBRIDGE PARKWAY, LLC, a Delaware limited liability company, having an address c/o Invesco Real Estate, 2001 Ross Avenue, Suite 3400, Dallas, Texas 75201, as landlord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and CARGURUS, INC., a Delaware corporation, having an address at Two Canal Park, Suite 4, Cambridge, MA 02141, as tenant (“</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w:t>
      </w:r>
    </w:p>
    <w:p>
      <w:pPr>
        <w:pStyle w:val="TextBody"/>
        <w:bidi w:val="0"/>
        <w:spacing w:before="282" w:after="283"/>
        <w:jc w:val="both"/>
        <w:rPr>
          <w:rFonts w:ascii="Times New Roman" w:hAnsi="Times New Roman"/>
          <w:sz w:val="20"/>
        </w:rPr>
      </w:pPr>
      <w:r>
        <w:rPr>
          <w:rFonts w:ascii="Times New Roman" w:hAnsi="Times New Roman"/>
          <w:color w:val="000000"/>
          <w:sz w:val="24"/>
        </w:rPr>
        <w:t>WHEREAS, Landlord and Tenant are landlord and tenant, respectively, under that certain Office Lease Agreement dated as of March 11, 2016, as amended by that certain First Amendment to Lease dated as of July 30, 2016, that certain Second Amendment to Lease dated as of August 30, 2019 and that certain Third Amendment to Lease dated as of July 1, 2020 (collectively,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 for certain premises in the building located at 55 Cambridge Parkway, Cambridge, Massachusetts (the “</w:t>
      </w:r>
      <w:r>
        <w:rPr>
          <w:rFonts w:ascii="Times New Roman" w:hAnsi="Times New Roman"/>
          <w:b/>
          <w:color w:val="000000"/>
          <w:sz w:val="24"/>
        </w:rPr>
        <w:t>Building</w:t>
      </w:r>
      <w:r>
        <w:rPr>
          <w:rFonts w:ascii="Times New Roman" w:hAnsi="Times New Roman"/>
          <w:color w:val="000000"/>
          <w:sz w:val="20"/>
        </w:rPr>
        <w:t>”</w:t>
      </w:r>
      <w:r>
        <w:rPr>
          <w:rFonts w:ascii="Times New Roman" w:hAnsi="Times New Roman"/>
          <w:color w:val="000000"/>
          <w:sz w:val="24"/>
        </w:rPr>
        <w:t>), containing approximately 73,312 rentable square feet in the aggregate (collectively, the “</w:t>
      </w:r>
      <w:r>
        <w:rPr>
          <w:rFonts w:ascii="Times New Roman" w:hAnsi="Times New Roman"/>
          <w:b/>
          <w:color w:val="000000"/>
          <w:sz w:val="24"/>
        </w:rPr>
        <w:t>Premises</w:t>
      </w:r>
      <w:r>
        <w:rPr>
          <w:rFonts w:ascii="Times New Roman" w:hAnsi="Times New Roman"/>
          <w:color w:val="000000"/>
          <w:sz w:val="20"/>
        </w:rPr>
        <w:t>”</w:t>
      </w:r>
      <w:r>
        <w:rPr>
          <w:rFonts w:ascii="Times New Roman" w:hAnsi="Times New Roman"/>
          <w:color w:val="000000"/>
          <w:sz w:val="24"/>
        </w:rPr>
        <w:t>), consisting of (i) 15,267 rentable square feet of space on the fifth (5</w:t>
      </w:r>
      <w:r>
        <w:rPr>
          <w:rFonts w:ascii="Times New Roman" w:hAnsi="Times New Roman"/>
          <w:color w:val="000000"/>
          <w:sz w:val="17"/>
        </w:rPr>
        <w:t>th</w:t>
      </w:r>
      <w:r>
        <w:rPr>
          <w:rFonts w:ascii="Times New Roman" w:hAnsi="Times New Roman"/>
          <w:color w:val="000000"/>
          <w:sz w:val="24"/>
        </w:rPr>
        <w:t>) floor of the West Wing of the Building (the “</w:t>
      </w:r>
      <w:r>
        <w:rPr>
          <w:rFonts w:ascii="Times New Roman" w:hAnsi="Times New Roman"/>
          <w:b/>
          <w:color w:val="000000"/>
          <w:sz w:val="24"/>
        </w:rPr>
        <w:t>5W Premises</w:t>
      </w:r>
      <w:r>
        <w:rPr>
          <w:rFonts w:ascii="Times New Roman" w:hAnsi="Times New Roman"/>
          <w:color w:val="000000"/>
          <w:sz w:val="20"/>
        </w:rPr>
        <w:t>”</w:t>
      </w:r>
      <w:r>
        <w:rPr>
          <w:rFonts w:ascii="Times New Roman" w:hAnsi="Times New Roman"/>
          <w:color w:val="000000"/>
          <w:sz w:val="24"/>
        </w:rPr>
        <w:t>), (ii) approximately 15,267 rentable square feet on the sixth (6</w:t>
      </w:r>
      <w:r>
        <w:rPr>
          <w:rFonts w:ascii="Times New Roman" w:hAnsi="Times New Roman"/>
          <w:color w:val="000000"/>
          <w:sz w:val="17"/>
        </w:rPr>
        <w:t>th</w:t>
      </w:r>
      <w:r>
        <w:rPr>
          <w:rFonts w:ascii="Times New Roman" w:hAnsi="Times New Roman"/>
          <w:color w:val="000000"/>
          <w:sz w:val="24"/>
        </w:rPr>
        <w:t>) floor of the West Wing of the Building (the “</w:t>
      </w:r>
      <w:r>
        <w:rPr>
          <w:rFonts w:ascii="Times New Roman" w:hAnsi="Times New Roman"/>
          <w:b/>
          <w:color w:val="000000"/>
          <w:sz w:val="24"/>
        </w:rPr>
        <w:t>6W Premises</w:t>
      </w:r>
      <w:r>
        <w:rPr>
          <w:rFonts w:ascii="Times New Roman" w:hAnsi="Times New Roman"/>
          <w:color w:val="000000"/>
          <w:sz w:val="20"/>
        </w:rPr>
        <w:t>”</w:t>
      </w:r>
      <w:r>
        <w:rPr>
          <w:rFonts w:ascii="Times New Roman" w:hAnsi="Times New Roman"/>
          <w:color w:val="000000"/>
          <w:sz w:val="24"/>
        </w:rPr>
        <w:t>), (iii) approximately 21,389 rentable square feet of space on the fifth (5</w:t>
      </w:r>
      <w:r>
        <w:rPr>
          <w:rFonts w:ascii="Times New Roman" w:hAnsi="Times New Roman"/>
          <w:color w:val="000000"/>
          <w:sz w:val="17"/>
        </w:rPr>
        <w:t>th</w:t>
      </w:r>
      <w:r>
        <w:rPr>
          <w:rFonts w:ascii="Times New Roman" w:hAnsi="Times New Roman"/>
          <w:color w:val="000000"/>
          <w:sz w:val="24"/>
        </w:rPr>
        <w:t>) floor of the East Wing of the Building (the “</w:t>
      </w:r>
      <w:r>
        <w:rPr>
          <w:rFonts w:ascii="Times New Roman" w:hAnsi="Times New Roman"/>
          <w:b/>
          <w:color w:val="000000"/>
          <w:sz w:val="24"/>
        </w:rPr>
        <w:t>5E Premises</w:t>
      </w:r>
      <w:r>
        <w:rPr>
          <w:rFonts w:ascii="Times New Roman" w:hAnsi="Times New Roman"/>
          <w:color w:val="000000"/>
          <w:sz w:val="20"/>
        </w:rPr>
        <w:t>”</w:t>
      </w:r>
      <w:r>
        <w:rPr>
          <w:rFonts w:ascii="Times New Roman" w:hAnsi="Times New Roman"/>
          <w:color w:val="000000"/>
          <w:sz w:val="24"/>
        </w:rPr>
        <w:t>), and (iv) approximately 21,389 rentable square feet of space on the sixth (6</w:t>
      </w:r>
      <w:r>
        <w:rPr>
          <w:rFonts w:ascii="Times New Roman" w:hAnsi="Times New Roman"/>
          <w:color w:val="000000"/>
          <w:sz w:val="17"/>
        </w:rPr>
        <w:t>th</w:t>
      </w:r>
      <w:r>
        <w:rPr>
          <w:rFonts w:ascii="Times New Roman" w:hAnsi="Times New Roman"/>
          <w:color w:val="000000"/>
          <w:sz w:val="24"/>
        </w:rPr>
        <w:t>) floor of the East Wing of the Premises (the “</w:t>
      </w:r>
      <w:r>
        <w:rPr>
          <w:rFonts w:ascii="Times New Roman" w:hAnsi="Times New Roman"/>
          <w:b/>
          <w:color w:val="000000"/>
          <w:sz w:val="24"/>
        </w:rPr>
        <w:t>6E Premises</w:t>
      </w:r>
      <w:r>
        <w:rPr>
          <w:rFonts w:ascii="Times New Roman" w:hAnsi="Times New Roman"/>
          <w:color w:val="000000"/>
          <w:sz w:val="20"/>
        </w:rPr>
        <w:t>”</w:t>
      </w:r>
      <w:r>
        <w:rPr>
          <w:rFonts w:ascii="Times New Roman" w:hAnsi="Times New Roman"/>
          <w:color w:val="000000"/>
          <w:sz w:val="24"/>
        </w:rPr>
        <w:t>).</w:t>
      </w:r>
    </w:p>
    <w:p>
      <w:pPr>
        <w:pStyle w:val="TextBody"/>
        <w:bidi w:val="0"/>
        <w:spacing w:before="284" w:after="283"/>
        <w:jc w:val="left"/>
        <w:rPr>
          <w:rFonts w:ascii="Times New Roman" w:hAnsi="Times New Roman"/>
          <w:sz w:val="20"/>
        </w:rPr>
      </w:pPr>
      <w:r>
        <w:rPr>
          <w:rFonts w:ascii="Times New Roman" w:hAnsi="Times New Roman"/>
          <w:color w:val="000000"/>
          <w:sz w:val="24"/>
        </w:rPr>
        <w:t>WHEREAS, the Original Term of the Lease is scheduled to expires on January 31, 2025 (the “</w:t>
      </w:r>
      <w:r>
        <w:rPr>
          <w:rFonts w:ascii="Times New Roman" w:hAnsi="Times New Roman"/>
          <w:b/>
          <w:color w:val="000000"/>
          <w:sz w:val="24"/>
        </w:rPr>
        <w:t>Expiration Date</w:t>
      </w:r>
      <w:r>
        <w:rPr>
          <w:rFonts w:ascii="Times New Roman" w:hAnsi="Times New Roman"/>
          <w:color w:val="000000"/>
          <w:sz w:val="20"/>
        </w:rPr>
        <w:t>”</w:t>
      </w:r>
      <w:r>
        <w:rPr>
          <w:rFonts w:ascii="Times New Roman" w:hAnsi="Times New Roman"/>
          <w:color w:val="000000"/>
          <w:sz w:val="24"/>
        </w:rPr>
        <w:t>).</w:t>
      </w:r>
    </w:p>
    <w:p>
      <w:pPr>
        <w:pStyle w:val="TextBody"/>
        <w:bidi w:val="0"/>
        <w:spacing w:before="284" w:after="283"/>
        <w:jc w:val="both"/>
        <w:rPr>
          <w:rFonts w:ascii="Times New Roman" w:hAnsi="Times New Roman"/>
          <w:sz w:val="20"/>
        </w:rPr>
      </w:pPr>
      <w:r>
        <w:rPr>
          <w:rFonts w:ascii="Times New Roman" w:hAnsi="Times New Roman"/>
          <w:color w:val="000000"/>
          <w:sz w:val="24"/>
        </w:rPr>
        <w:t>WHEREAS, the parties desire to memorialize Tenant’s agreement to convey to Landlord certain existing personal property located in the 6W Premises at the end of the Original Term, as hereinafter set forth. Capitalized terms not defined herein shall have the same meanings ascribed to them in the Lease.</w:t>
      </w:r>
      <w:r>
        <w:rPr>
          <w:rFonts w:ascii="Times New Roman" w:hAnsi="Times New Roman"/>
          <w:color w:val="000000"/>
          <w:sz w:val="20"/>
        </w:rPr>
        <w:t xml:space="preserve"> </w:t>
      </w:r>
    </w:p>
    <w:p>
      <w:pPr>
        <w:pStyle w:val="TextBody"/>
        <w:bidi w:val="0"/>
        <w:spacing w:before="281" w:after="283"/>
        <w:jc w:val="center"/>
        <w:rPr>
          <w:rFonts w:ascii="Times New Roman" w:hAnsi="Times New Roman"/>
          <w:color w:val="000000"/>
          <w:sz w:val="24"/>
        </w:rPr>
      </w:pPr>
      <w:r>
        <w:rPr>
          <w:rFonts w:ascii="Times New Roman" w:hAnsi="Times New Roman"/>
          <w:color w:val="000000"/>
          <w:sz w:val="24"/>
        </w:rPr>
        <w:t>WITNESSETH</w:t>
      </w:r>
    </w:p>
    <w:p>
      <w:pPr>
        <w:pStyle w:val="TextBody"/>
        <w:bidi w:val="0"/>
        <w:spacing w:before="271" w:after="283"/>
        <w:jc w:val="both"/>
        <w:rPr>
          <w:rFonts w:ascii="Times New Roman" w:hAnsi="Times New Roman"/>
          <w:sz w:val="20"/>
        </w:rPr>
      </w:pPr>
      <w:r>
        <w:rPr>
          <w:rFonts w:ascii="Times New Roman" w:hAnsi="Times New Roman"/>
          <w:color w:val="000000"/>
          <w:sz w:val="24"/>
        </w:rPr>
        <w:t>NOW, THEREFORE, for good and valuable consideration, the receipt and sufficiency of which are hereby acknowledged, the parties hereby agree as follows: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Existing 6W FF&amp;E</w:t>
      </w:r>
      <w:r>
        <w:rPr>
          <w:rFonts w:ascii="Times New Roman" w:hAnsi="Times New Roman"/>
          <w:color w:val="000000"/>
          <w:sz w:val="24"/>
        </w:rPr>
        <w:t xml:space="preserve">. Notwithstanding anything to the contrary in the Lease, Tenant shall not remove the furniture, fixtures and equipment currently existing in the 6W Premises and listed on </w:t>
      </w:r>
      <w:r>
        <w:rPr>
          <w:rFonts w:ascii="Times New Roman" w:hAnsi="Times New Roman"/>
          <w:color w:val="000000"/>
          <w:sz w:val="24"/>
          <w:u w:val="single"/>
        </w:rPr>
        <w:t>Schedule 1</w:t>
      </w:r>
      <w:r>
        <w:rPr>
          <w:rFonts w:ascii="Times New Roman" w:hAnsi="Times New Roman"/>
          <w:color w:val="000000"/>
          <w:sz w:val="20"/>
        </w:rPr>
        <w:t xml:space="preserve"> </w:t>
      </w:r>
      <w:r>
        <w:rPr>
          <w:rFonts w:ascii="Times New Roman" w:hAnsi="Times New Roman"/>
          <w:color w:val="000000"/>
          <w:sz w:val="24"/>
        </w:rPr>
        <w:t xml:space="preserve">to </w:t>
      </w:r>
      <w:r>
        <w:rPr>
          <w:rFonts w:ascii="Times New Roman" w:hAnsi="Times New Roman"/>
          <w:color w:val="000000"/>
          <w:sz w:val="24"/>
          <w:u w:val="single"/>
        </w:rPr>
        <w:t xml:space="preserve">Exhibit A </w:t>
      </w:r>
      <w:r>
        <w:rPr>
          <w:rFonts w:ascii="Times New Roman" w:hAnsi="Times New Roman"/>
          <w:color w:val="000000"/>
          <w:sz w:val="24"/>
        </w:rPr>
        <w:t>attached hereto (collectively, the “</w:t>
      </w:r>
      <w:r>
        <w:rPr>
          <w:rFonts w:ascii="Times New Roman" w:hAnsi="Times New Roman"/>
          <w:color w:val="000000"/>
          <w:sz w:val="24"/>
          <w:u w:val="single"/>
        </w:rPr>
        <w:t>Existing 6W FF&amp;E</w:t>
      </w:r>
      <w:r>
        <w:rPr>
          <w:rFonts w:ascii="Times New Roman" w:hAnsi="Times New Roman"/>
          <w:color w:val="000000"/>
          <w:sz w:val="20"/>
        </w:rPr>
        <w:t>”</w:t>
      </w:r>
      <w:r>
        <w:rPr>
          <w:rFonts w:ascii="Times New Roman" w:hAnsi="Times New Roman"/>
          <w:color w:val="000000"/>
          <w:sz w:val="24"/>
        </w:rPr>
        <w:t xml:space="preserve">), which Existing 6W FF&amp;E shall remain in the 6W Premises and shall be conveyed to Landlord, effective as of the Expiration Date, for no additional consideration, pursuant to the bill of sale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Bill of Sale</w:t>
      </w:r>
      <w:r>
        <w:rPr>
          <w:rFonts w:ascii="Times New Roman" w:hAnsi="Times New Roman"/>
          <w:color w:val="000000"/>
          <w:sz w:val="20"/>
        </w:rPr>
        <w:t>”</w:t>
      </w:r>
      <w:r>
        <w:rPr>
          <w:rFonts w:ascii="Times New Roman" w:hAnsi="Times New Roman"/>
          <w:color w:val="000000"/>
          <w:sz w:val="24"/>
        </w:rPr>
        <w:t>). Tenant’s execution and delivery of this Amendment shall include Tenant’s execution and delivery of the Bill of Sale. Tenant hereby represents and warrants to Landlord that Tenant is the lawful owner of the Existing 6W FF&amp;E and that Tenant has the right to convey to Landlord good and marketable title to the Existing 6W FF&amp;E, free and clear of all liens, claims and encumbrances.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Broker</w:t>
      </w:r>
      <w:r>
        <w:rPr>
          <w:rFonts w:ascii="Times New Roman" w:hAnsi="Times New Roman"/>
          <w:color w:val="000000"/>
          <w:sz w:val="24"/>
        </w:rPr>
        <w:t>. Landlord and Tenant hereby represent and warrant to each other that, other than Lincoln Property Company (the “</w:t>
      </w:r>
      <w:r>
        <w:rPr>
          <w:rFonts w:ascii="Times New Roman" w:hAnsi="Times New Roman"/>
          <w:b/>
          <w:color w:val="000000"/>
          <w:sz w:val="24"/>
        </w:rPr>
        <w:t>Broker</w:t>
      </w:r>
      <w:r>
        <w:rPr>
          <w:rFonts w:ascii="Times New Roman" w:hAnsi="Times New Roman"/>
          <w:color w:val="000000"/>
          <w:sz w:val="20"/>
        </w:rPr>
        <w:t>”</w:t>
      </w:r>
      <w:r>
        <w:rPr>
          <w:rFonts w:ascii="Times New Roman" w:hAnsi="Times New Roman"/>
          <w:color w:val="000000"/>
          <w:sz w:val="24"/>
        </w:rPr>
        <w:t>), neither has dealt with any real estate broker or agent in connection with the procurement of this Amendment. Tenant shall indemnify and hold Landlord harmless from any costs, expense or liability (including costs of suit and reasonable attorneys’ fees) for any compensation, commission or fees claimed by any real estate broker or agent, other than the Broker, in connection with the procurement of this Amendment because of any act or statement by Tenant.</w:t>
      </w:r>
    </w:p>
    <w:p>
      <w:pPr>
        <w:pStyle w:val="TextBody"/>
        <w:bidi w:val="0"/>
        <w:spacing w:before="238" w:after="283"/>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Ratification of Lease Provisions</w:t>
      </w:r>
      <w:r>
        <w:rPr>
          <w:rFonts w:ascii="Times New Roman" w:hAnsi="Times New Roman"/>
          <w:color w:val="000000"/>
          <w:sz w:val="24"/>
        </w:rPr>
        <w:t>. Except as otherwise expressly amended, modified and provided for in this Amendment, Landlord and Tenant hereby ratify all of the provisions, covenants and conditions of the Lease, and such provisions, covenants and conditions shall be deemed to be incorporated herein and made a part hereof and shall continue in full force and effect.</w:t>
      </w:r>
    </w:p>
    <w:p>
      <w:pPr>
        <w:pStyle w:val="TextBody"/>
        <w:bidi w:val="0"/>
        <w:spacing w:before="236"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Entire Amendment</w:t>
      </w:r>
      <w:r>
        <w:rPr>
          <w:rFonts w:ascii="Times New Roman" w:hAnsi="Times New Roman"/>
          <w:color w:val="000000"/>
          <w:sz w:val="24"/>
        </w:rPr>
        <w:t>. This Amendment contains all the agreements of the parties with respect to the subject matter hereof and supersedes all prior dealings between the parties with respect to such subject matter.</w:t>
      </w:r>
    </w:p>
    <w:p>
      <w:pPr>
        <w:pStyle w:val="TextBody"/>
        <w:bidi w:val="0"/>
        <w:spacing w:before="241" w:after="283"/>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Binding Amendment</w:t>
      </w:r>
      <w:r>
        <w:rPr>
          <w:rFonts w:ascii="Times New Roman" w:hAnsi="Times New Roman"/>
          <w:color w:val="000000"/>
          <w:sz w:val="24"/>
        </w:rPr>
        <w:t>. This Amendment shall be binding upon, and shall inure to the benefit of the parties hereto, and their respective successors and assigns.</w:t>
      </w:r>
    </w:p>
    <w:p>
      <w:pPr>
        <w:pStyle w:val="TextBody"/>
        <w:bidi w:val="0"/>
        <w:spacing w:before="241" w:after="283"/>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Governing Law</w:t>
      </w:r>
      <w:r>
        <w:rPr>
          <w:rFonts w:ascii="Times New Roman" w:hAnsi="Times New Roman"/>
          <w:color w:val="000000"/>
          <w:sz w:val="24"/>
        </w:rPr>
        <w:t>. This Amendment shall be governed by the laws of the Commonwealth of Massachusetts without regard to conflict of laws principles</w:t>
      </w:r>
    </w:p>
    <w:p>
      <w:pPr>
        <w:pStyle w:val="TextBody"/>
        <w:bidi w:val="0"/>
        <w:spacing w:before="241" w:after="283"/>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Authority; Landlord’s Representation Regarding Mortgages And Primary Leases</w:t>
      </w:r>
      <w:r>
        <w:rPr>
          <w:rFonts w:ascii="Times New Roman" w:hAnsi="Times New Roman"/>
          <w:color w:val="000000"/>
          <w:sz w:val="24"/>
        </w:rPr>
        <w:t>. Landlord and Tenant each warrant to the other that the person or persons executing this Amendment on its behalf has or have authority to do so and that such execution has fully obligated and bound such party to all terms and provisions of this Amendment. Landlord represents and warrants that, as of the Effective Date, there are no Mortgages or Primary Leases encumbering the Building.</w:t>
      </w:r>
    </w:p>
    <w:p>
      <w:pPr>
        <w:pStyle w:val="TextBody"/>
        <w:bidi w:val="0"/>
        <w:spacing w:before="243"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No Reservation</w:t>
      </w:r>
      <w:r>
        <w:rPr>
          <w:rFonts w:ascii="Times New Roman" w:hAnsi="Times New Roman"/>
          <w:color w:val="000000"/>
          <w:sz w:val="24"/>
        </w:rPr>
        <w:t>. Submission of this Amendment for examination or signature is without prejudice and does not constitute a reservation, option or offer, and this Amendment shall not be effective until execution and delivery by each of the parties hereto.</w:t>
      </w:r>
    </w:p>
    <w:p>
      <w:pPr>
        <w:pStyle w:val="TextBody"/>
        <w:bidi w:val="0"/>
        <w:spacing w:before="236"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Counterparts</w:t>
      </w:r>
      <w:r>
        <w:rPr>
          <w:rFonts w:ascii="Times New Roman" w:hAnsi="Times New Roman"/>
          <w:color w:val="000000"/>
          <w:sz w:val="24"/>
        </w:rPr>
        <w:t>. This Amendment may be executed simultaneously in two or more counterparts, each of which shall be deemed an original, but all of which together shall constitute one and the same instrument. An electronic mail or facsimile version of an executed original of this Amendment shall be deemed an original, and each of the parties hereto intends to be bound by an electronic mail or facsimile version of a fully-executed original hereof or of an electronic mail or facsimile version of executed counterpart originals hereof.</w:t>
      </w:r>
    </w:p>
    <w:p>
      <w:pPr>
        <w:pStyle w:val="TextBody"/>
        <w:bidi w:val="0"/>
        <w:spacing w:before="242" w:after="283"/>
        <w:jc w:val="center"/>
        <w:rPr>
          <w:rFonts w:ascii="Times New Roman" w:hAnsi="Times New Roman"/>
          <w:color w:val="000000"/>
          <w:sz w:val="24"/>
        </w:rPr>
      </w:pPr>
      <w:r>
        <w:rPr>
          <w:rFonts w:ascii="Times New Roman" w:hAnsi="Times New Roman"/>
          <w:color w:val="000000"/>
          <w:sz w:val="24"/>
        </w:rPr>
        <w:t>[SIGNATURES ON FOLLOWING PAGE]</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EXECUTED under seal as of the date first above written.</w:t>
      </w:r>
      <w:r>
        <w:rPr>
          <w:rFonts w:ascii="Times New Roman" w:hAnsi="Times New Roman"/>
          <w:color w:val="000000"/>
          <w:sz w:val="20"/>
        </w:rPr>
        <w:t xml:space="preserve"> </w:t>
      </w:r>
    </w:p>
    <w:p>
      <w:pPr>
        <w:pStyle w:val="TextBody"/>
        <w:bidi w:val="0"/>
        <w:spacing w:before="233" w:after="283"/>
        <w:jc w:val="left"/>
        <w:rPr>
          <w:rFonts w:ascii="Times New Roman" w:hAnsi="Times New Roman"/>
          <w:sz w:val="20"/>
        </w:rPr>
      </w:pPr>
      <w:r>
        <w:rPr>
          <w:rFonts w:ascii="Times New Roman" w:hAnsi="Times New Roman"/>
          <w:b/>
          <w:color w:val="000000"/>
          <w:sz w:val="24"/>
          <w:u w:val="single"/>
        </w:rPr>
        <w:t>LANDLORD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33" w:after="283"/>
        <w:jc w:val="left"/>
        <w:rPr>
          <w:rFonts w:ascii="Times New Roman" w:hAnsi="Times New Roman"/>
          <w:sz w:val="20"/>
        </w:rPr>
      </w:pPr>
      <w:r>
        <w:rPr>
          <w:rFonts w:ascii="Times New Roman" w:hAnsi="Times New Roman"/>
          <w:color w:val="000000"/>
          <w:sz w:val="24"/>
        </w:rPr>
        <w:t>55 CAMBRIDGE PARKWAY, LLC,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 Delaware limited liability company</w:t>
      </w:r>
      <w:r>
        <w:rPr>
          <w:rFonts w:ascii="Times New Roman" w:hAnsi="Times New Roman"/>
          <w:color w:val="000000"/>
          <w:sz w:val="20"/>
        </w:rPr>
        <w:t xml:space="preserve"> </w:t>
      </w:r>
    </w:p>
    <w:p>
      <w:pPr>
        <w:pStyle w:val="TextBody"/>
        <w:bidi w:val="0"/>
        <w:spacing w:before="271" w:after="283"/>
        <w:jc w:val="left"/>
        <w:rPr>
          <w:rFonts w:ascii="Times New Roman" w:hAnsi="Times New Roman"/>
          <w:sz w:val="20"/>
        </w:rPr>
      </w:pPr>
      <w:r>
        <w:rPr>
          <w:rFonts w:ascii="Times New Roman" w:hAnsi="Times New Roman"/>
          <w:color w:val="000000"/>
          <w:sz w:val="24"/>
        </w:rPr>
        <w:t>By: Invesco ICRE Massachusetts REIT Holdings, LLC, its sole member</w:t>
      </w:r>
      <w:r>
        <w:rPr>
          <w:rFonts w:ascii="Times New Roman" w:hAnsi="Times New Roman"/>
          <w:color w:val="000000"/>
          <w:sz w:val="20"/>
        </w:rPr>
        <w:t xml:space="preserve"> </w:t>
      </w:r>
    </w:p>
    <w:p>
      <w:pPr>
        <w:pStyle w:val="TextBody"/>
        <w:bidi w:val="0"/>
        <w:spacing w:before="545"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Perry Chudnoff </w:t>
      </w:r>
    </w:p>
    <w:p>
      <w:pPr>
        <w:pStyle w:val="TextBody"/>
        <w:bidi w:val="0"/>
        <w:jc w:val="left"/>
        <w:rPr>
          <w:rFonts w:ascii="Times New Roman" w:hAnsi="Times New Roman"/>
          <w:sz w:val="20"/>
        </w:rPr>
      </w:pPr>
      <w:r>
        <w:rPr>
          <w:rFonts w:ascii="Times New Roman" w:hAnsi="Times New Roman"/>
          <w:color w:val="000000"/>
          <w:sz w:val="24"/>
        </w:rPr>
        <w:t>Name: Perry Chudnoff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Title: Vice President and Assistant Secretary</w:t>
      </w:r>
    </w:p>
    <w:p>
      <w:pPr>
        <w:pStyle w:val="TextBody"/>
        <w:bidi w:val="0"/>
        <w:spacing w:before="516" w:after="283"/>
        <w:jc w:val="left"/>
        <w:rPr>
          <w:rFonts w:ascii="Times New Roman" w:hAnsi="Times New Roman"/>
          <w:sz w:val="20"/>
        </w:rPr>
      </w:pPr>
      <w:r>
        <w:rPr>
          <w:rFonts w:ascii="Times New Roman" w:hAnsi="Times New Roman"/>
          <w:b/>
          <w:color w:val="000000"/>
          <w:sz w:val="24"/>
          <w:u w:val="single"/>
        </w:rPr>
        <w:t>TENANT</w:t>
      </w:r>
      <w:r>
        <w:rPr>
          <w:rFonts w:ascii="Times New Roman" w:hAnsi="Times New Roman"/>
          <w:color w:val="000000"/>
          <w:sz w:val="24"/>
        </w:rPr>
        <w:t>:</w:t>
      </w:r>
    </w:p>
    <w:p>
      <w:pPr>
        <w:pStyle w:val="TextBody"/>
        <w:bidi w:val="0"/>
        <w:spacing w:before="233" w:after="283"/>
        <w:jc w:val="left"/>
        <w:rPr>
          <w:rFonts w:ascii="Times New Roman" w:hAnsi="Times New Roman"/>
          <w:color w:val="000000"/>
          <w:sz w:val="24"/>
        </w:rPr>
      </w:pPr>
      <w:r>
        <w:rPr>
          <w:rFonts w:ascii="Times New Roman" w:hAnsi="Times New Roman"/>
          <w:color w:val="000000"/>
          <w:sz w:val="24"/>
        </w:rPr>
        <w:t>CARGURUS, INC.,</w:t>
      </w:r>
    </w:p>
    <w:p>
      <w:pPr>
        <w:pStyle w:val="TextBody"/>
        <w:bidi w:val="0"/>
        <w:jc w:val="left"/>
        <w:rPr>
          <w:rFonts w:ascii="Times New Roman" w:hAnsi="Times New Roman"/>
          <w:sz w:val="20"/>
        </w:rPr>
      </w:pPr>
      <w:r>
        <w:rPr>
          <w:rFonts w:ascii="Times New Roman" w:hAnsi="Times New Roman"/>
          <w:color w:val="000000"/>
          <w:sz w:val="24"/>
        </w:rPr>
        <w:t>a Delaware corporation</w:t>
      </w:r>
      <w:r>
        <w:rPr>
          <w:rFonts w:ascii="Times New Roman" w:hAnsi="Times New Roman"/>
          <w:color w:val="000000"/>
          <w:sz w:val="20"/>
        </w:rPr>
        <w:t xml:space="preserve"> </w:t>
      </w:r>
    </w:p>
    <w:p>
      <w:pPr>
        <w:pStyle w:val="TextBody"/>
        <w:bidi w:val="0"/>
        <w:spacing w:before="55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John Hart </w:t>
      </w:r>
    </w:p>
    <w:p>
      <w:pPr>
        <w:pStyle w:val="TextBody"/>
        <w:bidi w:val="0"/>
        <w:jc w:val="left"/>
        <w:rPr>
          <w:rFonts w:ascii="Times New Roman" w:hAnsi="Times New Roman"/>
          <w:color w:val="000000"/>
          <w:sz w:val="24"/>
        </w:rPr>
      </w:pPr>
      <w:r>
        <w:rPr>
          <w:rFonts w:ascii="Times New Roman" w:hAnsi="Times New Roman"/>
          <w:color w:val="000000"/>
          <w:sz w:val="24"/>
        </w:rPr>
        <w:t>Name: John Hart</w:t>
      </w:r>
    </w:p>
    <w:p>
      <w:pPr>
        <w:pStyle w:val="TextBody"/>
        <w:bidi w:val="0"/>
        <w:jc w:val="left"/>
        <w:rPr>
          <w:rFonts w:ascii="Times New Roman" w:hAnsi="Times New Roman"/>
          <w:color w:val="000000"/>
          <w:sz w:val="24"/>
        </w:rPr>
      </w:pPr>
      <w:r>
        <w:rPr>
          <w:rFonts w:ascii="Times New Roman" w:hAnsi="Times New Roman"/>
          <w:color w:val="000000"/>
          <w:sz w:val="24"/>
        </w:rPr>
        <w:t>Title: Facilities Manager</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76" w:after="283"/>
        <w:jc w:val="center"/>
        <w:rPr>
          <w:rFonts w:ascii="Times New Roman" w:hAnsi="Times New Roman"/>
          <w:color w:val="000000"/>
          <w:sz w:val="24"/>
        </w:rPr>
      </w:pPr>
      <w:r>
        <w:rPr>
          <w:rFonts w:ascii="Times New Roman" w:hAnsi="Times New Roman"/>
          <w:color w:val="000000"/>
          <w:sz w:val="24"/>
        </w:rPr>
        <w:t>BILL OF SALE</w:t>
      </w:r>
    </w:p>
    <w:p>
      <w:pPr>
        <w:pStyle w:val="TextBody"/>
        <w:bidi w:val="0"/>
        <w:spacing w:before="228" w:after="283"/>
        <w:jc w:val="both"/>
        <w:rPr>
          <w:rFonts w:ascii="Times New Roman" w:hAnsi="Times New Roman"/>
          <w:sz w:val="20"/>
        </w:rPr>
      </w:pPr>
      <w:r>
        <w:rPr>
          <w:rFonts w:ascii="Times New Roman" w:hAnsi="Times New Roman"/>
          <w:color w:val="000000"/>
          <w:sz w:val="24"/>
        </w:rPr>
        <w:t>FOR GOOD AND VALUABLE CONSIDERATION of One Dollar ($1.00), the receipt and sufficiency of which are hereby acknowledged, CARGURUS, INC., a Delaware corporation (“</w:t>
      </w:r>
      <w:r>
        <w:rPr>
          <w:rFonts w:ascii="Times New Roman" w:hAnsi="Times New Roman"/>
          <w:color w:val="000000"/>
          <w:sz w:val="24"/>
          <w:u w:val="single"/>
        </w:rPr>
        <w:t>Seller</w:t>
      </w:r>
      <w:r>
        <w:rPr>
          <w:rFonts w:ascii="Times New Roman" w:hAnsi="Times New Roman"/>
          <w:color w:val="000000"/>
          <w:sz w:val="20"/>
        </w:rPr>
        <w:t>”</w:t>
      </w:r>
      <w:r>
        <w:rPr>
          <w:rFonts w:ascii="Times New Roman" w:hAnsi="Times New Roman"/>
          <w:color w:val="000000"/>
          <w:sz w:val="24"/>
        </w:rPr>
        <w:t>), hereby sells, assigns, transfers and conveys to 55 CAMBRIDGE PARKWAY, LLC, a Delaware limited liability company (“</w:t>
      </w:r>
      <w:r>
        <w:rPr>
          <w:rFonts w:ascii="Times New Roman" w:hAnsi="Times New Roman"/>
          <w:color w:val="000000"/>
          <w:sz w:val="24"/>
          <w:u w:val="single"/>
        </w:rPr>
        <w:t>Buyer</w:t>
      </w:r>
      <w:r>
        <w:rPr>
          <w:rFonts w:ascii="Times New Roman" w:hAnsi="Times New Roman"/>
          <w:color w:val="000000"/>
          <w:sz w:val="20"/>
        </w:rPr>
        <w:t>”</w:t>
      </w:r>
      <w:r>
        <w:rPr>
          <w:rFonts w:ascii="Times New Roman" w:hAnsi="Times New Roman"/>
          <w:color w:val="000000"/>
          <w:sz w:val="24"/>
        </w:rPr>
        <w:t xml:space="preserve">), all of Seller’s right, title and interest, in and to all of the furniture, fixtures and equipment located in the 6W Premises (as defined in the Fourth Amendment to Lease of even date herewith by and between Buyer, as landlord, and Seller, as tenant) and set forth on </w:t>
      </w:r>
      <w:r>
        <w:rPr>
          <w:rFonts w:ascii="Times New Roman" w:hAnsi="Times New Roman"/>
          <w:color w:val="000000"/>
          <w:sz w:val="24"/>
          <w:u w:val="single"/>
        </w:rPr>
        <w:t>Schedule 1</w:t>
      </w:r>
      <w:r>
        <w:rPr>
          <w:rFonts w:ascii="Times New Roman" w:hAnsi="Times New Roman"/>
          <w:color w:val="000000"/>
          <w:sz w:val="20"/>
        </w:rPr>
        <w:t xml:space="preserve"> </w:t>
      </w:r>
      <w:r>
        <w:rPr>
          <w:rFonts w:ascii="Times New Roman" w:hAnsi="Times New Roman"/>
          <w:color w:val="000000"/>
          <w:sz w:val="24"/>
        </w:rPr>
        <w:t>attached hereto (collectively, the “</w:t>
      </w:r>
      <w:r>
        <w:rPr>
          <w:rFonts w:ascii="Times New Roman" w:hAnsi="Times New Roman"/>
          <w:color w:val="000000"/>
          <w:sz w:val="24"/>
          <w:u w:val="single"/>
        </w:rPr>
        <w:t>6W FF&amp;E</w:t>
      </w:r>
      <w:r>
        <w:rPr>
          <w:rFonts w:ascii="Times New Roman" w:hAnsi="Times New Roman"/>
          <w:color w:val="000000"/>
          <w:sz w:val="20"/>
        </w:rPr>
        <w:t>”</w:t>
      </w:r>
      <w:r>
        <w:rPr>
          <w:rFonts w:ascii="Times New Roman" w:hAnsi="Times New Roman"/>
          <w:color w:val="000000"/>
          <w:sz w:val="24"/>
        </w:rPr>
        <w:t>), effective as of January 31, 2025, which 6W Premises is located within the building known as and numbered 55 Cambridge Parkway, Cambridge, Massachusetts. Seller conveys to Buyer the 6W FF&amp;E with warranty covenants as set forth below.</w:t>
      </w:r>
      <w:r>
        <w:rPr>
          <w:rFonts w:ascii="Times New Roman" w:hAnsi="Times New Roman"/>
          <w:color w:val="000000"/>
          <w:sz w:val="20"/>
        </w:rPr>
        <w:t xml:space="preserve"> </w:t>
      </w:r>
    </w:p>
    <w:p>
      <w:pPr>
        <w:pStyle w:val="TextBody"/>
        <w:bidi w:val="0"/>
        <w:spacing w:before="281" w:after="283"/>
        <w:jc w:val="left"/>
        <w:rPr>
          <w:rFonts w:ascii="Times New Roman" w:hAnsi="Times New Roman"/>
          <w:sz w:val="20"/>
        </w:rPr>
      </w:pPr>
      <w:r>
        <w:rPr>
          <w:rFonts w:ascii="Times New Roman" w:hAnsi="Times New Roman"/>
          <w:color w:val="000000"/>
          <w:sz w:val="24"/>
        </w:rPr>
        <w:t>TO HAVE AND TO HOLD the 6W FF&amp;E unto Buyer, its successors and assigns, to its own use and behalf forever.</w:t>
      </w:r>
      <w:r>
        <w:rPr>
          <w:rFonts w:ascii="Times New Roman" w:hAnsi="Times New Roman"/>
          <w:color w:val="000000"/>
          <w:sz w:val="20"/>
        </w:rPr>
        <w:t xml:space="preserve"> </w:t>
      </w:r>
    </w:p>
    <w:p>
      <w:pPr>
        <w:pStyle w:val="TextBody"/>
        <w:bidi w:val="0"/>
        <w:spacing w:before="284" w:after="283"/>
        <w:jc w:val="both"/>
        <w:rPr>
          <w:rFonts w:ascii="Times New Roman" w:hAnsi="Times New Roman"/>
          <w:sz w:val="20"/>
        </w:rPr>
      </w:pPr>
      <w:r>
        <w:rPr>
          <w:rFonts w:ascii="Times New Roman" w:hAnsi="Times New Roman"/>
          <w:color w:val="000000"/>
          <w:sz w:val="24"/>
        </w:rPr>
        <w:t>Seller hereby covenants with Buyer that it is the lawful owner of the 6W FF&amp;E; that there is no lien, claim, lease, assignment, mortgage or pledge of or other encumbrance upon the 6W FF&amp;E, that Seller has good right to sell the same as aforesaid and Seller has and hereby conveys to Buyer good and marketable title to the 6W FF&amp;E, free and clear of all liens, claims, charges and encumbrances; and that it will warrant and defend the same, against the lawful claims and demands of all persons.</w:t>
      </w:r>
      <w:r>
        <w:rPr>
          <w:rFonts w:ascii="Times New Roman" w:hAnsi="Times New Roman"/>
          <w:color w:val="000000"/>
          <w:sz w:val="20"/>
        </w:rPr>
        <w:t xml:space="preserve"> </w:t>
      </w:r>
    </w:p>
    <w:p>
      <w:pPr>
        <w:pStyle w:val="TextBody"/>
        <w:bidi w:val="0"/>
        <w:spacing w:before="281" w:after="283"/>
        <w:jc w:val="both"/>
        <w:rPr>
          <w:rFonts w:ascii="Times New Roman" w:hAnsi="Times New Roman"/>
          <w:color w:val="000000"/>
          <w:sz w:val="24"/>
        </w:rPr>
      </w:pPr>
      <w:r>
        <w:rPr>
          <w:rFonts w:ascii="Times New Roman" w:hAnsi="Times New Roman"/>
          <w:color w:val="000000"/>
          <w:sz w:val="24"/>
        </w:rPr>
        <w:t>Except as expressly set forth in the prior paragraph, Seller has not made and does not make any express or implied warranty or representation of any kind whatsoever with respect to the 6W FF&amp;E, including but not limited to, its fitness for any particular purpose or the design or condition of the 6W FF&amp;E, and Buyer accepts the 6W FF&amp;E in “AS IS, WHERE IS” condition</w:t>
      </w:r>
    </w:p>
    <w:p>
      <w:pPr>
        <w:pStyle w:val="TextBody"/>
        <w:bidi w:val="0"/>
        <w:spacing w:before="242" w:after="283"/>
        <w:jc w:val="both"/>
        <w:rPr>
          <w:rFonts w:ascii="Times New Roman" w:hAnsi="Times New Roman"/>
          <w:sz w:val="20"/>
        </w:rPr>
      </w:pPr>
      <w:r>
        <w:rPr>
          <w:rFonts w:ascii="Times New Roman" w:hAnsi="Times New Roman"/>
          <w:color w:val="000000"/>
          <w:sz w:val="24"/>
        </w:rPr>
        <w:t>IN WITNESS WHEREOF, Seller has executed this Bill of Sale, under seal, to be effective as of January 31, 2025.</w:t>
      </w:r>
      <w:r>
        <w:rPr>
          <w:rFonts w:ascii="Times New Roman" w:hAnsi="Times New Roman"/>
          <w:color w:val="000000"/>
          <w:sz w:val="20"/>
        </w:rPr>
        <w:t xml:space="preserve"> </w:t>
      </w:r>
    </w:p>
    <w:p>
      <w:pPr>
        <w:pStyle w:val="TextBody"/>
        <w:bidi w:val="0"/>
        <w:spacing w:before="241" w:after="283"/>
        <w:jc w:val="left"/>
        <w:rPr>
          <w:rFonts w:ascii="Times New Roman" w:hAnsi="Times New Roman"/>
          <w:sz w:val="20"/>
        </w:rPr>
      </w:pPr>
      <w:r>
        <w:rPr>
          <w:rFonts w:ascii="Times New Roman" w:hAnsi="Times New Roman"/>
          <w:b/>
          <w:color w:val="000000"/>
          <w:sz w:val="24"/>
        </w:rPr>
        <w:t>SELLER:</w:t>
      </w:r>
      <w:r>
        <w:rPr>
          <w:rFonts w:ascii="Times New Roman" w:hAnsi="Times New Roman"/>
          <w:color w:val="000000"/>
          <w:sz w:val="20"/>
        </w:rPr>
        <w:t xml:space="preserve"> </w:t>
      </w:r>
    </w:p>
    <w:p>
      <w:pPr>
        <w:pStyle w:val="TextBody"/>
        <w:bidi w:val="0"/>
        <w:spacing w:before="271" w:after="283"/>
        <w:jc w:val="left"/>
        <w:rPr>
          <w:rFonts w:ascii="Times New Roman" w:hAnsi="Times New Roman"/>
          <w:sz w:val="20"/>
        </w:rPr>
      </w:pPr>
      <w:r>
        <w:rPr>
          <w:rFonts w:ascii="Times New Roman" w:hAnsi="Times New Roman"/>
          <w:color w:val="000000"/>
          <w:sz w:val="24"/>
        </w:rPr>
        <w:t>CARGURUS, INC., a Delaware corporation</w:t>
      </w:r>
      <w:r>
        <w:rPr>
          <w:rFonts w:ascii="Times New Roman" w:hAnsi="Times New Roman"/>
          <w:color w:val="000000"/>
          <w:sz w:val="20"/>
        </w:rPr>
        <w:t xml:space="preserve"> </w:t>
      </w:r>
    </w:p>
    <w:p>
      <w:pPr>
        <w:pStyle w:val="TextBody"/>
        <w:bidi w:val="0"/>
        <w:spacing w:before="545" w:after="283"/>
        <w:jc w:val="left"/>
        <w:rPr>
          <w:rFonts w:ascii="Times New Roman" w:hAnsi="Times New Roman"/>
          <w:sz w:val="20"/>
        </w:rPr>
      </w:pPr>
      <w:r>
        <w:rPr>
          <w:rFonts w:ascii="Times New Roman" w:hAnsi="Times New Roman"/>
          <w:color w:val="000000"/>
          <w:sz w:val="24"/>
        </w:rPr>
        <w:t>By: ________________________________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arg-ex31_1.htm"/>
      <w:bookmarkStart w:id="24" w:name="kscargex31_1"/>
      <w:bookmarkEnd w:id="23"/>
      <w:bookmarkEnd w:id="24"/>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302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Jason Trevisan,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have reviewed this Quarterly Report on Form 10-Q of CarGurus,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Calibri" w:hAnsi="Calibri"/>
          <w:color w:val="000000"/>
          <w:sz w:val="20"/>
        </w:rPr>
      </w:pPr>
      <w:r>
        <w:rPr>
          <w:rFonts w:ascii="Calibri" w:hAnsi="Calibri"/>
          <w:color w:val="000000"/>
          <w:sz w:val="20"/>
        </w:rPr>
        <w:t>(c)</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Calibri" w:hAnsi="Calibri"/>
          <w:color w:val="000000"/>
          <w:sz w:val="20"/>
        </w:rPr>
      </w:pPr>
      <w:r>
        <w:rPr>
          <w:rFonts w:ascii="Calibri" w:hAnsi="Calibri"/>
          <w:color w:val="000000"/>
          <w:sz w:val="20"/>
        </w:rPr>
        <w:t>(d)</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2056"/>
        <w:gridCol w:w="109"/>
        <w:gridCol w:w="346"/>
        <w:gridCol w:w="231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Calibri;sans-serif" w:hAnsi="Calibri;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25" w:name="carg-ex31_2.htm"/>
      <w:bookmarkStart w:id="26" w:name="kscargex31_2"/>
      <w:bookmarkEnd w:id="25"/>
      <w:bookmarkEnd w:id="26"/>
      <w:r>
        <w:rPr>
          <w:rFonts w:ascii="Calibri;sans-serif" w:hAnsi="Calibri;sans-serif"/>
          <w:b/>
          <w:color w:val="000000"/>
          <w:sz w:val="20"/>
        </w:rPr>
        <w:t>Exhibit 31.2</w:t>
      </w:r>
      <w:r>
        <w:br w:type="page"/>
      </w:r>
    </w:p>
    <w:p>
      <w:pPr>
        <w:pStyle w:val="TextBody"/>
        <w:bidi w:val="0"/>
        <w:spacing w:before="3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302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Elisa Palazzo, certify that:</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have reviewed this Quarterly Report on Form 10-Q of CarGurus, Inc.;</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Calibri" w:hAnsi="Calibri"/>
          <w:color w:val="000000"/>
          <w:sz w:val="20"/>
        </w:rPr>
      </w:pPr>
      <w:r>
        <w:rPr>
          <w:rFonts w:ascii="Calibri" w:hAnsi="Calibri"/>
          <w:color w:val="000000"/>
          <w:sz w:val="20"/>
        </w:rPr>
        <w:t>3.</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Calibri" w:hAnsi="Calibri"/>
          <w:color w:val="000000"/>
          <w:sz w:val="20"/>
        </w:rPr>
      </w:pPr>
      <w:r>
        <w:rPr>
          <w:rFonts w:ascii="Calibri" w:hAnsi="Calibri"/>
          <w:color w:val="000000"/>
          <w:sz w:val="20"/>
        </w:rPr>
        <w:t>4.</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Calibri" w:hAnsi="Calibri"/>
          <w:color w:val="000000"/>
          <w:sz w:val="20"/>
        </w:rPr>
      </w:pPr>
      <w:r>
        <w:rPr>
          <w:rFonts w:ascii="Calibri" w:hAnsi="Calibri"/>
          <w:color w:val="000000"/>
          <w:sz w:val="20"/>
        </w:rPr>
        <w:t>(c)</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Calibri" w:hAnsi="Calibri"/>
          <w:color w:val="000000"/>
          <w:sz w:val="20"/>
        </w:rPr>
      </w:pPr>
      <w:r>
        <w:rPr>
          <w:rFonts w:ascii="Calibri" w:hAnsi="Calibri"/>
          <w:color w:val="000000"/>
          <w:sz w:val="20"/>
        </w:rPr>
        <w:t>(d)</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Calibri" w:hAnsi="Calibri"/>
          <w:color w:val="000000"/>
          <w:sz w:val="20"/>
        </w:rPr>
      </w:pPr>
      <w:r>
        <w:rPr>
          <w:rFonts w:ascii="Calibri" w:hAnsi="Calibri"/>
          <w:color w:val="000000"/>
          <w:sz w:val="20"/>
        </w:rPr>
        <w:t>5.</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2056"/>
        <w:gridCol w:w="109"/>
        <w:gridCol w:w="346"/>
        <w:gridCol w:w="4846"/>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48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Elisa Palazzo</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Elisa Palazzo</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Chief Financial Officer</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arg-ex32_1.htm"/>
      <w:bookmarkStart w:id="28" w:name="kscargex32_1"/>
      <w:bookmarkEnd w:id="27"/>
      <w:bookmarkEnd w:id="28"/>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In connection with the Quarterly Report on Form 10-Q of CarGurus, Inc. (the “Company”) for the period ending September 30, 2024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Report fully complies with the requirements of Section 13(a) or 15(d) of the Securities Exchange Act of 1934; and</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2056"/>
        <w:gridCol w:w="109"/>
        <w:gridCol w:w="346"/>
        <w:gridCol w:w="231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Jason Trevisan</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Calibri;sans-serif" w:hAnsi="Calibri;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29" w:name="carg-ex32_2.htm"/>
      <w:bookmarkStart w:id="30" w:name="kscargex32_2"/>
      <w:bookmarkEnd w:id="29"/>
      <w:bookmarkEnd w:id="30"/>
      <w:r>
        <w:rPr>
          <w:rFonts w:ascii="Calibri;sans-serif" w:hAnsi="Calibri;sans-serif"/>
          <w:b/>
          <w:color w:val="000000"/>
          <w:sz w:val="20"/>
        </w:rPr>
        <w:t>Exhibit 32.2</w:t>
      </w:r>
      <w:r>
        <w:br w:type="page"/>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In connection with the Quarterly Report on Form 10-Q of CarGurus, Inc. (the “Company”) for the period ending September 30, 2024, as filed with the U.S. Securities and Exchange Commission on the date hereof (the “Report”), I, Elisa Palazzo, Chief Financial Officer of the Company, certify, pursuant to 18 U.S.C. § 1350, as adopted pursuant to § 906 of the Sarbanes-Oxley Act of 2002, that, based on my knowledge:</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Report fully complies with the requirements of Section 13(a) or 15(d) of the Securities Exchange Act of 1934; and</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2056"/>
        <w:gridCol w:w="109"/>
        <w:gridCol w:w="346"/>
        <w:gridCol w:w="4846"/>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48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Elisa Palazzo</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Elisa Palazzo</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Chief Financial Officer</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35432</Words>
  <Characters>196136</Characters>
  <CharactersWithSpaces>234508</CharactersWithSpaces>
  <Paragraphs>11131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