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carg-20230630.htm"/>
      <w:bookmarkStart w:id="1" w:name="kscarg20230630"/>
      <w:bookmarkEnd w:id="0"/>
      <w:bookmarkEnd w:id="1"/>
      <w:r>
        <w:rPr/>
        <w:t> </w:t>
      </w:r>
    </w:p>
    <w:p>
      <w:pPr>
        <w:pStyle w:val="TextBody"/>
        <w:bidi w:val="0"/>
        <w:spacing w:before="40" w:after="0"/>
        <w:jc w:val="center"/>
        <w:rPr>
          <w:rFonts w:ascii="Calibri;sans-serif" w:hAnsi="Calibri;sans-serif"/>
          <w:b/>
          <w:sz w:val="36"/>
        </w:rPr>
      </w:pPr>
      <w:r>
        <w:rPr>
          <w:rFonts w:ascii="Calibri;sans-serif" w:hAnsi="Calibri;sans-serif"/>
          <w:b/>
          <w:sz w:val="36"/>
        </w:rPr>
        <w:t>UNITED STATES</w:t>
      </w:r>
    </w:p>
    <w:p>
      <w:pPr>
        <w:pStyle w:val="TextBody"/>
        <w:bidi w:val="0"/>
        <w:spacing w:before="0" w:after="0"/>
        <w:jc w:val="center"/>
        <w:rPr>
          <w:rFonts w:ascii="Calibri;sans-serif" w:hAnsi="Calibri;sans-serif"/>
          <w:b/>
          <w:sz w:val="36"/>
        </w:rPr>
      </w:pPr>
      <w:r>
        <w:rPr>
          <w:rFonts w:ascii="Calibri;sans-serif" w:hAnsi="Calibri;sans-serif"/>
          <w:b/>
          <w:sz w:val="36"/>
        </w:rPr>
        <w:t>SECURITIES AND EXCHANGE COMMISSION</w:t>
      </w:r>
    </w:p>
    <w:p>
      <w:pPr>
        <w:pStyle w:val="TextBody"/>
        <w:bidi w:val="0"/>
        <w:spacing w:before="0" w:after="0"/>
        <w:jc w:val="center"/>
        <w:rPr>
          <w:rFonts w:ascii="Calibri;sans-serif" w:hAnsi="Calibri;sans-serif"/>
          <w:b/>
          <w:sz w:val="24"/>
        </w:rPr>
      </w:pPr>
      <w:r>
        <w:rPr>
          <w:rFonts w:ascii="Calibri;sans-serif" w:hAnsi="Calibri;sans-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Calibri;sans-serif" w:hAnsi="Calibri;sans-serif"/>
          <w:b/>
          <w:sz w:val="36"/>
        </w:rPr>
      </w:pPr>
      <w:r>
        <w:rPr>
          <w:rFonts w:ascii="Calibri;sans-serif" w:hAnsi="Calibri;sans-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left"/>
        <w:rPr>
          <w:rFonts w:ascii="Calibri;sans-serif" w:hAnsi="Calibri;sans-serif"/>
          <w:b/>
          <w:sz w:val="20"/>
        </w:rPr>
      </w:pPr>
      <w:r>
        <w:rPr>
          <w:rFonts w:ascii="Calibri;sans-serif" w:hAnsi="Calibri;sans-serif"/>
          <w:b/>
          <w:sz w:val="20"/>
        </w:rPr>
        <w:t>(Mark One)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sz w:val="24"/>
              </w:rPr>
            </w:pPr>
            <w:r>
              <w:rPr>
                <w:rFonts w:ascii="Calibri;sans-serif" w:hAnsi="Calibri;sans-serif"/>
                <w:b/>
                <w:sz w:val="24"/>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Calibri;sans-serif" w:hAnsi="Calibri;sans-serif"/>
          <w:b/>
          <w:sz w:val="20"/>
        </w:rPr>
      </w:pPr>
      <w:r>
        <w:rPr>
          <w:rFonts w:ascii="Calibri;sans-serif" w:hAnsi="Calibri;sans-serif"/>
          <w:b/>
          <w:sz w:val="20"/>
        </w:rPr>
        <w:t>For the quarterly period ended June 30, 2023</w:t>
      </w:r>
    </w:p>
    <w:p>
      <w:pPr>
        <w:pStyle w:val="TextBody"/>
        <w:bidi w:val="0"/>
        <w:spacing w:before="80" w:after="0"/>
        <w:jc w:val="center"/>
        <w:rPr>
          <w:rFonts w:ascii="Calibri;sans-serif" w:hAnsi="Calibri;sans-serif"/>
          <w:b/>
          <w:sz w:val="20"/>
        </w:rPr>
      </w:pPr>
      <w:r>
        <w:rPr>
          <w:rFonts w:ascii="Calibri;sans-serif" w:hAnsi="Calibri;sans-serif"/>
          <w:b/>
          <w:sz w:val="20"/>
        </w:rPr>
        <w:t>OR</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sz w:val="24"/>
              </w:rPr>
            </w:pPr>
            <w:r>
              <w:rPr>
                <w:rFonts w:ascii="Calibri;sans-serif" w:hAnsi="Calibri;sans-serif"/>
                <w:b/>
                <w:sz w:val="24"/>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Calibri;sans-serif" w:hAnsi="Calibri;sans-serif"/>
          <w:b/>
          <w:sz w:val="20"/>
        </w:rPr>
      </w:pPr>
      <w:r>
        <w:rPr>
          <w:rFonts w:ascii="Calibri;sans-serif" w:hAnsi="Calibri;sans-serif"/>
          <w:b/>
          <w:sz w:val="20"/>
        </w:rPr>
        <w:t>For the transition period from _________________ to _________________</w:t>
      </w:r>
    </w:p>
    <w:p>
      <w:pPr>
        <w:pStyle w:val="TextBody"/>
        <w:bidi w:val="0"/>
        <w:spacing w:before="80" w:after="0"/>
        <w:jc w:val="center"/>
        <w:rPr>
          <w:rFonts w:ascii="Calibri;sans-serif" w:hAnsi="Calibri;sans-serif"/>
          <w:b/>
          <w:sz w:val="20"/>
        </w:rPr>
      </w:pPr>
      <w:r>
        <w:rPr>
          <w:rFonts w:ascii="Calibri;sans-serif" w:hAnsi="Calibri;sans-serif"/>
          <w:b/>
          <w:sz w:val="20"/>
        </w:rPr>
        <w:t>Commission File Number: 001-38233</w:t>
      </w:r>
    </w:p>
    <w:p>
      <w:pPr>
        <w:pStyle w:val="TextBody"/>
        <w:pBdr>
          <w:bottom w:val="single" w:sz="4" w:space="1" w:color="000000"/>
        </w:pBdr>
        <w:bidi w:val="0"/>
        <w:spacing w:before="0" w:after="80"/>
        <w:jc w:val="center"/>
        <w:rPr/>
      </w:pPr>
      <w:r>
        <w:rPr/>
        <w:t> </w:t>
      </w:r>
    </w:p>
    <w:p>
      <w:pPr>
        <w:pStyle w:val="TextBody"/>
        <w:bidi w:val="0"/>
        <w:spacing w:before="0" w:after="0"/>
        <w:jc w:val="center"/>
        <w:rPr>
          <w:rFonts w:ascii="Calibri;sans-serif" w:hAnsi="Calibri;sans-serif"/>
          <w:b/>
          <w:sz w:val="48"/>
        </w:rPr>
      </w:pPr>
      <w:r>
        <w:rPr>
          <w:rFonts w:ascii="Calibri;sans-serif" w:hAnsi="Calibri;sans-serif"/>
          <w:b/>
          <w:sz w:val="48"/>
        </w:rPr>
        <w:t>CARGURUS, INC.</w:t>
      </w:r>
    </w:p>
    <w:p>
      <w:pPr>
        <w:pStyle w:val="TextBody"/>
        <w:bidi w:val="0"/>
        <w:spacing w:before="0" w:after="0"/>
        <w:jc w:val="center"/>
        <w:rPr>
          <w:rFonts w:ascii="Calibri;sans-serif" w:hAnsi="Calibri;sans-serif"/>
          <w:b/>
          <w:sz w:val="20"/>
        </w:rPr>
      </w:pPr>
      <w:r>
        <w:rPr>
          <w:rFonts w:ascii="Calibri;sans-serif" w:hAnsi="Calibri;sans-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142" w:type="dxa"/>
        <w:jc w:val="left"/>
        <w:tblInd w:w="0" w:type="dxa"/>
        <w:tblLayout w:type="fixed"/>
        <w:tblCellMar>
          <w:top w:w="28" w:type="dxa"/>
          <w:left w:w="28" w:type="dxa"/>
          <w:bottom w:w="28" w:type="dxa"/>
          <w:right w:w="28" w:type="dxa"/>
        </w:tblCellMar>
      </w:tblPr>
      <w:tblGrid>
        <w:gridCol w:w="2761"/>
        <w:gridCol w:w="1381"/>
      </w:tblGrid>
      <w:tr>
        <w:trPr/>
        <w:tc>
          <w:tcPr>
            <w:tcW w:w="27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20"/>
              </w:rPr>
            </w:pPr>
            <w:r>
              <w:rPr>
                <w:rFonts w:ascii="Calibri;sans-serif" w:hAnsi="Calibri;sans-serif"/>
                <w:b/>
                <w:sz w:val="20"/>
              </w:rPr>
              <w:t>Delaware</w:t>
            </w:r>
          </w:p>
        </w:tc>
        <w:tc>
          <w:tcPr>
            <w:tcW w:w="138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20"/>
              </w:rPr>
            </w:pPr>
            <w:r>
              <w:rPr>
                <w:rFonts w:ascii="Calibri;sans-serif" w:hAnsi="Calibri;sans-serif"/>
                <w:b/>
                <w:sz w:val="20"/>
              </w:rPr>
              <w:t>04-3843478</w:t>
            </w:r>
          </w:p>
        </w:tc>
      </w:tr>
      <w:tr>
        <w:trPr/>
        <w:tc>
          <w:tcPr>
            <w:tcW w:w="276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(State or other jurisdiction of</w:t>
            </w:r>
          </w:p>
          <w:p>
            <w:pPr>
              <w:pStyle w:val="TableContents"/>
              <w:bidi w:val="0"/>
              <w:spacing w:before="0" w:after="9"/>
              <w:ind w:left="0" w:right="0" w:hanging="0"/>
              <w:jc w:val="center"/>
              <w:rPr>
                <w:rFonts w:ascii="Calibri;sans-serif" w:hAnsi="Calibri;sans-serif"/>
                <w:b/>
                <w:sz w:val="16"/>
              </w:rPr>
            </w:pPr>
            <w:r>
              <w:rPr>
                <w:rFonts w:ascii="Calibri;sans-serif" w:hAnsi="Calibri;sans-serif"/>
                <w:b/>
                <w:sz w:val="16"/>
              </w:rPr>
              <w:t>incorporation or organization)</w:t>
            </w:r>
          </w:p>
        </w:tc>
        <w:tc>
          <w:tcPr>
            <w:tcW w:w="138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(I.R.S. Employer</w:t>
            </w:r>
          </w:p>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Identification No.)</w:t>
            </w:r>
          </w:p>
        </w:tc>
      </w:tr>
      <w:tr>
        <w:trPr/>
        <w:tc>
          <w:tcPr>
            <w:tcW w:w="2761" w:type="dxa"/>
            <w:tcBorders/>
            <w:tcMar>
              <w:top w:w="0" w:type="dxa"/>
              <w:left w:w="0" w:type="dxa"/>
              <w:bottom w:w="0" w:type="dxa"/>
              <w:right w:w="0" w:type="dxa"/>
            </w:tcMar>
            <w:vAlign w:val="center"/>
          </w:tcPr>
          <w:p>
            <w:pPr>
              <w:pStyle w:val="TableContents"/>
              <w:bidi w:val="0"/>
              <w:spacing w:before="0" w:after="9"/>
              <w:ind w:left="0" w:right="0" w:hanging="0"/>
              <w:jc w:val="center"/>
              <w:rPr/>
            </w:pPr>
            <w:r>
              <w:rPr/>
              <w:t> </w:t>
            </w:r>
          </w:p>
          <w:p>
            <w:pPr>
              <w:pStyle w:val="TableContents"/>
              <w:bidi w:val="0"/>
              <w:spacing w:before="0" w:after="9"/>
              <w:ind w:left="0" w:right="0" w:hanging="0"/>
              <w:jc w:val="center"/>
              <w:rPr>
                <w:rFonts w:ascii="Calibri;sans-serif" w:hAnsi="Calibri;sans-serif"/>
                <w:b/>
                <w:sz w:val="20"/>
              </w:rPr>
            </w:pPr>
            <w:r>
              <w:rPr>
                <w:rFonts w:ascii="Calibri;sans-serif" w:hAnsi="Calibri;sans-serif"/>
                <w:b/>
                <w:sz w:val="20"/>
              </w:rPr>
              <w:t>2 Canal Park, 4th Floor</w:t>
            </w:r>
          </w:p>
          <w:p>
            <w:pPr>
              <w:pStyle w:val="TableContents"/>
              <w:bidi w:val="0"/>
              <w:spacing w:before="0" w:after="9"/>
              <w:ind w:left="0" w:right="0" w:hanging="0"/>
              <w:jc w:val="center"/>
              <w:rPr>
                <w:rFonts w:ascii="Times New Roman" w:hAnsi="Times New Roman"/>
                <w:sz w:val="20"/>
              </w:rPr>
            </w:pPr>
            <w:r>
              <w:rPr>
                <w:rFonts w:ascii="Calibri;sans-serif" w:hAnsi="Calibri;sans-serif"/>
                <w:b/>
                <w:sz w:val="20"/>
              </w:rPr>
              <w:t>Cambridge, Massachusetts</w:t>
            </w:r>
            <w:r>
              <w:rPr>
                <w:rFonts w:ascii="Times New Roman" w:hAnsi="Times New Roman"/>
                <w:sz w:val="20"/>
              </w:rPr>
              <w:t xml:space="preserve"> </w:t>
            </w:r>
          </w:p>
        </w:tc>
        <w:tc>
          <w:tcPr>
            <w:tcW w:w="138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20"/>
              </w:rPr>
            </w:pPr>
            <w:r>
              <w:rPr>
                <w:rFonts w:ascii="Calibri;sans-serif" w:hAnsi="Calibri;sans-serif"/>
                <w:b/>
                <w:sz w:val="20"/>
              </w:rPr>
              <w:t>02141</w:t>
            </w:r>
          </w:p>
        </w:tc>
      </w:tr>
      <w:tr>
        <w:trPr/>
        <w:tc>
          <w:tcPr>
            <w:tcW w:w="276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(Address of principal executive offices)</w:t>
            </w:r>
          </w:p>
        </w:tc>
        <w:tc>
          <w:tcPr>
            <w:tcW w:w="1381" w:type="dxa"/>
            <w:tcBorders/>
            <w:tcMar>
              <w:top w:w="0" w:type="dxa"/>
              <w:left w:w="0" w:type="dxa"/>
              <w:bottom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(Zip Code)</w:t>
            </w:r>
          </w:p>
        </w:tc>
      </w:tr>
    </w:tbl>
    <w:p>
      <w:pPr>
        <w:pStyle w:val="TextBody"/>
        <w:bidi w:val="0"/>
        <w:spacing w:before="40" w:after="0"/>
        <w:jc w:val="center"/>
        <w:rPr>
          <w:rFonts w:ascii="Calibri;sans-serif" w:hAnsi="Calibri;sans-serif"/>
          <w:b/>
          <w:sz w:val="18"/>
        </w:rPr>
      </w:pPr>
      <w:r>
        <w:rPr>
          <w:rFonts w:ascii="Calibri;sans-serif" w:hAnsi="Calibri;sans-serif"/>
          <w:b/>
          <w:sz w:val="18"/>
        </w:rPr>
        <w:t>(617) 354-0068</w:t>
      </w:r>
    </w:p>
    <w:p>
      <w:pPr>
        <w:pStyle w:val="TextBody"/>
        <w:bidi w:val="0"/>
        <w:spacing w:before="40" w:after="0"/>
        <w:jc w:val="center"/>
        <w:rPr>
          <w:rFonts w:ascii="Times New Roman" w:hAnsi="Times New Roman"/>
          <w:sz w:val="20"/>
        </w:rPr>
      </w:pPr>
      <w:r>
        <w:rPr>
          <w:rFonts w:ascii="Calibri;sans-serif" w:hAnsi="Calibri;sans-serif"/>
          <w:b w:val="false"/>
          <w:sz w:val="18"/>
        </w:rPr>
        <w:t>(Registrant’s telephone number, including area code)</w:t>
      </w:r>
      <w:r>
        <w:rPr>
          <w:rFonts w:ascii="Times New Roman" w:hAnsi="Times New Roman"/>
          <w:sz w:val="20"/>
        </w:rPr>
        <w:t xml:space="preserve"> </w:t>
      </w:r>
    </w:p>
    <w:p>
      <w:pPr>
        <w:pStyle w:val="TextBody"/>
        <w:bidi w:val="0"/>
        <w:spacing w:before="80" w:after="0"/>
        <w:jc w:val="left"/>
        <w:rPr>
          <w:rFonts w:ascii="Calibri;sans-serif" w:hAnsi="Calibri;sans-serif"/>
          <w:b w:val="false"/>
          <w:sz w:val="20"/>
        </w:rPr>
      </w:pPr>
      <w:r>
        <w:rPr>
          <w:rFonts w:ascii="Calibri;sans-serif" w:hAnsi="Calibri;sans-serif"/>
          <w:b w:val="false"/>
          <w:sz w:val="20"/>
        </w:rPr>
        <w:t>Securities registered pursuant to Section 12(b) of the Act:</w:t>
      </w:r>
    </w:p>
    <w:p>
      <w:pPr>
        <w:pStyle w:val="TextBody"/>
        <w:bidi w:val="0"/>
        <w:spacing w:before="0" w:after="0"/>
        <w:jc w:val="center"/>
        <w:rPr/>
      </w:pPr>
      <w:r>
        <w:rPr/>
        <w:t> </w:t>
      </w:r>
    </w:p>
    <w:tbl>
      <w:tblPr>
        <w:tblW w:w="9078" w:type="dxa"/>
        <w:jc w:val="left"/>
        <w:tblInd w:w="0" w:type="dxa"/>
        <w:tblLayout w:type="fixed"/>
        <w:tblCellMar>
          <w:top w:w="28" w:type="dxa"/>
          <w:left w:w="28" w:type="dxa"/>
          <w:bottom w:w="28" w:type="dxa"/>
          <w:right w:w="28" w:type="dxa"/>
        </w:tblCellMar>
      </w:tblPr>
      <w:tblGrid>
        <w:gridCol w:w="3556"/>
        <w:gridCol w:w="1261"/>
        <w:gridCol w:w="4261"/>
      </w:tblGrid>
      <w:tr>
        <w:trPr/>
        <w:tc>
          <w:tcPr>
            <w:tcW w:w="35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center"/>
              <w:rPr>
                <w:rFonts w:ascii="Calibri;sans-serif" w:hAnsi="Calibri;sans-serif"/>
                <w:b/>
                <w:sz w:val="18"/>
                <w:u w:val="single"/>
              </w:rPr>
            </w:pPr>
            <w:r>
              <w:rPr>
                <w:rFonts w:ascii="Calibri;sans-serif" w:hAnsi="Calibri;sans-serif"/>
                <w:b/>
                <w:sz w:val="18"/>
                <w:u w:val="single"/>
              </w:rPr>
              <w:t>Title of Each Class</w:t>
            </w:r>
          </w:p>
        </w:tc>
        <w:tc>
          <w:tcPr>
            <w:tcW w:w="1261" w:type="dxa"/>
            <w:tcBorders/>
            <w:vAlign w:val="center"/>
          </w:tcPr>
          <w:p>
            <w:pPr>
              <w:pStyle w:val="TableContents"/>
              <w:bidi w:val="0"/>
              <w:spacing w:before="0" w:after="0"/>
              <w:ind w:left="0" w:right="0" w:hanging="0"/>
              <w:jc w:val="center"/>
              <w:rPr>
                <w:rFonts w:ascii="Calibri;sans-serif" w:hAnsi="Calibri;sans-serif"/>
                <w:b/>
                <w:sz w:val="18"/>
                <w:u w:val="single"/>
              </w:rPr>
            </w:pPr>
            <w:r>
              <w:rPr>
                <w:rFonts w:ascii="Calibri;sans-serif" w:hAnsi="Calibri;sans-serif"/>
                <w:b/>
                <w:sz w:val="18"/>
                <w:u w:val="single"/>
              </w:rPr>
              <w:t>Trading Symbol</w:t>
            </w:r>
          </w:p>
        </w:tc>
        <w:tc>
          <w:tcPr>
            <w:tcW w:w="4261" w:type="dxa"/>
            <w:tcBorders/>
            <w:vAlign w:val="center"/>
          </w:tcPr>
          <w:p>
            <w:pPr>
              <w:pStyle w:val="TableContents"/>
              <w:bidi w:val="0"/>
              <w:spacing w:before="0" w:after="0"/>
              <w:ind w:left="0" w:right="0" w:hanging="0"/>
              <w:jc w:val="center"/>
              <w:rPr>
                <w:rFonts w:ascii="Calibri;sans-serif" w:hAnsi="Calibri;sans-serif"/>
                <w:b/>
                <w:sz w:val="18"/>
                <w:u w:val="single"/>
              </w:rPr>
            </w:pPr>
            <w:r>
              <w:rPr>
                <w:rFonts w:ascii="Calibri;sans-serif" w:hAnsi="Calibri;sans-serif"/>
                <w:b/>
                <w:sz w:val="18"/>
                <w:u w:val="single"/>
              </w:rPr>
              <w:t>Name of Exchange on Which Registered</w:t>
            </w:r>
          </w:p>
        </w:tc>
      </w:tr>
      <w:tr>
        <w:trPr/>
        <w:tc>
          <w:tcPr>
            <w:tcW w:w="3556"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Class A Common Stock, par value $0.001 per share</w:t>
            </w:r>
          </w:p>
        </w:tc>
        <w:tc>
          <w:tcPr>
            <w:tcW w:w="1261"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CARG</w:t>
            </w:r>
          </w:p>
        </w:tc>
        <w:tc>
          <w:tcPr>
            <w:tcW w:w="4261" w:type="dxa"/>
            <w:tcBorders/>
            <w:vAlign w:val="center"/>
          </w:tcPr>
          <w:p>
            <w:pPr>
              <w:pStyle w:val="TableContents"/>
              <w:bidi w:val="0"/>
              <w:spacing w:before="0" w:after="0"/>
              <w:ind w:left="0" w:right="0" w:hanging="0"/>
              <w:jc w:val="center"/>
              <w:rPr>
                <w:rFonts w:ascii="Times New Roman" w:hAnsi="Times New Roman"/>
                <w:sz w:val="20"/>
              </w:rPr>
            </w:pPr>
            <w:r>
              <w:rPr>
                <w:rFonts w:ascii="Calibri;sans-serif" w:hAnsi="Calibri;sans-serif"/>
                <w:b/>
                <w:sz w:val="16"/>
              </w:rPr>
              <w:t>The Nasdaq Stock Market LLC</w:t>
            </w:r>
            <w:r>
              <w:rPr>
                <w:rFonts w:ascii="Times New Roman" w:hAnsi="Times New Roman"/>
                <w:sz w:val="20"/>
              </w:rPr>
              <w:t> </w:t>
            </w:r>
            <w:r>
              <w:rPr>
                <w:rFonts w:ascii="Calibri;sans-serif" w:hAnsi="Calibri;sans-serif"/>
                <w:b/>
                <w:sz w:val="16"/>
              </w:rPr>
              <w:t>(Nasdaq Global Select Market)</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Calibri;sans-serif" w:hAnsi="Calibri;sans-serif"/>
          <w:b w:val="false"/>
          <w:sz w:val="20"/>
        </w:rPr>
        <w:t>No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Calibri;sans-serif" w:hAnsi="Calibri;sans-serif"/>
          <w:b w:val="false"/>
          <w:sz w:val="20"/>
        </w:rPr>
        <w:t>No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Calibri;sans-serif" w:hAnsi="Calibri;sans-serif"/>
          <w:b w:val="false"/>
          <w:sz w:val="20"/>
        </w:rPr>
      </w:pPr>
      <w:r>
        <w:rPr>
          <w:rFonts w:ascii="Calibri;sans-serif" w:hAnsi="Calibri;sans-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67" w:type="dxa"/>
        <w:jc w:val="left"/>
        <w:tblInd w:w="0" w:type="dxa"/>
        <w:tblLayout w:type="fixed"/>
        <w:tblCellMar>
          <w:top w:w="28" w:type="dxa"/>
          <w:left w:w="28" w:type="dxa"/>
          <w:bottom w:w="28" w:type="dxa"/>
          <w:right w:w="28" w:type="dxa"/>
        </w:tblCellMar>
      </w:tblPr>
      <w:tblGrid>
        <w:gridCol w:w="1831"/>
        <w:gridCol w:w="146"/>
        <w:gridCol w:w="316"/>
        <w:gridCol w:w="146"/>
        <w:gridCol w:w="2221"/>
        <w:gridCol w:w="146"/>
        <w:gridCol w:w="36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Small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2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Calibri;sans-serif" w:hAnsi="Calibri;sans-serif"/>
          <w:b w:val="false"/>
          <w:sz w:val="20"/>
        </w:rPr>
      </w:pPr>
      <w:r>
        <w:rPr>
          <w:rFonts w:ascii="Calibri;sans-serif" w:hAnsi="Calibri;sans-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Calibri;sans-serif" w:hAnsi="Calibri;sans-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Calibri;sans-serif" w:hAnsi="Calibri;sans-serif"/>
          <w:b w:val="false"/>
          <w:sz w:val="20"/>
        </w:rPr>
        <w:t>As of August 3, 2023, the registrant had 97,499,021</w:t>
      </w:r>
      <w:r>
        <w:rPr>
          <w:rFonts w:ascii="Times New Roman" w:hAnsi="Times New Roman"/>
          <w:sz w:val="20"/>
        </w:rPr>
        <w:t xml:space="preserve"> </w:t>
      </w:r>
      <w:r>
        <w:rPr>
          <w:rFonts w:ascii="Calibri;sans-serif" w:hAnsi="Calibri;sans-serif"/>
          <w:b w:val="false"/>
          <w:sz w:val="20"/>
        </w:rPr>
        <w:t>shares of Class A common stock, $0.001 par value per share, and 15,999,173</w:t>
      </w:r>
      <w:r>
        <w:rPr>
          <w:rFonts w:ascii="Times New Roman" w:hAnsi="Times New Roman"/>
          <w:sz w:val="20"/>
        </w:rPr>
        <w:t xml:space="preserve"> </w:t>
      </w:r>
      <w:r>
        <w:rPr>
          <w:rFonts w:ascii="Calibri;sans-serif" w:hAnsi="Calibri;sans-serif"/>
          <w:b w:val="false"/>
          <w:sz w:val="20"/>
        </w:rPr>
        <w:t>shares of Class B common stock, par value $0.001 per share, outstanding.</w:t>
      </w:r>
    </w:p>
    <w:p>
      <w:pPr>
        <w:pStyle w:val="TextBody"/>
        <w:pBdr>
          <w:bottom w:val="double" w:sz="6" w:space="1" w:color="000000"/>
        </w:pBdr>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sans-serif" w:hAnsi="Calibri;sans-serif"/>
          <w:b/>
          <w:sz w:val="20"/>
        </w:rPr>
      </w:pPr>
      <w:r>
        <w:rPr>
          <w:rFonts w:ascii="Calibri;sans-serif" w:hAnsi="Calibri;sans-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8801"/>
        <w:gridCol w:w="482"/>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8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Page</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PART I.</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Calibri;sans-serif" w:hAnsi="Calibri;sans-serif"/>
                  <w:b/>
                  <w:sz w:val="20"/>
                  <w:u w:val="single"/>
                </w:rPr>
                <w:t>FINANCIAL INFORMATION</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Calibri;sans-serif" w:hAnsi="Calibri;sans-serif"/>
                  <w:b w:val="false"/>
                  <w:sz w:val="20"/>
                  <w:u w:val="single"/>
                </w:rPr>
                <w:t>Financial Statements</w:t>
              </w:r>
            </w:hyperlink>
          </w:p>
        </w:tc>
        <w:tc>
          <w:tcPr>
            <w:tcW w:w="482" w:type="dxa"/>
            <w:tcBorders/>
            <w:tcMar>
              <w:top w:w="0" w:type="dxa"/>
              <w:left w:w="0" w:type="dxa"/>
              <w:bottom w:w="0" w:type="dxa"/>
              <w:right w:w="0" w:type="dxa"/>
            </w:tcMar>
            <w:vAlign w:val="center"/>
          </w:tcPr>
          <w:p>
            <w:pPr>
              <w:pStyle w:val="TableContents"/>
              <w:bidi w:val="0"/>
              <w:spacing w:before="0" w:after="0"/>
              <w:ind w:left="0" w:right="0" w:firstLine="90"/>
              <w:jc w:val="right"/>
              <w:rPr>
                <w:rFonts w:ascii="Calibri;sans-serif" w:hAnsi="Calibri;sans-serif"/>
                <w:b w:val="false"/>
                <w:sz w:val="20"/>
              </w:rPr>
            </w:pPr>
            <w:r>
              <w:rPr>
                <w:rFonts w:ascii="Calibri;sans-serif" w:hAnsi="Calibri;sans-serif"/>
                <w:b w:val="false"/>
                <w:sz w:val="20"/>
              </w:rPr>
              <w:t>1</w:t>
            </w:r>
          </w:p>
        </w:tc>
      </w:tr>
      <w:tr>
        <w:trPr/>
        <w:tc>
          <w:tcPr>
            <w:tcW w:w="776"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unaudited_condensed_consolidated_balance">
              <w:r>
                <w:rPr>
                  <w:rStyle w:val="InternetLink"/>
                  <w:rFonts w:ascii="Calibri;sans-serif" w:hAnsi="Calibri;sans-serif"/>
                  <w:b w:val="false"/>
                  <w:sz w:val="20"/>
                  <w:u w:val="single"/>
                </w:rPr>
                <w:t>Unaudited Condensed Consolidated Balance Sheets</w:t>
              </w:r>
            </w:hyperlink>
          </w:p>
        </w:tc>
        <w:tc>
          <w:tcPr>
            <w:tcW w:w="482" w:type="dxa"/>
            <w:tcBorders/>
            <w:tcMar>
              <w:top w:w="0" w:type="dxa"/>
              <w:left w:w="0" w:type="dxa"/>
              <w:bottom w:w="0" w:type="dxa"/>
              <w:right w:w="0" w:type="dxa"/>
            </w:tcMar>
            <w:vAlign w:val="center"/>
          </w:tcPr>
          <w:p>
            <w:pPr>
              <w:pStyle w:val="TableContents"/>
              <w:bidi w:val="0"/>
              <w:spacing w:before="0" w:after="0"/>
              <w:ind w:left="0" w:right="0" w:firstLine="90"/>
              <w:jc w:val="right"/>
              <w:rPr>
                <w:rFonts w:ascii="Calibri;sans-serif" w:hAnsi="Calibri;sans-serif"/>
                <w:b w:val="false"/>
                <w:sz w:val="20"/>
              </w:rPr>
            </w:pPr>
            <w:r>
              <w:rPr>
                <w:rFonts w:ascii="Calibri;sans-serif" w:hAnsi="Calibri;sans-serif"/>
                <w:b w:val="false"/>
                <w:sz w:val="20"/>
              </w:rPr>
              <w:t>1</w:t>
            </w:r>
          </w:p>
        </w:tc>
      </w:tr>
      <w:tr>
        <w:trPr/>
        <w:tc>
          <w:tcPr>
            <w:tcW w:w="776"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perations">
              <w:r>
                <w:rPr>
                  <w:rStyle w:val="InternetLink"/>
                  <w:rFonts w:ascii="Calibri;sans-serif" w:hAnsi="Calibri;sans-serif"/>
                  <w:b w:val="false"/>
                  <w:sz w:val="20"/>
                  <w:u w:val="single"/>
                </w:rPr>
                <w:t>Unaudited Condensed Consolidated Income Statements</w:t>
              </w:r>
            </w:hyperlink>
          </w:p>
        </w:tc>
        <w:tc>
          <w:tcPr>
            <w:tcW w:w="482" w:type="dxa"/>
            <w:tcBorders/>
            <w:tcMar>
              <w:top w:w="0" w:type="dxa"/>
              <w:left w:w="0" w:type="dxa"/>
              <w:bottom w:w="0" w:type="dxa"/>
              <w:right w:w="0" w:type="dxa"/>
            </w:tcMar>
            <w:vAlign w:val="center"/>
          </w:tcPr>
          <w:p>
            <w:pPr>
              <w:pStyle w:val="TableContents"/>
              <w:bidi w:val="0"/>
              <w:spacing w:before="0" w:after="0"/>
              <w:ind w:left="0" w:right="0" w:firstLine="90"/>
              <w:jc w:val="right"/>
              <w:rPr>
                <w:rFonts w:ascii="Calibri;sans-serif" w:hAnsi="Calibri;sans-serif"/>
                <w:b w:val="false"/>
                <w:sz w:val="20"/>
              </w:rPr>
            </w:pPr>
            <w:r>
              <w:rPr>
                <w:rFonts w:ascii="Calibri;sans-serif" w:hAnsi="Calibri;sans-serif"/>
                <w:b w:val="false"/>
                <w:sz w:val="20"/>
              </w:rPr>
              <w:t>2</w:t>
            </w:r>
          </w:p>
        </w:tc>
      </w:tr>
      <w:tr>
        <w:trPr/>
        <w:tc>
          <w:tcPr>
            <w:tcW w:w="776" w:type="dxa"/>
            <w:tcBorders/>
            <w:tcMar>
              <w:top w:w="0" w:type="dxa"/>
              <w:left w:w="0" w:type="dxa"/>
              <w:bottom w:w="0" w:type="dxa"/>
              <w:right w:w="0" w:type="dxa"/>
            </w:tcMar>
            <w:vAlign w:val="center"/>
          </w:tcPr>
          <w:p>
            <w:pPr>
              <w:pStyle w:val="TableContents"/>
              <w:bidi w:val="0"/>
              <w:spacing w:before="0" w:after="0"/>
              <w:ind w:left="9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comprehensive_lo">
              <w:r>
                <w:rPr>
                  <w:rStyle w:val="InternetLink"/>
                  <w:rFonts w:ascii="Calibri;sans-serif" w:hAnsi="Calibri;sans-serif"/>
                  <w:b w:val="false"/>
                  <w:sz w:val="20"/>
                  <w:u w:val="single"/>
                </w:rPr>
                <w:t>Unaudited Condensed Consolidated Statements of Comprehensive Income</w:t>
              </w:r>
            </w:hyperlink>
          </w:p>
        </w:tc>
        <w:tc>
          <w:tcPr>
            <w:tcW w:w="482" w:type="dxa"/>
            <w:tcBorders/>
            <w:tcMar>
              <w:top w:w="0" w:type="dxa"/>
              <w:left w:w="0" w:type="dxa"/>
              <w:bottom w:w="0" w:type="dxa"/>
              <w:right w:w="0" w:type="dxa"/>
            </w:tcMar>
            <w:vAlign w:val="center"/>
          </w:tcPr>
          <w:p>
            <w:pPr>
              <w:pStyle w:val="TableContents"/>
              <w:bidi w:val="0"/>
              <w:spacing w:before="0" w:after="0"/>
              <w:ind w:left="0" w:right="0" w:firstLine="90"/>
              <w:jc w:val="right"/>
              <w:rPr>
                <w:rFonts w:ascii="Calibri;sans-serif" w:hAnsi="Calibri;sans-serif"/>
                <w:b w:val="false"/>
                <w:sz w:val="20"/>
              </w:rPr>
            </w:pPr>
            <w:r>
              <w:rPr>
                <w:rFonts w:ascii="Calibri;sans-serif" w:hAnsi="Calibri;sans-serif"/>
                <w:b w:val="false"/>
                <w:sz w:val="20"/>
              </w:rPr>
              <w:t>3</w:t>
            </w:r>
          </w:p>
        </w:tc>
      </w:tr>
      <w:tr>
        <w:trPr/>
        <w:tc>
          <w:tcPr>
            <w:tcW w:w="776"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ockholders_equity">
              <w:r>
                <w:rPr>
                  <w:rStyle w:val="InternetLink"/>
                  <w:rFonts w:ascii="Calibri;sans-serif" w:hAnsi="Calibri;sans-serif"/>
                  <w:b w:val="false"/>
                  <w:sz w:val="20"/>
                  <w:u w:val="single"/>
                </w:rPr>
                <w:t>Unaudited Condensed Consolidated Statements of Redeemable Noncontrolling Interest and Stockholders’ Equity</w:t>
              </w:r>
            </w:hyperlink>
          </w:p>
        </w:tc>
        <w:tc>
          <w:tcPr>
            <w:tcW w:w="482" w:type="dxa"/>
            <w:tcBorders/>
            <w:tcMar>
              <w:top w:w="0" w:type="dxa"/>
              <w:left w:w="0" w:type="dxa"/>
              <w:bottom w:w="0" w:type="dxa"/>
              <w:right w:w="0" w:type="dxa"/>
            </w:tcMar>
            <w:vAlign w:val="center"/>
          </w:tcPr>
          <w:p>
            <w:pPr>
              <w:pStyle w:val="TableContents"/>
              <w:bidi w:val="0"/>
              <w:spacing w:before="0" w:after="0"/>
              <w:ind w:left="0" w:right="0" w:firstLine="90"/>
              <w:jc w:val="right"/>
              <w:rPr>
                <w:rFonts w:ascii="Calibri;sans-serif" w:hAnsi="Calibri;sans-serif"/>
                <w:b w:val="false"/>
                <w:sz w:val="20"/>
              </w:rPr>
            </w:pPr>
            <w:r>
              <w:rPr>
                <w:rFonts w:ascii="Calibri;sans-serif" w:hAnsi="Calibri;sans-serif"/>
                <w:b w:val="false"/>
                <w:sz w:val="20"/>
              </w:rPr>
              <w:t>4</w:t>
            </w:r>
          </w:p>
        </w:tc>
      </w:tr>
      <w:tr>
        <w:trPr/>
        <w:tc>
          <w:tcPr>
            <w:tcW w:w="776" w:type="dxa"/>
            <w:tcBorders/>
            <w:tcMar>
              <w:top w:w="0" w:type="dxa"/>
              <w:left w:w="0" w:type="dxa"/>
              <w:bottom w:w="0" w:type="dxa"/>
              <w:right w:w="0" w:type="dxa"/>
            </w:tcMar>
            <w:vAlign w:val="center"/>
          </w:tcPr>
          <w:p>
            <w:pPr>
              <w:pStyle w:val="TableContents"/>
              <w:bidi w:val="0"/>
              <w:spacing w:before="0" w:after="0"/>
              <w:ind w:left="9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sofcashflows">
              <w:r>
                <w:rPr>
                  <w:rStyle w:val="InternetLink"/>
                  <w:rFonts w:ascii="Calibri;sans-serif" w:hAnsi="Calibri;sans-serif"/>
                  <w:b w:val="false"/>
                  <w:sz w:val="20"/>
                  <w:u w:val="single"/>
                </w:rPr>
                <w:t>Unaudited Condensed Consolidated Statements of Cash Flows</w:t>
              </w:r>
            </w:hyperlink>
          </w:p>
        </w:tc>
        <w:tc>
          <w:tcPr>
            <w:tcW w:w="482" w:type="dxa"/>
            <w:tcBorders/>
            <w:tcMar>
              <w:top w:w="0" w:type="dxa"/>
              <w:left w:w="0" w:type="dxa"/>
              <w:bottom w:w="0" w:type="dxa"/>
              <w:right w:w="0" w:type="dxa"/>
            </w:tcMar>
            <w:vAlign w:val="center"/>
          </w:tcPr>
          <w:p>
            <w:pPr>
              <w:pStyle w:val="TableContents"/>
              <w:bidi w:val="0"/>
              <w:spacing w:before="0" w:after="0"/>
              <w:ind w:left="0" w:right="0" w:firstLine="90"/>
              <w:jc w:val="right"/>
              <w:rPr>
                <w:rFonts w:ascii="Calibri;sans-serif" w:hAnsi="Calibri;sans-serif"/>
                <w:b w:val="false"/>
                <w:sz w:val="20"/>
              </w:rPr>
            </w:pPr>
            <w:r>
              <w:rPr>
                <w:rFonts w:ascii="Calibri;sans-serif" w:hAnsi="Calibri;sans-serif"/>
                <w:b w:val="false"/>
                <w:sz w:val="20"/>
              </w:rPr>
              <w:t>5</w:t>
            </w:r>
          </w:p>
        </w:tc>
      </w:tr>
      <w:tr>
        <w:trPr/>
        <w:tc>
          <w:tcPr>
            <w:tcW w:w="776"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solidated_financial_statemen">
              <w:r>
                <w:rPr>
                  <w:rStyle w:val="InternetLink"/>
                  <w:rFonts w:ascii="Calibri;sans-serif" w:hAnsi="Calibri;sans-serif"/>
                  <w:b w:val="false"/>
                  <w:sz w:val="20"/>
                  <w:u w:val="single"/>
                </w:rPr>
                <w:t>Notes to Unaudited Condensed Consolidated Financial Statements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Calibri;sans-serif" w:hAnsi="Calibri;sans-serif"/>
                  <w:b w:val="false"/>
                  <w:sz w:val="20"/>
                  <w:u w:val="single"/>
                </w:rPr>
                <w:t>Management’s Discussion and Analysis of Financial Condition and Results of Operations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Calibri;sans-serif" w:hAnsi="Calibri;sans-serif"/>
                  <w:b w:val="false"/>
                  <w:sz w:val="20"/>
                  <w:u w:val="single"/>
                </w:rPr>
                <w:t>Quantitative and Qualitative Disclosures About Market Risk</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Calibri;sans-serif" w:hAnsi="Calibri;sans-serif"/>
                  <w:b w:val="false"/>
                  <w:sz w:val="20"/>
                  <w:u w:val="single"/>
                </w:rPr>
                <w:t>Controls and Procedures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PART II.</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Calibri;sans-serif" w:hAnsi="Calibri;sans-serif"/>
                  <w:b/>
                  <w:sz w:val="20"/>
                  <w:u w:val="single"/>
                </w:rPr>
                <w:t>OTHER INFORMATION</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Calibri;sans-serif" w:hAnsi="Calibri;sans-serif"/>
                  <w:b w:val="false"/>
                  <w:sz w:val="20"/>
                  <w:u w:val="single"/>
                </w:rPr>
                <w:t>Legal Proceedings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1A.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Calibri;sans-serif" w:hAnsi="Calibri;sans-serif"/>
                  <w:b w:val="false"/>
                  <w:sz w:val="20"/>
                  <w:u w:val="single"/>
                </w:rPr>
                <w:t>Risk Factors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w:t>
            </w:r>
          </w:p>
        </w:tc>
      </w:tr>
      <w:tr>
        <w:trPr/>
        <w:tc>
          <w:tcPr>
            <w:tcW w:w="77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Item 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Calibri;sans-serif" w:hAnsi="Calibri;sans-serif"/>
                  <w:b w:val="false"/>
                  <w:sz w:val="20"/>
                  <w:u w:val="single"/>
                </w:rPr>
                <w:t>Exhibits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w:t>
            </w:r>
          </w:p>
        </w:tc>
      </w:tr>
      <w:tr>
        <w:trPr/>
        <w:tc>
          <w:tcPr>
            <w:tcW w:w="9723"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Calibri;sans-serif" w:hAnsi="Calibri;sans-serif"/>
                  <w:b w:val="false"/>
                  <w:sz w:val="20"/>
                  <w:u w:val="single"/>
                </w:rPr>
                <w:t>Signatures</w:t>
              </w:r>
            </w:hyperlink>
          </w:p>
        </w:tc>
        <w:tc>
          <w:tcPr>
            <w:tcW w:w="482" w:type="dxa"/>
            <w:tcBorders/>
            <w:tcMar>
              <w:top w:w="0" w:type="dxa"/>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69</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sans-serif" w:hAnsi="Calibri;sans-serif"/>
          <w:b/>
          <w:sz w:val="20"/>
        </w:rPr>
      </w:pPr>
      <w:r>
        <w:rPr>
          <w:rFonts w:ascii="Calibri;sans-serif" w:hAnsi="Calibri;sans-serif"/>
          <w:b/>
          <w:sz w:val="20"/>
        </w:rPr>
        <w:t>SPECIAL NOTE REGARDING FORWARD</w:t>
        <w:noBreakHyphen/>
        <w:t>LOOKING STATEMENTS</w:t>
      </w:r>
    </w:p>
    <w:p>
      <w:pPr>
        <w:pStyle w:val="TextBody"/>
        <w:bidi w:val="0"/>
        <w:spacing w:before="120" w:after="0"/>
        <w:jc w:val="both"/>
        <w:rPr>
          <w:rFonts w:ascii="Calibri;sans-serif" w:hAnsi="Calibri;sans-serif"/>
          <w:b w:val="false"/>
          <w:sz w:val="20"/>
        </w:rPr>
      </w:pPr>
      <w:r>
        <w:rPr>
          <w:rFonts w:ascii="Calibri;sans-serif" w:hAnsi="Calibri;sans-serif"/>
          <w:b w:val="false"/>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but are not limited to, statements about:</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 xml:space="preserve">our growth strategies and our ability to effectively manage any growth; </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value proposition of our product offerings for dealers and consumers, and the return on investment that our dealers realize from our products;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evolution to becoming a transaction-enabled platform where consumers can shop, buy, seek financing, and sell their cars and dealers can source, market, and sell their vehicles;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ability to realize benefits from our acquisitions and successfully implement the integration strategies in connection therewith;</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value proposition of the CarOffer online wholesale platform;</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expectations for CarGurus Instant Max Cash Offer, as well as our digital retail offerings and continued investments;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 xml:space="preserve">the impact of competition in our industry and innovation by our competitors; </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ability to overcome challenges facing the automotive industry ecosystem, including inventory supply problems, global supply chain challenges, changes to trade policies, and other macroeconomic issues;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expectations regarding cash generation and the sufficiency of our cash to fund our operations;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domestic and global economic conditions;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 xml:space="preserve">our ability to hire and retain necessary qualified employees to expand our operations; </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 xml:space="preserve">our ability to adequately protect our intellectual property; </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expected returns on investments;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expectations regarding our deferred tax assets;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expectations regarding the funding of our share repurchase program;</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revolving credit facility;</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material weakness in our internal control over financial reporting that we have identified, and our ability to remediate such weakness and enhance our internal control environment;</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ability to maintain an effective system of internal controls necessary to accurately report our financial results and prevent fraud;</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impact of accounting pronouncements;</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0"/>
        <w:jc w:val="both"/>
        <w:rPr/>
      </w:pPr>
      <w:r>
        <w:rPr/>
        <w:t>•</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impact of litigation; and</w:t>
      </w:r>
    </w:p>
    <w:p>
      <w:pPr>
        <w:pStyle w:val="TextBody"/>
        <w:bidi w:val="0"/>
        <w:spacing w:before="120" w:after="0"/>
        <w:jc w:val="both"/>
        <w:rPr/>
      </w:pPr>
      <w:r>
        <w:rPr/>
        <w:t>•</w:t>
      </w:r>
    </w:p>
    <w:p>
      <w:pPr>
        <w:pStyle w:val="TextBody"/>
        <w:bidi w:val="0"/>
        <w:spacing w:before="120" w:after="283"/>
        <w:jc w:val="both"/>
        <w:rPr>
          <w:rFonts w:ascii="Calibri;sans-serif" w:hAnsi="Calibri;sans-serif"/>
          <w:b w:val="false"/>
          <w:sz w:val="20"/>
        </w:rPr>
      </w:pPr>
      <w:r>
        <w:rPr>
          <w:rFonts w:ascii="Calibri;sans-serif" w:hAnsi="Calibri;sans-serif"/>
          <w:b w:val="false"/>
          <w:sz w:val="20"/>
        </w:rPr>
        <w:t>the future trading prices of our Class A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including those that are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sans-serif" w:hAnsi="Calibri;sans-serif"/>
          <w:b/>
          <w:sz w:val="20"/>
        </w:rPr>
      </w:pPr>
      <w:bookmarkStart w:id="2" w:name="part_ifinancial_information"/>
      <w:bookmarkEnd w:id="2"/>
      <w:r>
        <w:rPr>
          <w:rFonts w:ascii="Calibri;sans-serif" w:hAnsi="Calibri;sans-serif"/>
          <w:b/>
          <w:sz w:val="20"/>
        </w:rPr>
        <w:t>PART I—FINANCIAL INFORMATION</w:t>
      </w:r>
    </w:p>
    <w:p>
      <w:pPr>
        <w:pStyle w:val="TextBody"/>
        <w:bidi w:val="0"/>
        <w:spacing w:before="120" w:after="0"/>
        <w:jc w:val="left"/>
        <w:rPr>
          <w:rFonts w:ascii="Calibri;sans-serif" w:hAnsi="Calibri;sans-serif"/>
          <w:b/>
          <w:sz w:val="20"/>
        </w:rPr>
      </w:pPr>
      <w:bookmarkStart w:id="3" w:name="item_1_financial_statements"/>
      <w:bookmarkEnd w:id="3"/>
      <w:r>
        <w:rPr>
          <w:rFonts w:ascii="Calibri;sans-serif" w:hAnsi="Calibri;sans-serif"/>
          <w:b/>
          <w:sz w:val="20"/>
        </w:rPr>
        <w:t>Item 1. Financial Statements.</w:t>
      </w:r>
    </w:p>
    <w:p>
      <w:pPr>
        <w:pStyle w:val="TextBody"/>
        <w:bidi w:val="0"/>
        <w:spacing w:before="0" w:after="0"/>
        <w:jc w:val="center"/>
        <w:rPr>
          <w:rFonts w:ascii="Calibri;sans-serif" w:hAnsi="Calibri;sans-serif"/>
          <w:b/>
          <w:sz w:val="20"/>
        </w:rPr>
      </w:pPr>
      <w:r>
        <w:rPr>
          <w:rFonts w:ascii="Calibri;sans-serif" w:hAnsi="Calibri;sans-serif"/>
          <w:b/>
          <w:sz w:val="20"/>
        </w:rPr>
        <w:t>CarGurus, Inc.</w:t>
      </w:r>
    </w:p>
    <w:p>
      <w:pPr>
        <w:pStyle w:val="TextBody"/>
        <w:bidi w:val="0"/>
        <w:spacing w:before="120" w:after="0"/>
        <w:jc w:val="center"/>
        <w:rPr>
          <w:rFonts w:ascii="Times New Roman" w:hAnsi="Times New Roman"/>
          <w:sz w:val="20"/>
        </w:rPr>
      </w:pPr>
      <w:bookmarkStart w:id="4" w:name="unaudited_condensed_consolidated_balance"/>
      <w:bookmarkEnd w:id="4"/>
      <w:r>
        <w:rPr>
          <w:rFonts w:ascii="Calibri;sans-serif" w:hAnsi="Calibri;sans-serif"/>
          <w:b/>
          <w:sz w:val="20"/>
        </w:rPr>
        <w:t>Unaudited Condensed Consolidated Balance Sheets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Calibri;sans-serif" w:hAnsi="Calibri;sans-serif"/>
          <w:b/>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8682" w:type="dxa"/>
        <w:jc w:val="left"/>
        <w:tblInd w:w="0" w:type="dxa"/>
        <w:tblLayout w:type="fixed"/>
        <w:tblCellMar>
          <w:top w:w="28" w:type="dxa"/>
          <w:left w:w="28" w:type="dxa"/>
          <w:bottom w:w="28" w:type="dxa"/>
          <w:right w:w="28" w:type="dxa"/>
        </w:tblCellMar>
      </w:tblPr>
      <w:tblGrid>
        <w:gridCol w:w="5716"/>
        <w:gridCol w:w="146"/>
        <w:gridCol w:w="196"/>
        <w:gridCol w:w="826"/>
        <w:gridCol w:w="166"/>
        <w:gridCol w:w="146"/>
        <w:gridCol w:w="242"/>
        <w:gridCol w:w="853"/>
        <w:gridCol w:w="3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sz w:val="18"/>
              </w:rPr>
            </w:pPr>
            <w:r>
              <w:rPr>
                <w:rFonts w:ascii="Calibri;sans-serif" w:hAnsi="Calibri;sans-serif"/>
                <w:b/>
                <w:sz w:val="18"/>
              </w:rPr>
              <w:t>Assets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Current assets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363,060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469,517</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Short-term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90,490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Accounts receivable, net of allowance for doubtful accounts of $807</w:t>
              <w:br/>
              <w:t>   and $1,809,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37,820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46,817</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Inventory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5,282</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Prepaid expenses, prepaid income taxes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21,742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21,972</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Deferred contract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10,078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8,541</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11,561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5,237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Total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535,292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557,366</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48,243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40,128</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Intangible assets,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38,037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53,054</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Goodwill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157,638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157,467</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189,905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56,869</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9,378</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Deferred tax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51,888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35,488</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Deferred contract costs, net of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11,490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8,853</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7,828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8,499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1,040,321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927,102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sz w:val="18"/>
              </w:rPr>
            </w:pPr>
            <w:r>
              <w:rPr>
                <w:rFonts w:ascii="Calibri;sans-serif" w:hAnsi="Calibri;sans-serif"/>
                <w:b/>
                <w:sz w:val="18"/>
              </w:rPr>
              <w:t>Liabilities, redeemable noncontrolling interest and stockholders’ equity</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Current liabilities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39,260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32,529</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Accrued expenses, accrued income taxes and other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36,367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39,193</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Deferred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21,267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12,249</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13,870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14,762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Total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110,764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98,733</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193,184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51,656</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Deferred tax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54</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5,611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5,301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309,602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155,744</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Commitments and contingencies (Note 8)</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29,865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36,749</w:t>
            </w:r>
          </w:p>
        </w:tc>
        <w:tc>
          <w:tcPr>
            <w:tcW w:w="39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Stockholders’ equity:</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716" w:type="dxa"/>
            <w:tcBorders/>
            <w:vAlign w:val="center"/>
          </w:tcPr>
          <w:p>
            <w:pPr>
              <w:pStyle w:val="TableContents"/>
              <w:bidi w:val="0"/>
              <w:spacing w:before="0" w:after="0"/>
              <w:ind w:left="200" w:right="0" w:hanging="0"/>
              <w:jc w:val="left"/>
              <w:rPr>
                <w:rFonts w:ascii="Times New Roman" w:hAnsi="Times New Roman"/>
                <w:sz w:val="20"/>
              </w:rPr>
            </w:pPr>
            <w:r>
              <w:rPr>
                <w:rFonts w:ascii="Calibri;sans-serif" w:hAnsi="Calibri;sans-serif"/>
                <w:b w:val="false"/>
                <w:sz w:val="18"/>
              </w:rPr>
              <w:t>Preferred stock, $0.001</w:t>
            </w:r>
            <w:r>
              <w:rPr>
                <w:rFonts w:ascii="Times New Roman" w:hAnsi="Times New Roman"/>
                <w:sz w:val="20"/>
              </w:rPr>
              <w:t> </w:t>
            </w:r>
            <w:r>
              <w:rPr>
                <w:rFonts w:ascii="Calibri;sans-serif" w:hAnsi="Calibri;sans-serif"/>
                <w:b w:val="false"/>
                <w:sz w:val="18"/>
              </w:rPr>
              <w:t>par value per share; 10,000,000</w:t>
            </w:r>
            <w:r>
              <w:rPr>
                <w:rFonts w:ascii="Times New Roman" w:hAnsi="Times New Roman"/>
                <w:sz w:val="20"/>
              </w:rPr>
              <w:t> </w:t>
            </w:r>
            <w:r>
              <w:rPr>
                <w:rFonts w:ascii="Calibri;sans-serif" w:hAnsi="Calibri;sans-serif"/>
                <w:b w:val="false"/>
                <w:sz w:val="18"/>
              </w:rPr>
              <w:t>shares authorized;</w:t>
              <w:br/>
              <w:t>   no</w:t>
            </w:r>
            <w:r>
              <w:rPr>
                <w:rFonts w:ascii="Times New Roman" w:hAnsi="Times New Roman"/>
                <w:sz w:val="20"/>
              </w:rPr>
              <w:t> </w:t>
            </w:r>
            <w:r>
              <w:rPr>
                <w:rFonts w:ascii="Calibri;sans-serif" w:hAnsi="Calibri;sans-serif"/>
                <w:b w:val="false"/>
                <w:sz w:val="18"/>
              </w:rPr>
              <w:t>shares issued and outstanding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Times New Roman" w:hAnsi="Times New Roman"/>
                <w:sz w:val="20"/>
              </w:rPr>
            </w:pPr>
            <w:r>
              <w:rPr>
                <w:rFonts w:ascii="Calibri;sans-serif" w:hAnsi="Calibri;sans-serif"/>
                <w:b w:val="false"/>
                <w:sz w:val="18"/>
              </w:rPr>
              <w:t>Class A common stock, $0.001</w:t>
            </w:r>
            <w:r>
              <w:rPr>
                <w:rFonts w:ascii="Times New Roman" w:hAnsi="Times New Roman"/>
                <w:sz w:val="20"/>
              </w:rPr>
              <w:t> </w:t>
            </w:r>
            <w:r>
              <w:rPr>
                <w:rFonts w:ascii="Calibri;sans-serif" w:hAnsi="Calibri;sans-serif"/>
                <w:b w:val="false"/>
                <w:sz w:val="18"/>
              </w:rPr>
              <w:t>par value per share; 500,000,000</w:t>
            </w:r>
            <w:r>
              <w:rPr>
                <w:rFonts w:ascii="Times New Roman" w:hAnsi="Times New Roman"/>
                <w:sz w:val="20"/>
              </w:rPr>
              <w:t> </w:t>
            </w:r>
            <w:r>
              <w:rPr>
                <w:rFonts w:ascii="Calibri;sans-serif" w:hAnsi="Calibri;sans-serif"/>
                <w:b w:val="false"/>
                <w:sz w:val="18"/>
              </w:rPr>
              <w:t>shares</w:t>
              <w:br/>
              <w:t>   authorized; 97,426,273</w:t>
            </w:r>
            <w:r>
              <w:rPr>
                <w:rFonts w:ascii="Times New Roman" w:hAnsi="Times New Roman"/>
                <w:sz w:val="20"/>
              </w:rPr>
              <w:t> </w:t>
            </w:r>
            <w:r>
              <w:rPr>
                <w:rFonts w:ascii="Calibri;sans-serif" w:hAnsi="Calibri;sans-serif"/>
                <w:b w:val="false"/>
                <w:sz w:val="18"/>
              </w:rPr>
              <w:t>and 101,636,649</w:t>
            </w:r>
            <w:r>
              <w:rPr>
                <w:rFonts w:ascii="Times New Roman" w:hAnsi="Times New Roman"/>
                <w:sz w:val="20"/>
              </w:rPr>
              <w:t> </w:t>
            </w:r>
            <w:r>
              <w:rPr>
                <w:rFonts w:ascii="Calibri;sans-serif" w:hAnsi="Calibri;sans-serif"/>
                <w:b w:val="false"/>
                <w:sz w:val="18"/>
              </w:rPr>
              <w:t>shares issued and outstanding</w:t>
              <w:br/>
              <w:t>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102</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Times New Roman" w:hAnsi="Times New Roman"/>
                <w:sz w:val="20"/>
              </w:rPr>
            </w:pPr>
            <w:r>
              <w:rPr>
                <w:rFonts w:ascii="Calibri;sans-serif" w:hAnsi="Calibri;sans-serif"/>
                <w:b w:val="false"/>
                <w:sz w:val="18"/>
              </w:rPr>
              <w:t>Class B common stock, $0.001</w:t>
            </w:r>
            <w:r>
              <w:rPr>
                <w:rFonts w:ascii="Times New Roman" w:hAnsi="Times New Roman"/>
                <w:sz w:val="20"/>
              </w:rPr>
              <w:t> </w:t>
            </w:r>
            <w:r>
              <w:rPr>
                <w:rFonts w:ascii="Calibri;sans-serif" w:hAnsi="Calibri;sans-serif"/>
                <w:b w:val="false"/>
                <w:sz w:val="18"/>
              </w:rPr>
              <w:t>par value per share; 100,000,000</w:t>
            </w:r>
            <w:r>
              <w:rPr>
                <w:rFonts w:ascii="Times New Roman" w:hAnsi="Times New Roman"/>
                <w:sz w:val="20"/>
              </w:rPr>
              <w:t> </w:t>
            </w:r>
            <w:r>
              <w:rPr>
                <w:rFonts w:ascii="Calibri;sans-serif" w:hAnsi="Calibri;sans-serif"/>
                <w:b w:val="false"/>
                <w:sz w:val="18"/>
              </w:rPr>
              <w:t>shares</w:t>
              <w:br/>
              <w:t>   authorized; 15,999,173</w:t>
            </w:r>
            <w:r>
              <w:rPr>
                <w:rFonts w:ascii="Times New Roman" w:hAnsi="Times New Roman"/>
                <w:sz w:val="20"/>
              </w:rPr>
              <w:t> </w:t>
            </w:r>
            <w:r>
              <w:rPr>
                <w:rFonts w:ascii="Calibri;sans-serif" w:hAnsi="Calibri;sans-serif"/>
                <w:b w:val="false"/>
                <w:sz w:val="18"/>
              </w:rPr>
              <w:t>and 15,999,173</w:t>
            </w:r>
            <w:r>
              <w:rPr>
                <w:rFonts w:ascii="Times New Roman" w:hAnsi="Times New Roman"/>
                <w:sz w:val="20"/>
              </w:rPr>
              <w:t> </w:t>
            </w:r>
            <w:r>
              <w:rPr>
                <w:rFonts w:ascii="Calibri;sans-serif" w:hAnsi="Calibri;sans-serif"/>
                <w:b w:val="false"/>
                <w:sz w:val="18"/>
              </w:rPr>
              <w:t>shares issued and outstanding</w:t>
              <w:br/>
              <w:t>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16</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Additional paid-in capital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346,494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413,092</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Retained earnings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355,588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323,043</w:t>
            </w:r>
          </w:p>
        </w:tc>
        <w:tc>
          <w:tcPr>
            <w:tcW w:w="391" w:type="dxa"/>
            <w:tcBorders/>
            <w:vAlign w:val="center"/>
          </w:tcPr>
          <w:p>
            <w:pPr>
              <w:pStyle w:val="TableContents"/>
              <w:bidi w:val="0"/>
              <w:spacing w:before="0" w:after="0"/>
              <w:ind w:left="0" w:right="0" w:firstLine="200"/>
              <w:jc w:val="left"/>
              <w:rPr/>
            </w:pPr>
            <w:r>
              <w:rPr/>
              <w:t> </w:t>
            </w:r>
          </w:p>
        </w:tc>
      </w:tr>
      <w:tr>
        <w:trPr/>
        <w:tc>
          <w:tcPr>
            <w:tcW w:w="5716" w:type="dxa"/>
            <w:tcBorders/>
            <w:vAlign w:val="center"/>
          </w:tcPr>
          <w:p>
            <w:pPr>
              <w:pStyle w:val="TableContents"/>
              <w:bidi w:val="0"/>
              <w:spacing w:before="0" w:after="0"/>
              <w:ind w:left="200" w:right="0" w:hanging="0"/>
              <w:jc w:val="left"/>
              <w:rPr>
                <w:rFonts w:ascii="Calibri;sans-serif" w:hAnsi="Calibri;sans-serif"/>
                <w:b w:val="false"/>
                <w:sz w:val="18"/>
              </w:rPr>
            </w:pPr>
            <w:r>
              <w:rPr>
                <w:rFonts w:ascii="Calibri;sans-serif" w:hAnsi="Calibri;sans-serif"/>
                <w:b w:val="false"/>
                <w:sz w:val="18"/>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(1,644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Total stockholders’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700,854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734,609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Total liabilities, redeemable noncontrolling interest and stockholders’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1,040,321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8"/>
              </w:rPr>
            </w:pPr>
            <w:r>
              <w:rPr>
                <w:rFonts w:ascii="Calibri;sans-serif" w:hAnsi="Calibri;sans-serif"/>
                <w:b w:val="false"/>
                <w:sz w:val="18"/>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8"/>
              </w:rPr>
            </w:pPr>
            <w:r>
              <w:rPr>
                <w:rFonts w:ascii="Calibri;sans-serif" w:hAnsi="Calibri;sans-serif"/>
                <w:b w:val="false"/>
                <w:sz w:val="18"/>
              </w:rPr>
              <w:t>927,102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Calibri;sans-serif" w:hAnsi="Calibri;sans-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Calibri;sans-serif" w:hAnsi="Calibri;sans-serif"/>
          <w:b/>
          <w:sz w:val="20"/>
        </w:rPr>
        <w:t>CarGurus, Inc.</w:t>
      </w:r>
      <w:r>
        <w:rPr>
          <w:rFonts w:ascii="Times New Roman" w:hAnsi="Times New Roman"/>
          <w:sz w:val="20"/>
        </w:rPr>
        <w:t xml:space="preserve"> </w:t>
      </w:r>
    </w:p>
    <w:p>
      <w:pPr>
        <w:pStyle w:val="TextBody"/>
        <w:bidi w:val="0"/>
        <w:spacing w:before="120" w:after="0"/>
        <w:jc w:val="center"/>
        <w:rPr>
          <w:rFonts w:ascii="Calibri;sans-serif" w:hAnsi="Calibri;sans-serif"/>
          <w:b/>
          <w:sz w:val="20"/>
        </w:rPr>
      </w:pPr>
      <w:bookmarkStart w:id="5" w:name="consolidated_statements_operations"/>
      <w:bookmarkEnd w:id="5"/>
      <w:r>
        <w:rPr>
          <w:rFonts w:ascii="Calibri;sans-serif" w:hAnsi="Calibri;sans-serif"/>
          <w:b/>
          <w:sz w:val="20"/>
        </w:rPr>
        <w:t>Unaudited Condensed Consolidated Income Statements</w:t>
      </w:r>
    </w:p>
    <w:p>
      <w:pPr>
        <w:pStyle w:val="TextBody"/>
        <w:bidi w:val="0"/>
        <w:spacing w:before="120" w:after="0"/>
        <w:jc w:val="center"/>
        <w:rPr>
          <w:rFonts w:ascii="Times New Roman" w:hAnsi="Times New Roman"/>
          <w:sz w:val="20"/>
        </w:rPr>
      </w:pPr>
      <w:r>
        <w:rPr>
          <w:rFonts w:ascii="Calibri;sans-serif" w:hAnsi="Calibri;sans-serif"/>
          <w:b/>
          <w:sz w:val="20"/>
        </w:rPr>
        <w:t>(in thousands, except share and per share data)</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204"/>
        <w:gridCol w:w="146"/>
        <w:gridCol w:w="211"/>
        <w:gridCol w:w="1141"/>
        <w:gridCol w:w="166"/>
        <w:gridCol w:w="146"/>
        <w:gridCol w:w="211"/>
        <w:gridCol w:w="1141"/>
        <w:gridCol w:w="166"/>
        <w:gridCol w:w="146"/>
        <w:gridCol w:w="211"/>
        <w:gridCol w:w="1141"/>
        <w:gridCol w:w="166"/>
        <w:gridCol w:w="146"/>
        <w:gridCol w:w="211"/>
        <w:gridCol w:w="1141"/>
        <w:gridCol w:w="511"/>
      </w:tblGrid>
      <w:tr>
        <w:trPr/>
        <w:tc>
          <w:tcPr>
            <w:tcW w:w="3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170,950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163,926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338,077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327,215</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75,937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166,931</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271,366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76,485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447,691</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204"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 xml:space="preserve">Cost of revenue </w:t>
            </w:r>
            <w:r>
              <w:rPr>
                <w:rFonts w:ascii="Calibri;sans-serif" w:hAnsi="Calibri;sans-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25,466</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46,496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104,700</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35,694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263,603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441,945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204"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75,596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323,378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152,579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572,111</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187,851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369,726</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95,605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153,415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183,186</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 technology,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37,391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31,354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73,998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62,007</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66,635</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3,836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7,697</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204"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146,403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164,309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287,324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319,525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50,201</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200"/>
              <w:jc w:val="righ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8,076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348</w:t>
            </w:r>
          </w:p>
        </w:tc>
        <w:tc>
          <w:tcPr>
            <w:tcW w:w="511" w:type="dxa"/>
            <w:tcBorders/>
            <w:vAlign w:val="center"/>
          </w:tcPr>
          <w:p>
            <w:pPr>
              <w:pStyle w:val="TableContents"/>
              <w:bidi w:val="0"/>
              <w:spacing w:before="0" w:after="0"/>
              <w:ind w:left="0" w:right="0" w:firstLine="200"/>
              <w:jc w:val="left"/>
              <w:rPr/>
            </w:pPr>
            <w:r>
              <w:rPr/>
              <w:t> </w:t>
            </w:r>
          </w:p>
        </w:tc>
      </w:tr>
      <w:tr>
        <w:trPr/>
        <w:tc>
          <w:tcPr>
            <w:tcW w:w="320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(623</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Calibri;sans-serif" w:hAnsi="Calibri;sans-serif"/>
                <w:b w:val="false"/>
                <w:sz w:val="20"/>
              </w:rPr>
            </w:pPr>
            <w:r>
              <w:rPr>
                <w:rFonts w:ascii="Calibri;sans-serif" w:hAnsi="Calibri;sans-serif"/>
                <w:b w:val="false"/>
                <w:sz w:val="20"/>
              </w:rPr>
              <w:t>)</w:t>
            </w:r>
          </w:p>
        </w:tc>
      </w:tr>
      <w:tr>
        <w:trPr/>
        <w:tc>
          <w:tcPr>
            <w:tcW w:w="3204"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(156</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(275</w:t>
            </w:r>
          </w:p>
        </w:tc>
        <w:tc>
          <w:tcPr>
            <w:tcW w:w="5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Income before income taxes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49,926</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13,027</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13,817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18,061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36,899</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loss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(2,295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attributable to CarGurus, Inc.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19,284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32,545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39,194</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Accretion of redeemable noncontrolling interest to redemption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111,620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(10,336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32,545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(72,426</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(loss) per share attributable to common stockholders: (Note 10)</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Basic</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(0.61</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(0.61</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 xml:space="preserve">Weighted-average number of shares of common stock used in </w:t>
              <w:br/>
              <w:t>   computing net income (loss) per share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Basic</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113,438,057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118,390,641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114,392,961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118,211,975</w:t>
            </w:r>
          </w:p>
        </w:tc>
        <w:tc>
          <w:tcPr>
            <w:tcW w:w="511" w:type="dxa"/>
            <w:tcBorders/>
            <w:vAlign w:val="center"/>
          </w:tcPr>
          <w:p>
            <w:pPr>
              <w:pStyle w:val="TableContents"/>
              <w:bidi w:val="0"/>
              <w:spacing w:before="0" w:after="0"/>
              <w:ind w:left="0" w:right="0" w:hanging="0"/>
              <w:jc w:val="left"/>
              <w:rPr/>
            </w:pPr>
            <w:r>
              <w:rPr/>
              <w:t> </w:t>
            </w:r>
          </w:p>
        </w:tc>
      </w:tr>
      <w:tr>
        <w:trPr/>
        <w:tc>
          <w:tcPr>
            <w:tcW w:w="32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Diluted</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114,490,651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118,390,641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115,197,890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118,211,975</w:t>
            </w:r>
          </w:p>
        </w:tc>
        <w:tc>
          <w:tcPr>
            <w:tcW w:w="51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Calibri" w:hAnsi="Calibri"/>
          <w:b w:val="false"/>
          <w:sz w:val="20"/>
        </w:rPr>
      </w:pPr>
      <w:r>
        <w:rPr>
          <w:rFonts w:ascii="Calibri" w:hAnsi="Calibri"/>
          <w:b w:val="false"/>
          <w:sz w:val="20"/>
        </w:rPr>
        <w:t>(1)</w:t>
      </w:r>
    </w:p>
    <w:p>
      <w:pPr>
        <w:pStyle w:val="TextBody"/>
        <w:bidi w:val="0"/>
        <w:spacing w:before="120" w:after="283"/>
        <w:jc w:val="both"/>
        <w:rPr/>
      </w:pPr>
      <w:r>
        <w:rPr>
          <w:rFonts w:ascii="Calibri;sans-serif" w:hAnsi="Calibri;sans-serif"/>
          <w:b w:val="false"/>
          <w:sz w:val="13"/>
        </w:rPr>
        <w:t>Includes depreciation and amortization expense for the three months ended June 30, 2023 and 2022 and for the six months ended June 30, 2023 and 2022 of $7,760, $7,398, $15,518</w:t>
      </w:r>
      <w:r>
        <w:rPr/>
        <w:t xml:space="preserve"> </w:t>
      </w:r>
      <w:r>
        <w:rPr>
          <w:rFonts w:ascii="Calibri;sans-serif" w:hAnsi="Calibri;sans-serif"/>
          <w:b w:val="false"/>
          <w:sz w:val="13"/>
        </w:rPr>
        <w:t>and $14,722, respectively.</w:t>
      </w:r>
    </w:p>
    <w:p>
      <w:pPr>
        <w:pStyle w:val="TextBody"/>
        <w:bidi w:val="0"/>
        <w:spacing w:before="120" w:after="0"/>
        <w:jc w:val="center"/>
        <w:rPr>
          <w:rFonts w:ascii="Times New Roman" w:hAnsi="Times New Roman"/>
          <w:sz w:val="20"/>
        </w:rPr>
      </w:pPr>
      <w:r>
        <w:rPr>
          <w:rFonts w:ascii="Calibri;sans-serif" w:hAnsi="Calibri;sans-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sans-serif" w:hAnsi="Calibri;sans-serif"/>
          <w:b/>
          <w:sz w:val="20"/>
        </w:rPr>
      </w:pPr>
      <w:r>
        <w:rPr>
          <w:rFonts w:ascii="Calibri;sans-serif" w:hAnsi="Calibri;sans-serif"/>
          <w:b/>
          <w:sz w:val="20"/>
        </w:rPr>
        <w:t>CarGurus, Inc.</w:t>
      </w:r>
    </w:p>
    <w:p>
      <w:pPr>
        <w:pStyle w:val="TextBody"/>
        <w:bidi w:val="0"/>
        <w:spacing w:before="120" w:after="0"/>
        <w:jc w:val="center"/>
        <w:rPr>
          <w:rFonts w:ascii="Calibri;sans-serif" w:hAnsi="Calibri;sans-serif"/>
          <w:b/>
          <w:sz w:val="20"/>
        </w:rPr>
      </w:pPr>
      <w:bookmarkStart w:id="6" w:name="consolidated_statements_comprehensive_lo"/>
      <w:bookmarkEnd w:id="6"/>
      <w:r>
        <w:rPr>
          <w:rFonts w:ascii="Calibri;sans-serif" w:hAnsi="Calibri;sans-serif"/>
          <w:b/>
          <w:sz w:val="20"/>
        </w:rPr>
        <w:t>Unaudited Condensed Consolidated Statements of Comprehensive Income</w:t>
      </w:r>
    </w:p>
    <w:p>
      <w:pPr>
        <w:pStyle w:val="TextBody"/>
        <w:bidi w:val="0"/>
        <w:spacing w:before="120" w:after="0"/>
        <w:jc w:val="center"/>
        <w:rPr>
          <w:rFonts w:ascii="Calibri;sans-serif" w:hAnsi="Calibri;sans-serif"/>
          <w:b/>
          <w:sz w:val="20"/>
        </w:rPr>
      </w:pPr>
      <w:r>
        <w:rPr>
          <w:rFonts w:ascii="Calibri;sans-serif" w:hAnsi="Calibri;sans-serif"/>
          <w:b/>
          <w:sz w:val="20"/>
        </w:rPr>
        <w:t>(in thousands)</w:t>
      </w:r>
    </w:p>
    <w:tbl>
      <w:tblPr>
        <w:tblW w:w="10205" w:type="dxa"/>
        <w:jc w:val="left"/>
        <w:tblInd w:w="0" w:type="dxa"/>
        <w:tblLayout w:type="fixed"/>
        <w:tblCellMar>
          <w:top w:w="28" w:type="dxa"/>
          <w:left w:w="28" w:type="dxa"/>
          <w:bottom w:w="28" w:type="dxa"/>
          <w:right w:w="28" w:type="dxa"/>
        </w:tblCellMar>
      </w:tblPr>
      <w:tblGrid>
        <w:gridCol w:w="5184"/>
        <w:gridCol w:w="146"/>
        <w:gridCol w:w="211"/>
        <w:gridCol w:w="676"/>
        <w:gridCol w:w="166"/>
        <w:gridCol w:w="146"/>
        <w:gridCol w:w="211"/>
        <w:gridCol w:w="676"/>
        <w:gridCol w:w="166"/>
        <w:gridCol w:w="146"/>
        <w:gridCol w:w="211"/>
        <w:gridCol w:w="676"/>
        <w:gridCol w:w="166"/>
        <w:gridCol w:w="146"/>
        <w:gridCol w:w="211"/>
        <w:gridCol w:w="676"/>
        <w:gridCol w:w="391"/>
      </w:tblGrid>
      <w:tr>
        <w:trPr/>
        <w:tc>
          <w:tcPr>
            <w:tcW w:w="5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8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8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13,817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18,061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36,899</w:t>
            </w:r>
          </w:p>
        </w:tc>
        <w:tc>
          <w:tcPr>
            <w:tcW w:w="391" w:type="dxa"/>
            <w:tcBorders/>
            <w:vAlign w:val="center"/>
          </w:tcPr>
          <w:p>
            <w:pPr>
              <w:pStyle w:val="TableContents"/>
              <w:bidi w:val="0"/>
              <w:spacing w:before="0" w:after="0"/>
              <w:ind w:left="0" w:right="0" w:hanging="0"/>
              <w:jc w:val="left"/>
              <w:rPr/>
            </w:pPr>
            <w:r>
              <w:rPr/>
              <w:t> </w:t>
            </w:r>
          </w:p>
        </w:tc>
      </w:tr>
      <w:tr>
        <w:trPr/>
        <w:tc>
          <w:tcPr>
            <w:tcW w:w="518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comprehensive income: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18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8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13,705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34,824</w:t>
            </w:r>
          </w:p>
        </w:tc>
        <w:tc>
          <w:tcPr>
            <w:tcW w:w="391" w:type="dxa"/>
            <w:tcBorders/>
            <w:vAlign w:val="center"/>
          </w:tcPr>
          <w:p>
            <w:pPr>
              <w:pStyle w:val="TableContents"/>
              <w:bidi w:val="0"/>
              <w:spacing w:before="0" w:after="0"/>
              <w:ind w:left="0" w:right="0" w:firstLine="200"/>
              <w:jc w:val="left"/>
              <w:rPr/>
            </w:pPr>
            <w:r>
              <w:rPr/>
              <w:t> </w:t>
            </w:r>
          </w:p>
        </w:tc>
      </w:tr>
      <w:tr>
        <w:trPr/>
        <w:tc>
          <w:tcPr>
            <w:tcW w:w="518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Comprehensive loss attributable to redeemable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(2,295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18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Comprehensive income attributable to CarGurus,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16,301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17,698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32,848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37,119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 w:hAnsi="Times New Roman"/>
          <w:sz w:val="20"/>
        </w:rPr>
      </w:pPr>
      <w:r>
        <w:rPr>
          <w:rFonts w:ascii="Calibri;sans-serif" w:hAnsi="Calibri;sans-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sans-serif" w:hAnsi="Calibri;sans-serif"/>
          <w:b/>
          <w:sz w:val="20"/>
        </w:rPr>
      </w:pPr>
      <w:r>
        <w:rPr>
          <w:rFonts w:ascii="Calibri;sans-serif" w:hAnsi="Calibri;sans-serif"/>
          <w:b/>
          <w:sz w:val="20"/>
        </w:rPr>
        <w:t>CarGurus, Inc.</w:t>
      </w:r>
    </w:p>
    <w:p>
      <w:pPr>
        <w:pStyle w:val="TextBody"/>
        <w:bidi w:val="0"/>
        <w:spacing w:before="120" w:after="0"/>
        <w:jc w:val="center"/>
        <w:rPr>
          <w:rFonts w:ascii="Times New Roman" w:hAnsi="Times New Roman"/>
          <w:sz w:val="20"/>
        </w:rPr>
      </w:pPr>
      <w:bookmarkStart w:id="7" w:name="stockholders_equity"/>
      <w:bookmarkEnd w:id="7"/>
      <w:r>
        <w:rPr>
          <w:rFonts w:ascii="Calibri;sans-serif" w:hAnsi="Calibri;sans-serif"/>
          <w:b/>
          <w:sz w:val="20"/>
        </w:rPr>
        <w:t>Unaudited Condensed Consolidated Statements of Redeemable Noncontrolling Interest and Stockholders’ Equity</w:t>
      </w:r>
      <w:r>
        <w:rPr>
          <w:rFonts w:ascii="Times New Roman" w:hAnsi="Times New Roman"/>
          <w:sz w:val="20"/>
        </w:rPr>
        <w:t xml:space="preserve"> </w:t>
      </w:r>
    </w:p>
    <w:p>
      <w:pPr>
        <w:pStyle w:val="TextBody"/>
        <w:bidi w:val="0"/>
        <w:spacing w:before="120" w:after="0"/>
        <w:jc w:val="center"/>
        <w:rPr>
          <w:rFonts w:ascii="Calibri;sans-serif" w:hAnsi="Calibri;sans-serif"/>
          <w:b/>
          <w:sz w:val="20"/>
        </w:rPr>
      </w:pPr>
      <w:r>
        <w:rPr>
          <w:rFonts w:ascii="Calibri;sans-serif" w:hAnsi="Calibri;sans-serif"/>
          <w:b/>
          <w:sz w:val="20"/>
        </w:rPr>
        <w:t>(in thousands, except share data)</w:t>
      </w:r>
    </w:p>
    <w:p>
      <w:pPr>
        <w:pStyle w:val="TextBody"/>
        <w:bidi w:val="0"/>
        <w:spacing w:before="0" w:after="0"/>
        <w:jc w:val="center"/>
        <w:rPr/>
      </w:pPr>
      <w:r>
        <w:rPr/>
        <w:t> </w:t>
      </w:r>
    </w:p>
    <w:tbl>
      <w:tblPr>
        <w:tblW w:w="10992" w:type="dxa"/>
        <w:jc w:val="left"/>
        <w:tblInd w:w="0" w:type="dxa"/>
        <w:tblLayout w:type="fixed"/>
        <w:tblCellMar>
          <w:top w:w="28" w:type="dxa"/>
          <w:left w:w="28" w:type="dxa"/>
          <w:bottom w:w="28" w:type="dxa"/>
          <w:right w:w="28" w:type="dxa"/>
        </w:tblCellMar>
      </w:tblPr>
      <w:tblGrid>
        <w:gridCol w:w="946"/>
        <w:gridCol w:w="146"/>
        <w:gridCol w:w="223"/>
        <w:gridCol w:w="723"/>
        <w:gridCol w:w="151"/>
        <w:gridCol w:w="146"/>
        <w:gridCol w:w="146"/>
        <w:gridCol w:w="841"/>
        <w:gridCol w:w="151"/>
        <w:gridCol w:w="146"/>
        <w:gridCol w:w="190"/>
        <w:gridCol w:w="366"/>
        <w:gridCol w:w="151"/>
        <w:gridCol w:w="146"/>
        <w:gridCol w:w="146"/>
        <w:gridCol w:w="766"/>
        <w:gridCol w:w="146"/>
        <w:gridCol w:w="146"/>
        <w:gridCol w:w="190"/>
        <w:gridCol w:w="366"/>
        <w:gridCol w:w="146"/>
        <w:gridCol w:w="146"/>
        <w:gridCol w:w="181"/>
        <w:gridCol w:w="586"/>
        <w:gridCol w:w="151"/>
        <w:gridCol w:w="146"/>
        <w:gridCol w:w="181"/>
        <w:gridCol w:w="586"/>
        <w:gridCol w:w="151"/>
        <w:gridCol w:w="146"/>
        <w:gridCol w:w="275"/>
        <w:gridCol w:w="731"/>
        <w:gridCol w:w="151"/>
        <w:gridCol w:w="146"/>
        <w:gridCol w:w="198"/>
        <w:gridCol w:w="643"/>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Redeemable</w:t>
              <w:br/>
              <w:t>Noncontrolling</w:t>
            </w:r>
          </w:p>
        </w:tc>
        <w:tc>
          <w:tcPr>
            <w:tcW w:w="151" w:type="dxa"/>
            <w:tcBorders/>
            <w:vAlign w:val="center"/>
          </w:tcPr>
          <w:p>
            <w:pPr>
              <w:pStyle w:val="TableContents"/>
              <w:bidi w:val="0"/>
              <w:spacing w:before="0" w:after="0"/>
              <w:ind w:left="0" w:right="0" w:hanging="0"/>
              <w:jc w:val="center"/>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center"/>
              <w:rPr/>
            </w:pPr>
            <w:r>
              <w:rPr/>
              <w:t> </w:t>
            </w:r>
          </w:p>
        </w:tc>
        <w:tc>
          <w:tcPr>
            <w:tcW w:w="18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Class A</w:t>
              <w:br/>
              <w:t>Common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Class B</w:t>
              <w:b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Additional</w:t>
              <w:b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Retained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Accumulated</w:t>
              <w:br/>
              <w:t>Other</w:t>
              <w:b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1" w:type="dxa"/>
            <w:gridSpan w:val="2"/>
            <w:tcBorders/>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Total</w:t>
              <w:br/>
              <w:t>Stockholders’</w:t>
            </w:r>
          </w:p>
        </w:tc>
        <w:tc>
          <w:tcPr>
            <w:tcW w:w="196" w:type="dxa"/>
            <w:tcBorders/>
            <w:vAlign w:val="center"/>
          </w:tcPr>
          <w:p>
            <w:pPr>
              <w:pStyle w:val="TableContents"/>
              <w:bidi w:val="0"/>
              <w:spacing w:before="0" w:after="0"/>
              <w:ind w:left="0" w:right="0" w:hanging="0"/>
              <w:jc w:val="center"/>
              <w:rPr/>
            </w:pPr>
            <w:r>
              <w:rPr/>
              <w:t> </w:t>
            </w:r>
          </w:p>
        </w:tc>
      </w:tr>
      <w:tr>
        <w:trPr/>
        <w:tc>
          <w:tcPr>
            <w:tcW w:w="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Interest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Amount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36,749</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101,636,649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15,999,173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413,092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323,043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(1,644</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734,609</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(loss) income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(4,266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16,132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16,132</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16,049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16,049</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7,700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19</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959,935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withholding taxes on net share settlements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(335,448</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(5,652</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(5,652</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Repurchase of common stock</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(3,989,861</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(65,760</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(65,764</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Tax distributions to redeemable noncontrolling interest holders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415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415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32,475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98,278,975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15,999,173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357,748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339,175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(1,229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695,808</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(loss) income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(2,596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16,413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16,413</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15,895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15,895</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1,480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697,879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withholding taxes on net share settlements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(240,674</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(5,196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(5,196</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Repurchase of common stock</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(1,311,387</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(21,963</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(21,964</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Tax distributions to redeemable noncontrolling interest holders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(14</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(112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(112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Balance at June 30, 2023</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29,865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97,426,273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15,999,173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346,494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355,588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(1,341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700,854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1"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98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1"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162,808</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101,773,034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15,999,173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387,868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129,258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(403</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516,841</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(loss) income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(1,072</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19,910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19,910</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15,353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15,353</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74,163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680</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451,084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withholding taxes on net share settlements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(155,736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(5,430</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(5,430</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Accretion of redeemable noncontrolling interest to redemption value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82,000</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(82,000</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(82,000</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Tax distributions to redeemable noncontrolling interest holders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(3,986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(489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(489</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239,750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102,142,545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15,999,173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398,471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67,168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(892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464,865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(loss) income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(1,223</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19,284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19,284</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14,697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14,697</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23,240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25</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447,555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withholding taxes on net share settlements of restricted stock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(147,533</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(5,830</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(5,830</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Accretion of redeemable noncontrolling interest to redemption value</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29,620</w:t>
            </w:r>
          </w:p>
        </w:tc>
        <w:tc>
          <w:tcPr>
            <w:tcW w:w="151" w:type="dxa"/>
            <w:tcBorders/>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(29,620</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(29,620</w:t>
            </w:r>
          </w:p>
        </w:tc>
        <w:tc>
          <w:tcPr>
            <w:tcW w:w="19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Tax distributions to redeemable noncontrolling interest holders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(3,642</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3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(1,586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(1,586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94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Balance at June 30, 2022</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264,505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4"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102,465,807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15,999,173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3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407,363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56,832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7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(2,478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461,835</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Calibri;sans-serif" w:hAnsi="Calibri;sans-serif"/>
          <w:b w:val="false"/>
          <w:sz w:val="20"/>
        </w:rPr>
      </w:pPr>
      <w:r>
        <w:rPr>
          <w:rFonts w:ascii="Calibri;sans-serif" w:hAnsi="Calibri;sans-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sans-serif" w:hAnsi="Calibri;sans-serif"/>
          <w:b/>
          <w:sz w:val="20"/>
        </w:rPr>
      </w:pPr>
      <w:r>
        <w:rPr>
          <w:rFonts w:ascii="Calibri;sans-serif" w:hAnsi="Calibri;sans-serif"/>
          <w:b/>
          <w:sz w:val="20"/>
        </w:rPr>
        <w:t>CarGurus, Inc.</w:t>
      </w:r>
    </w:p>
    <w:p>
      <w:pPr>
        <w:pStyle w:val="TextBody"/>
        <w:bidi w:val="0"/>
        <w:spacing w:before="120" w:after="0"/>
        <w:jc w:val="center"/>
        <w:rPr>
          <w:rFonts w:ascii="Calibri;sans-serif" w:hAnsi="Calibri;sans-serif"/>
          <w:b/>
          <w:sz w:val="20"/>
        </w:rPr>
      </w:pPr>
      <w:bookmarkStart w:id="8" w:name="consolidatedstatementsofcashflows"/>
      <w:bookmarkEnd w:id="8"/>
      <w:r>
        <w:rPr>
          <w:rFonts w:ascii="Calibri;sans-serif" w:hAnsi="Calibri;sans-serif"/>
          <w:b/>
          <w:sz w:val="20"/>
        </w:rPr>
        <w:t>Unaudited Condensed Consolidated Statements of Cash Flows</w:t>
      </w:r>
    </w:p>
    <w:p>
      <w:pPr>
        <w:pStyle w:val="TextBody"/>
        <w:bidi w:val="0"/>
        <w:spacing w:before="120" w:after="0"/>
        <w:jc w:val="center"/>
        <w:rPr>
          <w:rFonts w:ascii="Calibri;sans-serif" w:hAnsi="Calibri;sans-serif"/>
          <w:b/>
          <w:sz w:val="20"/>
        </w:rPr>
      </w:pPr>
      <w:r>
        <w:rPr>
          <w:rFonts w:ascii="Calibri;sans-serif" w:hAnsi="Calibri;sans-serif"/>
          <w:b/>
          <w:sz w:val="20"/>
        </w:rPr>
        <w:t>(in thousands)</w:t>
      </w:r>
    </w:p>
    <w:p>
      <w:pPr>
        <w:pStyle w:val="TextBody"/>
        <w:bidi w:val="0"/>
        <w:spacing w:before="0" w:after="0"/>
        <w:jc w:val="center"/>
        <w:rPr/>
      </w:pPr>
      <w:r>
        <w:rPr/>
        <w:t> </w:t>
      </w:r>
    </w:p>
    <w:p>
      <w:pPr>
        <w:pStyle w:val="TextBody"/>
        <w:bidi w:val="0"/>
        <w:spacing w:before="0" w:after="0"/>
        <w:jc w:val="both"/>
        <w:rPr/>
      </w:pPr>
      <w:r>
        <w:rPr/>
        <w:t> </w:t>
      </w:r>
    </w:p>
    <w:tbl>
      <w:tblPr>
        <w:tblW w:w="7704" w:type="dxa"/>
        <w:jc w:val="left"/>
        <w:tblInd w:w="0" w:type="dxa"/>
        <w:tblLayout w:type="fixed"/>
        <w:tblCellMar>
          <w:top w:w="28" w:type="dxa"/>
          <w:left w:w="28" w:type="dxa"/>
          <w:bottom w:w="28" w:type="dxa"/>
          <w:right w:w="28" w:type="dxa"/>
        </w:tblCellMar>
      </w:tblPr>
      <w:tblGrid>
        <w:gridCol w:w="5326"/>
        <w:gridCol w:w="146"/>
        <w:gridCol w:w="181"/>
        <w:gridCol w:w="631"/>
        <w:gridCol w:w="151"/>
        <w:gridCol w:w="146"/>
        <w:gridCol w:w="181"/>
        <w:gridCol w:w="586"/>
        <w:gridCol w:w="356"/>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 xml:space="preserve">Six Months Ended </w:t>
              <w:br/>
              <w:t>June 30,</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4"/>
              </w:rPr>
            </w:pPr>
            <w:r>
              <w:rPr>
                <w:rFonts w:ascii="Calibri;sans-serif" w:hAnsi="Calibri;sans-serif"/>
                <w:b/>
                <w:sz w:val="14"/>
              </w:rPr>
              <w:t>2022</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sz w:val="14"/>
              </w:rPr>
            </w:pPr>
            <w:r>
              <w:rPr>
                <w:rFonts w:ascii="Calibri;sans-serif" w:hAnsi="Calibri;sans-serif"/>
                <w:b/>
                <w:sz w:val="14"/>
              </w:rPr>
              <w:t>Operating Activities</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Consolidated net income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25,683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36,899</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Adjustments to reconcile consolidated net income to net cash provided by operating activities:</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Depreciation and amortization</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23,243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22,419</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Gain on sale of property and equipment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(460</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Unrealized currency (gain) loss on foreign denominated transactions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(136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354</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Unrealized loss on short-term investments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Realized gain on short-term investments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Deferred taxes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(16,411</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(23,464</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(Recoveries) provision for doubtful accounts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(171</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699</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Stock-based compensation expense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29,507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27,579</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Amortization of deferred financing costs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Amortization of deferred contract costs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5,603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5,564</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Impairment of long-lived assets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184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Changes in operating assets and liabilities:</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firstLine="160"/>
              <w:jc w:val="right"/>
              <w:rPr/>
            </w:pPr>
            <w:r>
              <w:rPr/>
              <w:t> </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Accounts receivable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13,241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(12,022</w:t>
            </w:r>
          </w:p>
        </w:tc>
        <w:tc>
          <w:tcPr>
            <w:tcW w:w="356" w:type="dxa"/>
            <w:tcBorders/>
            <w:vAlign w:val="center"/>
          </w:tcPr>
          <w:p>
            <w:pPr>
              <w:pStyle w:val="TableContents"/>
              <w:bidi w:val="0"/>
              <w:spacing w:before="0" w:after="0"/>
              <w:ind w:left="0" w:right="0" w:firstLine="16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Inventory</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4,740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(2,028</w:t>
            </w:r>
          </w:p>
        </w:tc>
        <w:tc>
          <w:tcPr>
            <w:tcW w:w="356" w:type="dxa"/>
            <w:tcBorders/>
            <w:vAlign w:val="center"/>
          </w:tcPr>
          <w:p>
            <w:pPr>
              <w:pStyle w:val="TableContents"/>
              <w:bidi w:val="0"/>
              <w:spacing w:before="0" w:after="0"/>
              <w:ind w:left="0" w:right="0" w:firstLine="16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Prepaid expenses, prepaid income taxes, and other assets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3,454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(10,434</w:t>
            </w:r>
          </w:p>
        </w:tc>
        <w:tc>
          <w:tcPr>
            <w:tcW w:w="356" w:type="dxa"/>
            <w:tcBorders/>
            <w:vAlign w:val="center"/>
          </w:tcPr>
          <w:p>
            <w:pPr>
              <w:pStyle w:val="TableContents"/>
              <w:bidi w:val="0"/>
              <w:spacing w:before="0" w:after="0"/>
              <w:ind w:left="0" w:right="0" w:firstLine="16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Deferred contract costs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(9,738</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(5,746</w:t>
            </w:r>
          </w:p>
        </w:tc>
        <w:tc>
          <w:tcPr>
            <w:tcW w:w="356" w:type="dxa"/>
            <w:tcBorders/>
            <w:vAlign w:val="center"/>
          </w:tcPr>
          <w:p>
            <w:pPr>
              <w:pStyle w:val="TableContents"/>
              <w:bidi w:val="0"/>
              <w:spacing w:before="0" w:after="0"/>
              <w:ind w:left="0" w:right="0" w:firstLine="16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Accounts payable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4,140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8,168</w:t>
            </w:r>
          </w:p>
        </w:tc>
        <w:tc>
          <w:tcPr>
            <w:tcW w:w="356" w:type="dxa"/>
            <w:tcBorders/>
            <w:vAlign w:val="center"/>
          </w:tcPr>
          <w:p>
            <w:pPr>
              <w:pStyle w:val="TableContents"/>
              <w:bidi w:val="0"/>
              <w:spacing w:before="0" w:after="0"/>
              <w:ind w:left="0" w:right="0" w:firstLine="160"/>
              <w:jc w:val="left"/>
              <w:rPr/>
            </w:pPr>
            <w:r>
              <w:rPr/>
              <w:t> </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Accrued expenses, accrued income taxes, and other liabilities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(4,091</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38,174</w:t>
            </w:r>
          </w:p>
        </w:tc>
        <w:tc>
          <w:tcPr>
            <w:tcW w:w="356" w:type="dxa"/>
            <w:tcBorders/>
            <w:vAlign w:val="center"/>
          </w:tcPr>
          <w:p>
            <w:pPr>
              <w:pStyle w:val="TableContents"/>
              <w:bidi w:val="0"/>
              <w:spacing w:before="0" w:after="0"/>
              <w:ind w:left="0" w:right="0" w:firstLine="160"/>
              <w:jc w:val="left"/>
              <w:rPr/>
            </w:pPr>
            <w:r>
              <w:rPr/>
              <w:t> </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Deferred revenue</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9,016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2,302</w:t>
            </w:r>
          </w:p>
        </w:tc>
        <w:tc>
          <w:tcPr>
            <w:tcW w:w="356" w:type="dxa"/>
            <w:tcBorders/>
            <w:vAlign w:val="center"/>
          </w:tcPr>
          <w:p>
            <w:pPr>
              <w:pStyle w:val="TableContents"/>
              <w:bidi w:val="0"/>
              <w:spacing w:before="0" w:after="0"/>
              <w:ind w:left="0" w:right="0" w:firstLine="160"/>
              <w:jc w:val="left"/>
              <w:rPr/>
            </w:pPr>
            <w:r>
              <w:rPr/>
              <w:t> </w:t>
            </w:r>
          </w:p>
        </w:tc>
      </w:tr>
      <w:tr>
        <w:trPr/>
        <w:tc>
          <w:tcPr>
            <w:tcW w:w="5326" w:type="dxa"/>
            <w:tcBorders/>
            <w:vAlign w:val="center"/>
          </w:tcPr>
          <w:p>
            <w:pPr>
              <w:pStyle w:val="TableContents"/>
              <w:bidi w:val="0"/>
              <w:spacing w:before="0" w:after="0"/>
              <w:ind w:left="160" w:right="0" w:hanging="0"/>
              <w:jc w:val="left"/>
              <w:rPr>
                <w:rFonts w:ascii="Calibri;sans-serif" w:hAnsi="Calibri;sans-serif"/>
                <w:b w:val="false"/>
                <w:sz w:val="14"/>
              </w:rPr>
            </w:pPr>
            <w:r>
              <w:rPr>
                <w:rFonts w:ascii="Calibri;sans-serif" w:hAnsi="Calibri;sans-serif"/>
                <w:b w:val="false"/>
                <w:sz w:val="14"/>
              </w:rPr>
              <w:t>Lease obligations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7,603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(869</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cash provided by operating activities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95,681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87,595</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sz w:val="14"/>
              </w:rPr>
            </w:pPr>
            <w:r>
              <w:rPr>
                <w:rFonts w:ascii="Calibri;sans-serif" w:hAnsi="Calibri;sans-serif"/>
                <w:b/>
                <w:sz w:val="14"/>
              </w:rPr>
              <w:t>Investing Activities</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Purchases of property and equipment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(4,255</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(2,661</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Proceeds from sale of property and equipment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Capitalization of website development costs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(7,432</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(5,502</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Purchases of short-term investments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(95,506</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Maturities of short-term investments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60,000</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Sales of short-term investments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Advance payments to customer, net of collections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(2,601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cash (used in) provided by investing activities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(104,334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51,837</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sz w:val="14"/>
              </w:rPr>
            </w:pPr>
            <w:r>
              <w:rPr>
                <w:rFonts w:ascii="Calibri;sans-serif" w:hAnsi="Calibri;sans-serif"/>
                <w:b/>
                <w:sz w:val="14"/>
              </w:rPr>
              <w:t>Financing Activities</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Proceeds from issuance of common stock upon exercise of stock options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705</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withholding taxes on net share settlements of restricted stock units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(6,894</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(11,260</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Repurchase of common stock</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(91,458</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finance lease obligations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(34</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(35</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Payment of tax distributions to redeemable noncontrolling interest holders</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(38</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(12,691</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Change in gross advance payments received from third-party transaction processor</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(2,674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(2,363</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cash used in financing activities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(101,069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(25,644</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Impact of foreign currency on cash, cash equivalents, and restricted cash</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(912</w:t>
            </w:r>
          </w:p>
        </w:tc>
        <w:tc>
          <w:tcPr>
            <w:tcW w:w="35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Net (decrease) increase in cash, cash equivalents, and restricted cash</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(109,511</w:t>
            </w:r>
          </w:p>
        </w:tc>
        <w:tc>
          <w:tcPr>
            <w:tcW w:w="151"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112,876</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Cash, cash equivalents, and restricted cash at beginning of period</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484,132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248,280</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374,621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361,156</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sz w:val="14"/>
              </w:rPr>
            </w:pPr>
            <w:r>
              <w:rPr>
                <w:rFonts w:ascii="Calibri;sans-serif" w:hAnsi="Calibri;sans-serif"/>
                <w:b/>
                <w:sz w:val="14"/>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Cash paid for income taxes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36,303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41,160</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Cash paid for operating lease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9,831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9,220</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Cash paid for interest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sz w:val="14"/>
              </w:rPr>
            </w:pPr>
            <w:r>
              <w:rPr>
                <w:rFonts w:ascii="Calibri;sans-serif" w:hAnsi="Calibri;sans-serif"/>
                <w:b/>
                <w:sz w:val="14"/>
              </w:rPr>
              <w:t>Supplemental noncash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 xml:space="preserve">Unpaid purchases of property and equipment, capitalized website development, </w:t>
              <w:br/>
              <w:t>   capitalized internal-use software and capitalized hosting arrangements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4,509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362</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Unpaid withholding taxes on net share settlement of restricted stock units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3,958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Unpaid repurchases of common stock</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Capitalized stock-based compensation expense in website development and</w:t>
              <w:br/>
              <w:t>   internal-use software costs and hosting arrangements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2,437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2,471</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Obtaining a right-of-use asset in exchange for an operating lease liability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144,556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5,307</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Accretion of redeemable noncontrolling interest to redemption value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111,620</w:t>
            </w:r>
          </w:p>
        </w:tc>
        <w:tc>
          <w:tcPr>
            <w:tcW w:w="356" w:type="dxa"/>
            <w:tcBorders/>
            <w:vAlign w:val="center"/>
          </w:tcPr>
          <w:p>
            <w:pPr>
              <w:pStyle w:val="TableContents"/>
              <w:bidi w:val="0"/>
              <w:spacing w:before="0" w:after="0"/>
              <w:ind w:left="0" w:right="0" w:hanging="0"/>
              <w:jc w:val="left"/>
              <w:rPr/>
            </w:pPr>
            <w:r>
              <w:rPr/>
              <w:t> </w:t>
            </w:r>
          </w:p>
        </w:tc>
      </w:tr>
      <w:tr>
        <w:trPr/>
        <w:tc>
          <w:tcPr>
            <w:tcW w:w="5326" w:type="dxa"/>
            <w:tcBorders/>
            <w:vAlign w:val="center"/>
          </w:tcPr>
          <w:p>
            <w:pPr>
              <w:pStyle w:val="TableContents"/>
              <w:bidi w:val="0"/>
              <w:spacing w:before="0" w:after="0"/>
              <w:ind w:left="0" w:right="0" w:hanging="0"/>
              <w:jc w:val="left"/>
              <w:rPr>
                <w:rFonts w:ascii="Calibri;sans-serif" w:hAnsi="Calibri;sans-serif"/>
                <w:b w:val="false"/>
                <w:sz w:val="14"/>
              </w:rPr>
            </w:pPr>
            <w:r>
              <w:rPr>
                <w:rFonts w:ascii="Calibri;sans-serif" w:hAnsi="Calibri;sans-serif"/>
                <w:b w:val="false"/>
                <w:sz w:val="14"/>
              </w:rPr>
              <w:t>Accrued tax distributions to redeemable noncontrolling interest holders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Calibri;sans-serif" w:hAnsi="Calibri;sans-serif"/>
                <w:b w:val="false"/>
                <w:sz w:val="14"/>
              </w:rPr>
            </w:pPr>
            <w:r>
              <w:rPr>
                <w:rFonts w:ascii="Calibri;sans-serif" w:hAnsi="Calibri;sans-serif"/>
                <w:b w:val="false"/>
                <w:sz w:val="14"/>
              </w:rPr>
              <w:t>3,638</w:t>
            </w:r>
          </w:p>
        </w:tc>
        <w:tc>
          <w:tcPr>
            <w:tcW w:w="35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Calibri;sans-serif" w:hAnsi="Calibri;sans-serif"/>
          <w:b w:val="false"/>
          <w:sz w:val="20"/>
        </w:rPr>
      </w:pPr>
      <w:r>
        <w:rPr>
          <w:rFonts w:ascii="Calibri;sans-serif" w:hAnsi="Calibri;sans-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Calibri;sans-serif" w:hAnsi="Calibri;sans-serif"/>
          <w:b/>
          <w:sz w:val="20"/>
        </w:rPr>
      </w:pPr>
      <w:r>
        <w:rPr>
          <w:rFonts w:ascii="Calibri;sans-serif" w:hAnsi="Calibri;sans-serif"/>
          <w:b/>
          <w:sz w:val="20"/>
        </w:rPr>
        <w:t>CarGurus, Inc.</w:t>
      </w:r>
    </w:p>
    <w:p>
      <w:pPr>
        <w:pStyle w:val="TextBody"/>
        <w:bidi w:val="0"/>
        <w:spacing w:before="240" w:after="0"/>
        <w:jc w:val="center"/>
        <w:rPr>
          <w:rFonts w:ascii="Times New Roman" w:hAnsi="Times New Roman"/>
          <w:sz w:val="20"/>
        </w:rPr>
      </w:pPr>
      <w:bookmarkStart w:id="9" w:name="notes_to_consolidated_financial_statemen"/>
      <w:bookmarkEnd w:id="9"/>
      <w:r>
        <w:rPr>
          <w:rFonts w:ascii="Calibri;sans-serif" w:hAnsi="Calibri;sans-serif"/>
          <w:b/>
          <w:sz w:val="20"/>
        </w:rPr>
        <w:t>Notes to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Calibri;sans-serif" w:hAnsi="Calibri;sans-serif"/>
          <w:b/>
          <w:sz w:val="20"/>
        </w:rPr>
        <w:t>(dollars in thousands, except share and per share data, unless otherwise noted)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sz w:val="20"/>
        </w:rPr>
        <w:t>1. Organization and Business Description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CarGurus, Inc. (the "Company") is a multinational, online automotive platform for buying and selling vehicles that is building upon its industry-leading listings marketplace with both digital retail solutions and the CarOffer, LLC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The Company is headquartered in Cambridge, Massachusetts and was incorporated in the State of Delaware</w:t>
      </w:r>
      <w:r>
        <w:rPr>
          <w:rFonts w:ascii="Times New Roman" w:hAnsi="Times New Roman"/>
          <w:sz w:val="20"/>
        </w:rPr>
        <w:t xml:space="preserve"> </w:t>
      </w:r>
      <w:r>
        <w:rPr>
          <w:rFonts w:ascii="Calibri;sans-serif" w:hAnsi="Calibri;sans-serif"/>
          <w:b w:val="false"/>
          <w:sz w:val="20"/>
        </w:rPr>
        <w:t>on June 26, 2015.</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operates principally in the United States. In the United States, it also operates as independent brands the Autolist online marketplace, which it wholly owns, and the CarOffer digital wholesale platform, in which it holds a 51% equity interest. In addition to the United States, the Company operates online marketplaces under the CarGurus brand in Canada and the United Kingdom. In the United Kingdom, it also operates as an independent brand the PistonHeads online marketplace, which it wholly owns.</w:t>
      </w:r>
    </w:p>
    <w:p>
      <w:pPr>
        <w:pStyle w:val="TextBody"/>
        <w:bidi w:val="0"/>
        <w:spacing w:before="240" w:after="0"/>
        <w:jc w:val="both"/>
        <w:rPr>
          <w:rFonts w:ascii="Times New Roman" w:hAnsi="Times New Roman"/>
          <w:sz w:val="20"/>
        </w:rPr>
      </w:pPr>
      <w:r>
        <w:rPr>
          <w:rFonts w:ascii="Calibri;sans-serif" w:hAnsi="Calibri;sans-serif"/>
          <w:b w:val="false"/>
          <w:sz w:val="20"/>
        </w:rPr>
        <w:t>The Company has subsidiaries in the United States, Canada, Ireland, and the United Kingdom. Effective as of the fourth quarter of 2022 the Company revised its segment reporting from one</w:t>
      </w:r>
      <w:r>
        <w:rPr>
          <w:rFonts w:ascii="Times New Roman" w:hAnsi="Times New Roman"/>
          <w:sz w:val="20"/>
        </w:rPr>
        <w:t xml:space="preserve"> </w:t>
      </w:r>
      <w:r>
        <w:rPr>
          <w:rFonts w:ascii="Calibri;sans-serif" w:hAnsi="Calibri;sans-serif"/>
          <w:b w:val="false"/>
          <w:sz w:val="20"/>
        </w:rPr>
        <w:t>reportable segment to two</w:t>
      </w:r>
      <w:r>
        <w:rPr>
          <w:rFonts w:ascii="Times New Roman" w:hAnsi="Times New Roman"/>
          <w:sz w:val="20"/>
        </w:rPr>
        <w:t xml:space="preserve"> </w:t>
      </w:r>
      <w:r>
        <w:rPr>
          <w:rFonts w:ascii="Calibri;sans-serif" w:hAnsi="Calibri;sans-serif"/>
          <w:b w:val="false"/>
          <w:sz w:val="20"/>
        </w:rPr>
        <w:t>reportable segments – U.S. Marketplace and Digital Wholesale. See Note 12 of these Unaudited Condensed Consolidated Financial Statements (as defined below) for further segment reporting and geographic information.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0"/>
        <w:jc w:val="left"/>
        <w:rPr>
          <w:rFonts w:ascii="Calibri;sans-serif" w:hAnsi="Calibri;sans-serif"/>
          <w:b/>
          <w:sz w:val="20"/>
        </w:rPr>
      </w:pPr>
      <w:r>
        <w:rPr>
          <w:rFonts w:ascii="Calibri;sans-serif" w:hAnsi="Calibri;sans-serif"/>
          <w:b/>
          <w:sz w:val="20"/>
        </w:rPr>
        <w:t>2. Summary of Significant Accounting Policies</w:t>
      </w:r>
    </w:p>
    <w:p>
      <w:pPr>
        <w:pStyle w:val="TextBody"/>
        <w:bidi w:val="0"/>
        <w:spacing w:before="240" w:after="0"/>
        <w:jc w:val="left"/>
        <w:rPr>
          <w:rFonts w:ascii="Calibri;sans-serif" w:hAnsi="Calibri;sans-serif"/>
          <w:b w:val="false"/>
          <w:i/>
          <w:sz w:val="20"/>
        </w:rPr>
      </w:pPr>
      <w:r>
        <w:rPr>
          <w:rFonts w:ascii="Calibri;sans-serif" w:hAnsi="Calibri;sans-serif"/>
          <w:b w:val="false"/>
          <w:i/>
          <w:sz w:val="20"/>
        </w:rPr>
        <w:t>Basis of Presentation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of the Financial Accounting Standards Board (“FASB”).</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June 30, 2023 and December 31, 2022, results of operations, comprehensive income, and changes in stockholders’ equity for the three months ended June 30, 2023 and 2022 and for the six months ended June 30, 2023 and 2022, and cash flows for the six months ended June 30, 2023 and 2022. These interim period results are not necessarily indicative of the results to be expected for any other interim period or the full year.</w:t>
      </w:r>
    </w:p>
    <w:p>
      <w:pPr>
        <w:pStyle w:val="TextBody"/>
        <w:bidi w:val="0"/>
        <w:spacing w:before="240" w:after="0"/>
        <w:jc w:val="both"/>
        <w:rPr>
          <w:rFonts w:ascii="Times New Roman" w:hAnsi="Times New Roman"/>
          <w:sz w:val="20"/>
        </w:rPr>
      </w:pPr>
      <w:r>
        <w:rPr>
          <w:rFonts w:ascii="Calibri;sans-serif" w:hAnsi="Calibri;sans-serif"/>
          <w:b w:val="false"/>
          <w:sz w:val="20"/>
        </w:rPr>
        <w:t>The Unaudited Condensed Consolidated Financial Statements should be read in conjunction with the Company’s audited consolidated financial statements and the notes thereto included in the Company’s Annual Report on Form 10-K for the year ended December 31, 2022, filed with the SEC on March 1, 2023 (the “Annual Report”).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While the Company disclosed interest income within other income (expense), net in the Unaudited Condensed Consolidated Income Statements in the Company's Quarterly Report on Form 10-Q for the quarter ended June 30, 2022, filed with the SEC on August 8, 2022, the accompanying Unaudited Condensed Consolidated Income Statements for the quarter ended June 30, 2022 present interest income separately from other income (expense), net to conform to the current year presentation, as interest income met the threshold for separate disclosure.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Principles of Consolidation</w:t>
      </w:r>
    </w:p>
    <w:p>
      <w:pPr>
        <w:pStyle w:val="TextBody"/>
        <w:bidi w:val="0"/>
        <w:spacing w:before="240" w:after="0"/>
        <w:jc w:val="both"/>
        <w:rPr>
          <w:rFonts w:ascii="Times New Roman" w:hAnsi="Times New Roman"/>
          <w:sz w:val="20"/>
        </w:rPr>
      </w:pPr>
      <w:r>
        <w:rPr>
          <w:rFonts w:ascii="Calibri;sans-serif" w:hAnsi="Calibri;sans-serif"/>
          <w:b w:val="false"/>
          <w:sz w:val="20"/>
        </w:rPr>
        <w:t>The Unaudited Condensed Consolidated Financial Statements include the accounts of the Company and its subsidiaries. All intercompany balances and transactions have been eliminated in consolidation.</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Subsequent Event Considerations</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Use of Estimates</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pStyle w:val="TextBody"/>
        <w:bidi w:val="0"/>
        <w:spacing w:before="240" w:after="0"/>
        <w:jc w:val="both"/>
        <w:rPr>
          <w:rFonts w:ascii="Calibri;sans-serif" w:hAnsi="Calibri;sans-serif"/>
          <w:b w:val="false"/>
          <w:sz w:val="20"/>
        </w:rPr>
      </w:pPr>
      <w:r>
        <w:rPr>
          <w:rFonts w:ascii="Calibri;sans-serif" w:hAnsi="Calibri;sans-serif"/>
          <w:b w:val="false"/>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0"/>
        <w:jc w:val="both"/>
        <w:rPr>
          <w:rFonts w:ascii="Times New Roman" w:hAnsi="Times New Roman"/>
          <w:sz w:val="20"/>
        </w:rPr>
      </w:pPr>
      <w:r>
        <w:rPr>
          <w:rFonts w:ascii="Calibri;sans-serif" w:hAnsi="Calibri;sans-serif"/>
          <w:b w:val="false"/>
          <w:sz w:val="20"/>
        </w:rPr>
        <w:t>Critical estimates relied upon in preparing the Unaudited Condensed Consolidated Financial Statements</w:t>
      </w:r>
      <w:r>
        <w:rPr>
          <w:rFonts w:ascii="Times New Roman" w:hAnsi="Times New Roman"/>
          <w:sz w:val="20"/>
        </w:rPr>
        <w:t xml:space="preserve"> </w:t>
      </w:r>
      <w:r>
        <w:rPr>
          <w:rFonts w:ascii="Calibri;sans-serif" w:hAnsi="Calibri;sans-serif"/>
          <w:b w:val="false"/>
          <w:sz w:val="20"/>
        </w:rPr>
        <w:t>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equity and liability-classified compensation awards. Accordingly, the Company considers these to be its critical accounting estimates, and believes that of the Company’s significant accounting policies, these involve the greatest degree of judgment and complexity.</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Concentration of Credit Risk</w:t>
      </w:r>
    </w:p>
    <w:p>
      <w:pPr>
        <w:pStyle w:val="TextBody"/>
        <w:bidi w:val="0"/>
        <w:spacing w:before="240" w:after="0"/>
        <w:jc w:val="both"/>
        <w:rPr>
          <w:rFonts w:ascii="Times New Roman" w:hAnsi="Times New Roman"/>
          <w:sz w:val="20"/>
        </w:rPr>
      </w:pPr>
      <w:r>
        <w:rPr>
          <w:rFonts w:ascii="Calibri;sans-serif" w:hAnsi="Calibri;sans-serif"/>
          <w:b w:val="false"/>
          <w:sz w:val="20"/>
        </w:rPr>
        <w:t>The Company has no significant off-balance sheet risk, such as foreign exchange contracts, option contracts, or other foreign hedging arrangements.</w:t>
      </w:r>
      <w:r>
        <w:rPr>
          <w:rFonts w:ascii="Times New Roman" w:hAnsi="Times New Roman"/>
          <w:sz w:val="20"/>
        </w:rPr>
        <w:t xml:space="preserve"> </w:t>
      </w:r>
      <w:r>
        <w:rPr>
          <w:rFonts w:ascii="Calibri;sans-serif" w:hAnsi="Calibri;sans-serif"/>
          <w:b w:val="false"/>
          <w:sz w:val="20"/>
        </w:rPr>
        <w:t>Financial instruments that potentially expose the Company to concentrations of credit risk consist primarily of cash, cash equivalents, short-term investments, trade accounts receivable, and other receivables.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maintains its cash, cash equivalents, and short-term investments principally with accredited financial institutions of high credit standing. Although the Company deposits its cash, cash equivalents, and short-term investments with multiple financial institutions, its deposits with each such financial institution exceed governmental insured limits.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routinely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wholesale and product revenue transactions. The Company has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is believed by management to be probable in the Company’s accounts receivable and other receivables.</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one</w:t>
      </w:r>
      <w:r>
        <w:rPr>
          <w:rFonts w:ascii="Times New Roman" w:hAnsi="Times New Roman"/>
          <w:sz w:val="20"/>
        </w:rPr>
        <w:t xml:space="preserve"> </w:t>
      </w:r>
      <w:r>
        <w:rPr>
          <w:rFonts w:ascii="Calibri;sans-serif" w:hAnsi="Calibri;sans-serif"/>
          <w:b w:val="false"/>
          <w:sz w:val="20"/>
        </w:rPr>
        <w:t>customer accounted for 11%</w:t>
      </w:r>
      <w:r>
        <w:rPr>
          <w:rFonts w:ascii="Times New Roman" w:hAnsi="Times New Roman"/>
          <w:sz w:val="20"/>
        </w:rPr>
        <w:t xml:space="preserve"> </w:t>
      </w:r>
      <w:r>
        <w:rPr>
          <w:rFonts w:ascii="Calibri;sans-serif" w:hAnsi="Calibri;sans-serif"/>
          <w:b w:val="false"/>
          <w:sz w:val="20"/>
        </w:rPr>
        <w:t>of net accounts receivable and other receivables. As of December 31, 2022, one</w:t>
      </w:r>
      <w:r>
        <w:rPr>
          <w:rFonts w:ascii="Times New Roman" w:hAnsi="Times New Roman"/>
          <w:sz w:val="20"/>
        </w:rPr>
        <w:t xml:space="preserve"> </w:t>
      </w:r>
      <w:r>
        <w:rPr>
          <w:rFonts w:ascii="Calibri;sans-serif" w:hAnsi="Calibri;sans-serif"/>
          <w:b w:val="false"/>
          <w:sz w:val="20"/>
        </w:rPr>
        <w:t>customer accounted for 13% of net accounts receivable. The remainder of the accounts receivable was dispersed among more than 1,000</w:t>
      </w:r>
      <w:r>
        <w:rPr>
          <w:rFonts w:ascii="Times New Roman" w:hAnsi="Times New Roman"/>
          <w:sz w:val="20"/>
        </w:rPr>
        <w:t xml:space="preserve"> </w:t>
      </w:r>
      <w:r>
        <w:rPr>
          <w:rFonts w:ascii="Calibri;sans-serif" w:hAnsi="Calibri;sans-serif"/>
          <w:b w:val="false"/>
          <w:sz w:val="20"/>
        </w:rPr>
        <w:t>customers. The customers who accounted for greater than 10% of net accounts receivable are related to wholesale and product receivables. The collection risk associated with these customers is mitigated because, as discussed above, the third-party transaction processor does not release the title on vehicles until funds are successfully collected. Furthermore, there is no significant credit risk with respect to accounts receivable because, other than the receivables associated with these customers, credit risk with respect to accounts receivable is dispersed due to the large number of customers.</w:t>
      </w:r>
    </w:p>
    <w:p>
      <w:pPr>
        <w:pStyle w:val="TextBody"/>
        <w:bidi w:val="0"/>
        <w:spacing w:before="240" w:after="0"/>
        <w:jc w:val="both"/>
        <w:rPr>
          <w:rFonts w:ascii="Times New Roman" w:hAnsi="Times New Roman"/>
          <w:sz w:val="20"/>
        </w:rPr>
      </w:pPr>
      <w:r>
        <w:rPr>
          <w:rFonts w:ascii="Calibri;sans-serif" w:hAnsi="Calibri;sans-serif"/>
          <w:b w:val="false"/>
          <w:sz w:val="20"/>
        </w:rPr>
        <w:t>For the three and six months ended June 30, 2023, no</w:t>
      </w:r>
      <w:r>
        <w:rPr>
          <w:rFonts w:ascii="Times New Roman" w:hAnsi="Times New Roman"/>
          <w:sz w:val="20"/>
        </w:rPr>
        <w:t xml:space="preserve"> </w:t>
      </w:r>
      <w:r>
        <w:rPr>
          <w:rFonts w:ascii="Calibri;sans-serif" w:hAnsi="Calibri;sans-serif"/>
          <w:b w:val="false"/>
          <w:sz w:val="20"/>
        </w:rPr>
        <w:t>individual customer accounted for more than 10% of total revenue. For the three months ended June 30, 2022, two</w:t>
      </w:r>
      <w:r>
        <w:rPr>
          <w:rFonts w:ascii="Times New Roman" w:hAnsi="Times New Roman"/>
          <w:sz w:val="20"/>
        </w:rPr>
        <w:t xml:space="preserve"> </w:t>
      </w:r>
      <w:r>
        <w:rPr>
          <w:rFonts w:ascii="Calibri;sans-serif" w:hAnsi="Calibri;sans-serif"/>
          <w:b w:val="false"/>
          <w:sz w:val="20"/>
        </w:rPr>
        <w:t>customers each accounted for 11% of total revenue due to the continued growth of the CarOffer business. For the six months ended June 30, 2022, no</w:t>
      </w:r>
      <w:r>
        <w:rPr>
          <w:rFonts w:ascii="Times New Roman" w:hAnsi="Times New Roman"/>
          <w:sz w:val="20"/>
        </w:rPr>
        <w:t xml:space="preserve"> </w:t>
      </w:r>
      <w:r>
        <w:rPr>
          <w:rFonts w:ascii="Calibri;sans-serif" w:hAnsi="Calibri;sans-serif"/>
          <w:b w:val="false"/>
          <w:sz w:val="20"/>
        </w:rPr>
        <w:t>individual customer accounted for more than 10% of total revenue.</w:t>
      </w:r>
    </w:p>
    <w:p>
      <w:pPr>
        <w:pStyle w:val="TextBody"/>
        <w:bidi w:val="0"/>
        <w:spacing w:before="240" w:after="0"/>
        <w:jc w:val="both"/>
        <w:rPr>
          <w:rFonts w:ascii="Times New Roman" w:hAnsi="Times New Roman"/>
          <w:sz w:val="20"/>
        </w:rPr>
      </w:pPr>
      <w:r>
        <w:rPr>
          <w:rFonts w:ascii="Calibri;sans-serif" w:hAnsi="Calibri;sans-serif"/>
          <w:b w:val="false"/>
          <w:sz w:val="20"/>
        </w:rPr>
        <w:t>The Company is exposed to credit losses primarily through its trade accounts receivable, which includes receivables in transit, net of payables due, from a third-party transaction processor. The third-party transaction processor collects customer payments on the Company's behalf and remits them to the Company. Customer payments received by the third-party transaction processor, but not remitted to the Company as of period end are deemed to be receivables in transit, net of payables due. Additionally, the third-party transaction processor provides payments in advance for certain selling dealers. If the third-party transaction processor does not receive buying dealer payments associated with the transaction paid in advance, the Company would guarantee losses incurred by the third-party transaction processor and the balance would be deducted from future remittances to the Company. To date, losses associated with these guarantees have not been material.</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offsets trade accounts receivables in transit, net of payables due, from the third-party transaction processor with payments received in advance from the third-party transaction processor as it has the right of offset. At any point in time, the Company could have amounts due from the third-party transaction processor for funds the third-party transaction processor has collected from buying dealers and has not yet remitted to the Company (i.e., receivables in transit, net of payables due), as well as amounts paid by the third-party transaction processor to the Company in advance of collecting payments from buying dealers (i.e., payments received in advance). Therefore, as the Company has the right to offset, the Company can either have a net receivable balance due from the third-party transaction processor which is recognized within accounts receivable, net in the Unaudited Condensed Consolidated Balance Sheets, or the Company can have a net liability which is recognized within accrued expenses, accrued income taxes, and other current liabilities in the Unaudited Condensed Consolidated Balance Sheets if the advance payments exceed the receivable position from the third-party transaction processor as of the balance sheet date. Payments received in advance from the third-party transaction processor are presented as cash flows from financing activities in the Unaudited Condensed Consolidated Statements of Cash Flows.</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trade accounts receivable from receivables in transit, net of payables due, from the third-party transaction processor was $2,427, offset by payments received in advance of $3,816, which resulted in a net payable of $1,389</w:t>
      </w:r>
      <w:r>
        <w:rPr>
          <w:rFonts w:ascii="Times New Roman" w:hAnsi="Times New Roman"/>
          <w:sz w:val="20"/>
        </w:rPr>
        <w:t xml:space="preserve"> </w:t>
      </w:r>
      <w:r>
        <w:rPr>
          <w:rFonts w:ascii="Calibri;sans-serif" w:hAnsi="Calibri;sans-serif"/>
          <w:b w:val="false"/>
          <w:sz w:val="20"/>
        </w:rPr>
        <w:t>recognized within accrued expenses, accrued income taxes, and other current liabilities in the Unaudited Condensed Consolidated Balance Sheets. As of December 31, 2022, trade accounts receivable from receivables in transit, net of payables due, from the third-party transaction processor was $7,122, offset by payments received in advance of $6,490, which resulted in a net receivable of $632</w:t>
      </w:r>
      <w:r>
        <w:rPr>
          <w:rFonts w:ascii="Times New Roman" w:hAnsi="Times New Roman"/>
          <w:sz w:val="20"/>
        </w:rPr>
        <w:t xml:space="preserve"> </w:t>
      </w:r>
      <w:r>
        <w:rPr>
          <w:rFonts w:ascii="Calibri;sans-serif" w:hAnsi="Calibri;sans-serif"/>
          <w:b w:val="false"/>
          <w:sz w:val="20"/>
        </w:rPr>
        <w:t>recognized within accounts receivable, net in the Unaudited Condensed Consolidated Balance Sheets.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$7,655</w:t>
      </w:r>
      <w:r>
        <w:rPr>
          <w:rFonts w:ascii="Times New Roman" w:hAnsi="Times New Roman"/>
          <w:sz w:val="20"/>
        </w:rPr>
        <w:t xml:space="preserve"> </w:t>
      </w:r>
      <w:r>
        <w:rPr>
          <w:rFonts w:ascii="Calibri;sans-serif" w:hAnsi="Calibri;sans-serif"/>
          <w:b w:val="false"/>
          <w:sz w:val="20"/>
        </w:rPr>
        <w:t>and $7,150, respectively, was included in net accounts receivable, representing unbilled accounts receivable relating primarily to advertising customers invoiced in the period subsequent to services rendered.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Calibri;sans-serif" w:hAnsi="Calibri;sans-serif"/>
          <w:b w:val="false"/>
          <w:i/>
          <w:sz w:val="20"/>
        </w:rPr>
      </w:pPr>
      <w:r>
        <w:rPr>
          <w:rFonts w:ascii="Calibri;sans-serif" w:hAnsi="Calibri;sans-serif"/>
          <w:b w:val="false"/>
          <w:i/>
          <w:sz w:val="20"/>
        </w:rPr>
        <w:t>Significant Accounting Policies</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Unaudited Condensed Consolidated Financial Statements reflect the application of certain significant accounting policies as described below and elsewhere in these notes to the Unaudited Condensed Consolidated Financial Statements. As of June 30, 2023, there have been no material changes in the Company’s significant accounting policies, which are detailed in the Annual Report, other than those described below.</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Cash, Cash Equivalents, and Investments</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cash and cash equivalents primarily consist of cash on deposit with banks, amounts held in interest-bearing money market accounts, and investments with original maturities of 90 days or less.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Cash equivalents are carried at cost, which approximates their fair market value.</w:t>
      </w:r>
    </w:p>
    <w:p>
      <w:pPr>
        <w:pStyle w:val="TextBody"/>
        <w:bidi w:val="0"/>
        <w:spacing w:before="240" w:after="0"/>
        <w:jc w:val="both"/>
        <w:rPr>
          <w:rFonts w:ascii="Times New Roman" w:hAnsi="Times New Roman"/>
          <w:sz w:val="20"/>
        </w:rPr>
      </w:pPr>
      <w:r>
        <w:rPr>
          <w:rFonts w:ascii="Calibri;sans-serif" w:hAnsi="Calibri;sans-serif"/>
          <w:b w:val="false"/>
          <w:sz w:val="20"/>
        </w:rPr>
        <w:t>The Company’s investment policy, which was approved by the Audit Committee of the Company’s Board of Directors (the “Board”), permits investments in fixed income securities, including U.S. government and agency securities, non</w:t>
        <w:noBreakHyphen/>
        <w:t>U.S. government securities, money market instruments, commercial paper, certificates of deposit, corporate bonds, and asset</w:t>
        <w:noBreakHyphen/>
        <w:t>backed securities.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considers all highly liquid investments with an original maturity of 90 days or less at the date of purchase to be cash equivalents. Investments not classified as cash equivalents with maturities less than one year from the balance sheet date are classified as short</w:t>
        <w:noBreakHyphen/>
        <w:t>term investments, while investments with maturities in excess of one year from the balance sheet date are classified as long</w:t>
        <w:noBreakHyphen/>
        <w:t>term investments. Management determines the appropriate classification of investments at the time of purchase, and re</w:t>
        <w:noBreakHyphen/>
        <w:t>evaluates such determination at each balance sheet date.</w:t>
      </w:r>
    </w:p>
    <w:p>
      <w:pPr>
        <w:pStyle w:val="TextBody"/>
        <w:bidi w:val="0"/>
        <w:spacing w:before="240" w:after="0"/>
        <w:jc w:val="both"/>
        <w:rPr>
          <w:rFonts w:ascii="Calibri;sans-serif" w:hAnsi="Calibri;sans-serif"/>
          <w:b w:val="false"/>
          <w:sz w:val="20"/>
        </w:rPr>
      </w:pPr>
      <w:r>
        <w:rPr>
          <w:rFonts w:ascii="Calibri;sans-serif" w:hAnsi="Calibri;sans-serif"/>
          <w:b w:val="false"/>
          <w:sz w:val="20"/>
        </w:rPr>
        <w:t>Investments in equity securities with readily determinable fair values are recognized at fair value based on quoted market prices within investments in the Unaudited Condensed Consolidated Balance Sheets. Investments in held-to-maturity debt securities are recognized at amortized cost within investments in the Unaudited Condensed Consolidated Balance Sheets. The Company adjusts the cost of investments in held-to-maturity debt securities for amortization of premiums and accretion of discounts to maturity, if any. Investments in trading and available-for-sale debt securities are recognized at fair value within investments in the Unaudited Condensed Consolidated Balance Sheets.</w:t>
      </w:r>
    </w:p>
    <w:p>
      <w:pPr>
        <w:pStyle w:val="TextBody"/>
        <w:bidi w:val="0"/>
        <w:spacing w:before="240" w:after="0"/>
        <w:jc w:val="both"/>
        <w:rPr>
          <w:rFonts w:ascii="Times New Roman" w:hAnsi="Times New Roman"/>
          <w:sz w:val="20"/>
        </w:rPr>
      </w:pPr>
      <w:r>
        <w:rPr>
          <w:rFonts w:ascii="Calibri;sans-serif" w:hAnsi="Calibri;sans-serif"/>
          <w:b w:val="false"/>
          <w:sz w:val="20"/>
        </w:rPr>
        <w:t>Purchases of equity securities and debt securities are recognized within investing activities in the Unaudited Condensed Consolidated Statements of Cash Flows.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Dividend income from equity securities is recognized within interest income in the Unaudited Condensed Consolidated Income Statements. Reinvested proceeds from dividend income are recognized within purchases of investments in investing activities in the Unaudited Condensed Consolidated Statements of Cash Flows.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revaluation of equity securities and debt securities results in an unrealized gain or loss. Unrealized gains or losses on equity securities and trading debt securities are recognized within other income (expense), net in the Unaudited Condensed Consolidated Income Statements and backed out of operating activities in the Unaudited Condensed Consolidated Statements of Cash Flows. Unrealized gains or losses on available-for-sale debt securities are recognized within other comprehensive income in the Unaudited Condensed Consolidated Statements of Comprehensive Income. Interest on held-to-maturity debt securities is recognized within interest income in the Unaudited Condensed Consolidated Income Statements.</w:t>
      </w:r>
    </w:p>
    <w:p>
      <w:pPr>
        <w:pStyle w:val="TextBody"/>
        <w:bidi w:val="0"/>
        <w:spacing w:before="240" w:after="0"/>
        <w:jc w:val="both"/>
        <w:rPr>
          <w:rFonts w:ascii="Times New Roman" w:hAnsi="Times New Roman"/>
          <w:sz w:val="20"/>
        </w:rPr>
      </w:pPr>
      <w:r>
        <w:rPr>
          <w:rFonts w:ascii="Calibri;sans-serif" w:hAnsi="Calibri;sans-serif"/>
          <w:b w:val="false"/>
          <w:sz w:val="20"/>
        </w:rPr>
        <w:t>Proceeds from sale of equity securities and debt securities are recognized within investing activities in the Unaudited Condensed Consolidated Statements of Cash Flows. Realized gains and losses on sale of equity securities and debt securities are recognized within other (expense) income, net in the Unaudited Condensed Consolidated Income Statements, backed out of operating activities in the Unaudited Condensed Consolidated Cash Flows, and recognized within proceeds from sale of equity securities and debt securities in investing activities in the Unaudited Condensed Consolidated Statements of Cash Flows.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val="false"/>
          <w:sz w:val="20"/>
        </w:rPr>
        <w:t>Debt securities are reviewed for other</w:t>
        <w:noBreakHyphen/>
        <w:t>than</w:t>
        <w:noBreakHyphen/>
        <w:t>temporary impairment whenever the fair value of an investment is less than the amortized cost and evidence indicates that an investment’s carrying amount is not recoverable within a reasonable period of time. Other</w:t>
        <w:noBreakHyphen/>
        <w:t>than</w:t>
        <w:noBreakHyphen/>
        <w:t>temporary impairments of debt securities are recognized within other income (expense), net in the Unaudited Condensed Consolidated Income Statements if the Company has experienced a credit loss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the Company held short-term investments in equity securities.</w:t>
      </w:r>
    </w:p>
    <w:p>
      <w:pPr>
        <w:pStyle w:val="TextBody"/>
        <w:bidi w:val="0"/>
        <w:spacing w:before="240" w:after="0"/>
        <w:jc w:val="both"/>
        <w:rPr>
          <w:rFonts w:ascii="Times New Roman" w:hAnsi="Times New Roman"/>
          <w:sz w:val="20"/>
        </w:rPr>
      </w:pPr>
      <w:r>
        <w:rPr>
          <w:rFonts w:ascii="Calibri;sans-serif" w:hAnsi="Calibri;sans-serif"/>
          <w:b w:val="false"/>
          <w:sz w:val="20"/>
        </w:rPr>
        <w:t>As of December 31, 2022, the Company held no</w:t>
      </w:r>
      <w:r>
        <w:rPr>
          <w:rFonts w:ascii="Times New Roman" w:hAnsi="Times New Roman"/>
          <w:sz w:val="20"/>
        </w:rPr>
        <w:t xml:space="preserve"> </w:t>
      </w:r>
      <w:r>
        <w:rPr>
          <w:rFonts w:ascii="Calibri;sans-serif" w:hAnsi="Calibri;sans-serif"/>
          <w:b w:val="false"/>
          <w:sz w:val="20"/>
        </w:rPr>
        <w:t>investments.</w:t>
      </w:r>
    </w:p>
    <w:p>
      <w:pPr>
        <w:pStyle w:val="TextBody"/>
        <w:bidi w:val="0"/>
        <w:spacing w:before="240" w:after="0"/>
        <w:jc w:val="left"/>
        <w:rPr>
          <w:rFonts w:ascii="Calibri;sans-serif" w:hAnsi="Calibri;sans-serif"/>
          <w:b w:val="false"/>
          <w:i/>
          <w:sz w:val="20"/>
        </w:rPr>
      </w:pPr>
      <w:r>
        <w:rPr>
          <w:rFonts w:ascii="Calibri;sans-serif" w:hAnsi="Calibri;sans-serif"/>
          <w:b w:val="false"/>
          <w:i/>
          <w:sz w:val="20"/>
        </w:rPr>
        <w:t>Recent Accounting Pronouncements Not Yet Adopted</w:t>
      </w:r>
    </w:p>
    <w:p>
      <w:pPr>
        <w:pStyle w:val="TextBody"/>
        <w:bidi w:val="0"/>
        <w:spacing w:before="240" w:after="0"/>
        <w:jc w:val="both"/>
        <w:rPr>
          <w:rFonts w:ascii="Calibri;sans-serif" w:hAnsi="Calibri;sans-serif"/>
          <w:b w:val="false"/>
          <w:sz w:val="20"/>
        </w:rPr>
      </w:pPr>
      <w:r>
        <w:rPr>
          <w:rFonts w:ascii="Calibri;sans-serif" w:hAnsi="Calibri;sans-serif"/>
          <w:b w:val="false"/>
          <w:sz w:val="20"/>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June 30, 2023, there are no new material accounting pronouncements that the Company is considering adopting.</w:t>
      </w:r>
    </w:p>
    <w:p>
      <w:pPr>
        <w:pStyle w:val="TextBody"/>
        <w:bidi w:val="0"/>
        <w:spacing w:before="240" w:after="0"/>
        <w:jc w:val="left"/>
        <w:rPr>
          <w:rFonts w:ascii="Calibri;sans-serif" w:hAnsi="Calibri;sans-serif"/>
          <w:b/>
          <w:sz w:val="20"/>
        </w:rPr>
      </w:pPr>
      <w:r>
        <w:rPr>
          <w:rFonts w:ascii="Calibri;sans-serif" w:hAnsi="Calibri;sans-serif"/>
          <w:b/>
          <w:sz w:val="20"/>
        </w:rPr>
        <w:t>3. Revenue Recognition</w:t>
      </w:r>
    </w:p>
    <w:p>
      <w:pPr>
        <w:pStyle w:val="TextBody"/>
        <w:bidi w:val="0"/>
        <w:spacing w:before="0" w:after="0"/>
        <w:jc w:val="both"/>
        <w:rPr/>
      </w:pPr>
      <w:r>
        <w:rPr/>
        <w:t> </w:t>
      </w:r>
    </w:p>
    <w:p>
      <w:pPr>
        <w:pStyle w:val="TextBody"/>
        <w:bidi w:val="0"/>
        <w:spacing w:before="0" w:after="0"/>
        <w:jc w:val="both"/>
        <w:rPr>
          <w:rFonts w:ascii="Calibri;sans-serif" w:hAnsi="Calibri;sans-serif"/>
          <w:b w:val="false"/>
          <w:sz w:val="20"/>
        </w:rPr>
      </w:pPr>
      <w:r>
        <w:rPr>
          <w:rFonts w:ascii="Calibri;sans-serif" w:hAnsi="Calibri;sans-serif"/>
          <w:b w:val="false"/>
          <w:sz w:val="20"/>
        </w:rPr>
        <w:t>The following table summarizes revenue from contracts with customers by services and products for the three months ended June 30, 2023 and 2022 and for the six months ended June 30, 2023 and 2022:</w:t>
      </w:r>
    </w:p>
    <w:p>
      <w:pPr>
        <w:pStyle w:val="TextBody"/>
        <w:bidi w:val="0"/>
        <w:spacing w:before="0" w:after="0"/>
        <w:jc w:val="both"/>
        <w:rPr/>
      </w:pPr>
      <w:r>
        <w:rPr/>
        <w:t> </w:t>
      </w:r>
    </w:p>
    <w:tbl>
      <w:tblPr>
        <w:tblW w:w="7517" w:type="dxa"/>
        <w:jc w:val="left"/>
        <w:tblInd w:w="0" w:type="dxa"/>
        <w:tblLayout w:type="fixed"/>
        <w:tblCellMar>
          <w:top w:w="28" w:type="dxa"/>
          <w:left w:w="28" w:type="dxa"/>
          <w:bottom w:w="28" w:type="dxa"/>
          <w:right w:w="28" w:type="dxa"/>
        </w:tblCellMar>
      </w:tblPr>
      <w:tblGrid>
        <w:gridCol w:w="1936"/>
        <w:gridCol w:w="146"/>
        <w:gridCol w:w="211"/>
        <w:gridCol w:w="781"/>
        <w:gridCol w:w="146"/>
        <w:gridCol w:w="146"/>
        <w:gridCol w:w="211"/>
        <w:gridCol w:w="781"/>
        <w:gridCol w:w="146"/>
        <w:gridCol w:w="146"/>
        <w:gridCol w:w="211"/>
        <w:gridCol w:w="781"/>
        <w:gridCol w:w="146"/>
        <w:gridCol w:w="146"/>
        <w:gridCol w:w="211"/>
        <w:gridCol w:w="781"/>
        <w:gridCol w:w="5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170,950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163,926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338,077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327,215</w:t>
            </w:r>
          </w:p>
        </w:tc>
        <w:tc>
          <w:tcPr>
            <w:tcW w:w="5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Dealer-to-Dealer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97,064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202,555</w:t>
            </w:r>
          </w:p>
        </w:tc>
        <w:tc>
          <w:tcPr>
            <w:tcW w:w="5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Instant Max Cash Offer</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35,837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250,239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71,968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412,067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936"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provides disaggregation of revenue by services and products, by income statement presentation, by segment, and by geographic region.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Revenue by services and products is disaggregated by (i) marketplace services, (ii) Dealer-to-Dealer services and products, and (iii) Instant Max Cash Offer ("IMCO") services and products as disclosed above.</w:t>
      </w:r>
    </w:p>
    <w:p>
      <w:pPr>
        <w:pStyle w:val="TextBody"/>
        <w:bidi w:val="0"/>
        <w:spacing w:before="240" w:after="0"/>
        <w:jc w:val="both"/>
        <w:rPr>
          <w:rFonts w:ascii="Calibri;sans-serif" w:hAnsi="Calibri;sans-serif"/>
          <w:b w:val="false"/>
          <w:sz w:val="20"/>
        </w:rPr>
      </w:pPr>
      <w:r>
        <w:rPr>
          <w:rFonts w:ascii="Calibri;sans-serif" w:hAnsi="Calibri;sans-serif"/>
          <w:b w:val="false"/>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0"/>
        <w:jc w:val="both"/>
        <w:rPr>
          <w:rFonts w:ascii="Calibri;sans-serif" w:hAnsi="Calibri;sans-serif"/>
          <w:b w:val="false"/>
          <w:sz w:val="20"/>
        </w:rPr>
      </w:pPr>
      <w:r>
        <w:rPr>
          <w:rFonts w:ascii="Calibri;sans-serif" w:hAnsi="Calibri;sans-serif"/>
          <w:b w:val="false"/>
          <w:sz w:val="20"/>
        </w:rPr>
        <w:t>Revenue by segment is disaggregated by (i) U.S. Marketplace and (ii) Digital Wholesale segments as disclosed in Note 12 of these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0"/>
        <w:jc w:val="both"/>
        <w:rPr>
          <w:rFonts w:ascii="Calibri;sans-serif" w:hAnsi="Calibri;sans-serif"/>
          <w:b w:val="false"/>
          <w:sz w:val="20"/>
        </w:rPr>
      </w:pPr>
      <w:r>
        <w:rPr>
          <w:rFonts w:ascii="Calibri;sans-serif" w:hAnsi="Calibri;sans-serif"/>
          <w:b w:val="false"/>
          <w:sz w:val="20"/>
        </w:rPr>
        <w:t>Revenue by geographic region is disaggregated by (i) United States and (ii) International regions as disclosed in Note 12 of these Unaudited Condensed Consolidated Financial Statements. Marketplace services are provided in the United States and International regions. Dealer-to-Dealer and IMCO services and products are provided in the United States region.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 believes these categories best depict how the nature, amount, timing, and uncertainty of revenue and cash flows are affected by economic factors.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val="false"/>
          <w:sz w:val="20"/>
        </w:rPr>
        <w:t xml:space="preserve">ASC Topic 606, </w:t>
      </w:r>
      <w:r>
        <w:rPr>
          <w:rFonts w:ascii="Calibri;sans-serif" w:hAnsi="Calibri;sans-serif"/>
          <w:b w:val="false"/>
          <w:i/>
          <w:sz w:val="20"/>
        </w:rPr>
        <w:t>Revenue from Contracts with Customer</w:t>
      </w:r>
      <w:r>
        <w:rPr>
          <w:rFonts w:ascii="Calibri;sans-serif" w:hAnsi="Calibri;sans-serif"/>
          <w:b w:val="false"/>
          <w:sz w:val="20"/>
        </w:rPr>
        <w:t>s (“ASC 606”), requires that the Company disclose the aggregate amount of transaction price that is allocated to performance obligations that have not yet been satisfied as of the relevant quarter end.</w:t>
      </w:r>
    </w:p>
    <w:p>
      <w:pPr>
        <w:pStyle w:val="TextBody"/>
        <w:bidi w:val="0"/>
        <w:spacing w:before="240" w:after="0"/>
        <w:jc w:val="both"/>
        <w:rPr>
          <w:rFonts w:ascii="Times New Roman" w:hAnsi="Times New Roman"/>
          <w:sz w:val="20"/>
        </w:rPr>
      </w:pPr>
      <w:r>
        <w:rPr>
          <w:rFonts w:ascii="Calibri;sans-serif" w:hAnsi="Calibri;sans-serif"/>
          <w:b w:val="false"/>
          <w:sz w:val="20"/>
        </w:rPr>
        <w:t>For contracts with an original expected duration greater than one year, the aggregate amount of the transaction price allocated to the performance obligations that were unsatisfied as of June 30, 2023 was approximately $18.5</w:t>
      </w:r>
      <w:r>
        <w:rPr>
          <w:rFonts w:ascii="Times New Roman" w:hAnsi="Times New Roman"/>
          <w:sz w:val="20"/>
        </w:rPr>
        <w:t xml:space="preserve"> </w:t>
      </w:r>
      <w:r>
        <w:rPr>
          <w:rFonts w:ascii="Calibri;sans-serif" w:hAnsi="Calibri;sans-serif"/>
          <w:b w:val="false"/>
          <w:sz w:val="20"/>
        </w:rPr>
        <w:t>million, which the Company expects to recognize over the next twelve months.</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contracts with an original expected duration of one year or less, the Company has applied the practical expedient available under ASC 606 to not disclose the amount of transaction price allocated to unsatisfied performance obligations as of June 30, 2023. For performance obligations not satisfied as of June 30, 2023, and to which this expedient applies, the nature of the performance obligations, the variable consideration, and any consideration from contracts with customers not included in the transaction price is consistent with performance obligations satisfied as of June 30, 2023.</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revenue recognized from amounts included in deferred revenue at the beginning of the period was $20,808</w:t>
      </w:r>
      <w:r>
        <w:rPr>
          <w:rFonts w:ascii="Times New Roman" w:hAnsi="Times New Roman"/>
          <w:sz w:val="20"/>
        </w:rPr>
        <w:t xml:space="preserve"> </w:t>
      </w:r>
      <w:r>
        <w:rPr>
          <w:rFonts w:ascii="Calibri;sans-serif" w:hAnsi="Calibri;sans-serif"/>
          <w:b w:val="false"/>
          <w:sz w:val="20"/>
        </w:rPr>
        <w:t>and $12,776, respectively. For the six months ended June 30, 2023 and 2022, revenue recognized from amounts included in deferred revenue at the beginning of the period was $12,249</w:t>
      </w:r>
      <w:r>
        <w:rPr>
          <w:rFonts w:ascii="Times New Roman" w:hAnsi="Times New Roman"/>
          <w:sz w:val="20"/>
        </w:rPr>
        <w:t xml:space="preserve"> </w:t>
      </w:r>
      <w:r>
        <w:rPr>
          <w:rFonts w:ascii="Calibri;sans-serif" w:hAnsi="Calibri;sans-serif"/>
          <w:b w:val="false"/>
          <w:sz w:val="20"/>
        </w:rPr>
        <w:t>and $12,784, respectively.</w:t>
      </w:r>
    </w:p>
    <w:p>
      <w:pPr>
        <w:pStyle w:val="TextBody"/>
        <w:bidi w:val="0"/>
        <w:spacing w:before="240" w:after="0"/>
        <w:jc w:val="both"/>
        <w:rPr>
          <w:rFonts w:ascii="Calibri;sans-serif" w:hAnsi="Calibri;sans-serif"/>
          <w:b/>
          <w:sz w:val="20"/>
        </w:rPr>
      </w:pPr>
      <w:r>
        <w:rPr>
          <w:rFonts w:ascii="Calibri;sans-serif" w:hAnsi="Calibri;sans-serif"/>
          <w:b/>
          <w:sz w:val="20"/>
        </w:rPr>
        <w:t>4. Fair Value of Financial Instruments</w:t>
      </w:r>
    </w:p>
    <w:p>
      <w:pPr>
        <w:pStyle w:val="TextBody"/>
        <w:bidi w:val="0"/>
        <w:spacing w:before="240" w:after="0"/>
        <w:jc w:val="left"/>
        <w:rPr>
          <w:rFonts w:ascii="Calibri;sans-serif" w:hAnsi="Calibri;sans-serif"/>
          <w:b w:val="false"/>
          <w:sz w:val="20"/>
        </w:rPr>
      </w:pPr>
      <w:r>
        <w:rPr>
          <w:rFonts w:ascii="Calibri;sans-serif" w:hAnsi="Calibri;sans-serif"/>
          <w:b w:val="false"/>
          <w:sz w:val="20"/>
        </w:rPr>
        <w:t>As of June 30, 2023 and December 31, 2022, assets measured at fair value on a recurring basis consist of the following:</w:t>
      </w:r>
    </w:p>
    <w:p>
      <w:pPr>
        <w:pStyle w:val="TextBody"/>
        <w:bidi w:val="0"/>
        <w:spacing w:before="0" w:after="0"/>
        <w:jc w:val="left"/>
        <w:rPr/>
      </w:pPr>
      <w:r>
        <w:rPr/>
        <w:t> </w:t>
      </w:r>
    </w:p>
    <w:tbl>
      <w:tblPr>
        <w:tblW w:w="8706" w:type="dxa"/>
        <w:jc w:val="left"/>
        <w:tblInd w:w="0" w:type="dxa"/>
        <w:tblLayout w:type="fixed"/>
        <w:tblCellMar>
          <w:top w:w="28" w:type="dxa"/>
          <w:left w:w="28" w:type="dxa"/>
          <w:bottom w:w="28" w:type="dxa"/>
          <w:right w:w="28" w:type="dxa"/>
        </w:tblCellMar>
      </w:tblPr>
      <w:tblGrid>
        <w:gridCol w:w="2026"/>
        <w:gridCol w:w="146"/>
        <w:gridCol w:w="296"/>
        <w:gridCol w:w="1099"/>
        <w:gridCol w:w="146"/>
        <w:gridCol w:w="146"/>
        <w:gridCol w:w="510"/>
        <w:gridCol w:w="840"/>
        <w:gridCol w:w="146"/>
        <w:gridCol w:w="146"/>
        <w:gridCol w:w="578"/>
        <w:gridCol w:w="952"/>
        <w:gridCol w:w="146"/>
        <w:gridCol w:w="146"/>
        <w:gridCol w:w="211"/>
        <w:gridCol w:w="781"/>
        <w:gridCol w:w="3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4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Quoted Prices</w:t>
              <w:br/>
              <w:t>in Active Markets</w:t>
              <w:br/>
              <w:t>for Identical Assets</w:t>
              <w:br/>
              <w:t>(Level 1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Significant Other</w:t>
              <w:br/>
              <w:t>Observable Inputs</w:t>
              <w:br/>
              <w:t>(Level 2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Significant</w:t>
              <w:br/>
              <w:t>Unobservable Inputs</w:t>
              <w:br/>
              <w:t>(Level 3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2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02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Mutual funds</w:t>
            </w:r>
          </w:p>
        </w:tc>
        <w:tc>
          <w:tcPr>
            <w:tcW w:w="14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99"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204,560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204,560</w:t>
            </w:r>
          </w:p>
        </w:tc>
        <w:tc>
          <w:tcPr>
            <w:tcW w:w="3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02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Mutual funds</w:t>
            </w:r>
          </w:p>
        </w:tc>
        <w:tc>
          <w:tcPr>
            <w:tcW w:w="146" w:type="dxa"/>
            <w:tcBorders/>
            <w:vAlign w:val="center"/>
          </w:tcPr>
          <w:p>
            <w:pPr>
              <w:pStyle w:val="TableContents"/>
              <w:bidi w:val="0"/>
              <w:spacing w:before="0" w:after="0"/>
              <w:ind w:left="0" w:right="0" w:hanging="0"/>
              <w:jc w:val="left"/>
              <w:rPr/>
            </w:pPr>
            <w:r>
              <w:rPr/>
              <w:t> </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90,490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90,490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295,050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295,050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8166" w:type="dxa"/>
        <w:jc w:val="left"/>
        <w:tblInd w:w="0" w:type="dxa"/>
        <w:tblLayout w:type="fixed"/>
        <w:tblCellMar>
          <w:top w:w="28" w:type="dxa"/>
          <w:left w:w="28" w:type="dxa"/>
          <w:bottom w:w="28" w:type="dxa"/>
          <w:right w:w="28" w:type="dxa"/>
        </w:tblCellMar>
      </w:tblPr>
      <w:tblGrid>
        <w:gridCol w:w="1486"/>
        <w:gridCol w:w="146"/>
        <w:gridCol w:w="296"/>
        <w:gridCol w:w="1099"/>
        <w:gridCol w:w="146"/>
        <w:gridCol w:w="146"/>
        <w:gridCol w:w="510"/>
        <w:gridCol w:w="840"/>
        <w:gridCol w:w="146"/>
        <w:gridCol w:w="146"/>
        <w:gridCol w:w="578"/>
        <w:gridCol w:w="952"/>
        <w:gridCol w:w="146"/>
        <w:gridCol w:w="146"/>
        <w:gridCol w:w="211"/>
        <w:gridCol w:w="781"/>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4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Quoted Prices</w:t>
              <w:br/>
              <w:t>in Active Markets</w:t>
              <w:br/>
              <w:t>for Identical Assets</w:t>
              <w:br/>
              <w:t>(Level 1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Significant Other</w:t>
              <w:br/>
              <w:t>Observable Inputs</w:t>
              <w:br/>
              <w:t>(Level 2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Significant</w:t>
              <w:br/>
              <w:t>Unobservable Inputs</w:t>
              <w:br/>
              <w:t>(Level 3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48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Mutual funds</w:t>
            </w:r>
          </w:p>
        </w:tc>
        <w:tc>
          <w:tcPr>
            <w:tcW w:w="146" w:type="dxa"/>
            <w:tcBorders/>
            <w:vAlign w:val="center"/>
          </w:tcPr>
          <w:p>
            <w:pPr>
              <w:pStyle w:val="TableContents"/>
              <w:bidi w:val="0"/>
              <w:spacing w:before="0" w:after="0"/>
              <w:ind w:left="0" w:right="0" w:hanging="0"/>
              <w:jc w:val="left"/>
              <w:rPr/>
            </w:pPr>
            <w:r>
              <w:rPr/>
              <w:t> </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175,486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175,486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175,486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175,486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left"/>
        <w:rPr>
          <w:rFonts w:ascii="Calibri;sans-serif" w:hAnsi="Calibri;sans-serif"/>
          <w:b w:val="false"/>
          <w:sz w:val="20"/>
        </w:rPr>
      </w:pPr>
      <w:r>
        <w:rPr>
          <w:rFonts w:ascii="Calibri;sans-serif" w:hAnsi="Calibri;sans-serif"/>
          <w:b w:val="false"/>
          <w:sz w:val="20"/>
        </w:rPr>
        <w:t>For the three and six months ended June 30, 2023, unrealized gain on investments in equity securities were immaterial.</w:t>
      </w:r>
    </w:p>
    <w:p>
      <w:pPr>
        <w:pStyle w:val="TextBody"/>
        <w:bidi w:val="0"/>
        <w:spacing w:before="240" w:after="0"/>
        <w:jc w:val="left"/>
        <w:rPr>
          <w:rFonts w:ascii="Calibri;sans-serif" w:hAnsi="Calibri;sans-serif"/>
          <w:b w:val="false"/>
          <w:sz w:val="20"/>
        </w:rPr>
      </w:pPr>
      <w:r>
        <w:rPr>
          <w:rFonts w:ascii="Calibri;sans-serif" w:hAnsi="Calibri;sans-serif"/>
          <w:b w:val="false"/>
          <w:sz w:val="20"/>
        </w:rPr>
        <w:t>As of December 31, 2022, the Company did not have any investments.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sz w:val="20"/>
        </w:rPr>
      </w:pPr>
      <w:r>
        <w:rPr>
          <w:rFonts w:ascii="Calibri;sans-serif" w:hAnsi="Calibri;sans-serif"/>
          <w:b/>
          <w:sz w:val="20"/>
        </w:rPr>
        <w:t>5. Property and Equipment, Net</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property and equipment, net consist of the following:</w:t>
      </w:r>
      <w:r>
        <w:rPr>
          <w:rFonts w:ascii="Times New Roman" w:hAnsi="Times New Roman"/>
          <w:sz w:val="20"/>
        </w:rPr>
        <w:t xml:space="preserve"> </w:t>
      </w:r>
    </w:p>
    <w:p>
      <w:pPr>
        <w:pStyle w:val="TextBody"/>
        <w:bidi w:val="0"/>
        <w:spacing w:before="0" w:after="0"/>
        <w:jc w:val="both"/>
        <w:rPr/>
      </w:pPr>
      <w:r>
        <w:rPr/>
        <w:t> </w:t>
      </w:r>
    </w:p>
    <w:tbl>
      <w:tblPr>
        <w:tblW w:w="6812" w:type="dxa"/>
        <w:jc w:val="left"/>
        <w:tblInd w:w="0" w:type="dxa"/>
        <w:tblLayout w:type="fixed"/>
        <w:tblCellMar>
          <w:top w:w="28" w:type="dxa"/>
          <w:left w:w="28" w:type="dxa"/>
          <w:bottom w:w="28" w:type="dxa"/>
          <w:right w:w="28" w:type="dxa"/>
        </w:tblCellMar>
      </w:tblPr>
      <w:tblGrid>
        <w:gridCol w:w="3901"/>
        <w:gridCol w:w="146"/>
        <w:gridCol w:w="211"/>
        <w:gridCol w:w="736"/>
        <w:gridCol w:w="166"/>
        <w:gridCol w:w="146"/>
        <w:gridCol w:w="244"/>
        <w:gridCol w:w="851"/>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December 31,</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Capitalized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7,877</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Capitalized internal-use software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7,429</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Capitalized website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45,643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36,369</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8,904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8,615</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24,322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24,225</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4,161</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Finance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98,708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89,096</w:t>
            </w:r>
          </w:p>
        </w:tc>
        <w:tc>
          <w:tcPr>
            <w:tcW w:w="4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(48,968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390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48,243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40,128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depreciation and amortization expense, excluding amortization of intangible assets, amortization of capitalized hosting arrangements, and write-offs, was $4,160, $3,562, $8,202, and $7,042, respectively.</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the Company wrote off $9</w:t>
      </w:r>
      <w:r>
        <w:rPr>
          <w:rFonts w:ascii="Times New Roman" w:hAnsi="Times New Roman"/>
          <w:sz w:val="20"/>
        </w:rPr>
        <w:t xml:space="preserve"> </w:t>
      </w:r>
      <w:r>
        <w:rPr>
          <w:rFonts w:ascii="Calibri;sans-serif" w:hAnsi="Calibri;sans-serif"/>
          <w:b w:val="false"/>
          <w:sz w:val="20"/>
        </w:rPr>
        <w:t>of U.S. Marketplace segment capitalized website development costs within marketplace cost of revenue in the Unaudited Condensed Consolidated Income Statements, related to certain developed technology in which the Company has decided to cease investment. For the six months ended June 30, 2023, the Company wrote off $184</w:t>
      </w:r>
      <w:r>
        <w:rPr>
          <w:rFonts w:ascii="Times New Roman" w:hAnsi="Times New Roman"/>
          <w:sz w:val="20"/>
        </w:rPr>
        <w:t xml:space="preserve"> </w:t>
      </w:r>
      <w:r>
        <w:rPr>
          <w:rFonts w:ascii="Calibri;sans-serif" w:hAnsi="Calibri;sans-serif"/>
          <w:b w:val="false"/>
          <w:sz w:val="20"/>
        </w:rPr>
        <w:t>of Digital Wholesale and U.S. Marketplace capitalized website development costs within wholesale and marketplace cost of revenue, respectively, in the Unaudited Condensed Consolidated Income Statements related to certain developed technology in which the Company has decided to cease investment. For the three and six months ended June 30, 2022, the Company did not have any write-offs.</w:t>
      </w:r>
    </w:p>
    <w:p>
      <w:pPr>
        <w:pStyle w:val="TextBody"/>
        <w:bidi w:val="0"/>
        <w:spacing w:before="240" w:after="0"/>
        <w:jc w:val="both"/>
        <w:rPr>
          <w:rFonts w:ascii="Times New Roman" w:hAnsi="Times New Roman"/>
          <w:sz w:val="20"/>
        </w:rPr>
      </w:pPr>
      <w:r>
        <w:rPr>
          <w:rFonts w:ascii="Calibri;sans-serif" w:hAnsi="Calibri;sans-serif"/>
          <w:b w:val="false"/>
          <w:sz w:val="20"/>
        </w:rPr>
        <w:t>During the six months ended June 30, 2023, capitalized equipment decreased $6,580</w:t>
      </w:r>
      <w:r>
        <w:rPr>
          <w:rFonts w:ascii="Times New Roman" w:hAnsi="Times New Roman"/>
          <w:sz w:val="20"/>
        </w:rPr>
        <w:t xml:space="preserve"> </w:t>
      </w:r>
      <w:r>
        <w:rPr>
          <w:rFonts w:ascii="Calibri;sans-serif" w:hAnsi="Calibri;sans-serif"/>
          <w:b w:val="false"/>
          <w:sz w:val="20"/>
        </w:rPr>
        <w:t>due primarily to the disposal of the data center assets as a result of the Company's migration onto a cloud-based hosting platform.</w:t>
      </w:r>
    </w:p>
    <w:p>
      <w:pPr>
        <w:pStyle w:val="TextBody"/>
        <w:bidi w:val="0"/>
        <w:spacing w:before="240" w:after="0"/>
        <w:jc w:val="both"/>
        <w:rPr>
          <w:rFonts w:ascii="Times New Roman" w:hAnsi="Times New Roman"/>
          <w:sz w:val="20"/>
        </w:rPr>
      </w:pPr>
      <w:r>
        <w:rPr>
          <w:rFonts w:ascii="Calibri;sans-serif" w:hAnsi="Calibri;sans-serif"/>
          <w:b w:val="false"/>
          <w:sz w:val="20"/>
        </w:rPr>
        <w:t>During the six months ended June 30, 2023, capitalized website development costs increased $9,274</w:t>
      </w:r>
      <w:r>
        <w:rPr>
          <w:rFonts w:ascii="Times New Roman" w:hAnsi="Times New Roman"/>
          <w:sz w:val="20"/>
        </w:rPr>
        <w:t xml:space="preserve"> </w:t>
      </w:r>
      <w:r>
        <w:rPr>
          <w:rFonts w:ascii="Calibri;sans-serif" w:hAnsi="Calibri;sans-serif"/>
          <w:b w:val="false"/>
          <w:sz w:val="20"/>
        </w:rPr>
        <w:t>due to continued net investment in the Company's product offerings.</w:t>
      </w:r>
    </w:p>
    <w:p>
      <w:pPr>
        <w:pStyle w:val="TextBody"/>
        <w:bidi w:val="0"/>
        <w:spacing w:before="240" w:after="0"/>
        <w:jc w:val="both"/>
        <w:rPr>
          <w:rFonts w:ascii="Times New Roman" w:hAnsi="Times New Roman"/>
          <w:sz w:val="20"/>
        </w:rPr>
      </w:pPr>
      <w:r>
        <w:rPr>
          <w:rFonts w:ascii="Calibri;sans-serif" w:hAnsi="Calibri;sans-serif"/>
          <w:b w:val="false"/>
          <w:sz w:val="20"/>
        </w:rPr>
        <w:t>During the six months ended June 30, 2023, construction in progress costs increased $4,480</w:t>
      </w:r>
      <w:r>
        <w:rPr>
          <w:rFonts w:ascii="Times New Roman" w:hAnsi="Times New Roman"/>
          <w:sz w:val="20"/>
        </w:rPr>
        <w:t xml:space="preserve"> </w:t>
      </w:r>
      <w:r>
        <w:rPr>
          <w:rFonts w:ascii="Calibri;sans-serif" w:hAnsi="Calibri;sans-serif"/>
          <w:b w:val="false"/>
          <w:sz w:val="20"/>
        </w:rPr>
        <w:t>due to the buildout of the Company's future headquarters at 1001 Boylston Street, as discussed in Note 8 to these Unaudited Condensed Consolidated Financial Statements.</w:t>
      </w:r>
    </w:p>
    <w:p>
      <w:pPr>
        <w:pStyle w:val="TextBody"/>
        <w:bidi w:val="0"/>
        <w:spacing w:before="240" w:after="0"/>
        <w:jc w:val="both"/>
        <w:rPr>
          <w:rFonts w:ascii="Calibri;sans-serif" w:hAnsi="Calibri;sans-serif"/>
          <w:b/>
          <w:sz w:val="20"/>
        </w:rPr>
      </w:pPr>
      <w:r>
        <w:rPr>
          <w:rFonts w:ascii="Calibri;sans-serif" w:hAnsi="Calibri;sans-serif"/>
          <w:b/>
          <w:sz w:val="20"/>
        </w:rPr>
        <w:t>6. Accrued Expenses, Accrued Income Taxes, and Other Current Liabilities</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accrued expenses, accrued income taxes, and other current liabilities consist of the following:</w:t>
      </w:r>
      <w:r>
        <w:rPr>
          <w:rFonts w:ascii="Times New Roman" w:hAnsi="Times New Roman"/>
          <w:sz w:val="20"/>
        </w:rPr>
        <w:t xml:space="preserve"> </w:t>
      </w:r>
    </w:p>
    <w:p>
      <w:pPr>
        <w:pStyle w:val="TextBody"/>
        <w:bidi w:val="0"/>
        <w:spacing w:before="0" w:after="0"/>
        <w:jc w:val="both"/>
        <w:rPr/>
      </w:pPr>
      <w:r>
        <w:rPr/>
        <w:t> </w:t>
      </w:r>
    </w:p>
    <w:tbl>
      <w:tblPr>
        <w:tblW w:w="8927" w:type="dxa"/>
        <w:jc w:val="left"/>
        <w:tblInd w:w="0" w:type="dxa"/>
        <w:tblLayout w:type="fixed"/>
        <w:tblCellMar>
          <w:top w:w="28" w:type="dxa"/>
          <w:left w:w="28" w:type="dxa"/>
          <w:bottom w:w="28" w:type="dxa"/>
          <w:right w:w="28" w:type="dxa"/>
        </w:tblCellMar>
      </w:tblPr>
      <w:tblGrid>
        <w:gridCol w:w="6016"/>
        <w:gridCol w:w="146"/>
        <w:gridCol w:w="211"/>
        <w:gridCol w:w="676"/>
        <w:gridCol w:w="146"/>
        <w:gridCol w:w="146"/>
        <w:gridCol w:w="260"/>
        <w:gridCol w:w="835"/>
        <w:gridCol w:w="49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December 31,</w:t>
              <w:b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1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Accrued bonus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35"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11,007</w:t>
            </w:r>
          </w:p>
        </w:tc>
        <w:tc>
          <w:tcPr>
            <w:tcW w:w="49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accrued expenses, accrued income taxes,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24,493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28,186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016"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36,367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39,193</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sz w:val="20"/>
        </w:rPr>
        <w:t>7. Debt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the Company had no</w:t>
      </w:r>
      <w:r>
        <w:rPr>
          <w:rFonts w:ascii="Times New Roman" w:hAnsi="Times New Roman"/>
          <w:sz w:val="20"/>
        </w:rPr>
        <w:t xml:space="preserve"> </w:t>
      </w:r>
      <w:r>
        <w:rPr>
          <w:rFonts w:ascii="Calibri;sans-serif" w:hAnsi="Calibri;sans-serif"/>
          <w:b w:val="false"/>
          <w:sz w:val="20"/>
        </w:rPr>
        <w:t>long-term debt outstanding.</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Revolving Credit Facility</w:t>
      </w:r>
    </w:p>
    <w:p>
      <w:pPr>
        <w:pStyle w:val="TextBody"/>
        <w:bidi w:val="0"/>
        <w:spacing w:before="240" w:after="0"/>
        <w:jc w:val="both"/>
        <w:rPr>
          <w:rFonts w:ascii="Times New Roman" w:hAnsi="Times New Roman"/>
          <w:sz w:val="20"/>
        </w:rPr>
      </w:pPr>
      <w:r>
        <w:rPr>
          <w:rFonts w:ascii="Calibri;sans-serif" w:hAnsi="Calibri;sans-serif"/>
          <w:b w:val="false"/>
          <w:sz w:val="20"/>
        </w:rPr>
        <w:t>On September 26, 2022, the Company entered into a Credit Agreement (the “Credit Agreement”) by and among the Company, PNC Bank, National Association, as administrative agent and collateral agent and an L/C Issuer (as defined in the Credit Agreement), and the other lenders, L/C Issuers, and parties thereto from time to time. The Credit Agreement consists of a revolving credit facility (the “2022 Revolver”), which allows the Company to borrow up to $400.0</w:t>
      </w:r>
      <w:r>
        <w:rPr>
          <w:rFonts w:ascii="Times New Roman" w:hAnsi="Times New Roman"/>
          <w:sz w:val="20"/>
        </w:rPr>
        <w:t xml:space="preserve"> </w:t>
      </w:r>
      <w:r>
        <w:rPr>
          <w:rFonts w:ascii="Calibri;sans-serif" w:hAnsi="Calibri;sans-serif"/>
          <w:b w:val="false"/>
          <w:sz w:val="20"/>
        </w:rPr>
        <w:t>million, $50.0</w:t>
      </w:r>
      <w:r>
        <w:rPr>
          <w:rFonts w:ascii="Times New Roman" w:hAnsi="Times New Roman"/>
          <w:sz w:val="20"/>
        </w:rPr>
        <w:t xml:space="preserve"> </w:t>
      </w:r>
      <w:r>
        <w:rPr>
          <w:rFonts w:ascii="Calibri;sans-serif" w:hAnsi="Calibri;sans-serif"/>
          <w:b w:val="false"/>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For example, the borrowing capacity may be increased by an amount up to the greater of $250.0</w:t>
      </w:r>
      <w:r>
        <w:rPr>
          <w:rFonts w:ascii="Times New Roman" w:hAnsi="Times New Roman"/>
          <w:sz w:val="20"/>
        </w:rPr>
        <w:t xml:space="preserve"> </w:t>
      </w:r>
      <w:r>
        <w:rPr>
          <w:rFonts w:ascii="Calibri;sans-serif" w:hAnsi="Calibri;sans-serif"/>
          <w:b w:val="false"/>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2022 Revolver is secured by a first priority lien on substantially all tangible and intangible property of the Company and its subsidiary, AutoList, Inc., as well as any future guarantors, and pledges of the equity of CarOffer and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June 30, 2023.</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there were no</w:t>
      </w:r>
      <w:r>
        <w:rPr>
          <w:rFonts w:ascii="Times New Roman" w:hAnsi="Times New Roman"/>
          <w:sz w:val="20"/>
        </w:rPr>
        <w:t xml:space="preserve"> </w:t>
      </w:r>
      <w:r>
        <w:rPr>
          <w:rFonts w:ascii="Calibri;sans-serif" w:hAnsi="Calibri;sans-serif"/>
          <w:b w:val="false"/>
          <w:sz w:val="20"/>
        </w:rPr>
        <w:t>borrowings and $742</w:t>
      </w:r>
      <w:r>
        <w:rPr>
          <w:rFonts w:ascii="Times New Roman" w:hAnsi="Times New Roman"/>
          <w:sz w:val="20"/>
        </w:rPr>
        <w:t xml:space="preserve"> </w:t>
      </w:r>
      <w:r>
        <w:rPr>
          <w:rFonts w:ascii="Calibri;sans-serif" w:hAnsi="Calibri;sans-serif"/>
          <w:b w:val="false"/>
          <w:sz w:val="20"/>
        </w:rPr>
        <w:t>in letters of credit outstanding, which reduces the borrowing capacity under the 2022 Revolver to $399,258. As of December 31, 2022, there were no</w:t>
      </w:r>
      <w:r>
        <w:rPr>
          <w:rFonts w:ascii="Times New Roman" w:hAnsi="Times New Roman"/>
          <w:sz w:val="20"/>
        </w:rPr>
        <w:t xml:space="preserve"> </w:t>
      </w:r>
      <w:r>
        <w:rPr>
          <w:rFonts w:ascii="Calibri;sans-serif" w:hAnsi="Calibri;sans-serif"/>
          <w:b w:val="false"/>
          <w:sz w:val="20"/>
        </w:rPr>
        <w:t>borrowings and no</w:t>
      </w:r>
      <w:r>
        <w:rPr>
          <w:rFonts w:ascii="Times New Roman" w:hAnsi="Times New Roman"/>
          <w:sz w:val="20"/>
        </w:rPr>
        <w:t xml:space="preserve"> </w:t>
      </w:r>
      <w:r>
        <w:rPr>
          <w:rFonts w:ascii="Calibri;sans-serif" w:hAnsi="Calibri;sans-serif"/>
          <w:b w:val="false"/>
          <w:sz w:val="20"/>
        </w:rPr>
        <w:t>letters of credit outstanding under the 2022 Revolver.</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deferred financing costs were $2,184. As of December 31, 2022, deferred financing costs were $2,442. For the three and six months ended June 30, 2023, amortization expense associated with deferred financing costs were $129</w:t>
      </w:r>
      <w:r>
        <w:rPr>
          <w:rFonts w:ascii="Times New Roman" w:hAnsi="Times New Roman"/>
          <w:sz w:val="20"/>
        </w:rPr>
        <w:t xml:space="preserve"> </w:t>
      </w:r>
      <w:r>
        <w:rPr>
          <w:rFonts w:ascii="Calibri;sans-serif" w:hAnsi="Calibri;sans-serif"/>
          <w:b w:val="false"/>
          <w:sz w:val="20"/>
        </w:rPr>
        <w:t>and $258, respectively. For the three and six months ended June 30, 2022, the Company did not recognize any amortization expense associated with deferred financing costs.</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and December 31, 2022, commitment fees under the 2022 Revolver were immaterial.</w:t>
      </w:r>
    </w:p>
    <w:p>
      <w:pPr>
        <w:pStyle w:val="TextBody"/>
        <w:bidi w:val="0"/>
        <w:spacing w:before="240" w:after="0"/>
        <w:jc w:val="both"/>
        <w:rPr>
          <w:rFonts w:ascii="Times New Roman" w:hAnsi="Times New Roman"/>
          <w:sz w:val="20"/>
        </w:rPr>
      </w:pPr>
      <w:r>
        <w:rPr>
          <w:rFonts w:ascii="Calibri;sans-serif" w:hAnsi="Calibri;sans-serif"/>
          <w:b/>
          <w:sz w:val="20"/>
        </w:rPr>
        <w:t>8. Commitments and Contingencies</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Contractual Obligations and Commitments</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all of the Company’s property, equipment, and externally sourced internal-use software have been purchased with cash with the exception of amounts related to unpaid property and equipment, capitalized website development, capitalized internal-use software and capitalized hosting arrangements, and amounts</w:t>
      </w:r>
      <w:r>
        <w:rPr>
          <w:rFonts w:ascii="Times New Roman" w:hAnsi="Times New Roman"/>
          <w:sz w:val="20"/>
        </w:rPr>
        <w:t xml:space="preserve"> </w:t>
      </w:r>
      <w:r>
        <w:rPr>
          <w:rFonts w:ascii="Calibri;sans-serif" w:hAnsi="Calibri;sans-serif"/>
          <w:b w:val="false"/>
          <w:sz w:val="20"/>
        </w:rPr>
        <w:t>related to obligations under finance leases as disclosed in the Unaudited Condensed Consolidated Statements of Cash Flows. In connection with the 1001 Boylston Street lease, the Company expects to spend approximately $69,815, net of tenant reimbursements. As of June 30, 2023, the Company has incurred $8,835</w:t>
      </w:r>
      <w:r>
        <w:rPr>
          <w:rFonts w:ascii="Times New Roman" w:hAnsi="Times New Roman"/>
          <w:sz w:val="20"/>
        </w:rPr>
        <w:t xml:space="preserve"> </w:t>
      </w:r>
      <w:r>
        <w:rPr>
          <w:rFonts w:ascii="Calibri;sans-serif" w:hAnsi="Calibri;sans-serif"/>
          <w:b w:val="false"/>
          <w:sz w:val="20"/>
        </w:rPr>
        <w:t>in expenses, of which $8,641</w:t>
      </w:r>
      <w:r>
        <w:rPr>
          <w:rFonts w:ascii="Times New Roman" w:hAnsi="Times New Roman"/>
          <w:sz w:val="20"/>
        </w:rPr>
        <w:t xml:space="preserve"> </w:t>
      </w:r>
      <w:r>
        <w:rPr>
          <w:rFonts w:ascii="Calibri;sans-serif" w:hAnsi="Calibri;sans-serif"/>
          <w:b w:val="false"/>
          <w:sz w:val="20"/>
        </w:rPr>
        <w:t>was capitalized. The Company has also signed $2,526</w:t>
      </w:r>
      <w:r>
        <w:rPr>
          <w:rFonts w:ascii="Times New Roman" w:hAnsi="Times New Roman"/>
          <w:sz w:val="20"/>
        </w:rPr>
        <w:t xml:space="preserve"> </w:t>
      </w:r>
      <w:r>
        <w:rPr>
          <w:rFonts w:ascii="Calibri;sans-serif" w:hAnsi="Calibri;sans-serif"/>
          <w:b w:val="false"/>
          <w:sz w:val="20"/>
        </w:rPr>
        <w:t>in contract commitments, which have not yet been incurred. The Company has no other material long-term purchase obligations outstanding with any vendors or third-parties.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Leases</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Company’s lease obligations consist substantially of various leases for office space in: Boston, Massachusetts; Cambridge, Massachusetts; San Francisco, California; Addison, Texas; and Dublin, Ireland.</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there were no material changes in the Company’s leases from those disclosed in the Annual Report, other than those described below.</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New Material Leases</w:t>
      </w:r>
    </w:p>
    <w:p>
      <w:pPr>
        <w:pStyle w:val="TextBody"/>
        <w:bidi w:val="0"/>
        <w:spacing w:before="240" w:after="0"/>
        <w:jc w:val="both"/>
        <w:rPr>
          <w:rFonts w:ascii="Times New Roman" w:hAnsi="Times New Roman"/>
          <w:sz w:val="20"/>
        </w:rPr>
      </w:pPr>
      <w:r>
        <w:rPr>
          <w:rFonts w:ascii="Calibri;sans-serif" w:hAnsi="Calibri;sans-serif"/>
          <w:b w:val="false"/>
          <w:sz w:val="20"/>
        </w:rPr>
        <w:t>The Company’s operating lease agreement in Boston, Massachusetts for 225,428</w:t>
      </w:r>
      <w:r>
        <w:rPr>
          <w:rFonts w:ascii="Times New Roman" w:hAnsi="Times New Roman"/>
          <w:sz w:val="20"/>
        </w:rPr>
        <w:t xml:space="preserve"> </w:t>
      </w:r>
      <w:r>
        <w:rPr>
          <w:rFonts w:ascii="Calibri;sans-serif" w:hAnsi="Calibri;sans-serif"/>
          <w:b w:val="false"/>
          <w:sz w:val="20"/>
        </w:rPr>
        <w:t>square feet at 1001 Boylston Street (the "1001 Boylston Street Lease") commenced on February 3, 2023 ("Delivery Date") as the Company has been granted access to begin its build out. The “Commencement Date” of the lease term is the earlier to occur of (i) the date that is 12 months following the Delivery Date and (ii) the date that the Company first occupies the premises for the normal conduct of business for the Permitted Use (as defined in the 1001 Boylston Street Lease). The initial term will commence on the Commencement Date and expire on the date that is 180 full calendar months after the Commencement Date (plus the partial month, if any, immediately following the Commencement Date). The 1001 Boylston Street Lease provides for the option to terminate early under certain circumstances and contains options to extend</w:t>
      </w:r>
      <w:r>
        <w:rPr>
          <w:rFonts w:ascii="Calibri;sans-serif" w:hAnsi="Calibri;sans-serif"/>
          <w:sz w:val="20"/>
        </w:rPr>
        <w:t xml:space="preserve"> </w:t>
      </w:r>
      <w:r>
        <w:rPr>
          <w:rFonts w:ascii="Calibri;sans-serif" w:hAnsi="Calibri;sans-serif"/>
          <w:b w:val="false"/>
          <w:sz w:val="20"/>
        </w:rPr>
        <w:t>the lease term for two additional periods of five years.</w:t>
      </w:r>
      <w:r>
        <w:rPr>
          <w:rFonts w:ascii="Times New Roman" w:hAnsi="Times New Roman"/>
          <w:sz w:val="20"/>
        </w:rPr>
        <w:t xml:space="preserve"> </w:t>
      </w:r>
      <w:r>
        <w:rPr>
          <w:rFonts w:ascii="Calibri;sans-serif" w:hAnsi="Calibri;sans-serif"/>
          <w:b w:val="false"/>
          <w:sz w:val="20"/>
        </w:rPr>
        <w:t>The 1001 Boylston Street Lease provides for annual rent increases through the term of the lease, leasehold improvement incentives, and variable payments related to operating expenses, management fees, taxes, utilities, insurance, and maintenance expenses. The 1001 Boylston Street Lease also contains both lease and non-lease components. Non-lease components relate to operating expenses, parking, utilities, and maintenance expenses. The Company expects to move into the office space in 2024.</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Lease Commitments</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future minimum lease payments for all leases are as follows:</w:t>
      </w:r>
    </w:p>
    <w:p>
      <w:pPr>
        <w:pStyle w:val="TextBody"/>
        <w:bidi w:val="0"/>
        <w:spacing w:before="0" w:after="0"/>
        <w:jc w:val="both"/>
        <w:rPr/>
      </w:pPr>
      <w:r>
        <w:rPr/>
        <w:t> </w:t>
      </w:r>
    </w:p>
    <w:tbl>
      <w:tblPr>
        <w:tblW w:w="3604" w:type="dxa"/>
        <w:jc w:val="left"/>
        <w:tblInd w:w="0" w:type="dxa"/>
        <w:tblLayout w:type="fixed"/>
        <w:tblCellMar>
          <w:top w:w="28" w:type="dxa"/>
          <w:left w:w="28" w:type="dxa"/>
          <w:bottom w:w="28" w:type="dxa"/>
          <w:right w:w="28" w:type="dxa"/>
        </w:tblCellMar>
      </w:tblPr>
      <w:tblGrid>
        <w:gridCol w:w="1951"/>
        <w:gridCol w:w="146"/>
        <w:gridCol w:w="219"/>
        <w:gridCol w:w="877"/>
        <w:gridCol w:w="4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Operating </w:t>
              <w:br/>
              <w:t>Lease</w:t>
              <w:br/>
              <w:t>Commitments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Remainder of 2023</w:t>
            </w:r>
          </w:p>
        </w:tc>
        <w:tc>
          <w:tcPr>
            <w:tcW w:w="146"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7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5,974</w:t>
            </w:r>
          </w:p>
        </w:tc>
        <w:tc>
          <w:tcPr>
            <w:tcW w:w="4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2024</w:t>
            </w:r>
          </w:p>
        </w:tc>
        <w:tc>
          <w:tcPr>
            <w:tcW w:w="146"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15,922</w:t>
            </w:r>
          </w:p>
        </w:tc>
        <w:tc>
          <w:tcPr>
            <w:tcW w:w="4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2025</w:t>
            </w:r>
          </w:p>
        </w:tc>
        <w:tc>
          <w:tcPr>
            <w:tcW w:w="146"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18,592</w:t>
            </w:r>
          </w:p>
        </w:tc>
        <w:tc>
          <w:tcPr>
            <w:tcW w:w="4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2026</w:t>
            </w:r>
          </w:p>
        </w:tc>
        <w:tc>
          <w:tcPr>
            <w:tcW w:w="146"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22,334</w:t>
            </w:r>
          </w:p>
        </w:tc>
        <w:tc>
          <w:tcPr>
            <w:tcW w:w="4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2027</w:t>
            </w:r>
          </w:p>
        </w:tc>
        <w:tc>
          <w:tcPr>
            <w:tcW w:w="146"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22,742</w:t>
            </w:r>
          </w:p>
        </w:tc>
        <w:tc>
          <w:tcPr>
            <w:tcW w:w="4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Thereafter</w:t>
            </w:r>
          </w:p>
        </w:tc>
        <w:tc>
          <w:tcPr>
            <w:tcW w:w="146" w:type="dxa"/>
            <w:tcBorders/>
            <w:vAlign w:val="center"/>
          </w:tcPr>
          <w:p>
            <w:pPr>
              <w:pStyle w:val="TableContents"/>
              <w:bidi w:val="0"/>
              <w:spacing w:before="0" w:after="0"/>
              <w:ind w:left="0" w:right="0" w:hanging="0"/>
              <w:jc w:val="righ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231,155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95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 lease payments</w:t>
            </w:r>
          </w:p>
        </w:tc>
        <w:tc>
          <w:tcPr>
            <w:tcW w:w="146"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7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316,719</w:t>
            </w:r>
          </w:p>
        </w:tc>
        <w:tc>
          <w:tcPr>
            <w:tcW w:w="4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Less imputed interest</w:t>
            </w:r>
          </w:p>
        </w:tc>
        <w:tc>
          <w:tcPr>
            <w:tcW w:w="146" w:type="dxa"/>
            <w:tcBorders/>
            <w:vAlign w:val="center"/>
          </w:tcPr>
          <w:p>
            <w:pPr>
              <w:pStyle w:val="TableContents"/>
              <w:bidi w:val="0"/>
              <w:spacing w:before="0" w:after="0"/>
              <w:ind w:left="0" w:right="0" w:hanging="0"/>
              <w:jc w:val="righ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(109,665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195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207,054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The table above does not include leases signed but not yet commenced as of June 30, 2023. As of June 30, 2023, total estimated future minimum lease payments for leases signed but not yet commenced are estimated to be</w:t>
      </w:r>
      <w:r>
        <w:rPr>
          <w:rFonts w:ascii="Times New Roman" w:hAnsi="Times New Roman"/>
          <w:sz w:val="20"/>
        </w:rPr>
        <w:t xml:space="preserve"> </w:t>
      </w:r>
      <w:r>
        <w:rPr>
          <w:rFonts w:ascii="Calibri;sans-serif" w:hAnsi="Calibri;sans-serif"/>
          <w:b w:val="false"/>
          <w:sz w:val="20"/>
        </w:rPr>
        <w:t>$1,093. The lease is expected to commence in the current fiscal year with lease terms of approximately two years.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the Company recognized $9,103, $4,176, $16,547, and $8,228</w:t>
      </w:r>
      <w:r>
        <w:rPr>
          <w:rFonts w:ascii="Times New Roman" w:hAnsi="Times New Roman"/>
          <w:sz w:val="20"/>
        </w:rPr>
        <w:t xml:space="preserve"> </w:t>
      </w:r>
      <w:r>
        <w:rPr>
          <w:rFonts w:ascii="Calibri;sans-serif" w:hAnsi="Calibri;sans-serif"/>
          <w:b w:val="false"/>
          <w:sz w:val="20"/>
        </w:rPr>
        <w:t>of lease costs, respectively.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the weighted average remaining lease term was 13.2</w:t>
      </w:r>
      <w:r>
        <w:rPr>
          <w:rFonts w:ascii="Calibri;sans-serif" w:hAnsi="Calibri;sans-serif"/>
          <w:sz w:val="20"/>
        </w:rPr>
        <w:t xml:space="preserve"> </w:t>
      </w:r>
      <w:r>
        <w:rPr>
          <w:rFonts w:ascii="Calibri;sans-serif" w:hAnsi="Calibri;sans-serif"/>
          <w:b w:val="false"/>
          <w:sz w:val="20"/>
        </w:rPr>
        <w:t>years, and the weighted average discount rate was 5.7%.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Calibri;sans-serif" w:hAnsi="Calibri;sans-serif"/>
          <w:b w:val="false"/>
          <w:i/>
          <w:sz w:val="20"/>
        </w:rPr>
      </w:pPr>
      <w:r>
        <w:rPr>
          <w:rFonts w:ascii="Calibri;sans-serif" w:hAnsi="Calibri;sans-serif"/>
          <w:b w:val="false"/>
          <w:i/>
          <w:sz w:val="20"/>
        </w:rPr>
        <w:t>Sublease Income</w:t>
      </w:r>
    </w:p>
    <w:p>
      <w:pPr>
        <w:pStyle w:val="TextBody"/>
        <w:bidi w:val="0"/>
        <w:spacing w:before="240" w:after="0"/>
        <w:jc w:val="both"/>
        <w:rPr>
          <w:rFonts w:ascii="Times New Roman" w:hAnsi="Times New Roman"/>
          <w:sz w:val="20"/>
        </w:rPr>
      </w:pPr>
      <w:r>
        <w:rPr>
          <w:rFonts w:ascii="Calibri;sans-serif" w:hAnsi="Calibri;sans-serif"/>
          <w:b w:val="false"/>
          <w:sz w:val="20"/>
        </w:rPr>
        <w:t>As of</w:t>
      </w:r>
      <w:r>
        <w:rPr>
          <w:rFonts w:ascii="Times New Roman" w:hAnsi="Times New Roman"/>
          <w:sz w:val="20"/>
        </w:rPr>
        <w:t xml:space="preserve"> </w:t>
      </w:r>
      <w:r>
        <w:rPr>
          <w:rFonts w:ascii="Calibri;sans-serif" w:hAnsi="Calibri;sans-serif"/>
          <w:b w:val="false"/>
          <w:sz w:val="20"/>
        </w:rPr>
        <w:t>June 30, 2023, future minimum sublease income payments are as follows:</w:t>
      </w:r>
    </w:p>
    <w:p>
      <w:pPr>
        <w:pStyle w:val="TextBody"/>
        <w:bidi w:val="0"/>
        <w:spacing w:before="0" w:after="0"/>
        <w:jc w:val="left"/>
        <w:rPr/>
      </w:pPr>
      <w:r>
        <w:rPr/>
        <w:t> </w:t>
      </w:r>
    </w:p>
    <w:tbl>
      <w:tblPr>
        <w:tblW w:w="3923" w:type="dxa"/>
        <w:jc w:val="left"/>
        <w:tblInd w:w="0" w:type="dxa"/>
        <w:tblLayout w:type="fixed"/>
        <w:tblCellMar>
          <w:top w:w="28" w:type="dxa"/>
          <w:left w:w="28" w:type="dxa"/>
          <w:bottom w:w="28" w:type="dxa"/>
          <w:right w:w="28" w:type="dxa"/>
        </w:tblCellMar>
      </w:tblPr>
      <w:tblGrid>
        <w:gridCol w:w="1951"/>
        <w:gridCol w:w="146"/>
        <w:gridCol w:w="360"/>
        <w:gridCol w:w="975"/>
        <w:gridCol w:w="4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Sublease</w:t>
              <w:br/>
              <w:t>Income Payments</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75"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1,120</w:t>
            </w:r>
          </w:p>
        </w:tc>
        <w:tc>
          <w:tcPr>
            <w:tcW w:w="4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1,951</w:t>
            </w:r>
          </w:p>
        </w:tc>
        <w:tc>
          <w:tcPr>
            <w:tcW w:w="4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1,023</w:t>
            </w:r>
          </w:p>
        </w:tc>
        <w:tc>
          <w:tcPr>
            <w:tcW w:w="4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1951"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4,094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i/>
          <w:sz w:val="20"/>
        </w:rPr>
      </w:pPr>
      <w:r>
        <w:rPr>
          <w:rFonts w:ascii="Calibri;sans-serif" w:hAnsi="Calibri;sans-serif"/>
          <w:b w:val="false"/>
          <w:i/>
          <w:sz w:val="20"/>
        </w:rPr>
        <w:t>Restricted Cash</w:t>
      </w:r>
    </w:p>
    <w:p>
      <w:pPr>
        <w:pStyle w:val="TextBody"/>
        <w:bidi w:val="0"/>
        <w:spacing w:before="240" w:after="0"/>
        <w:jc w:val="both"/>
        <w:rPr>
          <w:rFonts w:ascii="Times New Roman" w:hAnsi="Times New Roman"/>
          <w:sz w:val="20"/>
        </w:rPr>
      </w:pPr>
      <w:r>
        <w:rPr>
          <w:rFonts w:ascii="Calibri;sans-serif" w:hAnsi="Calibri;sans-serif"/>
          <w:b w:val="false"/>
          <w:sz w:val="20"/>
        </w:rPr>
        <w:t>The 1001 Boylston Street Lease and the Company’s leases in Cambridge, Massachusetts and San Francisco, California have associated letters of credit. As of December 31, 2022, all letters of credit were collateralized by cash, which was recognized as restricted cash in the Unaudited Condensed Consolidated Balance Sheets. As of June 30, 2023, $742</w:t>
      </w:r>
      <w:r>
        <w:rPr>
          <w:rFonts w:ascii="Times New Roman" w:hAnsi="Times New Roman"/>
          <w:sz w:val="20"/>
        </w:rPr>
        <w:t xml:space="preserve"> </w:t>
      </w:r>
      <w:r>
        <w:rPr>
          <w:rFonts w:ascii="Calibri;sans-serif" w:hAnsi="Calibri;sans-serif"/>
          <w:b w:val="false"/>
          <w:sz w:val="20"/>
        </w:rPr>
        <w:t>of letters of credit were included under the 2022 Revolver Sub-facility, as the Company canceled two letters of credit associated with the San Francisco and the Cambridge (55 Cambridge Parkway) leases and reissued these letters of credit under the 2022 Revolver Sub-facility. As of June 30, 2023, $8,885</w:t>
      </w:r>
      <w:r>
        <w:rPr>
          <w:rFonts w:ascii="Times New Roman" w:hAnsi="Times New Roman"/>
          <w:sz w:val="20"/>
        </w:rPr>
        <w:t xml:space="preserve"> </w:t>
      </w:r>
      <w:r>
        <w:rPr>
          <w:rFonts w:ascii="Calibri;sans-serif" w:hAnsi="Calibri;sans-serif"/>
          <w:b w:val="false"/>
          <w:sz w:val="20"/>
        </w:rPr>
        <w:t>of letters of credit associated with the 1001 Boylston Street Lease remained collateralized by cash, which was recognized as restricted cash in the Unaudited Condensed Consolidated Balance Sheets. The Company expects to cancel the letter of credit associated with the 1001 Boylston Street Lease and reissue a new letter of credit under the 2022 Revolver Sub-facility in the next 12 months.</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restricted cash was $11,561</w:t>
      </w:r>
      <w:r>
        <w:rPr>
          <w:rFonts w:ascii="Times New Roman" w:hAnsi="Times New Roman"/>
          <w:sz w:val="20"/>
        </w:rPr>
        <w:t xml:space="preserve"> </w:t>
      </w:r>
      <w:r>
        <w:rPr>
          <w:rFonts w:ascii="Calibri;sans-serif" w:hAnsi="Calibri;sans-serif"/>
          <w:b w:val="false"/>
          <w:sz w:val="20"/>
        </w:rPr>
        <w:t>and $14,615, respectively, and primarily related to cash held at a financial institution in an interest</w:t>
        <w:noBreakHyphen/>
        <w:t>bearing cash account as collateral for the letters of credit related to the contractual provisions for the Company’s building lease and pass-through payments from customers related to the Company’s wholesale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As of December 31, 2022, portions of restricted cash were classified as a short-term asset and long</w:t>
        <w:noBreakHyphen/>
        <w:t>term asset, as disclosed in the Unaudited Condensed Consolidated Balance Sheets. During the six months ended June 30, 2023, the Company</w:t>
      </w:r>
      <w:r>
        <w:rPr>
          <w:rFonts w:ascii="Times New Roman" w:hAnsi="Times New Roman"/>
          <w:sz w:val="20"/>
        </w:rPr>
        <w:t xml:space="preserve"> </w:t>
      </w:r>
      <w:r>
        <w:rPr>
          <w:rFonts w:ascii="Calibri;sans-serif" w:hAnsi="Calibri;sans-serif"/>
          <w:b w:val="false"/>
          <w:sz w:val="20"/>
        </w:rPr>
        <w:t>reclassified $9,378</w:t>
      </w:r>
      <w:r>
        <w:rPr>
          <w:rFonts w:ascii="Times New Roman" w:hAnsi="Times New Roman"/>
          <w:sz w:val="20"/>
        </w:rPr>
        <w:t xml:space="preserve"> </w:t>
      </w:r>
      <w:r>
        <w:rPr>
          <w:rFonts w:ascii="Calibri;sans-serif" w:hAnsi="Calibri;sans-serif"/>
          <w:b w:val="false"/>
          <w:sz w:val="20"/>
        </w:rPr>
        <w:t>of letters of credit from a long-term asset to a short-term asset as the Company expects to cancel and reissue the remaining letters of credit, outstanding as of December 31, 2022, under the 2022 Revolver Sub-facility in the next 12 months. Of the letters of credit outstanding as of December 31, 2022, the Company canceled a letter of credit associated with the Cambridge (2 Canal Park) lease, however, the cash was recognized as restricted cash as of March 31, 2023, until it was released from the bank. During the three months ended June 30, 2023, the Company released the cash associated with the Cambridge (2 Canal Park) lease. As of June 30, 2023, all restricted cash was classified as a short-term asset, as disclosed in the Unaudited Condensed Consolidated Balance Sheets.</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Acquisitions</w:t>
      </w:r>
    </w:p>
    <w:p>
      <w:pPr>
        <w:pStyle w:val="TextBody"/>
        <w:bidi w:val="0"/>
        <w:spacing w:before="240" w:after="0"/>
        <w:jc w:val="both"/>
        <w:rPr>
          <w:rFonts w:ascii="Times New Roman" w:hAnsi="Times New Roman"/>
          <w:sz w:val="20"/>
        </w:rPr>
      </w:pPr>
      <w:r>
        <w:rPr>
          <w:rFonts w:ascii="Calibri;sans-serif" w:hAnsi="Calibri;sans-serif"/>
          <w:b w:val="false"/>
          <w:sz w:val="20"/>
        </w:rPr>
        <w:t>On January 14, 2021, the Company completed the acquisition of a 51% interest in CarOffer, an automated instant vehicle trade platform based in Addison, Texas, with the option to acquire portions of the remaining equity in the future. During the year ended December 31, 2022, the Company determined not to exercise its call right to acquire up to an additional 25% of the fully diluted capitalization of CarOffer. In the second half of 2024, the Company will have a call right to acquire all, and not less than all, of the remaining equity interests in CarOffer and the representative of the holders of the remaining equity will have a put right to sell to the Company all, and not less than all, of the remaining equity interests in CarOffer. Details of this acquisition are more fully described in Note 2 to the consolidated financial statements contained within the Annual Report.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val="false"/>
          <w:i/>
          <w:sz w:val="20"/>
        </w:rPr>
        <w:t>Legal Matters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Guarantees and Indemnification Obligations</w:t>
      </w:r>
    </w:p>
    <w:p>
      <w:pPr>
        <w:pStyle w:val="TextBody"/>
        <w:bidi w:val="0"/>
        <w:spacing w:before="240" w:after="0"/>
        <w:jc w:val="both"/>
        <w:rPr>
          <w:rFonts w:ascii="Times New Roman" w:hAnsi="Times New Roman"/>
          <w:sz w:val="20"/>
        </w:rPr>
      </w:pPr>
      <w:r>
        <w:rPr>
          <w:rFonts w:ascii="Calibri;sans-serif" w:hAnsi="Calibri;sans-serif"/>
          <w:b w:val="false"/>
          <w:sz w:val="20"/>
        </w:rPr>
        <w:t>In the ordinary course of business, the Company enters into agreements with its customers, partners, and service providers that include commercial provisions with respect to licensing, infringement, guarantees, indemnification, and other common provisions.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The Company</w:t>
      </w:r>
      <w:r>
        <w:rPr>
          <w:rFonts w:ascii="Times New Roman" w:hAnsi="Times New Roman"/>
          <w:sz w:val="20"/>
        </w:rPr>
        <w:t xml:space="preserve"> </w:t>
      </w:r>
      <w:r>
        <w:rPr>
          <w:rFonts w:ascii="Calibri;sans-serif" w:hAnsi="Calibri;sans-serif"/>
          <w:b w:val="false"/>
          <w:sz w:val="20"/>
        </w:rPr>
        <w:t xml:space="preserve">provides certain guarantees to dealers through products such as its 45-Day Guarantee and OfferGuard service offerings on the CarOffer platform, which are accounted for under ASC Topic 460, </w:t>
      </w:r>
      <w:r>
        <w:rPr>
          <w:rFonts w:ascii="Calibri;sans-serif" w:hAnsi="Calibri;sans-serif"/>
          <w:b w:val="false"/>
          <w:i/>
          <w:sz w:val="20"/>
        </w:rPr>
        <w:t>Guarantees</w:t>
      </w:r>
      <w:r>
        <w:rPr>
          <w:rFonts w:ascii="Calibri;sans-serif" w:hAnsi="Calibri;sans-serif"/>
          <w:b w:val="false"/>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r>
        <w:rPr>
          <w:rFonts w:ascii="Times New Roman" w:hAnsi="Times New Roman"/>
          <w:sz w:val="20"/>
        </w:rPr>
        <w:t xml:space="preserve"> </w:t>
      </w:r>
    </w:p>
    <w:p>
      <w:pPr>
        <w:pStyle w:val="TextBody"/>
        <w:bidi w:val="0"/>
        <w:spacing w:before="240" w:after="0"/>
        <w:jc w:val="both"/>
        <w:rPr/>
      </w:pPr>
      <w:r>
        <w:rPr>
          <w:rFonts w:ascii="Calibri;sans-serif" w:hAnsi="Calibri;sans-serif"/>
          <w:b w:val="false"/>
          <w:sz w:val="20"/>
        </w:rPr>
        <w:t xml:space="preserve">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w:t>
      </w:r>
      <w:hyperlink w:anchor="consolidated_statements_operations">
        <w:r>
          <w:rPr>
            <w:rStyle w:val="InternetLink"/>
            <w:rFonts w:ascii="Calibri;sans-serif" w:hAnsi="Calibri;sans-serif"/>
            <w:b w:val="false"/>
            <w:sz w:val="20"/>
          </w:rPr>
          <w:t>Unaudited Condensed Consolidated Income Statements</w:t>
        </w:r>
      </w:hyperlink>
      <w:r>
        <w:rPr>
          <w:rFonts w:ascii="Calibri;sans-serif" w:hAnsi="Calibri;sans-serif"/>
          <w:b w:val="false"/>
          <w:sz w:val="20"/>
        </w:rPr>
        <w:t>. Gains and losses resulting from dealers' exercise of guarantees are recognized within wholesale cost of revenue in the Unaudited Condensed Consolidated Income Statements. When it is probable and reasonably estimable that the Company will incur a loss on a vehicle that it is required to purchase, a liability and a corresponding charge to wholesale cost of revenue is recognized for the amount of the loss in the Unaudited Condensed Consolidated Balance Sheets and Unaudited Condensed Consolidated Income Statements.</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income for guarantees purchased by dealers was $546, $2,292, $1,160, and $5,595, respectively. For the three months ended June 30, 2023 and 2022 and for the six months ended June 30, 2023 and 2022, the loss, net of gains, recognized within cost of revenue in the Unaudited Condensed Consolidated Income Statements resulting from dealers' exercise of guarantees was $164, $259, $89, and $2,083</w:t>
      </w:r>
      <w:r>
        <w:rPr>
          <w:rFonts w:ascii="Times New Roman" w:hAnsi="Times New Roman"/>
          <w:sz w:val="20"/>
        </w:rPr>
        <w:t xml:space="preserve"> </w:t>
      </w:r>
      <w:r>
        <w:rPr>
          <w:rFonts w:ascii="Calibri;sans-serif" w:hAnsi="Calibri;sans-serif"/>
          <w:b w:val="false"/>
          <w:sz w:val="20"/>
        </w:rPr>
        <w:t>respectively.</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the maximum potential amount of future payments that the Company could be required to make under these guarantees was $19,367. Of the maximum potential amount of future payments, the losses that were probable were immaterial. As such, as of June 30, 2023, the Company had immaterial contingent loss liabilities.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As of December 31, 2022, the maximum potential amount of future payments that the Company could be required to make under these guarantees was $31,056. Of the maximum potential amount of future payments, the losses that were probable were immaterial. As such, as of December 31, 2022, the Company had immaterial contingent loss liabilities.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sz w:val="20"/>
        </w:rPr>
        <w:t>9. Stock-based Compensation and Common Stock Share Repurchases</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Stock-based Compensation Expense</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stock-based compensation expense by award type and where the stock-based compensation expense was recognized in the Unaudited Condensed Consolidated Income Statements is as follows:</w:t>
      </w:r>
    </w:p>
    <w:tbl>
      <w:tblPr>
        <w:tblW w:w="7932" w:type="dxa"/>
        <w:jc w:val="left"/>
        <w:tblInd w:w="0" w:type="dxa"/>
        <w:tblLayout w:type="fixed"/>
        <w:tblCellMar>
          <w:top w:w="28" w:type="dxa"/>
          <w:left w:w="28" w:type="dxa"/>
          <w:bottom w:w="28" w:type="dxa"/>
          <w:right w:w="28" w:type="dxa"/>
        </w:tblCellMar>
      </w:tblPr>
      <w:tblGrid>
        <w:gridCol w:w="2971"/>
        <w:gridCol w:w="146"/>
        <w:gridCol w:w="211"/>
        <w:gridCol w:w="676"/>
        <w:gridCol w:w="146"/>
        <w:gridCol w:w="146"/>
        <w:gridCol w:w="211"/>
        <w:gridCol w:w="676"/>
        <w:gridCol w:w="146"/>
        <w:gridCol w:w="146"/>
        <w:gridCol w:w="211"/>
        <w:gridCol w:w="676"/>
        <w:gridCol w:w="146"/>
        <w:gridCol w:w="146"/>
        <w:gridCol w:w="211"/>
        <w:gridCol w:w="67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1,290</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26,289</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 Incentive Units and Subject Units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13,025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26,720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26,457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30,804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54,299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The decrease of $11,800</w:t>
      </w:r>
      <w:r>
        <w:rPr>
          <w:rFonts w:ascii="Times New Roman" w:hAnsi="Times New Roman"/>
          <w:sz w:val="20"/>
        </w:rPr>
        <w:t xml:space="preserve"> </w:t>
      </w:r>
      <w:r>
        <w:rPr>
          <w:rFonts w:ascii="Calibri;sans-serif" w:hAnsi="Calibri;sans-serif"/>
          <w:b w:val="false"/>
          <w:sz w:val="20"/>
        </w:rPr>
        <w:t>for the three months ended June 30, 2023 and the decrease of $25,495</w:t>
      </w:r>
      <w:r>
        <w:rPr>
          <w:rFonts w:ascii="Times New Roman" w:hAnsi="Times New Roman"/>
          <w:sz w:val="20"/>
        </w:rPr>
        <w:t xml:space="preserve"> </w:t>
      </w:r>
      <w:r>
        <w:rPr>
          <w:rFonts w:ascii="Calibri;sans-serif" w:hAnsi="Calibri;sans-serif"/>
          <w:b w:val="false"/>
          <w:sz w:val="20"/>
        </w:rPr>
        <w:t>for the six months ended June 30, 2023 compared to the three months ended June 30, 2022 and six months ended June 30, 2022, respectively, in CO Incentive Units and Subject Units (as each term is defined in Note 2 to the consolidated financial statements contained within the Annual Report) stock-based compensation expense was due to a decrease in the valuation of the awards following the mark to market valuation adjustments.</w:t>
      </w:r>
    </w:p>
    <w:p>
      <w:pPr>
        <w:pStyle w:val="TextBody"/>
        <w:bidi w:val="0"/>
        <w:spacing w:before="0" w:after="0"/>
        <w:jc w:val="both"/>
        <w:rPr/>
      </w:pPr>
      <w:r>
        <w:rPr/>
        <w:t> </w:t>
      </w:r>
    </w:p>
    <w:tbl>
      <w:tblPr>
        <w:tblW w:w="8832"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676"/>
        <w:gridCol w:w="146"/>
        <w:gridCol w:w="146"/>
        <w:gridCol w:w="211"/>
        <w:gridCol w:w="676"/>
        <w:gridCol w:w="146"/>
        <w:gridCol w:w="146"/>
        <w:gridCol w:w="211"/>
        <w:gridCol w:w="67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205</w:t>
            </w:r>
          </w:p>
        </w:tc>
        <w:tc>
          <w:tcPr>
            <w:tcW w:w="3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Sales and marketing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8,069</w:t>
            </w:r>
          </w:p>
        </w:tc>
        <w:tc>
          <w:tcPr>
            <w:tcW w:w="3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 technology,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12,519</w:t>
            </w:r>
          </w:p>
        </w:tc>
        <w:tc>
          <w:tcPr>
            <w:tcW w:w="3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6,736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16,151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33,506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7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26,457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30,804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54,299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stock-based compensation expense excluded $1,292, $1,265, $2,437, and $2,471, respectively, of capitalized website development costs, capitalized internal-use software costs, and capitalized hosting arrangements.</w:t>
      </w:r>
    </w:p>
    <w:p>
      <w:pPr>
        <w:pStyle w:val="TextBody"/>
        <w:bidi w:val="0"/>
        <w:spacing w:before="240" w:after="0"/>
        <w:jc w:val="both"/>
        <w:rPr>
          <w:rFonts w:ascii="Times New Roman" w:hAnsi="Times New Roman"/>
          <w:sz w:val="20"/>
        </w:rPr>
      </w:pPr>
      <w:r>
        <w:rPr>
          <w:rFonts w:ascii="Calibri;sans-serif" w:hAnsi="Calibri;sans-serif"/>
          <w:b w:val="false"/>
          <w:sz w:val="20"/>
        </w:rPr>
        <w:t>During the three months ended June 30, 2023 and 2022 and the six months ended June 30, 2023 and 2022, the Company withheld 240,674, 147,533, 576,122, and 303,269</w:t>
      </w:r>
      <w:r>
        <w:rPr>
          <w:rFonts w:ascii="Times New Roman" w:hAnsi="Times New Roman"/>
          <w:sz w:val="20"/>
        </w:rPr>
        <w:t xml:space="preserve"> </w:t>
      </w:r>
      <w:r>
        <w:rPr>
          <w:rFonts w:ascii="Calibri;sans-serif" w:hAnsi="Calibri;sans-serif"/>
          <w:b w:val="false"/>
          <w:sz w:val="20"/>
        </w:rPr>
        <w:t>shares of Class A common stock, respectively, to satisfy employee tax withholding requirements for net share settlements of restricted stock units ("RSUs"). The shares withheld return to the authorized, but unissued pool under the Company's Omnibus Incentive Compensation Plan and can be reissued by the Company.</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total payments to satisfy employee tax withholding requirements for net share settlements of RSUs were $5,196</w:t>
      </w:r>
      <w:r>
        <w:rPr>
          <w:rFonts w:ascii="Times New Roman" w:hAnsi="Times New Roman"/>
          <w:sz w:val="20"/>
        </w:rPr>
        <w:t xml:space="preserve"> </w:t>
      </w:r>
      <w:r>
        <w:rPr>
          <w:rFonts w:ascii="Calibri;sans-serif" w:hAnsi="Calibri;sans-serif"/>
          <w:b w:val="false"/>
          <w:sz w:val="20"/>
        </w:rPr>
        <w:t>of which $4,828</w:t>
      </w:r>
      <w:r>
        <w:rPr>
          <w:rFonts w:ascii="Times New Roman" w:hAnsi="Times New Roman"/>
          <w:sz w:val="20"/>
        </w:rPr>
        <w:t xml:space="preserve"> </w:t>
      </w:r>
      <w:r>
        <w:rPr>
          <w:rFonts w:ascii="Calibri;sans-serif" w:hAnsi="Calibri;sans-serif"/>
          <w:b w:val="false"/>
          <w:sz w:val="20"/>
        </w:rPr>
        <w:t>was paid and $368</w:t>
      </w:r>
      <w:r>
        <w:rPr>
          <w:rFonts w:ascii="Times New Roman" w:hAnsi="Times New Roman"/>
          <w:sz w:val="20"/>
        </w:rPr>
        <w:t xml:space="preserve"> </w:t>
      </w:r>
      <w:r>
        <w:rPr>
          <w:rFonts w:ascii="Calibri;sans-serif" w:hAnsi="Calibri;sans-serif"/>
          <w:b w:val="false"/>
          <w:sz w:val="20"/>
        </w:rPr>
        <w:t>was unpaid. For the six months ended June 30, 2023, total payments to satisfy employee tax withholding requirements for net share settlements of RSUs were $10,852, of which $6,894</w:t>
      </w:r>
      <w:r>
        <w:rPr>
          <w:rFonts w:ascii="Times New Roman" w:hAnsi="Times New Roman"/>
          <w:sz w:val="20"/>
        </w:rPr>
        <w:t xml:space="preserve"> </w:t>
      </w:r>
      <w:r>
        <w:rPr>
          <w:rFonts w:ascii="Calibri;sans-serif" w:hAnsi="Calibri;sans-serif"/>
          <w:b w:val="false"/>
          <w:sz w:val="20"/>
        </w:rPr>
        <w:t>was paid and reflected as a financing activity in the Unaudited Condensed Consolidated Statements of Cash Flows and $3,958</w:t>
      </w:r>
      <w:r>
        <w:rPr>
          <w:rFonts w:ascii="Times New Roman" w:hAnsi="Times New Roman"/>
          <w:sz w:val="20"/>
        </w:rPr>
        <w:t xml:space="preserve"> </w:t>
      </w:r>
      <w:r>
        <w:rPr>
          <w:rFonts w:ascii="Calibri;sans-serif" w:hAnsi="Calibri;sans-serif"/>
          <w:b w:val="false"/>
          <w:sz w:val="20"/>
        </w:rPr>
        <w:t>was unpaid and reflected as a supplemental noncash disclosure in the Unaudited Condensed Consolidated Statements of Cash Flows. For the three and six months ended June 30, 2022, total payments to satisfy employee tax withholding requirements for net share settlements of RSUs were $5,830</w:t>
      </w:r>
      <w:r>
        <w:rPr>
          <w:rFonts w:ascii="Times New Roman" w:hAnsi="Times New Roman"/>
          <w:sz w:val="20"/>
        </w:rPr>
        <w:t xml:space="preserve"> </w:t>
      </w:r>
      <w:r>
        <w:rPr>
          <w:rFonts w:ascii="Calibri;sans-serif" w:hAnsi="Calibri;sans-serif"/>
          <w:b w:val="false"/>
          <w:sz w:val="20"/>
        </w:rPr>
        <w:t>and $11,260, respectively, all of which were paid and reflected as a financing activity in the Unaudited Condensed Consolidated Statements of Cash Flows.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Common Stock Share Repurchases</w:t>
      </w:r>
    </w:p>
    <w:p>
      <w:pPr>
        <w:pStyle w:val="TextBody"/>
        <w:bidi w:val="0"/>
        <w:spacing w:before="240" w:after="0"/>
        <w:jc w:val="both"/>
        <w:rPr>
          <w:rFonts w:ascii="Times New Roman" w:hAnsi="Times New Roman"/>
          <w:sz w:val="20"/>
        </w:rPr>
      </w:pPr>
      <w:r>
        <w:rPr>
          <w:rFonts w:ascii="Calibri;sans-serif" w:hAnsi="Calibri;sans-serif"/>
          <w:b w:val="false"/>
          <w:sz w:val="20"/>
        </w:rPr>
        <w:t>On December 8, 2022, the Company announced that the Board authorized a new share repurchase program (the “Share Repurchase Program”), pursuant to which the Company may, from time to time, purchase shares of its Class A common stock for an aggregate purchase price not to exceed $250.0</w:t>
      </w:r>
      <w:r>
        <w:rPr>
          <w:rFonts w:ascii="Times New Roman" w:hAnsi="Times New Roman"/>
          <w:sz w:val="20"/>
        </w:rPr>
        <w:t xml:space="preserve"> </w:t>
      </w:r>
      <w:r>
        <w:rPr>
          <w:rFonts w:ascii="Calibri;sans-serif" w:hAnsi="Calibri;sans-serif"/>
          <w:b w:val="false"/>
          <w:sz w:val="20"/>
        </w:rPr>
        <w:t>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Share Repurchase Program does not obligate the Company to repurchase any minimum dollar amount or number of shares. The Share Repurchase Program has an expiration date of December 31, 2023, and prior to its expiration may be modified, suspended, or discontinued by the Board at any time without prior notice. All repurchased shares under the Share Repurchase Program will be retired. The Company expects to fund any share repurchases through cash on hand and cash generated from operations.</w:t>
      </w:r>
    </w:p>
    <w:p>
      <w:pPr>
        <w:pStyle w:val="TextBody"/>
        <w:bidi w:val="0"/>
        <w:spacing w:before="240" w:after="0"/>
        <w:jc w:val="both"/>
        <w:rPr>
          <w:rFonts w:ascii="Times New Roman" w:hAnsi="Times New Roman"/>
          <w:sz w:val="20"/>
        </w:rPr>
      </w:pPr>
      <w:r>
        <w:rPr>
          <w:rFonts w:ascii="Calibri;sans-serif" w:hAnsi="Calibri;sans-serif"/>
          <w:b w:val="false"/>
          <w:sz w:val="20"/>
        </w:rPr>
        <w:t>During the three months ended June 30, 2023, the Company repurchased and retired 1,311,387</w:t>
      </w:r>
      <w:r>
        <w:rPr>
          <w:rFonts w:ascii="Times New Roman" w:hAnsi="Times New Roman"/>
          <w:sz w:val="20"/>
        </w:rPr>
        <w:t xml:space="preserve"> </w:t>
      </w:r>
      <w:r>
        <w:rPr>
          <w:rFonts w:ascii="Calibri;sans-serif" w:hAnsi="Calibri;sans-serif"/>
          <w:b w:val="false"/>
          <w:sz w:val="20"/>
        </w:rPr>
        <w:t>shares for $21,968, exclusive of commissions and excise tax, at an average cost of $16.75</w:t>
      </w:r>
      <w:r>
        <w:rPr>
          <w:rFonts w:ascii="Times New Roman" w:hAnsi="Times New Roman"/>
          <w:sz w:val="20"/>
        </w:rPr>
        <w:t xml:space="preserve"> </w:t>
      </w:r>
      <w:r>
        <w:rPr>
          <w:rFonts w:ascii="Calibri;sans-serif" w:hAnsi="Calibri;sans-serif"/>
          <w:b w:val="false"/>
          <w:sz w:val="20"/>
        </w:rPr>
        <w:t>per share, under the Share Repurchase Program. During the six months ended June 30, 2023, the Company repurchased and retired 5,301,248</w:t>
      </w:r>
      <w:r>
        <w:rPr>
          <w:rFonts w:ascii="Times New Roman" w:hAnsi="Times New Roman"/>
          <w:sz w:val="20"/>
        </w:rPr>
        <w:t xml:space="preserve"> </w:t>
      </w:r>
      <w:r>
        <w:rPr>
          <w:rFonts w:ascii="Calibri;sans-serif" w:hAnsi="Calibri;sans-serif"/>
          <w:b w:val="false"/>
          <w:sz w:val="20"/>
        </w:rPr>
        <w:t>shares for $87,119, exclusive of commissions and excise tax, at an average cost of $16.43</w:t>
      </w:r>
      <w:r>
        <w:rPr>
          <w:rFonts w:ascii="Times New Roman" w:hAnsi="Times New Roman"/>
          <w:sz w:val="20"/>
        </w:rPr>
        <w:t xml:space="preserve"> </w:t>
      </w:r>
      <w:r>
        <w:rPr>
          <w:rFonts w:ascii="Calibri;sans-serif" w:hAnsi="Calibri;sans-serif"/>
          <w:b w:val="false"/>
          <w:sz w:val="20"/>
        </w:rPr>
        <w:t>per share, under the Share Repurchase Program. As of June 30, 2023, the Company had remaining authorization to purchase up to $144,190</w:t>
      </w:r>
      <w:r>
        <w:rPr>
          <w:rFonts w:ascii="Times New Roman" w:hAnsi="Times New Roman"/>
          <w:sz w:val="20"/>
        </w:rPr>
        <w:t xml:space="preserve"> </w:t>
      </w:r>
      <w:r>
        <w:rPr>
          <w:rFonts w:ascii="Calibri;sans-serif" w:hAnsi="Calibri;sans-serif"/>
          <w:b w:val="false"/>
          <w:sz w:val="20"/>
        </w:rPr>
        <w:t>of the Company's Class A common stock under the Share Repurchase Program.</w:t>
      </w:r>
    </w:p>
    <w:p>
      <w:pPr>
        <w:pStyle w:val="TextBody"/>
        <w:bidi w:val="0"/>
        <w:spacing w:before="240" w:after="0"/>
        <w:jc w:val="left"/>
        <w:rPr>
          <w:rFonts w:ascii="Times New Roman" w:hAnsi="Times New Roman"/>
          <w:sz w:val="20"/>
        </w:rPr>
      </w:pPr>
      <w:r>
        <w:rPr>
          <w:rFonts w:ascii="Calibri;sans-serif" w:hAnsi="Calibri;sans-serif"/>
          <w:b/>
          <w:sz w:val="20"/>
        </w:rPr>
        <w:t>10. Earnings Per Share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w:t>
      </w:r>
      <w:r>
        <w:rPr>
          <w:rFonts w:ascii="Calibri;sans-serif" w:hAnsi="Calibri;sans-serif"/>
          <w:sz w:val="20"/>
        </w:rPr>
        <w:t xml:space="preserve"> </w:t>
      </w:r>
      <w:r>
        <w:rPr>
          <w:rFonts w:ascii="Calibri;sans-serif" w:hAnsi="Calibri;sans-serif"/>
          <w:b w:val="false"/>
          <w:sz w:val="20"/>
        </w:rPr>
        <w:t>vote per share</w:t>
      </w:r>
      <w:r>
        <w:rPr>
          <w:rFonts w:ascii="Times New Roman" w:hAnsi="Times New Roman"/>
          <w:sz w:val="20"/>
        </w:rPr>
        <w:t xml:space="preserve"> </w:t>
      </w:r>
      <w:r>
        <w:rPr>
          <w:rFonts w:ascii="Calibri;sans-serif" w:hAnsi="Calibri;sans-serif"/>
          <w:b w:val="false"/>
          <w:sz w:val="20"/>
        </w:rPr>
        <w:t>and each share of Class B common stock is entitled to</w:t>
      </w:r>
      <w:r>
        <w:rPr>
          <w:rFonts w:ascii="Times New Roman" w:hAnsi="Times New Roman"/>
          <w:sz w:val="20"/>
        </w:rPr>
        <w:t xml:space="preserve"> </w:t>
      </w:r>
      <w:r>
        <w:rPr>
          <w:rFonts w:ascii="Calibri;sans-serif" w:hAnsi="Calibri;sans-serif"/>
          <w:b w:val="false"/>
          <w:sz w:val="20"/>
        </w:rPr>
        <w:t>ten</w:t>
      </w:r>
      <w:r>
        <w:rPr>
          <w:rFonts w:ascii="Calibri;sans-serif" w:hAnsi="Calibri;sans-serif"/>
          <w:sz w:val="20"/>
        </w:rPr>
        <w:t xml:space="preserve"> </w:t>
      </w:r>
      <w:r>
        <w:rPr>
          <w:rFonts w:ascii="Calibri;sans-serif" w:hAnsi="Calibri;sans-serif"/>
          <w:b w:val="false"/>
          <w:sz w:val="20"/>
        </w:rPr>
        <w:t>votes per share. Each share of Class B common stock is convertible into one</w:t>
      </w:r>
      <w:r>
        <w:rPr>
          <w:rFonts w:ascii="Calibri;sans-serif" w:hAnsi="Calibri;sans-serif"/>
          <w:sz w:val="20"/>
        </w:rPr>
        <w:t xml:space="preserve"> </w:t>
      </w:r>
      <w:r>
        <w:rPr>
          <w:rFonts w:ascii="Calibri;sans-serif" w:hAnsi="Calibri;sans-serif"/>
          <w:b w:val="false"/>
          <w:sz w:val="20"/>
        </w:rPr>
        <w:t>share of Class A common stock</w:t>
      </w:r>
      <w:r>
        <w:rPr>
          <w:rFonts w:ascii="Calibri;sans-serif" w:hAnsi="Calibri;sans-serif"/>
          <w:sz w:val="20"/>
        </w:rPr>
        <w:t xml:space="preserve"> </w:t>
      </w:r>
      <w:r>
        <w:rPr>
          <w:rFonts w:ascii="Calibri;sans-serif" w:hAnsi="Calibri;sans-serif"/>
          <w:b w:val="false"/>
          <w:sz w:val="20"/>
        </w:rPr>
        <w:t>at the option of the holder at any time or automatically upon certain events described in the Company’s amended and restated certificate of incorporation, including upon either the death or voluntary termination of the Company’s Executive Chairman.</w:t>
      </w:r>
      <w:r>
        <w:rPr>
          <w:rFonts w:ascii="Times New Roman" w:hAnsi="Times New Roman"/>
          <w:sz w:val="20"/>
        </w:rPr>
        <w:t xml:space="preserve"> </w:t>
      </w:r>
      <w:r>
        <w:rPr>
          <w:rFonts w:ascii="Calibri;sans-serif" w:hAnsi="Calibri;sans-serif"/>
          <w:b w:val="false"/>
          <w:sz w:val="20"/>
        </w:rPr>
        <w:t>The Company allocates undistributed earnings attributable to common stock between the common stock classes on a one</w:t>
        <w:noBreakHyphen/>
        <w:t>to</w:t>
        <w:noBreakHyphen/>
        <w:t>one</w:t>
      </w:r>
      <w:r>
        <w:rPr>
          <w:rFonts w:ascii="Times New Roman" w:hAnsi="Times New Roman"/>
          <w:sz w:val="20"/>
        </w:rPr>
        <w:t xml:space="preserve"> </w:t>
      </w:r>
      <w:r>
        <w:rPr>
          <w:rFonts w:ascii="Calibri;sans-serif" w:hAnsi="Calibri;sans-serif"/>
          <w:b w:val="false"/>
          <w:sz w:val="20"/>
        </w:rPr>
        <w:t>basis when computing net income per share. As a result, basic and diluted net income per share of Class A common stock and per share of Class B common stock are equivalent.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During the three months ended June 30, 2023 and 2022 and the six months ended June 30, 2023 and 2022,</w:t>
      </w:r>
      <w:r>
        <w:rPr>
          <w:rFonts w:ascii="Times New Roman" w:hAnsi="Times New Roman"/>
          <w:sz w:val="20"/>
        </w:rPr>
        <w:t xml:space="preserve"> </w:t>
      </w:r>
      <w:r>
        <w:rPr>
          <w:rFonts w:ascii="Calibri;sans-serif" w:hAnsi="Calibri;sans-serif"/>
          <w:b w:val="false"/>
          <w:sz w:val="20"/>
        </w:rPr>
        <w:t>no</w:t>
      </w:r>
      <w:r>
        <w:rPr>
          <w:rFonts w:ascii="Times New Roman" w:hAnsi="Times New Roman"/>
          <w:sz w:val="20"/>
        </w:rPr>
        <w:t xml:space="preserve"> </w:t>
      </w:r>
      <w:r>
        <w:rPr>
          <w:rFonts w:ascii="Calibri;sans-serif" w:hAnsi="Calibri;sans-serif"/>
          <w:b w:val="false"/>
          <w:sz w:val="20"/>
        </w:rPr>
        <w:t>shares of Class B common stock were converted into Class A common stock.</w:t>
      </w:r>
    </w:p>
    <w:p>
      <w:pPr>
        <w:pStyle w:val="TextBody"/>
        <w:bidi w:val="0"/>
        <w:spacing w:before="240" w:after="0"/>
        <w:jc w:val="both"/>
        <w:rPr>
          <w:rFonts w:ascii="Calibri;sans-serif" w:hAnsi="Calibri;sans-serif"/>
          <w:b w:val="false"/>
          <w:sz w:val="20"/>
        </w:rPr>
      </w:pPr>
      <w:r>
        <w:rPr>
          <w:rFonts w:ascii="Calibri;sans-serif" w:hAnsi="Calibri;sans-serif"/>
          <w:b w:val="false"/>
          <w:sz w:val="20"/>
        </w:rPr>
        <w:t>Basic net income (loss) per share (“Basic EPS”) is computed by dividing consolidated net income adjusted for net loss attributable to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0"/>
        <w:jc w:val="both"/>
        <w:rPr>
          <w:rFonts w:ascii="Times New Roman" w:hAnsi="Times New Roman"/>
          <w:sz w:val="20"/>
        </w:rPr>
      </w:pPr>
      <w:r>
        <w:rPr>
          <w:rFonts w:ascii="Calibri;sans-serif" w:hAnsi="Calibri;sans-serif"/>
          <w:b w:val="false"/>
          <w:sz w:val="20"/>
        </w:rPr>
        <w:t>Diluted net income (loss) per share (“Diluted EPS”) gives effect to all potentially dilutive securities. Diluted EPS is computed by dividing consolidated net income adjusted for net loss attributable to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and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2 to the consolidated financial statements contained within the Annual Report), inclusive of CarOffer noncontrolling interest and incentive and subject units, that would be issuable as of the end of the reporting period assuming the end of the reporting period was also the end of the contingency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a reconciliation of the numerator and denominator used in the calculation of basic and diluted net income per share is as follows: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324"/>
        <w:gridCol w:w="146"/>
        <w:gridCol w:w="211"/>
        <w:gridCol w:w="1141"/>
        <w:gridCol w:w="166"/>
        <w:gridCol w:w="146"/>
        <w:gridCol w:w="211"/>
        <w:gridCol w:w="1141"/>
        <w:gridCol w:w="166"/>
        <w:gridCol w:w="146"/>
        <w:gridCol w:w="211"/>
        <w:gridCol w:w="1141"/>
        <w:gridCol w:w="166"/>
        <w:gridCol w:w="146"/>
        <w:gridCol w:w="211"/>
        <w:gridCol w:w="1141"/>
        <w:gridCol w:w="391"/>
      </w:tblGrid>
      <w:tr>
        <w:trPr/>
        <w:tc>
          <w:tcPr>
            <w:tcW w:w="3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13,817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18,061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36,899</w:t>
            </w:r>
          </w:p>
        </w:tc>
        <w:tc>
          <w:tcPr>
            <w:tcW w:w="391" w:type="dxa"/>
            <w:tcBorders/>
            <w:vAlign w:val="center"/>
          </w:tcPr>
          <w:p>
            <w:pPr>
              <w:pStyle w:val="TableContents"/>
              <w:bidi w:val="0"/>
              <w:spacing w:before="0" w:after="0"/>
              <w:ind w:left="0" w:right="0" w:hanging="0"/>
              <w:jc w:val="lef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loss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(2,596</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(1,223</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(6,862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(2,295</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Accretion of redeemable noncontrolling interest to redemption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111,620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(loss) attributable to common stockholders — 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(10,336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32,545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(72,426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loss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(2,596</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(6,862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(loss) attributable to common stockholders — diluted</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13,817</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(10,336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25,683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(72,426</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324"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 xml:space="preserve">Weighted-average number of shares of common stock used </w:t>
              <w:br/>
              <w:t xml:space="preserve">   in computing net income per share attributable to </w:t>
              <w:br/>
              <w:t>   common stockholders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113,438,057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118,390,641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114,392,961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118,211,975</w:t>
            </w:r>
          </w:p>
        </w:tc>
        <w:tc>
          <w:tcPr>
            <w:tcW w:w="391" w:type="dxa"/>
            <w:tcBorders/>
            <w:vAlign w:val="center"/>
          </w:tcPr>
          <w:p>
            <w:pPr>
              <w:pStyle w:val="TableContents"/>
              <w:bidi w:val="0"/>
              <w:spacing w:before="0" w:after="0"/>
              <w:ind w:left="0" w:right="0" w:firstLine="200"/>
              <w:jc w:val="left"/>
              <w:rPr/>
            </w:pPr>
            <w:r>
              <w:rPr/>
              <w:t> </w:t>
            </w:r>
          </w:p>
        </w:tc>
      </w:tr>
      <w:tr>
        <w:trPr/>
        <w:tc>
          <w:tcPr>
            <w:tcW w:w="332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 xml:space="preserve">Dilutive effect of share equivalents resulting from stock </w:t>
              <w:br/>
              <w:t>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226,406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228,043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32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Dilutive effect of share equivalents resulting from</w:t>
              <w:br/>
              <w:t>   unvested restricted stock units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826,188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576,886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32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 xml:space="preserve">Weighted-average number of shares of common stock </w:t>
              <w:br/>
              <w:t xml:space="preserve">   used in computing net income per share attributable to </w:t>
              <w:br/>
              <w:t>   common stockholders — diluted</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114,490,651</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118,390,641</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115,197,890</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118,211,975</w:t>
            </w:r>
          </w:p>
        </w:tc>
        <w:tc>
          <w:tcPr>
            <w:tcW w:w="3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(loss) per share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(0.61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32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(0.61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bl>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potentially dilutive common stock equivalents that have been excluded from the calculation of diluted weighted-average shares outstanding as their effect would have been anti-dilutive are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474"/>
        <w:gridCol w:w="146"/>
        <w:gridCol w:w="146"/>
        <w:gridCol w:w="931"/>
        <w:gridCol w:w="146"/>
        <w:gridCol w:w="146"/>
        <w:gridCol w:w="146"/>
        <w:gridCol w:w="1036"/>
        <w:gridCol w:w="146"/>
        <w:gridCol w:w="146"/>
        <w:gridCol w:w="146"/>
        <w:gridCol w:w="931"/>
        <w:gridCol w:w="146"/>
        <w:gridCol w:w="146"/>
        <w:gridCol w:w="146"/>
        <w:gridCol w:w="1036"/>
        <w:gridCol w:w="191"/>
      </w:tblGrid>
      <w:tr>
        <w:trPr/>
        <w:tc>
          <w:tcPr>
            <w:tcW w:w="4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7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Stock options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558,080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885,547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559,054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914,870</w:t>
            </w:r>
          </w:p>
        </w:tc>
        <w:tc>
          <w:tcPr>
            <w:tcW w:w="191" w:type="dxa"/>
            <w:tcBorders/>
            <w:vAlign w:val="center"/>
          </w:tcPr>
          <w:p>
            <w:pPr>
              <w:pStyle w:val="TableContents"/>
              <w:bidi w:val="0"/>
              <w:spacing w:before="0" w:after="0"/>
              <w:ind w:left="0" w:right="0" w:hanging="0"/>
              <w:jc w:val="left"/>
              <w:rPr/>
            </w:pPr>
            <w:r>
              <w:rPr/>
              <w:t> </w:t>
            </w:r>
          </w:p>
        </w:tc>
      </w:tr>
      <w:tr>
        <w:trPr/>
        <w:tc>
          <w:tcPr>
            <w:tcW w:w="447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Restricted stock units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2,291,538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4,296,625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2,749,365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4,186,653</w:t>
            </w:r>
          </w:p>
        </w:tc>
        <w:tc>
          <w:tcPr>
            <w:tcW w:w="191" w:type="dxa"/>
            <w:tcBorders/>
            <w:vAlign w:val="center"/>
          </w:tcPr>
          <w:p>
            <w:pPr>
              <w:pStyle w:val="TableContents"/>
              <w:bidi w:val="0"/>
              <w:spacing w:before="0" w:after="0"/>
              <w:ind w:left="0" w:right="0" w:hanging="0"/>
              <w:jc w:val="left"/>
              <w:rPr/>
            </w:pPr>
            <w:r>
              <w:rPr/>
              <w:t> </w:t>
            </w:r>
          </w:p>
        </w:tc>
      </w:tr>
      <w:tr>
        <w:trPr/>
        <w:tc>
          <w:tcPr>
            <w:tcW w:w="447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 Incentive Units, Subject Units and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15,205,940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11,498,025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For the three and six months ended June 30, 2023, the number of issuable shares estimated upon exercise of the 2024 Put Right was zero.</w:t>
      </w:r>
      <w:r>
        <w:rPr>
          <w:rFonts w:ascii="Times New Roman" w:hAnsi="Times New Roman"/>
          <w:sz w:val="20"/>
        </w:rPr>
        <w:t xml:space="preserve"> </w:t>
      </w:r>
      <w:r>
        <w:rPr>
          <w:rFonts w:ascii="Calibri;sans-serif" w:hAnsi="Calibri;sans-serif"/>
          <w:b w:val="false"/>
          <w:sz w:val="20"/>
        </w:rPr>
        <w:t>For the three and six months ended June 30, 2022, there was no effect of potentially dilutive shares as the numerator was negative. Additionally, during the three months ended March 31, 2022, the Company modified its market-based performance awards to contain only service-based vesting conditions in line with the Company's other RSU awards. As a result, there are no</w:t>
      </w:r>
      <w:r>
        <w:rPr>
          <w:rFonts w:ascii="Times New Roman" w:hAnsi="Times New Roman"/>
          <w:sz w:val="20"/>
        </w:rPr>
        <w:t xml:space="preserve"> </w:t>
      </w:r>
      <w:r>
        <w:rPr>
          <w:rFonts w:ascii="Calibri;sans-serif" w:hAnsi="Calibri;sans-serif"/>
          <w:b w:val="false"/>
          <w:sz w:val="20"/>
        </w:rPr>
        <w:t>market-based RSUs outstanding as of June 30, 2023 or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sz w:val="20"/>
        </w:rPr>
      </w:pPr>
      <w:r>
        <w:rPr>
          <w:rFonts w:ascii="Calibri;sans-serif" w:hAnsi="Calibri;sans-serif"/>
          <w:b/>
          <w:sz w:val="20"/>
        </w:rPr>
        <w:t>11. Income Taxes</w:t>
      </w:r>
    </w:p>
    <w:p>
      <w:pPr>
        <w:pStyle w:val="TextBody"/>
        <w:bidi w:val="0"/>
        <w:spacing w:before="240" w:after="0"/>
        <w:jc w:val="both"/>
        <w:rPr>
          <w:rFonts w:ascii="Calibri;sans-serif" w:hAnsi="Calibri;sans-serif"/>
          <w:b w:val="false"/>
          <w:sz w:val="20"/>
        </w:rPr>
      </w:pPr>
      <w:r>
        <w:rPr>
          <w:rFonts w:ascii="Calibri;sans-serif" w:hAnsi="Calibri;sans-serif"/>
          <w:b w:val="false"/>
          <w:sz w:val="20"/>
        </w:rPr>
        <w:t>During the three months ended June 30, 2023 and 2022 and the six months ended June 30, 2023 and 2022, the Company recorded an income tax provision of $8,601, $5,325, $15,132, and $13,027, representing an effective tax rate of 34.4%, 21.6%, 31.7%, and 25.0%, respectively. The effective tax rates for the three months ended June 30, 2023 and 2022 and the six months ended June 30, 2023 and 2022, were greater than the statutory tax rate of 21%, principally due to state and local income taxes, shortfalls on the taxable compensation of stock-based awards, and the Section 162(m) excess officer compensation limitation, partially offset by federal and state research and development tax credits.</w:t>
      </w:r>
    </w:p>
    <w:p>
      <w:pPr>
        <w:pStyle w:val="TextBody"/>
        <w:bidi w:val="0"/>
        <w:spacing w:before="240" w:after="0"/>
        <w:jc w:val="both"/>
        <w:rPr>
          <w:rFonts w:ascii="Times New Roman" w:hAnsi="Times New Roman"/>
          <w:sz w:val="20"/>
        </w:rPr>
      </w:pPr>
      <w:r>
        <w:rPr>
          <w:rFonts w:ascii="Calibri;sans-serif" w:hAnsi="Calibri;sans-serif"/>
          <w:b w:val="false"/>
          <w:sz w:val="20"/>
        </w:rPr>
        <w:t>The Company and its subsidiaries are subject to various U.S. federal, state, and foreign income tax examinations. The Company is currently not subject to income tax examination for the tax years of 2018</w:t>
      </w:r>
      <w:r>
        <w:rPr>
          <w:rFonts w:ascii="Times New Roman" w:hAnsi="Times New Roman"/>
          <w:sz w:val="20"/>
        </w:rPr>
        <w:t xml:space="preserve"> </w:t>
      </w:r>
      <w:r>
        <w:rPr>
          <w:rFonts w:ascii="Calibri;sans-serif" w:hAnsi="Calibri;sans-serif"/>
          <w:b w:val="false"/>
          <w:sz w:val="20"/>
        </w:rPr>
        <w:t>and prior as a result of applicable statute of limitations of the Internal Revenue Service and a majority of applicable state jurisdictions. The Company is currently not subject to examination in its foreign jurisdictions for tax years 2017</w:t>
      </w:r>
      <w:r>
        <w:rPr>
          <w:rFonts w:ascii="Times New Roman" w:hAnsi="Times New Roman"/>
          <w:sz w:val="20"/>
        </w:rPr>
        <w:t xml:space="preserve"> </w:t>
      </w:r>
      <w:r>
        <w:rPr>
          <w:rFonts w:ascii="Calibri;sans-serif" w:hAnsi="Calibri;sans-serif"/>
          <w:b w:val="false"/>
          <w:sz w:val="20"/>
        </w:rPr>
        <w:t>and prior.</w:t>
      </w:r>
    </w:p>
    <w:p>
      <w:pPr>
        <w:pStyle w:val="TextBody"/>
        <w:bidi w:val="0"/>
        <w:spacing w:before="240" w:after="0"/>
        <w:jc w:val="both"/>
        <w:rPr>
          <w:rFonts w:ascii="Calibri;sans-serif" w:hAnsi="Calibri;sans-serif"/>
          <w:b/>
          <w:sz w:val="20"/>
        </w:rPr>
      </w:pPr>
      <w:r>
        <w:rPr>
          <w:rFonts w:ascii="Calibri;sans-serif" w:hAnsi="Calibri;sans-serif"/>
          <w:b/>
          <w:sz w:val="20"/>
        </w:rPr>
        <w:t>12. Segment and Geographic Information</w:t>
      </w:r>
    </w:p>
    <w:p>
      <w:pPr>
        <w:pStyle w:val="TextBody"/>
        <w:bidi w:val="0"/>
        <w:spacing w:before="240" w:after="0"/>
        <w:jc w:val="both"/>
        <w:rPr>
          <w:rFonts w:ascii="Times New Roman" w:hAnsi="Times New Roman"/>
          <w:sz w:val="20"/>
        </w:rPr>
      </w:pPr>
      <w:r>
        <w:rPr>
          <w:rFonts w:ascii="Calibri;sans-serif" w:hAnsi="Calibri;sans-serif"/>
          <w:b w:val="false"/>
          <w:sz w:val="20"/>
        </w:rPr>
        <w:t>Effective as of the fourth quarter of 2022, the Company revised its segment reporting from one</w:t>
      </w:r>
      <w:r>
        <w:rPr>
          <w:rFonts w:ascii="Times New Roman" w:hAnsi="Times New Roman"/>
          <w:sz w:val="20"/>
        </w:rPr>
        <w:t xml:space="preserve"> </w:t>
      </w:r>
      <w:r>
        <w:rPr>
          <w:rFonts w:ascii="Calibri;sans-serif" w:hAnsi="Calibri;sans-serif"/>
          <w:b w:val="false"/>
          <w:sz w:val="20"/>
        </w:rPr>
        <w:t>reportable segment to two</w:t>
      </w:r>
      <w:r>
        <w:rPr>
          <w:rFonts w:ascii="Times New Roman" w:hAnsi="Times New Roman"/>
          <w:sz w:val="20"/>
        </w:rPr>
        <w:t xml:space="preserve"> </w:t>
      </w:r>
      <w:r>
        <w:rPr>
          <w:rFonts w:ascii="Calibri;sans-serif" w:hAnsi="Calibri;sans-serif"/>
          <w:b w:val="false"/>
          <w:sz w:val="20"/>
        </w:rPr>
        <w:t>reportable segments, U.S. Marketplace and Digital Wholesale. The change in segment reporting was a triggering event for an evaluation of goodwill impairment. As such, the Company evaluated for goodwill impairment on December 31, 2022, and did not identify any impairment to its goodwill. The change in segment reporting was made to align with financial reporting results regularly provided to the Company's chief operating decision maker ("CODM") to assess the business. The CODM reviews segment revenue and segment income (loss) from operations as a proxy for the performance of the Company’s operations.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U.S. Marketplace segment derives revenue from marketplace services from customers within the United States. The Digital Wholesale segment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United States.</w:t>
      </w:r>
    </w:p>
    <w:p>
      <w:pPr>
        <w:pStyle w:val="TextBody"/>
        <w:bidi w:val="0"/>
        <w:spacing w:before="240" w:after="0"/>
        <w:jc w:val="both"/>
        <w:rPr>
          <w:rFonts w:ascii="Calibri;sans-serif" w:hAnsi="Calibri;sans-serif"/>
          <w:b w:val="false"/>
          <w:sz w:val="20"/>
        </w:rPr>
      </w:pPr>
      <w:r>
        <w:rPr>
          <w:rFonts w:ascii="Calibri;sans-serif" w:hAnsi="Calibri;sans-serif"/>
          <w:b w:val="false"/>
          <w:sz w:val="20"/>
        </w:rPr>
        <w:t>Revenue and costs discretely incurred by reportable segments, including depreciation and amortization, are included in the calculation of reportable segment income (loss) from operations. For the year ended December 31, 2022, Digital Wholesale segment income (loss) from operations did not reflect certain Dealer-to-Dealer and IMCO related capitalized website development amortization incurred by the U.S. Marketplace segment. During the three months ended March 31, 2023, the Company updated Digital Wholesale segment income (loss) from operations to reflect certain Dealer-to-Dealer and IMCO related capitalized website development amortization incurred by the U.S. Marketplace segment and accordingly updated Digital Wholesale segment income (loss) from operations for the three and six months ended June 30, 2022 for comparative purposes. Digital Wholesale segment income (loss) from operations also reflects certain IMCO marketing and lead generation fees allocated from the U.S. Marketplace segment. Asset information by reportable segment is not provided to the CODM as asset information is assessed and reviewed on a consolidated basis.</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segment revenue, segment income (loss) from operations, and segment depreciation and amortization are as follows:</w:t>
      </w:r>
    </w:p>
    <w:p>
      <w:pPr>
        <w:pStyle w:val="TextBody"/>
        <w:bidi w:val="0"/>
        <w:spacing w:before="0" w:after="0"/>
        <w:jc w:val="both"/>
        <w:rPr/>
      </w:pPr>
      <w:r>
        <w:rPr/>
        <w:t> </w:t>
      </w:r>
    </w:p>
    <w:tbl>
      <w:tblPr>
        <w:tblW w:w="8067" w:type="dxa"/>
        <w:jc w:val="left"/>
        <w:tblInd w:w="0" w:type="dxa"/>
        <w:tblLayout w:type="fixed"/>
        <w:tblCellMar>
          <w:top w:w="28" w:type="dxa"/>
          <w:left w:w="28" w:type="dxa"/>
          <w:bottom w:w="28" w:type="dxa"/>
          <w:right w:w="28" w:type="dxa"/>
        </w:tblCellMar>
      </w:tblPr>
      <w:tblGrid>
        <w:gridCol w:w="1686"/>
        <w:gridCol w:w="146"/>
        <w:gridCol w:w="211"/>
        <w:gridCol w:w="781"/>
        <w:gridCol w:w="546"/>
        <w:gridCol w:w="146"/>
        <w:gridCol w:w="211"/>
        <w:gridCol w:w="781"/>
        <w:gridCol w:w="546"/>
        <w:gridCol w:w="146"/>
        <w:gridCol w:w="211"/>
        <w:gridCol w:w="781"/>
        <w:gridCol w:w="146"/>
        <w:gridCol w:w="146"/>
        <w:gridCol w:w="211"/>
        <w:gridCol w:w="781"/>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6" w:type="dxa"/>
            <w:tcBorders/>
            <w:vAlign w:val="center"/>
          </w:tcPr>
          <w:p>
            <w:pPr>
              <w:pStyle w:val="TableContents"/>
              <w:bidi w:val="0"/>
              <w:spacing w:before="0" w:after="0"/>
              <w:ind w:left="0" w:right="0" w:hanging="0"/>
              <w:jc w:val="left"/>
              <w:rPr>
                <w:rFonts w:ascii="Calibri;sans-serif" w:hAnsi="Calibri;sans-serif"/>
                <w:b w:val="false"/>
                <w:i/>
                <w:sz w:val="20"/>
              </w:rPr>
            </w:pPr>
            <w:r>
              <w:rPr>
                <w:rFonts w:ascii="Calibri;sans-serif" w:hAnsi="Calibri;sans-serif"/>
                <w:b w:val="false"/>
                <w:i/>
                <w:sz w:val="20"/>
              </w:rPr>
              <w:t>Segment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1686"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158,443</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152,753</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314,064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304,642</w:t>
            </w:r>
          </w:p>
        </w:tc>
        <w:tc>
          <w:tcPr>
            <w:tcW w:w="591" w:type="dxa"/>
            <w:tcBorders/>
            <w:vAlign w:val="center"/>
          </w:tcPr>
          <w:p>
            <w:pPr>
              <w:pStyle w:val="TableContents"/>
              <w:bidi w:val="0"/>
              <w:spacing w:before="0" w:after="0"/>
              <w:ind w:left="0" w:right="0" w:firstLine="200"/>
              <w:jc w:val="left"/>
              <w:rPr/>
            </w:pPr>
            <w:r>
              <w:rPr/>
              <w:t> </w:t>
            </w:r>
          </w:p>
        </w:tc>
      </w:tr>
      <w:tr>
        <w:trPr/>
        <w:tc>
          <w:tcPr>
            <w:tcW w:w="1686"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68,787</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347,303</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133,623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614,622</w:t>
            </w:r>
          </w:p>
        </w:tc>
        <w:tc>
          <w:tcPr>
            <w:tcW w:w="591" w:type="dxa"/>
            <w:tcBorders/>
            <w:vAlign w:val="center"/>
          </w:tcPr>
          <w:p>
            <w:pPr>
              <w:pStyle w:val="TableContents"/>
              <w:bidi w:val="0"/>
              <w:spacing w:before="0" w:after="0"/>
              <w:ind w:left="0" w:right="0" w:firstLine="200"/>
              <w:jc w:val="left"/>
              <w:rPr/>
            </w:pPr>
            <w:r>
              <w:rPr/>
              <w:t> </w:t>
            </w:r>
          </w:p>
        </w:tc>
      </w:tr>
      <w:tr>
        <w:trPr/>
        <w:tc>
          <w:tcPr>
            <w:tcW w:w="1686"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12,507</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11,173</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24,013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22,573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686" w:type="dxa"/>
            <w:tcBorders/>
            <w:vAlign w:val="center"/>
          </w:tcPr>
          <w:p>
            <w:pPr>
              <w:pStyle w:val="TableContents"/>
              <w:bidi w:val="0"/>
              <w:spacing w:before="0" w:after="0"/>
              <w:ind w:left="0" w:right="0" w:firstLine="40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617" w:type="dxa"/>
        <w:jc w:val="left"/>
        <w:tblInd w:w="0" w:type="dxa"/>
        <w:tblLayout w:type="fixed"/>
        <w:tblCellMar>
          <w:top w:w="28" w:type="dxa"/>
          <w:left w:w="28" w:type="dxa"/>
          <w:bottom w:w="28" w:type="dxa"/>
          <w:right w:w="28" w:type="dxa"/>
        </w:tblCellMar>
      </w:tblPr>
      <w:tblGrid>
        <w:gridCol w:w="3316"/>
        <w:gridCol w:w="146"/>
        <w:gridCol w:w="211"/>
        <w:gridCol w:w="676"/>
        <w:gridCol w:w="166"/>
        <w:gridCol w:w="146"/>
        <w:gridCol w:w="211"/>
        <w:gridCol w:w="676"/>
        <w:gridCol w:w="166"/>
        <w:gridCol w:w="146"/>
        <w:gridCol w:w="211"/>
        <w:gridCol w:w="736"/>
        <w:gridCol w:w="166"/>
        <w:gridCol w:w="146"/>
        <w:gridCol w:w="211"/>
        <w:gridCol w:w="676"/>
        <w:gridCol w:w="6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16" w:type="dxa"/>
            <w:tcBorders/>
            <w:vAlign w:val="center"/>
          </w:tcPr>
          <w:p>
            <w:pPr>
              <w:pStyle w:val="TableContents"/>
              <w:bidi w:val="0"/>
              <w:spacing w:before="0" w:after="0"/>
              <w:ind w:left="0" w:right="0" w:hanging="0"/>
              <w:jc w:val="left"/>
              <w:rPr>
                <w:rFonts w:ascii="Calibri;sans-serif" w:hAnsi="Calibri;sans-serif"/>
                <w:b w:val="false"/>
                <w:i/>
                <w:sz w:val="20"/>
              </w:rPr>
            </w:pPr>
            <w:r>
              <w:rPr>
                <w:rFonts w:ascii="Calibri;sans-serif" w:hAnsi="Calibri;sans-serif"/>
                <w:b w:val="false"/>
                <w:i/>
                <w:sz w:val="20"/>
              </w:rPr>
              <w:t>Segment Income (Loss) from Operations: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31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24,619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58,182</w:t>
            </w:r>
          </w:p>
        </w:tc>
        <w:tc>
          <w:tcPr>
            <w:tcW w:w="611" w:type="dxa"/>
            <w:tcBorders/>
            <w:vAlign w:val="center"/>
          </w:tcPr>
          <w:p>
            <w:pPr>
              <w:pStyle w:val="TableContents"/>
              <w:bidi w:val="0"/>
              <w:spacing w:before="0" w:after="0"/>
              <w:ind w:left="0" w:right="0" w:firstLine="200"/>
              <w:jc w:val="left"/>
              <w:rPr/>
            </w:pPr>
            <w:r>
              <w:rPr/>
              <w:t> </w:t>
            </w:r>
          </w:p>
        </w:tc>
      </w:tr>
      <w:tr>
        <w:trPr/>
        <w:tc>
          <w:tcPr>
            <w:tcW w:w="331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(6,307</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(2,638</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(17,532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(4,749</w:t>
            </w:r>
          </w:p>
        </w:tc>
        <w:tc>
          <w:tcPr>
            <w:tcW w:w="61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331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Calibri;sans-serif" w:hAnsi="Calibri;sans-serif"/>
                <w:b w:val="false"/>
                <w:sz w:val="20"/>
              </w:rPr>
            </w:pPr>
            <w:r>
              <w:rPr>
                <w:rFonts w:ascii="Calibri;sans-serif" w:hAnsi="Calibri;sans-serif"/>
                <w:b w:val="false"/>
                <w:sz w:val="20"/>
              </w:rPr>
              <w:t>)</w:t>
            </w:r>
          </w:p>
        </w:tc>
      </w:tr>
      <w:tr>
        <w:trPr/>
        <w:tc>
          <w:tcPr>
            <w:tcW w:w="3316"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23,542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31,797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50,201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8507" w:type="dxa"/>
        <w:jc w:val="left"/>
        <w:tblInd w:w="0" w:type="dxa"/>
        <w:tblLayout w:type="fixed"/>
        <w:tblCellMar>
          <w:top w:w="28" w:type="dxa"/>
          <w:left w:w="28" w:type="dxa"/>
          <w:bottom w:w="28" w:type="dxa"/>
          <w:right w:w="28" w:type="dxa"/>
        </w:tblCellMar>
      </w:tblPr>
      <w:tblGrid>
        <w:gridCol w:w="3346"/>
        <w:gridCol w:w="146"/>
        <w:gridCol w:w="211"/>
        <w:gridCol w:w="676"/>
        <w:gridCol w:w="146"/>
        <w:gridCol w:w="146"/>
        <w:gridCol w:w="211"/>
        <w:gridCol w:w="676"/>
        <w:gridCol w:w="146"/>
        <w:gridCol w:w="146"/>
        <w:gridCol w:w="211"/>
        <w:gridCol w:w="676"/>
        <w:gridCol w:w="146"/>
        <w:gridCol w:w="146"/>
        <w:gridCol w:w="211"/>
        <w:gridCol w:w="676"/>
        <w:gridCol w:w="5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Calibri;sans-serif" w:hAnsi="Calibri;sans-serif"/>
                <w:b w:val="false"/>
                <w:i/>
                <w:sz w:val="20"/>
              </w:rPr>
            </w:pPr>
            <w:r>
              <w:rPr>
                <w:rFonts w:ascii="Calibri;sans-serif" w:hAnsi="Calibri;sans-serif"/>
                <w:b w:val="false"/>
                <w:i/>
                <w:sz w:val="20"/>
              </w:rPr>
              <w:t>Segment Depreciation and Amortization: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34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5,819</w:t>
            </w:r>
          </w:p>
        </w:tc>
        <w:tc>
          <w:tcPr>
            <w:tcW w:w="591" w:type="dxa"/>
            <w:tcBorders/>
            <w:vAlign w:val="center"/>
          </w:tcPr>
          <w:p>
            <w:pPr>
              <w:pStyle w:val="TableContents"/>
              <w:bidi w:val="0"/>
              <w:spacing w:before="0" w:after="0"/>
              <w:ind w:left="0" w:right="0" w:firstLine="200"/>
              <w:jc w:val="left"/>
              <w:rPr/>
            </w:pPr>
            <w:r>
              <w:rPr/>
              <w:t> </w:t>
            </w:r>
          </w:p>
        </w:tc>
      </w:tr>
      <w:tr>
        <w:trPr/>
        <w:tc>
          <w:tcPr>
            <w:tcW w:w="334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16,379</w:t>
            </w:r>
          </w:p>
        </w:tc>
        <w:tc>
          <w:tcPr>
            <w:tcW w:w="591" w:type="dxa"/>
            <w:tcBorders/>
            <w:vAlign w:val="center"/>
          </w:tcPr>
          <w:p>
            <w:pPr>
              <w:pStyle w:val="TableContents"/>
              <w:bidi w:val="0"/>
              <w:spacing w:before="0" w:after="0"/>
              <w:ind w:left="0" w:right="0" w:firstLine="200"/>
              <w:jc w:val="left"/>
              <w:rPr/>
            </w:pPr>
            <w:r>
              <w:rPr/>
              <w:t> </w:t>
            </w:r>
          </w:p>
        </w:tc>
      </w:tr>
      <w:tr>
        <w:trPr/>
        <w:tc>
          <w:tcPr>
            <w:tcW w:w="334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46"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11,667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11,234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23,243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22,419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a reconciliation between total segment income from operations to consolidated income before income taxes is as follows:</w:t>
      </w:r>
      <w:r>
        <w:rPr>
          <w:rFonts w:ascii="Times New Roman" w:hAnsi="Times New Roman"/>
          <w:sz w:val="20"/>
        </w:rPr>
        <w:t xml:space="preserve"> </w:t>
      </w:r>
    </w:p>
    <w:p>
      <w:pPr>
        <w:pStyle w:val="TextBody"/>
        <w:bidi w:val="0"/>
        <w:spacing w:before="0" w:after="0"/>
        <w:jc w:val="both"/>
        <w:rPr/>
      </w:pPr>
      <w:r>
        <w:rPr/>
        <w:t> </w:t>
      </w:r>
    </w:p>
    <w:tbl>
      <w:tblPr>
        <w:tblW w:w="820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11"/>
        <w:gridCol w:w="676"/>
        <w:gridCol w:w="166"/>
        <w:gridCol w:w="146"/>
        <w:gridCol w:w="211"/>
        <w:gridCol w:w="676"/>
        <w:gridCol w:w="146"/>
        <w:gridCol w:w="146"/>
        <w:gridCol w:w="211"/>
        <w:gridCol w:w="67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Total segment 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50,201</w:t>
            </w:r>
          </w:p>
        </w:tc>
        <w:tc>
          <w:tcPr>
            <w:tcW w:w="21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22,418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23,386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40,815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49,926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and December 31, 2022, segment assets are as follows:</w:t>
      </w:r>
    </w:p>
    <w:p>
      <w:pPr>
        <w:pStyle w:val="TextBody"/>
        <w:bidi w:val="0"/>
        <w:spacing w:before="0" w:after="0"/>
        <w:jc w:val="both"/>
        <w:rPr/>
      </w:pPr>
      <w:r>
        <w:rPr/>
        <w:t> </w:t>
      </w:r>
    </w:p>
    <w:tbl>
      <w:tblPr>
        <w:tblW w:w="4752" w:type="dxa"/>
        <w:jc w:val="left"/>
        <w:tblInd w:w="0" w:type="dxa"/>
        <w:tblLayout w:type="fixed"/>
        <w:tblCellMar>
          <w:top w:w="28" w:type="dxa"/>
          <w:left w:w="28" w:type="dxa"/>
          <w:bottom w:w="28" w:type="dxa"/>
          <w:right w:w="28" w:type="dxa"/>
        </w:tblCellMar>
      </w:tblPr>
      <w:tblGrid>
        <w:gridCol w:w="1486"/>
        <w:gridCol w:w="146"/>
        <w:gridCol w:w="211"/>
        <w:gridCol w:w="931"/>
        <w:gridCol w:w="146"/>
        <w:gridCol w:w="146"/>
        <w:gridCol w:w="233"/>
        <w:gridCol w:w="862"/>
        <w:gridCol w:w="5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w:t>
              <w:b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Calibri;sans-serif" w:hAnsi="Calibri;sans-serif"/>
                <w:b/>
                <w:sz w:val="16"/>
              </w:rPr>
              <w:t>As of</w:t>
              <w:br/>
              <w:t>December 31,</w:t>
              <w:br/>
              <w:t xml:space="preserve">2022 </w:t>
            </w:r>
            <w:r>
              <w:rPr>
                <w:rFonts w:ascii="Calibri;sans-serif" w:hAnsi="Calibri;sans-serif"/>
                <w:b/>
                <w:sz w:val="11"/>
              </w:rPr>
              <w:t>(1)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left"/>
              <w:rPr>
                <w:rFonts w:ascii="Calibri;sans-serif" w:hAnsi="Calibri;sans-serif"/>
                <w:b w:val="false"/>
                <w:i/>
                <w:sz w:val="20"/>
              </w:rPr>
            </w:pPr>
            <w:r>
              <w:rPr>
                <w:rFonts w:ascii="Calibri;sans-serif" w:hAnsi="Calibri;sans-serif"/>
                <w:b w:val="false"/>
                <w:i/>
                <w:sz w:val="20"/>
              </w:rPr>
              <w:t>Segment 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48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656,728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62"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525,103</w:t>
            </w:r>
          </w:p>
        </w:tc>
        <w:tc>
          <w:tcPr>
            <w:tcW w:w="591" w:type="dxa"/>
            <w:tcBorders/>
            <w:vAlign w:val="center"/>
          </w:tcPr>
          <w:p>
            <w:pPr>
              <w:pStyle w:val="TableContents"/>
              <w:bidi w:val="0"/>
              <w:spacing w:before="0" w:after="0"/>
              <w:ind w:left="0" w:right="0" w:firstLine="200"/>
              <w:jc w:val="left"/>
              <w:rPr/>
            </w:pPr>
            <w:r>
              <w:rPr/>
              <w:t> </w:t>
            </w:r>
          </w:p>
        </w:tc>
      </w:tr>
      <w:tr>
        <w:trPr/>
        <w:tc>
          <w:tcPr>
            <w:tcW w:w="148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334,712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358,289</w:t>
            </w:r>
          </w:p>
        </w:tc>
        <w:tc>
          <w:tcPr>
            <w:tcW w:w="591" w:type="dxa"/>
            <w:tcBorders/>
            <w:vAlign w:val="center"/>
          </w:tcPr>
          <w:p>
            <w:pPr>
              <w:pStyle w:val="TableContents"/>
              <w:bidi w:val="0"/>
              <w:spacing w:before="0" w:after="0"/>
              <w:ind w:left="0" w:right="0" w:firstLine="200"/>
              <w:jc w:val="left"/>
              <w:rPr/>
            </w:pPr>
            <w:r>
              <w:rPr/>
              <w:t> </w:t>
            </w:r>
          </w:p>
        </w:tc>
      </w:tr>
      <w:tr>
        <w:trPr/>
        <w:tc>
          <w:tcPr>
            <w:tcW w:w="148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48,881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43,710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486"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1,040,321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927,102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Calibri" w:hAnsi="Calibri"/>
          <w:b w:val="false"/>
          <w:sz w:val="20"/>
        </w:rPr>
      </w:pPr>
      <w:r>
        <w:rPr>
          <w:rFonts w:ascii="Calibri" w:hAnsi="Calibri"/>
          <w:b w:val="false"/>
          <w:sz w:val="20"/>
        </w:rPr>
        <w:t>(1)</w:t>
      </w:r>
    </w:p>
    <w:p>
      <w:pPr>
        <w:pStyle w:val="TextBody"/>
        <w:bidi w:val="0"/>
        <w:spacing w:before="120" w:after="283"/>
        <w:jc w:val="both"/>
        <w:rPr>
          <w:rFonts w:ascii="Calibri;sans-serif" w:hAnsi="Calibri;sans-serif"/>
          <w:b w:val="false"/>
          <w:sz w:val="13"/>
        </w:rPr>
      </w:pPr>
      <w:r>
        <w:rPr>
          <w:rFonts w:ascii="Calibri;sans-serif" w:hAnsi="Calibri;sans-serif"/>
          <w:b w:val="false"/>
          <w:sz w:val="13"/>
        </w:rPr>
        <w:t xml:space="preserve">As of December 31, 2022, Digital Wholesale assets did not reflect certain Dealer-to-Dealer and IMCO related capitalized website development assets from the U.S. Marketplace segment. During the three months ended March 31, 2023, the Company updated Digital Wholesale assets to reflect certain Dealer-to-Dealer and IMCO related capitalized website development amortization assets from the U.S. Marketplace segment and accordingly updated Digital Wholesale assets as of December 31, 2022 for comparative purposes. </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revenue by geographic region is as follows:</w:t>
      </w:r>
      <w:r>
        <w:rPr>
          <w:rFonts w:ascii="Times New Roman" w:hAnsi="Times New Roman"/>
          <w:sz w:val="20"/>
        </w:rPr>
        <w:t xml:space="preserve"> </w:t>
      </w:r>
    </w:p>
    <w:p>
      <w:pPr>
        <w:pStyle w:val="TextBody"/>
        <w:bidi w:val="0"/>
        <w:spacing w:before="0" w:after="0"/>
        <w:jc w:val="both"/>
        <w:rPr/>
      </w:pPr>
      <w:r>
        <w:rPr/>
        <w:t> </w:t>
      </w:r>
    </w:p>
    <w:tbl>
      <w:tblPr>
        <w:tblW w:w="8222"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46"/>
        <w:gridCol w:w="146"/>
        <w:gridCol w:w="211"/>
        <w:gridCol w:w="781"/>
        <w:gridCol w:w="146"/>
        <w:gridCol w:w="146"/>
        <w:gridCol w:w="211"/>
        <w:gridCol w:w="781"/>
        <w:gridCol w:w="5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Calibri;sans-serif" w:hAnsi="Calibri;sans-serif"/>
                <w:b w:val="false"/>
                <w:i/>
                <w:sz w:val="20"/>
              </w:rPr>
            </w:pPr>
            <w:r>
              <w:rPr>
                <w:rFonts w:ascii="Calibri;sans-serif" w:hAnsi="Calibri;sans-serif"/>
                <w:b w:val="false"/>
                <w:i/>
                <w:sz w:val="20"/>
              </w:rPr>
              <w:t>Revenue by Geographic Region:</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64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227,230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500,056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447,687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919,264</w:t>
            </w:r>
          </w:p>
        </w:tc>
        <w:tc>
          <w:tcPr>
            <w:tcW w:w="591" w:type="dxa"/>
            <w:tcBorders/>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12,507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24,013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22,573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641"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bookmarkStart w:id="10" w:name="i_item2"/>
      <w:bookmarkEnd w:id="10"/>
      <w:r>
        <w:rPr>
          <w:rFonts w:ascii="Calibri;sans-serif" w:hAnsi="Calibri;sans-serif"/>
          <w:b/>
          <w:sz w:val="20"/>
        </w:rPr>
        <w:t xml:space="preserve">Item 2. Management’s Discussion and Analysis of </w:t>
      </w:r>
      <w:bookmarkStart w:id="11" w:name="item_2_managements_discussion_analysis_f"/>
      <w:bookmarkEnd w:id="11"/>
      <w:r>
        <w:rPr>
          <w:rFonts w:ascii="Calibri;sans-serif" w:hAnsi="Calibri;sans-serif"/>
          <w:b/>
          <w:sz w:val="20"/>
        </w:rPr>
        <w:t>Financial Condition and Results of Operations.</w:t>
      </w:r>
    </w:p>
    <w:p>
      <w:pPr>
        <w:pStyle w:val="TextBody"/>
        <w:bidi w:val="0"/>
        <w:spacing w:before="240" w:after="0"/>
        <w:jc w:val="both"/>
        <w:rPr>
          <w:rFonts w:ascii="Times New Roman" w:hAnsi="Times New Roman"/>
          <w:sz w:val="20"/>
        </w:rPr>
      </w:pPr>
      <w:r>
        <w:rPr>
          <w:rFonts w:ascii="Calibri;sans-serif" w:hAnsi="Calibri;sans-serif"/>
          <w:b w:val="false"/>
          <w:i/>
          <w:sz w:val="20"/>
        </w:rPr>
        <w:t>You should read the following discussion and analysis of our financial condition and results of operations together with our Unaudited Condensed Consolidated Financial Statements, and the related notes thereto, appearing elsewhere in this Quarterly Report, and our consolidated financial statements and the related notes and other financial information included in our Annual Report on Form 10-K for the year ended December 31, 2022, filed with the U.S. Securities and Exchange Commission, or SEC, on March 1, 2023,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i/>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This section of this Quarterly Report discusses 2023 and 2022 items and year-to-year comparisons between 2023 and 2022. The period</w:t>
        <w:noBreakHyphen/>
        <w:t>to</w:t>
        <w:noBreakHyphen/>
        <w:t>period comparison of financial results is not necessarily indicative of future results.</w:t>
      </w:r>
    </w:p>
    <w:p>
      <w:pPr>
        <w:pStyle w:val="TextBody"/>
        <w:bidi w:val="0"/>
        <w:spacing w:before="240" w:after="0"/>
        <w:jc w:val="both"/>
        <w:rPr>
          <w:rFonts w:ascii="Times New Roman" w:hAnsi="Times New Roman"/>
          <w:sz w:val="20"/>
        </w:rPr>
      </w:pPr>
      <w:r>
        <w:rPr>
          <w:rFonts w:ascii="Calibri;sans-serif" w:hAnsi="Calibri;sans-serif"/>
          <w:b/>
          <w:sz w:val="20"/>
        </w:rPr>
        <w:t>Company Overview</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CarGurus, Inc. is a multinational, online automotive platform for buying and selling vehicles that is building upon its industry-leading listings marketplace with both digital retail solutions and the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We use proprietary technology, search algorithms, and data analytics to bring trust, transparency, and competitive pricing to the automotive shopping experience.</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are headquartered in Cambridge, Massachusetts and were incorporated in the State of Delaware on June 26, 2015.</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operate principally in the United States. In the United States, we also operate as independent brands – the Autolist online marketplace, which we wholly own, and the CarOffer digital wholesale platform, in which we hold a 51% equity interest. In addition to the United States, we operate online marketplaces under the CarGurus brand in Canada and the United Kingdom. In the United Kingdom, we also operate as an independent brand the PistonHeads online marketplace, which we wholly own.</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have subsidiaries in the United States, Canada, Ireland, and the United Kingdom. Effective as of the fourth quarter of 2022, we revised our segment reporting from one reportable segment to two reportable segments – U.S. Marketplace and Digital Wholesale. See Note 12 of the Unaudited Condensed Consolidated Financial Statements included elsewhere in this Quarterly Report for further segment reporting and geographic information.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and Real-time Performance Marketing, or RPM, digital advertising suite, and Digital Retail, (ii) advertising revenue from auto manufacturers and other auto-related brand advertisers, and (iii) revenue from partnerships with financing services companies. We generate wholesale revenue primarily from (x) transaction fees earned from facilitating the purchase and sale of vehicles between dealers, or Dealer-to-Dealer transactions, (y) transaction fees earned from sale of vehicles to dealers that we acquire at other marketplaces, and (z) transaction fees earned from performing inspection and transportation services, inclusive of Dealer-to-Dealer transactions, other marketplace-to-dealer transactions, and IMCO transactions (as defined below). We generate product revenue primarily from (A) aggregate proceeds received from the sale of vehicles to dealers that were acquired directly from customers, or CarGurus Instant Max Cash Offer, or IMCO, transactions, and (B) proceeds received from the sale of vehicles that were acquired through arbitration.</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we generated revenue of $239.7 million, a 53% decrease from $511.2 million of revenue for the three months ended June 30, 2022. For the three months ended June 30, 2023, we generated consolidated net income of $13.8 million and Consolidated Adjusted EBITDA of $45.2 million, compared to consolidated net income of $18.1 million and Consolidated Adjusted EBITDA of $61.2 million for the three months ended June 30,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val="false"/>
          <w:sz w:val="20"/>
        </w:rPr>
        <w:t>For the six months ended June 30, 2023, we generated revenue of $471.7 million, a 50% decrease from $941.8 million of revenue for the six months ended June 30, 2022. For the six months ended June 30, 2023, we generated consolidated net income of $25.7 million and Consolidated Adjusted EBITDA of $86.0 million, compared to consolidated net income of $36.9 million and Consolidated Adjusted EBITDA of $126.9 million for the six months ended June 30, 2022.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See “Consolidated Adjusted EBITDA, Adjusted EBITDA, and Adjusted EBITDA attributable to redeemable noncontrolling interest” below for more information regarding our use of Adjusted EBITDA, a non-GAAP financial measure, and a reconciliation of Adjusted EBITDA to our consolidated net income.</w:t>
      </w:r>
      <w:r>
        <w:rPr>
          <w:rFonts w:ascii="Times New Roman" w:hAnsi="Times New Roman"/>
          <w:sz w:val="20"/>
        </w:rPr>
        <w:t xml:space="preserve"> </w:t>
      </w:r>
    </w:p>
    <w:p>
      <w:pPr>
        <w:pStyle w:val="TextBody"/>
        <w:bidi w:val="0"/>
        <w:spacing w:before="240" w:after="0"/>
        <w:jc w:val="both"/>
        <w:rPr>
          <w:rFonts w:ascii="Calibri;sans-serif" w:hAnsi="Calibri;sans-serif"/>
          <w:b/>
          <w:sz w:val="20"/>
        </w:rPr>
      </w:pPr>
      <w:r>
        <w:rPr>
          <w:rFonts w:ascii="Calibri;sans-serif" w:hAnsi="Calibri;sans-serif"/>
          <w:b/>
          <w:sz w:val="20"/>
        </w:rPr>
        <w:t>Key Business Metrics</w:t>
      </w:r>
    </w:p>
    <w:p>
      <w:pPr>
        <w:pStyle w:val="TextBody"/>
        <w:bidi w:val="0"/>
        <w:spacing w:before="240" w:after="0"/>
        <w:jc w:val="both"/>
        <w:rPr>
          <w:rFonts w:ascii="Times New Roman" w:hAnsi="Times New Roman"/>
          <w:sz w:val="20"/>
        </w:rPr>
      </w:pPr>
      <w:r>
        <w:rPr>
          <w:rFonts w:ascii="Calibri;sans-serif" w:hAnsi="Calibri;sans-serif"/>
          <w:b w:val="false"/>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r>
        <w:rPr>
          <w:rFonts w:ascii="Times New Roman" w:hAnsi="Times New Roman"/>
          <w:sz w:val="20"/>
        </w:rPr>
        <w:t xml:space="preserve"> </w:t>
      </w:r>
    </w:p>
    <w:p>
      <w:pPr>
        <w:pStyle w:val="TextBody"/>
        <w:bidi w:val="0"/>
        <w:spacing w:before="240" w:after="0"/>
        <w:jc w:val="both"/>
        <w:rPr>
          <w:rFonts w:ascii="Calibri;sans-serif" w:hAnsi="Calibri;sans-serif"/>
          <w:b/>
          <w:i/>
          <w:sz w:val="20"/>
        </w:rPr>
      </w:pPr>
      <w:r>
        <w:rPr>
          <w:rFonts w:ascii="Calibri;sans-serif" w:hAnsi="Calibri;sans-serif"/>
          <w:b/>
          <w:i/>
          <w:sz w:val="20"/>
        </w:rPr>
        <w:t>Monthly Unique Users</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each of our websites (excluding the CarOffer website),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spacing w:before="0" w:after="0"/>
        <w:jc w:val="both"/>
        <w:rPr/>
      </w:pPr>
      <w:r>
        <w:rPr/>
        <w:t> </w:t>
      </w:r>
    </w:p>
    <w:tbl>
      <w:tblPr>
        <w:tblW w:w="6967" w:type="dxa"/>
        <w:jc w:val="left"/>
        <w:tblInd w:w="0" w:type="dxa"/>
        <w:tblLayout w:type="fixed"/>
        <w:tblCellMar>
          <w:top w:w="28" w:type="dxa"/>
          <w:left w:w="28" w:type="dxa"/>
          <w:bottom w:w="28" w:type="dxa"/>
          <w:right w:w="28" w:type="dxa"/>
        </w:tblCellMar>
      </w:tblPr>
      <w:tblGrid>
        <w:gridCol w:w="2266"/>
        <w:gridCol w:w="146"/>
        <w:gridCol w:w="146"/>
        <w:gridCol w:w="676"/>
        <w:gridCol w:w="146"/>
        <w:gridCol w:w="146"/>
        <w:gridCol w:w="146"/>
        <w:gridCol w:w="676"/>
        <w:gridCol w:w="146"/>
        <w:gridCol w:w="146"/>
        <w:gridCol w:w="146"/>
        <w:gridCol w:w="676"/>
        <w:gridCol w:w="146"/>
        <w:gridCol w:w="146"/>
        <w:gridCol w:w="146"/>
        <w:gridCol w:w="67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Average Monthly Unique Users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30,289</w:t>
            </w:r>
          </w:p>
        </w:tc>
        <w:tc>
          <w:tcPr>
            <w:tcW w:w="3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7,379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6,735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6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39,286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36,117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39,232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37,024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i/>
          <w:sz w:val="20"/>
        </w:rPr>
        <w:t>Monthly Sessions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monthly sessions as the number of distinct visits to our websites (excluding the CarOffer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United Kingdom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spacing w:before="0" w:after="0"/>
        <w:jc w:val="both"/>
        <w:rPr/>
      </w:pPr>
      <w:r>
        <w:rPr/>
        <w:t> </w:t>
      </w:r>
    </w:p>
    <w:tbl>
      <w:tblPr>
        <w:tblW w:w="6904" w:type="dxa"/>
        <w:jc w:val="left"/>
        <w:tblInd w:w="0" w:type="dxa"/>
        <w:tblLayout w:type="fixed"/>
        <w:tblCellMar>
          <w:top w:w="28" w:type="dxa"/>
          <w:left w:w="28" w:type="dxa"/>
          <w:bottom w:w="28" w:type="dxa"/>
          <w:right w:w="28" w:type="dxa"/>
        </w:tblCellMar>
      </w:tblPr>
      <w:tblGrid>
        <w:gridCol w:w="1921"/>
        <w:gridCol w:w="146"/>
        <w:gridCol w:w="151"/>
        <w:gridCol w:w="809"/>
        <w:gridCol w:w="151"/>
        <w:gridCol w:w="151"/>
        <w:gridCol w:w="151"/>
        <w:gridCol w:w="700"/>
        <w:gridCol w:w="146"/>
        <w:gridCol w:w="146"/>
        <w:gridCol w:w="146"/>
        <w:gridCol w:w="781"/>
        <w:gridCol w:w="146"/>
        <w:gridCol w:w="146"/>
        <w:gridCol w:w="146"/>
        <w:gridCol w:w="676"/>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1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Average Monthly Sessions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8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3"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United States</w:t>
            </w:r>
          </w:p>
        </w:tc>
        <w:tc>
          <w:tcPr>
            <w:tcW w:w="146"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84,355</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80,142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84,314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82,496</w:t>
            </w:r>
          </w:p>
        </w:tc>
        <w:tc>
          <w:tcPr>
            <w:tcW w:w="39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International</w:t>
            </w:r>
          </w:p>
        </w:tc>
        <w:tc>
          <w:tcPr>
            <w:tcW w:w="146" w:type="dxa"/>
            <w:tcBorders/>
            <w:vAlign w:val="center"/>
          </w:tcPr>
          <w:p>
            <w:pPr>
              <w:pStyle w:val="TableContents"/>
              <w:bidi w:val="0"/>
              <w:spacing w:before="0" w:after="0"/>
              <w:ind w:left="0" w:right="0" w:hanging="0"/>
              <w:jc w:val="righ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17,137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14,903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15,360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92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101,492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95,045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101,218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97,856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i/>
          <w:sz w:val="20"/>
        </w:rPr>
      </w:pPr>
      <w:r>
        <w:rPr>
          <w:rFonts w:ascii="Calibri;sans-serif" w:hAnsi="Calibri;sans-serif"/>
          <w:b/>
          <w:i/>
          <w:sz w:val="20"/>
        </w:rPr>
        <w:t>Transactions</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Transactions within the Digital Wholesale segment as the number of vehicles processed from car dealers, consumers, and other marketplaces through the CarOffer website within the applicable period. Transactions consists of each unique vehicle (based on vehicle identification number) that reaches "sold and invoiced" status on the CarOffer website within the applicable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Digital Wholesale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pStyle w:val="TextBody"/>
        <w:bidi w:val="0"/>
        <w:spacing w:before="0" w:after="0"/>
        <w:jc w:val="both"/>
        <w:rPr/>
      </w:pPr>
      <w:r>
        <w:rPr/>
        <w:t> </w:t>
      </w:r>
    </w:p>
    <w:tbl>
      <w:tblPr>
        <w:tblW w:w="5937" w:type="dxa"/>
        <w:jc w:val="left"/>
        <w:tblInd w:w="0" w:type="dxa"/>
        <w:tblLayout w:type="fixed"/>
        <w:tblCellMar>
          <w:top w:w="28" w:type="dxa"/>
          <w:left w:w="28" w:type="dxa"/>
          <w:bottom w:w="28" w:type="dxa"/>
          <w:right w:w="28" w:type="dxa"/>
        </w:tblCellMar>
      </w:tblPr>
      <w:tblGrid>
        <w:gridCol w:w="1111"/>
        <w:gridCol w:w="146"/>
        <w:gridCol w:w="162"/>
        <w:gridCol w:w="754"/>
        <w:gridCol w:w="162"/>
        <w:gridCol w:w="162"/>
        <w:gridCol w:w="162"/>
        <w:gridCol w:w="754"/>
        <w:gridCol w:w="146"/>
        <w:gridCol w:w="146"/>
        <w:gridCol w:w="146"/>
        <w:gridCol w:w="676"/>
        <w:gridCol w:w="146"/>
        <w:gridCol w:w="146"/>
        <w:gridCol w:w="146"/>
        <w:gridCol w:w="781"/>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Transactions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Transactions</w:t>
            </w:r>
          </w:p>
        </w:tc>
        <w:tc>
          <w:tcPr>
            <w:tcW w:w="146"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20,793</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63,998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38,298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132,752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i/>
          <w:sz w:val="20"/>
        </w:rPr>
        <w:t>Number of Paying Dealers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spacing w:before="0" w:after="0"/>
        <w:jc w:val="both"/>
        <w:rPr/>
      </w:pPr>
      <w:r>
        <w:rPr/>
        <w:t> </w:t>
      </w:r>
    </w:p>
    <w:tbl>
      <w:tblPr>
        <w:tblW w:w="4364" w:type="dxa"/>
        <w:jc w:val="left"/>
        <w:tblInd w:w="0" w:type="dxa"/>
        <w:tblLayout w:type="fixed"/>
        <w:tblCellMar>
          <w:top w:w="28" w:type="dxa"/>
          <w:left w:w="28" w:type="dxa"/>
          <w:bottom w:w="28" w:type="dxa"/>
          <w:right w:w="28" w:type="dxa"/>
        </w:tblCellMar>
      </w:tblPr>
      <w:tblGrid>
        <w:gridCol w:w="1891"/>
        <w:gridCol w:w="146"/>
        <w:gridCol w:w="146"/>
        <w:gridCol w:w="676"/>
        <w:gridCol w:w="146"/>
        <w:gridCol w:w="146"/>
        <w:gridCol w:w="146"/>
        <w:gridCol w:w="676"/>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Number of Paying Dealers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24,488</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6,655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31,097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31,143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Calibri;sans-serif" w:hAnsi="Calibri;sans-serif"/>
          <w:b/>
          <w:i/>
          <w:sz w:val="20"/>
        </w:rPr>
        <w:t>Quarterly Average Revenue per Subscribing Dealer (QARSD)</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spacing w:before="240" w:after="0"/>
        <w:jc w:val="both"/>
        <w:rPr/>
      </w:pPr>
      <w:r>
        <w:rPr/>
        <w:t> </w:t>
      </w:r>
    </w:p>
    <w:tbl>
      <w:tblPr>
        <w:tblW w:w="6439" w:type="dxa"/>
        <w:jc w:val="left"/>
        <w:tblInd w:w="0" w:type="dxa"/>
        <w:tblLayout w:type="fixed"/>
        <w:tblCellMar>
          <w:top w:w="28" w:type="dxa"/>
          <w:left w:w="28" w:type="dxa"/>
          <w:bottom w:w="28" w:type="dxa"/>
          <w:right w:w="28" w:type="dxa"/>
        </w:tblCellMar>
      </w:tblPr>
      <w:tblGrid>
        <w:gridCol w:w="4246"/>
        <w:gridCol w:w="146"/>
        <w:gridCol w:w="211"/>
        <w:gridCol w:w="571"/>
        <w:gridCol w:w="146"/>
        <w:gridCol w:w="146"/>
        <w:gridCol w:w="211"/>
        <w:gridCol w:w="57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Quarterly Average Revenue per Subscribing Dealer (QARSD)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5,771</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1,533</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4,862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i/>
          <w:sz w:val="20"/>
        </w:rPr>
      </w:pPr>
      <w:r>
        <w:rPr>
          <w:rFonts w:ascii="Calibri;sans-serif" w:hAnsi="Calibri;sans-serif"/>
          <w:b/>
          <w:i/>
          <w:sz w:val="20"/>
        </w:rPr>
        <w:t>Consolidated Adjusted EBITDA, Adjusted EBITDA, and Adjusted EBITDA attributable to redeemable noncontrolling interest</w:t>
      </w:r>
    </w:p>
    <w:p>
      <w:pPr>
        <w:pStyle w:val="TextBody"/>
        <w:bidi w:val="0"/>
        <w:spacing w:before="240" w:after="0"/>
        <w:jc w:val="both"/>
        <w:rPr>
          <w:rFonts w:ascii="Calibri;sans-serif" w:hAnsi="Calibri;sans-serif"/>
          <w:b w:val="false"/>
          <w:sz w:val="20"/>
        </w:rPr>
      </w:pPr>
      <w:r>
        <w:rPr>
          <w:rFonts w:ascii="Calibri;sans-serif" w:hAnsi="Calibri;sans-serif"/>
          <w:b w:val="false"/>
          <w:sz w:val="20"/>
        </w:rPr>
        <w:t>To provide investors with additional information regarding our financial results, we have presented within this Quarterly Report, Consolidated Adjusted EBITDA, Adjusted EBITDA, and Adjusted EBITDA attributable to redeemable noncontrolling interest, each of which is a non</w:t>
        <w:noBreakHyphen/>
        <w:t>GAAP financial measure. These non</w:t>
        <w:noBreakHyphen/>
        <w:t>GAAP financial measures are not based on any standardized methodology prescribed by GAAP, and are not necessarily comparable to any similarly titled measures presented by other companies.</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Consolidated Adjusted EBITDA as consolidated net income, adjusted to exclude: depreciation and amortization, impairment of long-lived assets, stock</w:t>
        <w:noBreakHyphen/>
        <w:t>based compensation expense, other (income) expense, net, and provision for income taxes.</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Adjusted EBITDA as Consolidated Adjusted EBITDA adjusted to exclude Adjusted EBITDA attributable to redeemable noncontrolling interest.</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define Adjusted EBITDA attributable to redeemable noncontrolling interest as net loss attributable to redeemable noncontrolling interest, adjusted to exclude: depreciation and amortization, impairment of long-lived assets, stock</w:t>
        <w:noBreakHyphen/>
        <w:t>based compensation expense, other expense, net, and provision for income taxes. These exclusions are adjusted for redeemable noncontrolling interest of 38% by taking the noncontrolling interest's full financial results and multiplying each line item in the reconciliation by 38%. We note that we use 38%, versus 49%, to allocate the share of income (loss) because it represents the portion attributable to the redeemable noncontrolling interest. The 38% is exclusive of CO Incentive Units, Subject Units, and 2021 Incentive Units (as each term is defined in Note 2 to our consolidated financial statements contained within our Annual Report) liability classified awards which do not participate in the share of income (loss).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have presented Consolidated Adjusted EBITDA and Adjusted EBITDA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and Adjusted EBITDA can produce a useful measure for period</w:t>
        <w:noBreakHyphen/>
        <w:t>to</w:t>
        <w:noBreakHyphen/>
        <w:t>period comparisons of our business. We have presented Adjusted EBITDA attributable to redeemable noncontrolling interest because it is used by our management to reconcile Consolidated Adjusted EBITDA to Adjusted EBITDA. It represents the portion of Consolidated Adjusted EBITDA that is attributable to our redeemable noncontrolling interest. Adjusted EBITDA attributable to redeemable noncontrolling interest is not intended to be reviewed on its own.</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use Consolidated Adjusted EBITDA and Adjusted EBITDA to evaluate our operating performance and trends and make planning decisions. We believe Consolidated Adjusted EBITDA and Adjusted EBITDA help identify underlying trends in our business that could otherwise be masked by the effect of the expenses that we exclude. Accordingly, we believe that Consolidated Adjusted EBITDA and Adjusted EBITDA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 We use Adjusted EBITDA attributable to redeemable noncontrolling interest to reconcile Consolidated Adjusted EBITDA to Adjusted EBITDA. It enables an investor to gain a clearer understanding of the portion of Consolidated Adjusted EBITDA that is attributable to our redeemable noncontrolling interest.</w:t>
      </w:r>
    </w:p>
    <w:p>
      <w:pPr>
        <w:pStyle w:val="TextBody"/>
        <w:bidi w:val="0"/>
        <w:spacing w:before="240" w:after="0"/>
        <w:jc w:val="both"/>
        <w:rPr>
          <w:rFonts w:ascii="Calibri;sans-serif" w:hAnsi="Calibri;sans-serif"/>
          <w:b w:val="false"/>
          <w:sz w:val="20"/>
        </w:rPr>
      </w:pPr>
      <w:r>
        <w:rPr>
          <w:rFonts w:ascii="Calibri;sans-serif" w:hAnsi="Calibri;sans-serif"/>
          <w:b w:val="false"/>
          <w:sz w:val="20"/>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attributable to redeemable noncontrolling interest, respectively, which are the most directly comparable GAAP equivalents. Some of these limitations are:</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Consolidated Adjusted EBITDA, Adjusted EBITDA, and Adjusted EBITDA attributable to redeemable noncontrolling interest exclude depreciation and amortization expense and, although these are non</w:t>
        <w:noBreakHyphen/>
        <w:t>cash expenses, the assets being depreciated may have to be replaced in the future;</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Consolidated Adjusted EBITDA, Adjusted EBITDA, and Adjusted EBITDA attributable to redeemable noncontrolling interest exclude impairment of long-lived assets and, although these are non-cash adjustments, the assets being impaired may have to be replaced in the future;</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Consolidated Adjusted EBITDA, Adjusted EBITDA, and Adjusted EBITDA attributable to redeemable noncontrolling interest exclude stock</w:t>
        <w:noBreakHyphen/>
        <w:t>based compensation expense, which will be, for the foreseeable future, a significant recurring expense for our business and an important part of our compensation strategy;</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Consolidated Adjusted EBITDA, Adjusted EBITDA, and Adjusted EBITDA attributable to redeemable noncontrolling interest exclude other (income) expense, net, which consists primarily of interest income earned on our cash and cash equivalents, foreign exchange gains and losses and interest expense;</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 xml:space="preserve">Consolidated Adjusted EBITDA, Adjusted EBITDA, and Adjusted EBITDA attributable to redeemable noncontrolling interest exclude the provision for income taxes; </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Adjusted EBITDA excludes Adjusted EBITDA attributable to redeemable noncontrolling interest, which is calculated as the net loss attributable to redeemable noncontrolling interest, adjusted for all exclusions used to calculate Consolidated Adjusted EBITDA as described above; and</w:t>
      </w:r>
    </w:p>
    <w:p>
      <w:pPr>
        <w:pStyle w:val="TextBody"/>
        <w:bidi w:val="0"/>
        <w:spacing w:before="240" w:after="0"/>
        <w:jc w:val="both"/>
        <w:rPr/>
      </w:pPr>
      <w:r>
        <w:rPr/>
        <w:t>•</w:t>
      </w:r>
    </w:p>
    <w:p>
      <w:pPr>
        <w:pStyle w:val="TextBody"/>
        <w:bidi w:val="0"/>
        <w:spacing w:before="240" w:after="283"/>
        <w:jc w:val="both"/>
        <w:rPr>
          <w:rFonts w:ascii="Calibri;sans-serif" w:hAnsi="Calibri;sans-serif"/>
          <w:b w:val="false"/>
          <w:sz w:val="20"/>
        </w:rPr>
      </w:pPr>
      <w:r>
        <w:rPr>
          <w:rFonts w:ascii="Calibri;sans-serif" w:hAnsi="Calibri;sans-serif"/>
          <w:b w:val="false"/>
          <w:sz w:val="20"/>
        </w:rPr>
        <w:t>other companies, including companies in our industry, may calculate Consolidated Adjusted EBITDA, Adjusted EBITDA, and Adjusted EBITDA attributable to redeemable noncontrolling interest differently, which reduces their usefulness as a comparative measure.</w:t>
      </w:r>
    </w:p>
    <w:p>
      <w:pPr>
        <w:pStyle w:val="TextBody"/>
        <w:bidi w:val="0"/>
        <w:spacing w:before="240" w:after="0"/>
        <w:jc w:val="both"/>
        <w:rPr>
          <w:rFonts w:ascii="Calibri;sans-serif" w:hAnsi="Calibri;sans-serif"/>
          <w:b w:val="false"/>
          <w:sz w:val="20"/>
        </w:rPr>
      </w:pPr>
      <w:r>
        <w:rPr>
          <w:rFonts w:ascii="Calibri;sans-serif" w:hAnsi="Calibri;sans-serif"/>
          <w:b w:val="false"/>
          <w:sz w:val="20"/>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the following table presents a reconciliation of Consolidated Adjusted EBITDA and Adjusted EBITDA to consolidated net income, the most directly comparable measure calculated in accordance with GAAP, for each of the periods presented.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299"/>
        <w:gridCol w:w="146"/>
        <w:gridCol w:w="211"/>
        <w:gridCol w:w="676"/>
        <w:gridCol w:w="166"/>
        <w:gridCol w:w="146"/>
        <w:gridCol w:w="211"/>
        <w:gridCol w:w="676"/>
        <w:gridCol w:w="146"/>
        <w:gridCol w:w="146"/>
        <w:gridCol w:w="211"/>
        <w:gridCol w:w="676"/>
        <w:gridCol w:w="166"/>
        <w:gridCol w:w="146"/>
        <w:gridCol w:w="211"/>
        <w:gridCol w:w="781"/>
        <w:gridCol w:w="191"/>
      </w:tblGrid>
      <w:tr>
        <w:trPr/>
        <w:tc>
          <w:tcPr>
            <w:tcW w:w="5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91"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Reconciliation of Consolidated Adjusted EBITDA and Adjusted EBITDA:</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13,817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36,899</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22,419</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Impairment of long-lived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26,457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30,804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54,299</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(4,680</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(9,018</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275</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13,027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45,241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86,028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126,919</w:t>
            </w:r>
          </w:p>
        </w:tc>
        <w:tc>
          <w:tcPr>
            <w:tcW w:w="191" w:type="dxa"/>
            <w:tcBorders/>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Adjusted EBITDA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15,001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43,651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53,968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85,115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111,918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the following table presents a reconciliation of Adjusted EBITDA attributable to redeemable noncontrolling interest to net loss attributable to redeemable noncontrolling interest, the most directly comparable measure calculated in accordance with GAAP, for each of the periods presented.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499"/>
        <w:gridCol w:w="146"/>
        <w:gridCol w:w="211"/>
        <w:gridCol w:w="631"/>
        <w:gridCol w:w="166"/>
        <w:gridCol w:w="146"/>
        <w:gridCol w:w="211"/>
        <w:gridCol w:w="631"/>
        <w:gridCol w:w="166"/>
        <w:gridCol w:w="146"/>
        <w:gridCol w:w="211"/>
        <w:gridCol w:w="631"/>
        <w:gridCol w:w="166"/>
        <w:gridCol w:w="146"/>
        <w:gridCol w:w="211"/>
        <w:gridCol w:w="676"/>
        <w:gridCol w:w="211"/>
      </w:tblGrid>
      <w:tr>
        <w:trPr/>
        <w:tc>
          <w:tcPr>
            <w:tcW w:w="5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41"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5499"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Reconciliation of Adjusted EBITDA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4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loss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(2,596</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(1,223</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(6,862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(2,295</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 xml:space="preserve">Depreciation and amortization </w:t>
            </w:r>
            <w:r>
              <w:rPr>
                <w:rFonts w:ascii="Calibri;sans-serif" w:hAnsi="Calibri;sans-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5,827</w:t>
            </w:r>
          </w:p>
        </w:tc>
        <w:tc>
          <w:tcPr>
            <w:tcW w:w="211" w:type="dxa"/>
            <w:tcBorders/>
            <w:vAlign w:val="center"/>
          </w:tcPr>
          <w:p>
            <w:pPr>
              <w:pStyle w:val="TableContents"/>
              <w:bidi w:val="0"/>
              <w:spacing w:before="0" w:after="0"/>
              <w:ind w:left="0" w:right="0" w:hanging="0"/>
              <w:jc w:val="left"/>
              <w:rPr/>
            </w:pPr>
            <w:r>
              <w:rPr/>
              <w:t> </w:t>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Impairment of long-lived assets</w:t>
            </w:r>
            <w:r>
              <w:rPr>
                <w:rFonts w:ascii="Times New Roman" w:hAnsi="Times New Roman"/>
                <w:sz w:val="20"/>
              </w:rPr>
              <w:t> </w:t>
            </w:r>
            <w:r>
              <w:rPr>
                <w:rFonts w:ascii="Calibri;sans-serif" w:hAnsi="Calibri;sans-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 xml:space="preserve">Stock-based compensation expense </w:t>
            </w:r>
            <w:r>
              <w:rPr>
                <w:rFonts w:ascii="Calibri;sans-serif" w:hAnsi="Calibri;sans-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10,498</w:t>
            </w:r>
          </w:p>
        </w:tc>
        <w:tc>
          <w:tcPr>
            <w:tcW w:w="211" w:type="dxa"/>
            <w:tcBorders/>
            <w:vAlign w:val="center"/>
          </w:tcPr>
          <w:p>
            <w:pPr>
              <w:pStyle w:val="TableContents"/>
              <w:bidi w:val="0"/>
              <w:spacing w:before="0" w:after="0"/>
              <w:ind w:left="0" w:right="0" w:hanging="0"/>
              <w:jc w:val="left"/>
              <w:rPr/>
            </w:pPr>
            <w:r>
              <w:rPr/>
              <w:t> </w:t>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Other expense, net</w:t>
            </w:r>
            <w:r>
              <w:rPr>
                <w:rFonts w:ascii="Times New Roman" w:hAnsi="Times New Roman"/>
                <w:sz w:val="20"/>
              </w:rPr>
              <w:t> </w:t>
            </w:r>
            <w:r>
              <w:rPr>
                <w:rFonts w:ascii="Calibri;sans-serif" w:hAnsi="Calibri;sans-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880</w:t>
            </w:r>
          </w:p>
        </w:tc>
        <w:tc>
          <w:tcPr>
            <w:tcW w:w="211" w:type="dxa"/>
            <w:tcBorders/>
            <w:vAlign w:val="center"/>
          </w:tcPr>
          <w:p>
            <w:pPr>
              <w:pStyle w:val="TableContents"/>
              <w:bidi w:val="0"/>
              <w:spacing w:before="0" w:after="0"/>
              <w:ind w:left="0" w:right="0" w:hanging="0"/>
              <w:jc w:val="left"/>
              <w:rPr/>
            </w:pPr>
            <w:r>
              <w:rPr/>
              <w:t> </w:t>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 xml:space="preserve">Provision for income taxes </w:t>
            </w:r>
            <w:r>
              <w:rPr>
                <w:rFonts w:ascii="Calibri;sans-serif" w:hAnsi="Calibri;sans-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99"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Adjusted EBITDA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15,001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Calibri" w:hAnsi="Calibri"/>
          <w:b w:val="false"/>
          <w:sz w:val="20"/>
        </w:rPr>
      </w:pPr>
      <w:r>
        <w:rPr>
          <w:rFonts w:ascii="Calibri" w:hAnsi="Calibri"/>
          <w:b w:val="false"/>
          <w:sz w:val="20"/>
        </w:rPr>
        <w:t>(1)</w:t>
      </w:r>
    </w:p>
    <w:p>
      <w:pPr>
        <w:pStyle w:val="TextBody"/>
        <w:bidi w:val="0"/>
        <w:spacing w:before="120" w:after="283"/>
        <w:jc w:val="both"/>
        <w:rPr>
          <w:rFonts w:ascii="Calibri;sans-serif" w:hAnsi="Calibri;sans-serif"/>
          <w:b w:val="false"/>
          <w:sz w:val="13"/>
        </w:rPr>
      </w:pPr>
      <w:r>
        <w:rPr>
          <w:rFonts w:ascii="Calibri;sans-serif" w:hAnsi="Calibri;sans-serif"/>
          <w:b w:val="false"/>
          <w:sz w:val="13"/>
        </w:rPr>
        <w:t>These exclusions are adjusted to reflect the noncontrolling interest of 38%.</w:t>
      </w:r>
    </w:p>
    <w:p>
      <w:pPr>
        <w:pStyle w:val="TextBody"/>
        <w:bidi w:val="0"/>
        <w:spacing w:before="240" w:after="0"/>
        <w:jc w:val="both"/>
        <w:rPr>
          <w:rFonts w:ascii="Times New Roman" w:hAnsi="Times New Roman"/>
          <w:sz w:val="20"/>
        </w:rPr>
      </w:pPr>
      <w:r>
        <w:rPr>
          <w:rFonts w:ascii="Calibri;sans-serif" w:hAnsi="Calibri;sans-serif"/>
          <w:b/>
          <w:sz w:val="20"/>
        </w:rPr>
        <w:t>Components of Unaudited Condensed Consolidated Income Statements</w:t>
      </w:r>
      <w:r>
        <w:rPr>
          <w:rFonts w:ascii="Times New Roman" w:hAnsi="Times New Roman"/>
          <w:sz w:val="20"/>
        </w:rPr>
        <w:t xml:space="preserve"> </w:t>
      </w:r>
    </w:p>
    <w:p>
      <w:pPr>
        <w:pStyle w:val="TextBody"/>
        <w:bidi w:val="0"/>
        <w:spacing w:before="240" w:after="0"/>
        <w:jc w:val="both"/>
        <w:rPr>
          <w:rFonts w:ascii="Calibri;sans-serif" w:hAnsi="Calibri;sans-serif"/>
          <w:b/>
          <w:i/>
          <w:sz w:val="20"/>
        </w:rPr>
      </w:pPr>
      <w:r>
        <w:rPr>
          <w:rFonts w:ascii="Calibri;sans-serif" w:hAnsi="Calibri;sans-serif"/>
          <w:b/>
          <w:i/>
          <w:sz w:val="20"/>
        </w:rPr>
        <w:t>Revenue</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and Digital Retail, (ii) advertising revenue from auto manufacturers and other auto</w:t>
        <w:noBreakHyphen/>
        <w:t>related brand advertisers, and (iii) revenue from partnerships with financing services companies. We generate wholesale revenue primarily from (x) transaction fees earned from Dealer-to-Dealer transactions, (y) transaction fees earned from sale of vehicles to dealers that we acquire at other marketplaces, and (z) transaction fees earned from performing inspection and transportation services, inclusive of Dealer-to-Dealer transactions, other marketplace-to-dealer transactions, and IMCO transactions. We generate product revenue primarily from (A) aggregate proceeds received from the sale of vehicles that were acquired through IMCO transactions, and (B) proceeds received from the sale of vehicles that were acquired through arbitration.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Marketplace Revenue</w:t>
      </w:r>
    </w:p>
    <w:p>
      <w:pPr>
        <w:pStyle w:val="TextBody"/>
        <w:bidi w:val="0"/>
        <w:spacing w:before="240" w:after="0"/>
        <w:jc w:val="both"/>
        <w:rPr>
          <w:rFonts w:ascii="Times New Roman" w:hAnsi="Times New Roman"/>
          <w:sz w:val="20"/>
        </w:rPr>
      </w:pPr>
      <w:r>
        <w:rPr>
          <w:rFonts w:ascii="Calibri;sans-serif" w:hAnsi="Calibri;sans-serif"/>
          <w:b w:val="false"/>
          <w:sz w:val="20"/>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IMV Scan tool. For details on the Dealer Dashboard and these merchandising tools, refer to “Our Products and Services – U.S. Marketplace and Other – Dealer Offerings – Dealer Dashboard and Merchandising Tools” in Part I, Item 1 within our Annual Report.</w:t>
      </w:r>
    </w:p>
    <w:p>
      <w:pPr>
        <w:pStyle w:val="TextBody"/>
        <w:bidi w:val="0"/>
        <w:spacing w:before="240" w:after="0"/>
        <w:jc w:val="both"/>
        <w:rPr>
          <w:rFonts w:ascii="Times New Roman" w:hAnsi="Times New Roman"/>
          <w:sz w:val="20"/>
        </w:rPr>
      </w:pPr>
      <w:r>
        <w:rPr>
          <w:rFonts w:ascii="Calibri;sans-serif" w:hAnsi="Calibri;sans-serif"/>
          <w:b w:val="false"/>
          <w:sz w:val="20"/>
        </w:rPr>
        <w:t>We also offer paid Listings packages for the Autolist and PistonHeads websites.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also offer dealer advertising products for the PistonHeads website.</w:t>
      </w:r>
    </w:p>
    <w:p>
      <w:pPr>
        <w:pStyle w:val="TextBody"/>
        <w:bidi w:val="0"/>
        <w:spacing w:before="240" w:after="0"/>
        <w:jc w:val="both"/>
        <w:rPr>
          <w:rFonts w:ascii="Times New Roman" w:hAnsi="Times New Roman"/>
          <w:sz w:val="20"/>
        </w:rPr>
      </w:pPr>
      <w:r>
        <w:rPr>
          <w:rFonts w:ascii="Calibri;sans-serif" w:hAnsi="Calibri;sans-serif"/>
          <w:b w:val="false"/>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Area Boost/Geo Expansion, which expands the visibility of a dealer’s inventory in the search results beyond its local market, and (iii) Hard Pull Financing, which provides loan information.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Marketplace revenue also consists of non-dealer advertising revenue from auto manufacturers and other auto-related brand advertisers sold on a cost-per-thousand impressions, or CPM, basis. An impression is an advertisement loaded on a web page. In addition to advertising sold on a CPM basis,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also offer non-dealer advertising products for the Autolist and PistonHeads websites.</w:t>
      </w:r>
    </w:p>
    <w:p>
      <w:pPr>
        <w:pStyle w:val="TextBody"/>
        <w:bidi w:val="0"/>
        <w:spacing w:before="240" w:after="0"/>
        <w:jc w:val="both"/>
        <w:rPr>
          <w:rFonts w:ascii="Calibri;sans-serif" w:hAnsi="Calibri;sans-serif"/>
          <w:b w:val="false"/>
          <w:sz w:val="20"/>
        </w:rPr>
      </w:pPr>
      <w:r>
        <w:rPr>
          <w:rFonts w:ascii="Calibri;sans-serif" w:hAnsi="Calibri;sans-serif"/>
          <w:b w:val="false"/>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Wholesale Revenue</w:t>
      </w:r>
    </w:p>
    <w:p>
      <w:pPr>
        <w:pStyle w:val="TextBody"/>
        <w:bidi w:val="0"/>
        <w:spacing w:before="240" w:after="0"/>
        <w:jc w:val="both"/>
        <w:rPr>
          <w:rFonts w:ascii="Times New Roman" w:hAnsi="Times New Roman"/>
          <w:sz w:val="20"/>
        </w:rPr>
      </w:pPr>
      <w:r>
        <w:rPr>
          <w:rFonts w:ascii="Calibri;sans-serif" w:hAnsi="Calibri;sans-serif"/>
          <w:b w:val="false"/>
          <w:sz w:val="20"/>
        </w:rPr>
        <w:t>The Buying Matrix on the CarOffer platform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0"/>
        <w:jc w:val="both"/>
        <w:rPr>
          <w:rFonts w:ascii="Times New Roman" w:hAnsi="Times New Roman"/>
          <w:sz w:val="20"/>
        </w:rPr>
      </w:pPr>
      <w:r>
        <w:rPr>
          <w:rFonts w:ascii="Calibri;sans-serif" w:hAnsi="Calibri;sans-serif"/>
          <w:b w:val="false"/>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Product Revenue</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Buying Matrix on the CarOffer platform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Arbitration is the process by which we investigate and resolve claims from buying dealers. We control the vehicle in these transactions and therefore act as the principal.</w:t>
      </w:r>
    </w:p>
    <w:p>
      <w:pPr>
        <w:pStyle w:val="TextBody"/>
        <w:bidi w:val="0"/>
        <w:spacing w:before="240" w:after="0"/>
        <w:jc w:val="both"/>
        <w:rPr>
          <w:rFonts w:ascii="Calibri;sans-serif" w:hAnsi="Calibri;sans-serif"/>
          <w:b/>
          <w:i/>
          <w:sz w:val="20"/>
        </w:rPr>
      </w:pPr>
      <w:r>
        <w:rPr>
          <w:rFonts w:ascii="Calibri;sans-serif" w:hAnsi="Calibri;sans-serif"/>
          <w:b/>
          <w:i/>
          <w:sz w:val="20"/>
        </w:rPr>
        <w:t>Cost of Revenue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Marketplace Cost of Revenue</w:t>
      </w:r>
    </w:p>
    <w:p>
      <w:pPr>
        <w:pStyle w:val="TextBody"/>
        <w:bidi w:val="0"/>
        <w:spacing w:before="240" w:after="0"/>
        <w:jc w:val="both"/>
        <w:rPr>
          <w:rFonts w:ascii="Times New Roman" w:hAnsi="Times New Roman"/>
          <w:sz w:val="20"/>
        </w:rPr>
      </w:pPr>
      <w:r>
        <w:rPr>
          <w:rFonts w:ascii="Calibri;sans-serif" w:hAnsi="Calibri;sans-serif"/>
          <w:b w:val="false"/>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of capitalized website development; amortization of capitalized hosting arrangements;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Wholesale Cost of Revenue</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cost of revenue includes expenses related to supporting and hosting wholesale service offerings, including Dealer-to-Dealer transactions and vehicles sold to dealers acquired at other marketplaces, on the Buying Matrix on the CarOffer platform.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Product Cost of Revenue</w:t>
      </w:r>
    </w:p>
    <w:p>
      <w:pPr>
        <w:pStyle w:val="TextBody"/>
        <w:bidi w:val="0"/>
        <w:spacing w:before="240" w:after="0"/>
        <w:jc w:val="both"/>
        <w:rPr>
          <w:rFonts w:ascii="Calibri;sans-serif" w:hAnsi="Calibri;sans-serif"/>
          <w:b w:val="false"/>
          <w:sz w:val="20"/>
        </w:rPr>
      </w:pPr>
      <w:r>
        <w:rPr>
          <w:rFonts w:ascii="Calibri;sans-serif" w:hAnsi="Calibri;sans-serif"/>
          <w:b w:val="false"/>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i/>
          <w:sz w:val="20"/>
        </w:rPr>
      </w:pPr>
      <w:r>
        <w:rPr>
          <w:rFonts w:ascii="Calibri;sans-serif" w:hAnsi="Calibri;sans-serif"/>
          <w:b/>
          <w:i/>
          <w:sz w:val="20"/>
        </w:rPr>
        <w:t>Operating Expenses</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Sales and Marketing</w:t>
      </w:r>
    </w:p>
    <w:p>
      <w:pPr>
        <w:pStyle w:val="TextBody"/>
        <w:bidi w:val="0"/>
        <w:spacing w:before="240" w:after="0"/>
        <w:jc w:val="both"/>
        <w:rPr>
          <w:rFonts w:ascii="Calibri;sans-serif" w:hAnsi="Calibri;sans-serif"/>
          <w:b w:val="false"/>
          <w:sz w:val="20"/>
        </w:rPr>
      </w:pPr>
      <w:r>
        <w:rPr>
          <w:rFonts w:ascii="Calibri;sans-serif" w:hAnsi="Calibri;sans-serif"/>
          <w:b w:val="false"/>
          <w:sz w:val="20"/>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changes in the macroeconomic and competitive landscapes affecting our existing dealers, consumer audience, and brand awareness, which will impact our results of operations.</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Product, Technology, and Development</w:t>
      </w:r>
    </w:p>
    <w:p>
      <w:pPr>
        <w:pStyle w:val="TextBody"/>
        <w:bidi w:val="0"/>
        <w:spacing w:before="240" w:after="0"/>
        <w:jc w:val="both"/>
        <w:rPr>
          <w:rFonts w:ascii="Calibri;sans-serif" w:hAnsi="Calibri;sans-serif"/>
          <w:b w:val="false"/>
          <w:sz w:val="20"/>
        </w:rPr>
      </w:pPr>
      <w:r>
        <w:rPr>
          <w:rFonts w:ascii="Calibri;sans-serif" w:hAnsi="Calibri;sans-serif"/>
          <w:b w:val="false"/>
          <w:sz w:val="20"/>
        </w:rPr>
        <w:t>Product, technology, and development expenses consist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expenses to increase as we invest in additional engineering resources to develop new solutions and make improvements to our existing platform.</w:t>
      </w:r>
    </w:p>
    <w:p>
      <w:pPr>
        <w:pStyle w:val="TextBody"/>
        <w:bidi w:val="0"/>
        <w:spacing w:before="240" w:after="0"/>
        <w:jc w:val="left"/>
        <w:rPr>
          <w:rFonts w:ascii="Calibri;sans-serif" w:hAnsi="Calibri;sans-serif"/>
          <w:b w:val="false"/>
          <w:i/>
          <w:sz w:val="20"/>
        </w:rPr>
      </w:pPr>
      <w:r>
        <w:rPr>
          <w:rFonts w:ascii="Calibri;sans-serif" w:hAnsi="Calibri;sans-serif"/>
          <w:b w:val="false"/>
          <w:i/>
          <w:sz w:val="20"/>
        </w:rPr>
        <w:t>General and Administrative</w:t>
      </w:r>
    </w:p>
    <w:p>
      <w:pPr>
        <w:pStyle w:val="TextBody"/>
        <w:bidi w:val="0"/>
        <w:spacing w:before="240" w:after="0"/>
        <w:jc w:val="both"/>
        <w:rPr>
          <w:rFonts w:ascii="Calibri;sans-serif" w:hAnsi="Calibri;sans-serif"/>
          <w:b w:val="false"/>
          <w:sz w:val="20"/>
        </w:rPr>
      </w:pPr>
      <w:r>
        <w:rPr>
          <w:rFonts w:ascii="Calibri;sans-serif" w:hAnsi="Calibri;sans-serif"/>
          <w:b w:val="false"/>
          <w:sz w:val="20"/>
        </w:rPr>
        <w:t>General and administrative expenses consist primarily of personnel and related expenses for our executive, finance, legal, people &amp;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expenses are expensed as incurred. We expect general and administrative expenses to increase as we continue to scale our business.</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Depreciation and Amortization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Depreciation and amortization expenses consist of depreciation on property and equipment and amortization of intangible assets and internal-use software.</w:t>
      </w:r>
    </w:p>
    <w:p>
      <w:pPr>
        <w:pStyle w:val="TextBody"/>
        <w:bidi w:val="0"/>
        <w:spacing w:before="240" w:after="0"/>
        <w:jc w:val="both"/>
        <w:rPr>
          <w:rFonts w:ascii="Calibri;sans-serif" w:hAnsi="Calibri;sans-serif"/>
          <w:b/>
          <w:i/>
          <w:sz w:val="20"/>
        </w:rPr>
      </w:pPr>
      <w:r>
        <w:rPr>
          <w:rFonts w:ascii="Calibri;sans-serif" w:hAnsi="Calibri;sans-serif"/>
          <w:b/>
          <w:i/>
          <w:sz w:val="20"/>
        </w:rPr>
        <w:t>Other Income (Expense), Net</w:t>
      </w:r>
    </w:p>
    <w:p>
      <w:pPr>
        <w:pStyle w:val="TextBody"/>
        <w:bidi w:val="0"/>
        <w:spacing w:before="240" w:after="0"/>
        <w:jc w:val="both"/>
        <w:rPr>
          <w:rFonts w:ascii="Calibri;sans-serif" w:hAnsi="Calibri;sans-serif"/>
          <w:b w:val="false"/>
          <w:sz w:val="20"/>
        </w:rPr>
      </w:pPr>
      <w:r>
        <w:rPr>
          <w:rFonts w:ascii="Calibri;sans-serif" w:hAnsi="Calibri;sans-serif"/>
          <w:b w:val="false"/>
          <w:sz w:val="20"/>
        </w:rPr>
        <w:t>Other income (expense), net consists primarily of interest income earned on our cash and cash equivalents, foreign exchange gains and losses, and interest expense for undrawn fees related to our credit facility and amortization of deferred financing costs.</w:t>
      </w:r>
    </w:p>
    <w:p>
      <w:pPr>
        <w:pStyle w:val="TextBody"/>
        <w:bidi w:val="0"/>
        <w:spacing w:before="240" w:after="0"/>
        <w:jc w:val="both"/>
        <w:rPr>
          <w:rFonts w:ascii="Times New Roman" w:hAnsi="Times New Roman"/>
          <w:sz w:val="20"/>
        </w:rPr>
      </w:pPr>
      <w:r>
        <w:rPr>
          <w:rFonts w:ascii="Calibri;sans-serif" w:hAnsi="Calibri;sans-serif"/>
          <w:b/>
          <w:i/>
          <w:sz w:val="20"/>
        </w:rPr>
        <w:t>Provision for Income Taxes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We are subject to federal and state income taxes in the United States and taxes in foreign jurisdictions in which we operate. For the three months ended June 30, 2023 and 2022 and for the six months ended June 30, 2023 and 2022, a provision for income taxes was recognized as a result of the consolidated taxable income position.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We recognize deferred tax assets and liabilities based on temporary differences between the financial reporting and income tax bases of assets and liabilities using enacted tax rates in effect for the year in which the temporary differences are expected to be recovered or settled.</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regularly assess the need to recognize a valuation allowance against net deferred tax assets if, based upon the available evidence, it is more likely than not that some or all of the deferred tax assets will not be realized. As of June 30, 2023 and December 31, 2022, valuation allowances were immaterial.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assess our income tax positions and recognize an income tax benefit or expense based upon our evaluation of the facts, circumstances, and information available at the reporting date. For the three and six months ended June 30, 2023, there was no income tax expense related to uncertain tax provisions. As of June 30, 2023, the income tax liability related to uncertain tax positions, exclusive of immaterial interest or penalties related to uncertain tax provisions, was $0.6 million, which would favorably affect our effective tax rate, if recognized. For the three and six months ended June 30, 2022, no income tax expense and liability related to uncertain tax positions was recognized.</w:t>
      </w:r>
    </w:p>
    <w:p>
      <w:pPr>
        <w:pStyle w:val="TextBody"/>
        <w:bidi w:val="0"/>
        <w:spacing w:before="240" w:after="0"/>
        <w:jc w:val="both"/>
        <w:rPr>
          <w:rFonts w:ascii="Times New Roman" w:hAnsi="Times New Roman"/>
          <w:sz w:val="20"/>
        </w:rPr>
      </w:pPr>
      <w:r>
        <w:rPr>
          <w:rFonts w:ascii="Calibri;sans-serif" w:hAnsi="Calibri;sans-serif"/>
          <w:b/>
          <w:sz w:val="20"/>
        </w:rPr>
        <w:t>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For the three months ended June 30, 2023 and 2022 and for the six months ended June 30, 2023 and 2022, our Unaudited Condensed Consolidated Income Statements are as follows: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544"/>
        <w:gridCol w:w="146"/>
        <w:gridCol w:w="211"/>
        <w:gridCol w:w="781"/>
        <w:gridCol w:w="166"/>
        <w:gridCol w:w="146"/>
        <w:gridCol w:w="211"/>
        <w:gridCol w:w="781"/>
        <w:gridCol w:w="166"/>
        <w:gridCol w:w="146"/>
        <w:gridCol w:w="211"/>
        <w:gridCol w:w="781"/>
        <w:gridCol w:w="166"/>
        <w:gridCol w:w="146"/>
        <w:gridCol w:w="211"/>
        <w:gridCol w:w="781"/>
        <w:gridCol w:w="611"/>
      </w:tblGrid>
      <w:tr>
        <w:trPr/>
        <w:tc>
          <w:tcPr>
            <w:tcW w:w="4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611" w:type="dxa"/>
            <w:tcBorders/>
            <w:vAlign w:val="center"/>
          </w:tcPr>
          <w:p>
            <w:pPr>
              <w:pStyle w:val="TableContents"/>
              <w:bidi w:val="0"/>
              <w:spacing w:before="0" w:after="0"/>
              <w:ind w:left="0" w:right="0" w:hanging="0"/>
              <w:jc w:val="center"/>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170,950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163,926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338,077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327,215</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75,937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166,931</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271,366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76,485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447,691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25,466</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46,496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104,700</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35,694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263,603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75,076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441,945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75,596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323,378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152,579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572,111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187,851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369,726</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95,605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153,415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183,186</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 technology,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37,391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31,354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73,998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62,007</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66,635</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3,836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7,697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44"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146,403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164,309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287,324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319,525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50,201</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8,076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348</w:t>
            </w:r>
          </w:p>
        </w:tc>
        <w:tc>
          <w:tcPr>
            <w:tcW w:w="611" w:type="dxa"/>
            <w:tcBorders/>
            <w:vAlign w:val="center"/>
          </w:tcPr>
          <w:p>
            <w:pPr>
              <w:pStyle w:val="TableContents"/>
              <w:bidi w:val="0"/>
              <w:spacing w:before="0" w:after="0"/>
              <w:ind w:left="0" w:right="0" w:firstLine="200"/>
              <w:jc w:val="left"/>
              <w:rPr/>
            </w:pPr>
            <w:r>
              <w:rPr/>
              <w:t> </w:t>
            </w:r>
          </w:p>
        </w:tc>
      </w:tr>
      <w:tr>
        <w:trPr/>
        <w:tc>
          <w:tcPr>
            <w:tcW w:w="4544"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Calibri;sans-serif" w:hAnsi="Calibri;sans-serif"/>
                <w:b w:val="false"/>
                <w:sz w:val="20"/>
              </w:rPr>
            </w:pPr>
            <w:r>
              <w:rPr>
                <w:rFonts w:ascii="Calibri;sans-serif" w:hAnsi="Calibri;sans-serif"/>
                <w:b w:val="false"/>
                <w:sz w:val="20"/>
              </w:rPr>
              <w:t>)</w:t>
            </w:r>
          </w:p>
        </w:tc>
      </w:tr>
      <w:tr>
        <w:trPr/>
        <w:tc>
          <w:tcPr>
            <w:tcW w:w="4544"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(156</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(275</w:t>
            </w:r>
          </w:p>
        </w:tc>
        <w:tc>
          <w:tcPr>
            <w:tcW w:w="6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49,926</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13,027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13,817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18,061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36,899</w:t>
            </w:r>
          </w:p>
        </w:tc>
        <w:tc>
          <w:tcPr>
            <w:tcW w:w="611" w:type="dxa"/>
            <w:tcBorders/>
            <w:vAlign w:val="center"/>
          </w:tcPr>
          <w:p>
            <w:pPr>
              <w:pStyle w:val="TableContents"/>
              <w:bidi w:val="0"/>
              <w:spacing w:before="0" w:after="0"/>
              <w:ind w:left="0" w:right="0" w:hanging="0"/>
              <w:jc w:val="left"/>
              <w:rPr/>
            </w:pPr>
            <w:r>
              <w:rPr/>
              <w:t> </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loss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(2,295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5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attributable to CarGurus,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19,284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32,545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39,194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our segment revenue and our segment income (loss) from operations are as follows:</w:t>
      </w:r>
    </w:p>
    <w:tbl>
      <w:tblPr>
        <w:tblW w:w="8927"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81"/>
        <w:gridCol w:w="166"/>
        <w:gridCol w:w="146"/>
        <w:gridCol w:w="211"/>
        <w:gridCol w:w="781"/>
        <w:gridCol w:w="166"/>
        <w:gridCol w:w="146"/>
        <w:gridCol w:w="211"/>
        <w:gridCol w:w="78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41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Segment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314,064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304,642</w:t>
            </w:r>
          </w:p>
        </w:tc>
        <w:tc>
          <w:tcPr>
            <w:tcW w:w="4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347,303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133,623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614,622</w:t>
            </w:r>
          </w:p>
        </w:tc>
        <w:tc>
          <w:tcPr>
            <w:tcW w:w="4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24,013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22,573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Segment Income (Loss) from Operations: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24,619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58,182</w:t>
            </w:r>
          </w:p>
        </w:tc>
        <w:tc>
          <w:tcPr>
            <w:tcW w:w="4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(6,307</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(2,638</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(17,532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(4,749</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(3,232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23,542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31,797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50,201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our Unaudited Condensed Consolidated Income Statements as a percentage of total revenue are as follows (amounts in the table below may not sum due to rounding):</w:t>
      </w:r>
    </w:p>
    <w:p>
      <w:pPr>
        <w:pStyle w:val="TextBody"/>
        <w:bidi w:val="0"/>
        <w:spacing w:before="0" w:after="0"/>
        <w:jc w:val="both"/>
        <w:rPr/>
      </w:pPr>
      <w:r>
        <w:rPr/>
        <w:t> </w:t>
      </w:r>
    </w:p>
    <w:tbl>
      <w:tblPr>
        <w:tblW w:w="8963" w:type="dxa"/>
        <w:jc w:val="left"/>
        <w:tblInd w:w="0" w:type="dxa"/>
        <w:tblLayout w:type="fixed"/>
        <w:tblCellMar>
          <w:top w:w="28" w:type="dxa"/>
          <w:left w:w="28" w:type="dxa"/>
          <w:bottom w:w="28" w:type="dxa"/>
          <w:right w:w="28" w:type="dxa"/>
        </w:tblCellMar>
      </w:tblPr>
      <w:tblGrid>
        <w:gridCol w:w="4756"/>
        <w:gridCol w:w="146"/>
        <w:gridCol w:w="148"/>
        <w:gridCol w:w="427"/>
        <w:gridCol w:w="244"/>
        <w:gridCol w:w="148"/>
        <w:gridCol w:w="148"/>
        <w:gridCol w:w="427"/>
        <w:gridCol w:w="241"/>
        <w:gridCol w:w="146"/>
        <w:gridCol w:w="146"/>
        <w:gridCol w:w="421"/>
        <w:gridCol w:w="241"/>
        <w:gridCol w:w="146"/>
        <w:gridCol w:w="146"/>
        <w:gridCol w:w="421"/>
        <w:gridCol w:w="6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71</w:t>
            </w:r>
          </w:p>
        </w:tc>
        <w:tc>
          <w:tcPr>
            <w:tcW w:w="2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w:t>
            </w:r>
          </w:p>
        </w:tc>
        <w:tc>
          <w:tcPr>
            <w:tcW w:w="61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756"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61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4"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righ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756" w:type="dxa"/>
            <w:tcBorders/>
            <w:vAlign w:val="center"/>
          </w:tcPr>
          <w:p>
            <w:pPr>
              <w:pStyle w:val="TableContents"/>
              <w:bidi w:val="0"/>
              <w:spacing w:before="0" w:after="0"/>
              <w:ind w:left="300" w:right="0" w:hanging="0"/>
              <w:jc w:val="left"/>
              <w:rPr>
                <w:rFonts w:ascii="Calibri;sans-serif" w:hAnsi="Calibri;sans-serif"/>
                <w:b w:val="false"/>
                <w:sz w:val="20"/>
              </w:rPr>
            </w:pPr>
            <w:r>
              <w:rPr>
                <w:rFonts w:ascii="Calibri;sans-serif" w:hAnsi="Calibri;sans-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w:t>
            </w:r>
          </w:p>
        </w:tc>
        <w:tc>
          <w:tcPr>
            <w:tcW w:w="61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4"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Product, technology, and development</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756"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Income from operations</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61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4"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611" w:type="dxa"/>
            <w:tcBorders/>
            <w:vAlign w:val="center"/>
          </w:tcPr>
          <w:p>
            <w:pPr>
              <w:pStyle w:val="TableContents"/>
              <w:bidi w:val="0"/>
              <w:spacing w:before="0" w:after="0"/>
              <w:ind w:left="0" w:right="0" w:firstLine="200"/>
              <w:jc w:val="left"/>
              <w:rPr/>
            </w:pPr>
            <w:r>
              <w:rPr/>
              <w:t> </w:t>
            </w:r>
          </w:p>
        </w:tc>
      </w:tr>
      <w:tr>
        <w:trPr/>
        <w:tc>
          <w:tcPr>
            <w:tcW w:w="475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Calibri;sans-serif" w:hAnsi="Calibri;sans-serif"/>
                <w:b w:val="false"/>
                <w:sz w:val="20"/>
              </w:rPr>
            </w:pPr>
            <w:r>
              <w:rPr>
                <w:rFonts w:ascii="Calibri;sans-serif" w:hAnsi="Calibri;sans-serif"/>
                <w:b w:val="false"/>
                <w:sz w:val="20"/>
              </w:rPr>
              <w:t>)</w:t>
            </w:r>
          </w:p>
        </w:tc>
      </w:tr>
      <w:tr>
        <w:trPr/>
        <w:tc>
          <w:tcPr>
            <w:tcW w:w="4756" w:type="dxa"/>
            <w:tcBorders/>
            <w:vAlign w:val="center"/>
          </w:tcPr>
          <w:p>
            <w:pPr>
              <w:pStyle w:val="TableContents"/>
              <w:bidi w:val="0"/>
              <w:spacing w:before="0" w:after="0"/>
              <w:ind w:left="4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6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61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Consolidated net income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611" w:type="dxa"/>
            <w:tcBorders/>
            <w:vAlign w:val="center"/>
          </w:tcPr>
          <w:p>
            <w:pPr>
              <w:pStyle w:val="TableContents"/>
              <w:bidi w:val="0"/>
              <w:spacing w:before="0" w:after="0"/>
              <w:ind w:left="0" w:right="0" w:hanging="0"/>
              <w:jc w:val="left"/>
              <w:rPr/>
            </w:pPr>
            <w:r>
              <w:rPr/>
              <w:t> </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loss attributable to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75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income attributable to CarGurus, Inc.</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the three months ended June 30, 2023 and 2022 and for the six months ended June 30, 2023 and 2022, our segment revenue as a percentage of total revenue and our segment income (loss) from operations as a percentage of segment revenue are as follows (amounts in the table below may not sum due to rounding):</w:t>
      </w:r>
    </w:p>
    <w:p>
      <w:pPr>
        <w:pStyle w:val="TextBody"/>
        <w:bidi w:val="0"/>
        <w:spacing w:before="0" w:after="0"/>
        <w:jc w:val="both"/>
        <w:rPr/>
      </w:pPr>
      <w:r>
        <w:rPr/>
        <w:t> </w:t>
      </w:r>
    </w:p>
    <w:tbl>
      <w:tblPr>
        <w:tblW w:w="7473" w:type="dxa"/>
        <w:jc w:val="left"/>
        <w:tblInd w:w="0" w:type="dxa"/>
        <w:tblLayout w:type="fixed"/>
        <w:tblCellMar>
          <w:top w:w="28" w:type="dxa"/>
          <w:left w:w="28" w:type="dxa"/>
          <w:bottom w:w="28" w:type="dxa"/>
          <w:right w:w="28" w:type="dxa"/>
        </w:tblCellMar>
      </w:tblPr>
      <w:tblGrid>
        <w:gridCol w:w="3466"/>
        <w:gridCol w:w="146"/>
        <w:gridCol w:w="148"/>
        <w:gridCol w:w="427"/>
        <w:gridCol w:w="244"/>
        <w:gridCol w:w="148"/>
        <w:gridCol w:w="148"/>
        <w:gridCol w:w="427"/>
        <w:gridCol w:w="241"/>
        <w:gridCol w:w="146"/>
        <w:gridCol w:w="146"/>
        <w:gridCol w:w="421"/>
        <w:gridCol w:w="241"/>
        <w:gridCol w:w="146"/>
        <w:gridCol w:w="146"/>
        <w:gridCol w:w="42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Segment Revenue:</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w:t>
            </w:r>
          </w:p>
        </w:tc>
        <w:tc>
          <w:tcPr>
            <w:tcW w:w="2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w:t>
            </w:r>
          </w:p>
        </w:tc>
        <w:tc>
          <w:tcPr>
            <w:tcW w:w="244"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w:t>
            </w:r>
          </w:p>
        </w:tc>
        <w:tc>
          <w:tcPr>
            <w:tcW w:w="4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Segment Income (Loss) from Operations:</w:t>
            </w:r>
          </w:p>
        </w:tc>
        <w:tc>
          <w:tcPr>
            <w:tcW w:w="146"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4"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575"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4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346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8" w:type="dxa"/>
            <w:tcBorders/>
            <w:vAlign w:val="center"/>
          </w:tcPr>
          <w:p>
            <w:pPr>
              <w:pStyle w:val="TableContents"/>
              <w:bidi w:val="0"/>
              <w:spacing w:before="0" w:after="0"/>
              <w:ind w:left="0" w:right="0" w:hanging="0"/>
              <w:jc w:val="righ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bl>
    <w:p>
      <w:pPr>
        <w:pStyle w:val="TextBody"/>
        <w:bidi w:val="0"/>
        <w:spacing w:before="240" w:after="0"/>
        <w:jc w:val="both"/>
        <w:rPr>
          <w:rFonts w:ascii="Calibri;sans-serif" w:hAnsi="Calibri;sans-serif"/>
          <w:b/>
          <w:i/>
          <w:sz w:val="20"/>
        </w:rPr>
      </w:pPr>
      <w:r>
        <w:rPr>
          <w:rFonts w:ascii="Calibri;sans-serif" w:hAnsi="Calibri;sans-serif"/>
          <w:b/>
          <w:i/>
          <w:sz w:val="20"/>
        </w:rPr>
        <w:t>For the three months ended June 30, 2023 and 2022</w:t>
      </w:r>
    </w:p>
    <w:p>
      <w:pPr>
        <w:pStyle w:val="TextBody"/>
        <w:bidi w:val="0"/>
        <w:spacing w:before="240" w:after="0"/>
        <w:jc w:val="both"/>
        <w:rPr>
          <w:rFonts w:ascii="Times New Roman" w:hAnsi="Times New Roman"/>
          <w:sz w:val="20"/>
        </w:rPr>
      </w:pPr>
      <w:r>
        <w:rPr>
          <w:rFonts w:ascii="Calibri;sans-serif" w:hAnsi="Calibri;sans-serif"/>
          <w:b/>
          <w:i/>
          <w:sz w:val="20"/>
        </w:rPr>
        <w:t>Revenue</w:t>
      </w:r>
      <w:r>
        <w:rPr>
          <w:rFonts w:ascii="Times New Roman" w:hAnsi="Times New Roman"/>
          <w:sz w:val="20"/>
        </w:rPr>
        <w:t xml:space="preserve">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Revenue by Source</w:t>
      </w:r>
    </w:p>
    <w:p>
      <w:pPr>
        <w:pStyle w:val="TextBody"/>
        <w:bidi w:val="0"/>
        <w:spacing w:before="0" w:after="0"/>
        <w:jc w:val="both"/>
        <w:rPr/>
      </w:pPr>
      <w:r>
        <w:rPr/>
        <w:t> </w:t>
      </w:r>
    </w:p>
    <w:tbl>
      <w:tblPr>
        <w:tblW w:w="769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84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4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4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170,950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163,926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7,024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31,952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75,937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(43,985</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36,835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271,366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(234,531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(271,492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Overall revenue decreased $271.5 million, or 53%, in the three months ended June 30, 2023 compared to the three months ended June 30, 2022.</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Marketplace revenue increased $7.0 million, or 4%, in the three months ended June 30, 2023 compared to the three months ended June 30, 2022 and represented 71% of total revenue for the three months ended June 30, 2023 compared to 32% of total revenue for the three months ended June 30, 2022. The increase was due primarily to a $7.5 million increase in Listings revenue, as a result of the 5% growth in our QARSD for paying dealers to $5,116 at June 30, 2023 from $4,862 at June 30, 2022. The increase in QARSD was due primarily to signing on new dealers with higher average monthly recurring revenue and revenue expansion through product upgrades for existing dealers.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revenue decreased $44.0 million, or 58%, in the three months ended June 30, 2023 compared to the three months ended June 30, 2022 and represented 13% of total revenue for the three months ended June 30, 2023 compared to 15% of total revenue for the three months ended June 30, 2022. The decrease was due primarily to a 68% decrease in Transactions, which includes Dealer-to-Dealer transactions and IMCO transactions, to 20,793 for the three months ended June 30, 2023 from 63,998 for the three months ended June 30, 2022, as a result of a softening wholesale market and operational challenges in the prior year which resulted in our focus in the current year on optimization of internal policies and procedures over volume of Transactions. The decrease in Transactions resulted in a decrease in transaction fee revenue as well as a decrease in transportation revenue, inspection revenue, and guarantee revenue.</w:t>
      </w:r>
    </w:p>
    <w:p>
      <w:pPr>
        <w:pStyle w:val="TextBody"/>
        <w:bidi w:val="0"/>
        <w:spacing w:before="240" w:after="0"/>
        <w:jc w:val="both"/>
        <w:rPr>
          <w:rFonts w:ascii="Calibri;sans-serif" w:hAnsi="Calibri;sans-serif"/>
          <w:b w:val="false"/>
          <w:sz w:val="20"/>
        </w:rPr>
      </w:pPr>
      <w:r>
        <w:rPr>
          <w:rFonts w:ascii="Calibri;sans-serif" w:hAnsi="Calibri;sans-serif"/>
          <w:b w:val="false"/>
          <w:sz w:val="20"/>
        </w:rPr>
        <w:t>Product revenue decreased by $234.5 million, or 86%, in the three months ended June 30, 2023 compared to the three months ended June 30, 2022 and represented 15% of total revenue for the three months ended June 30, 2023 compared to 53% of total revenue for the three months ended June 30, 2022. The decrease was due primarily to a $203.3 million decrease in proceeds received from the sale of vehicles through IMCO transactions, including vehicle sale price and transaction fees, as a result of decreased Transactions resulting from the purposeful slowdown in volume as we emphasize operational rigor. The decrease in product revenue was also due in part to a $31.2 million decrease in proceeds received from the sale of vehicles acquired through arbitration, including vehicle sale price, as a result of decreased arbitration claims primarily due to process improvements focused on higher quality inspections.</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Segment Revenue</w:t>
      </w:r>
    </w:p>
    <w:p>
      <w:pPr>
        <w:pStyle w:val="TextBody"/>
        <w:bidi w:val="0"/>
        <w:spacing w:before="0" w:after="0"/>
        <w:jc w:val="both"/>
        <w:rPr/>
      </w:pPr>
      <w:r>
        <w:rPr/>
        <w:t> </w:t>
      </w:r>
    </w:p>
    <w:tbl>
      <w:tblPr>
        <w:tblW w:w="767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841"/>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4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158,443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152,753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68,787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347,303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(278,516</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(80</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12,507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11,173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239,737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511,229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(271,492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U.S. Marketplace segment revenue increased $5.7 million, or 4%, in the three months ended June 30, 2023 compared to the three months ended June 30, 2022 and represented 66% of total revenue for the three months ended June 30, 2023 compared to 30% of total revenue for the three months ended June 30, 2022. The increase was due primarily to a $7.0 million increase in marketplace revenue, as described above.</w:t>
      </w:r>
    </w:p>
    <w:p>
      <w:pPr>
        <w:pStyle w:val="TextBody"/>
        <w:bidi w:val="0"/>
        <w:spacing w:before="240" w:after="0"/>
        <w:jc w:val="both"/>
        <w:rPr>
          <w:rFonts w:ascii="Times New Roman" w:hAnsi="Times New Roman"/>
          <w:sz w:val="20"/>
        </w:rPr>
      </w:pPr>
      <w:r>
        <w:rPr>
          <w:rFonts w:ascii="Calibri;sans-serif" w:hAnsi="Calibri;sans-serif"/>
          <w:b w:val="false"/>
          <w:sz w:val="20"/>
        </w:rPr>
        <w:t>Digital Wholesale segment revenue, which is comprised of wholesale revenue and product revenue, decreased $278.5 million, or 80%, in the three months ended June 30, 2023 compared to the three months ended June 30, 2022 and represented 29% of total revenue for the three months ended June 30, 2023 compared to 68% of total revenue for the three months ended June 30, 2022. The decrease in Digital Wholesale segment revenue was due to a decrease in wholesale revenue and product revenue, as described above.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i/>
          <w:sz w:val="20"/>
        </w:rPr>
      </w:pPr>
      <w:r>
        <w:rPr>
          <w:rFonts w:ascii="Calibri;sans-serif" w:hAnsi="Calibri;sans-serif"/>
          <w:b/>
          <w:i/>
          <w:sz w:val="20"/>
        </w:rPr>
        <w:t>Cost of Revenue</w:t>
      </w:r>
    </w:p>
    <w:p>
      <w:pPr>
        <w:pStyle w:val="TextBody"/>
        <w:bidi w:val="0"/>
        <w:spacing w:before="0" w:after="0"/>
        <w:jc w:val="both"/>
        <w:rPr/>
      </w:pPr>
      <w:r>
        <w:rPr/>
        <w:t> </w:t>
      </w:r>
    </w:p>
    <w:tbl>
      <w:tblPr>
        <w:tblW w:w="7587" w:type="dxa"/>
        <w:jc w:val="left"/>
        <w:tblInd w:w="0" w:type="dxa"/>
        <w:tblLayout w:type="fixed"/>
        <w:tblCellMar>
          <w:top w:w="28" w:type="dxa"/>
          <w:left w:w="28" w:type="dxa"/>
          <w:bottom w:w="28" w:type="dxa"/>
          <w:right w:w="28" w:type="dxa"/>
        </w:tblCellMar>
      </w:tblPr>
      <w:tblGrid>
        <w:gridCol w:w="2491"/>
        <w:gridCol w:w="146"/>
        <w:gridCol w:w="211"/>
        <w:gridCol w:w="676"/>
        <w:gridCol w:w="241"/>
        <w:gridCol w:w="146"/>
        <w:gridCol w:w="211"/>
        <w:gridCol w:w="781"/>
        <w:gridCol w:w="241"/>
        <w:gridCol w:w="146"/>
        <w:gridCol w:w="211"/>
        <w:gridCol w:w="84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3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4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Cost of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15,474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13,257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24,428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46,518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(22,090</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35,694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263,603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(227,909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75,596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323,378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(247,782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63</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Overall cost of revenue decreased $247.8 million, or 77%, in the three months ended June 30, 2023 compared to the three months ended June 30, 2022.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Marketplace cost of revenue increased $2.2 million, or 17%, in the three months ended June 30, 2023 compared to the three months ended June 30, 2022 and represented 6% of total revenue for the three months ended June 30, 2023 compared to 3% of total revenue for the three months ended June 30, 2022. The increase was due primarily to a $1.2 million increase in data and hosting costs as a result of our migration onto a cloud-based hosting platform and a $0.6 million increase in fees related to provisioning advertising campaigns on our websites from changing to more effective, higher cost service providers.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cost of revenue decreased $22.1 million, or 47%, in the three months ended June 30, 2023 compared to the three months ended June 30, 2022 and represented 10% of total revenue for the three months ended June 30, 2023 compared to 9% of total revenue for the three months ended June 30, 2022. The decrease was due primarily to process improvements implemented, resulting in a purposeful decrease in the volume of Dealer-to-Dealer transactions. This decrease in volume resulted in a decrease in transportation expense, third-party service provider expense, and inspection expense.</w:t>
      </w:r>
    </w:p>
    <w:p>
      <w:pPr>
        <w:pStyle w:val="TextBody"/>
        <w:bidi w:val="0"/>
        <w:spacing w:before="240" w:after="0"/>
        <w:jc w:val="both"/>
        <w:rPr>
          <w:rFonts w:ascii="Calibri;sans-serif" w:hAnsi="Calibri;sans-serif"/>
          <w:b w:val="false"/>
          <w:sz w:val="20"/>
        </w:rPr>
      </w:pPr>
      <w:r>
        <w:rPr>
          <w:rFonts w:ascii="Calibri;sans-serif" w:hAnsi="Calibri;sans-serif"/>
          <w:b w:val="false"/>
          <w:sz w:val="20"/>
        </w:rPr>
        <w:t>Product cost of revenue decreased $227.9 million, or 86%, in the three months ended June 30, 2023 compared to the three months ended June 30, 2022 and represented 15% of the total revenue for the three months ended June 30, 2023 compared to 52% of total revenue for the three months ended June 30, 2022. The decrease was due primarily to a $194.1 million decrease in expenses related to vehicles sold to dealers through IMCO transactions as a result of decreased Transactions resulting from the purposeful slowdown in volume as we emphasize operational rigor. The decrease in product cost of revenue was also due in part to a $33.8 million decrease in expenses related to vehicles sold to dealers acquired through arbitration as a result of decreased arbitration claims primarily due to process improvements focused on higher quality inspections.</w:t>
      </w:r>
    </w:p>
    <w:p>
      <w:pPr>
        <w:pStyle w:val="TextBody"/>
        <w:bidi w:val="0"/>
        <w:spacing w:before="240" w:after="0"/>
        <w:jc w:val="left"/>
        <w:rPr>
          <w:rFonts w:ascii="Calibri;sans-serif" w:hAnsi="Calibri;sans-serif"/>
          <w:b/>
          <w:i/>
          <w:sz w:val="20"/>
        </w:rPr>
      </w:pPr>
      <w:r>
        <w:rPr>
          <w:rFonts w:ascii="Calibri;sans-serif" w:hAnsi="Calibri;sans-serif"/>
          <w:b/>
          <w:i/>
          <w:sz w:val="20"/>
        </w:rPr>
        <w:t>Operating Expenses</w:t>
      </w:r>
    </w:p>
    <w:p>
      <w:pPr>
        <w:pStyle w:val="TextBody"/>
        <w:bidi w:val="0"/>
        <w:spacing w:before="240" w:after="0"/>
        <w:jc w:val="both"/>
        <w:rPr>
          <w:rFonts w:ascii="Times New Roman" w:hAnsi="Times New Roman"/>
          <w:sz w:val="20"/>
        </w:rPr>
      </w:pPr>
      <w:r>
        <w:rPr>
          <w:rFonts w:ascii="Calibri;sans-serif" w:hAnsi="Calibri;sans-serif"/>
          <w:b w:val="false"/>
          <w:i/>
          <w:sz w:val="20"/>
        </w:rPr>
        <w:t>Sales and Marketing Expense</w:t>
      </w:r>
      <w:r>
        <w:rPr>
          <w:rFonts w:ascii="Times New Roman" w:hAnsi="Times New Roman"/>
          <w:sz w:val="20"/>
        </w:rPr>
        <w:t xml:space="preserve"> </w:t>
      </w:r>
    </w:p>
    <w:p>
      <w:pPr>
        <w:pStyle w:val="TextBody"/>
        <w:bidi w:val="0"/>
        <w:spacing w:before="0" w:after="0"/>
        <w:jc w:val="both"/>
        <w:rPr/>
      </w:pPr>
      <w:r>
        <w:rPr/>
        <w:t> </w:t>
      </w:r>
    </w:p>
    <w:tbl>
      <w:tblPr>
        <w:tblW w:w="711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736"/>
        <w:gridCol w:w="166"/>
        <w:gridCol w:w="146"/>
        <w:gridCol w:w="146"/>
        <w:gridCol w:w="376"/>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46"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77,838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95,605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(17,767</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3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Sales and marketing expense decreased $17.8 million, or 19%, in the three months ended June 30, 2023 compared to the three months ended June 30, 2022. The decrease was due primarily to a $8.3 million decrease in brand awareness advertising expenses due to decreased spend as a result of a change in advertising strategy implemented in the fourth quarter of 2022. The decrease was also due in part to a $7.5 million decrease in marketing expenses due primarily to a decrease in IMCO marketing and a $3.0 million decrease in commissions expense due primarily to decreased Transactions and higher capitalization on commissions as a result of signing on new dealers with higher average monthly recurring revenue. The decrease in sales and marketing expense was offset in part by a $1.8 million increase in rent expense due to the commencement of the 1001 Boylston Street lease.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Product, Technology, and Development Expense</w:t>
      </w:r>
    </w:p>
    <w:p>
      <w:pPr>
        <w:pStyle w:val="TextBody"/>
        <w:bidi w:val="0"/>
        <w:spacing w:before="0" w:after="0"/>
        <w:jc w:val="both"/>
        <w:rPr/>
      </w:pPr>
      <w:r>
        <w:rPr/>
        <w:t> </w:t>
      </w:r>
    </w:p>
    <w:tbl>
      <w:tblPr>
        <w:tblW w:w="7697" w:type="dxa"/>
        <w:jc w:val="left"/>
        <w:tblInd w:w="0" w:type="dxa"/>
        <w:tblLayout w:type="fixed"/>
        <w:tblCellMar>
          <w:top w:w="28" w:type="dxa"/>
          <w:left w:w="28" w:type="dxa"/>
          <w:bottom w:w="28" w:type="dxa"/>
          <w:right w:w="28" w:type="dxa"/>
        </w:tblCellMar>
      </w:tblPr>
      <w:tblGrid>
        <w:gridCol w:w="3181"/>
        <w:gridCol w:w="146"/>
        <w:gridCol w:w="211"/>
        <w:gridCol w:w="676"/>
        <w:gridCol w:w="241"/>
        <w:gridCol w:w="146"/>
        <w:gridCol w:w="211"/>
        <w:gridCol w:w="676"/>
        <w:gridCol w:w="241"/>
        <w:gridCol w:w="146"/>
        <w:gridCol w:w="211"/>
        <w:gridCol w:w="571"/>
        <w:gridCol w:w="146"/>
        <w:gridCol w:w="146"/>
        <w:gridCol w:w="146"/>
        <w:gridCol w:w="316"/>
        <w:gridCol w:w="28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08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286"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 technology,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37,391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31,354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6,037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1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Product, technology, and development expense increased $6.0 million, or 19%, in the three months ended June 30, 2023 compared to the three months ended June 30, 2022. The increase was due primarily to a $3.9 million increase in salaries and employee-related expenses due primarily to a 10% increase in headcount as well as merit increases and a $1.6 million increase in rent expense due to the commencement of the 1001 Boylston Street lease.</w:t>
      </w:r>
    </w:p>
    <w:p>
      <w:pPr>
        <w:pStyle w:val="TextBody"/>
        <w:bidi w:val="0"/>
        <w:spacing w:before="240" w:after="0"/>
        <w:jc w:val="both"/>
        <w:rPr>
          <w:rFonts w:ascii="Times New Roman" w:hAnsi="Times New Roman"/>
          <w:sz w:val="20"/>
        </w:rPr>
      </w:pPr>
      <w:r>
        <w:rPr>
          <w:rFonts w:ascii="Calibri;sans-serif" w:hAnsi="Calibri;sans-serif"/>
          <w:b w:val="false"/>
          <w:i/>
          <w:sz w:val="20"/>
        </w:rPr>
        <w:t>General and Administrative Expense</w:t>
      </w:r>
      <w:r>
        <w:rPr>
          <w:rFonts w:ascii="Times New Roman" w:hAnsi="Times New Roman"/>
          <w:sz w:val="20"/>
        </w:rPr>
        <w:t xml:space="preserve"> </w:t>
      </w:r>
    </w:p>
    <w:p>
      <w:pPr>
        <w:pStyle w:val="TextBody"/>
        <w:bidi w:val="0"/>
        <w:spacing w:before="0" w:after="0"/>
        <w:jc w:val="both"/>
        <w:rPr/>
      </w:pPr>
      <w:r>
        <w:rPr/>
        <w:t> </w:t>
      </w:r>
    </w:p>
    <w:tbl>
      <w:tblPr>
        <w:tblW w:w="7012"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631"/>
        <w:gridCol w:w="166"/>
        <w:gridCol w:w="146"/>
        <w:gridCol w:w="146"/>
        <w:gridCol w:w="376"/>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2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46"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27,267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33,514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(6,247</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3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General and administrative expense decreased $6.2 million, or 19%, in the three months ended June 30, 2023 compared to the three months ended June 30, 2022. The decrease was due primarily to a $9.4 million decrease in stock-based compensation due to the revaluation of liability-based stock awards. The decrease in general and administrative expense was offset in part by a $1.8 million increase in salaries and employee-related expenses, exclusive of stock-based compensation, due primarily to an 8% increase in headcount as well as merit increases and a $0.7 million increase in rent expense due to the commencement of the 1001 Boylston Street lease.</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Depreciation and Amortization Expense</w:t>
      </w:r>
    </w:p>
    <w:p>
      <w:pPr>
        <w:pStyle w:val="TextBody"/>
        <w:bidi w:val="0"/>
        <w:spacing w:before="0" w:after="0"/>
        <w:jc w:val="both"/>
        <w:rPr/>
      </w:pPr>
      <w:r>
        <w:rPr/>
        <w:t> </w:t>
      </w:r>
    </w:p>
    <w:tbl>
      <w:tblPr>
        <w:tblW w:w="6616"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571"/>
        <w:gridCol w:w="241"/>
        <w:gridCol w:w="146"/>
        <w:gridCol w:w="270"/>
        <w:gridCol w:w="406"/>
        <w:gridCol w:w="146"/>
        <w:gridCol w:w="146"/>
        <w:gridCol w:w="146"/>
        <w:gridCol w:w="211"/>
        <w:gridCol w:w="28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63"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286"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3,907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3,836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0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52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Depreciation and amortization expense remained relatively consistent in the three months ended June 30, 2023 compared to the three months ended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i/>
          <w:sz w:val="20"/>
        </w:rPr>
      </w:pPr>
      <w:r>
        <w:rPr>
          <w:rFonts w:ascii="Calibri;sans-serif" w:hAnsi="Calibri;sans-serif"/>
          <w:b/>
          <w:i/>
          <w:sz w:val="20"/>
        </w:rPr>
        <w:t>Other Income (Expense), Net</w:t>
      </w:r>
    </w:p>
    <w:p>
      <w:pPr>
        <w:pStyle w:val="TextBody"/>
        <w:bidi w:val="0"/>
        <w:spacing w:before="0" w:after="0"/>
        <w:jc w:val="both"/>
        <w:rPr/>
      </w:pPr>
      <w:r>
        <w:rPr/>
        <w:t> </w:t>
      </w:r>
    </w:p>
    <w:tbl>
      <w:tblPr>
        <w:tblW w:w="7397" w:type="dxa"/>
        <w:jc w:val="left"/>
        <w:tblInd w:w="0" w:type="dxa"/>
        <w:tblLayout w:type="fixed"/>
        <w:tblCellMar>
          <w:top w:w="28" w:type="dxa"/>
          <w:left w:w="28" w:type="dxa"/>
          <w:bottom w:w="28" w:type="dxa"/>
          <w:right w:w="28" w:type="dxa"/>
        </w:tblCellMar>
      </w:tblPr>
      <w:tblGrid>
        <w:gridCol w:w="2761"/>
        <w:gridCol w:w="146"/>
        <w:gridCol w:w="211"/>
        <w:gridCol w:w="571"/>
        <w:gridCol w:w="241"/>
        <w:gridCol w:w="146"/>
        <w:gridCol w:w="211"/>
        <w:gridCol w:w="481"/>
        <w:gridCol w:w="301"/>
        <w:gridCol w:w="146"/>
        <w:gridCol w:w="211"/>
        <w:gridCol w:w="571"/>
        <w:gridCol w:w="146"/>
        <w:gridCol w:w="146"/>
        <w:gridCol w:w="146"/>
        <w:gridCol w:w="571"/>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4,333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311</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1,293</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(467</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4,680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(156</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3,100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76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3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Total other income (expense), net increased $4.8 million, or 3,100%, in the three months ended June 30, 2023 compared to the three months ended June 30, 2022. The $4.0 million increase in interest income was due primarily to interest rate increases since June 30, 2022. The $0.8 million increase in other income (expense), net was due primarily to a $1.4 million increase in unrealized gain associated with the fluctuation of certain foreign currencies, offset in part by an increase in interest expense.</w:t>
      </w:r>
    </w:p>
    <w:p>
      <w:pPr>
        <w:pStyle w:val="TextBody"/>
        <w:bidi w:val="0"/>
        <w:spacing w:before="240" w:after="0"/>
        <w:jc w:val="both"/>
        <w:rPr>
          <w:rFonts w:ascii="Times New Roman" w:hAnsi="Times New Roman"/>
          <w:sz w:val="20"/>
        </w:rPr>
      </w:pPr>
      <w:r>
        <w:rPr>
          <w:rFonts w:ascii="Calibri;sans-serif" w:hAnsi="Calibri;sans-serif"/>
          <w:b/>
          <w:i/>
          <w:sz w:val="20"/>
        </w:rPr>
        <w:t>Provision for Income Taxes</w:t>
      </w:r>
      <w:r>
        <w:rPr>
          <w:rFonts w:ascii="Times New Roman" w:hAnsi="Times New Roman"/>
          <w:sz w:val="20"/>
        </w:rPr>
        <w:t xml:space="preserve"> </w:t>
      </w:r>
    </w:p>
    <w:p>
      <w:pPr>
        <w:pStyle w:val="TextBody"/>
        <w:bidi w:val="0"/>
        <w:spacing w:before="0" w:after="0"/>
        <w:jc w:val="both"/>
        <w:rPr/>
      </w:pPr>
      <w:r>
        <w:rPr/>
        <w:t> </w:t>
      </w:r>
    </w:p>
    <w:tbl>
      <w:tblPr>
        <w:tblW w:w="6602" w:type="dxa"/>
        <w:jc w:val="left"/>
        <w:tblInd w:w="0" w:type="dxa"/>
        <w:tblLayout w:type="fixed"/>
        <w:tblCellMar>
          <w:top w:w="28" w:type="dxa"/>
          <w:left w:w="28" w:type="dxa"/>
          <w:bottom w:w="28" w:type="dxa"/>
          <w:right w:w="28" w:type="dxa"/>
        </w:tblCellMar>
      </w:tblPr>
      <w:tblGrid>
        <w:gridCol w:w="2296"/>
        <w:gridCol w:w="146"/>
        <w:gridCol w:w="211"/>
        <w:gridCol w:w="571"/>
        <w:gridCol w:w="241"/>
        <w:gridCol w:w="146"/>
        <w:gridCol w:w="211"/>
        <w:gridCol w:w="571"/>
        <w:gridCol w:w="241"/>
        <w:gridCol w:w="146"/>
        <w:gridCol w:w="211"/>
        <w:gridCol w:w="571"/>
        <w:gridCol w:w="146"/>
        <w:gridCol w:w="146"/>
        <w:gridCol w:w="146"/>
        <w:gridCol w:w="316"/>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7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286"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8,601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5,325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w:t>
            </w:r>
          </w:p>
        </w:tc>
        <w:tc>
          <w:tcPr>
            <w:tcW w:w="2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Provision for income taxes increased $3.3 million, or 62%, in the three months ended June 30, 2023 compared to the three months ended June 30, 2022, primarily due to aggregated $2.6 million shortfalls on the taxable compensation of stock-based awards and the Section 162(m) excess officer compensation limitation recorded during the three months ended June 30, 2023 compared to an immaterial amount of tax expense related to shortfalls on the taxable compensation of stock-based awards and the Section 162(m) excess officer compensation limitation recorded during the three months ended June 30, 2022.</w:t>
      </w:r>
    </w:p>
    <w:p>
      <w:pPr>
        <w:pStyle w:val="TextBody"/>
        <w:bidi w:val="0"/>
        <w:spacing w:before="240" w:after="0"/>
        <w:jc w:val="both"/>
        <w:rPr>
          <w:rFonts w:ascii="Calibri;sans-serif" w:hAnsi="Calibri;sans-serif"/>
          <w:b/>
          <w:i/>
          <w:sz w:val="20"/>
        </w:rPr>
      </w:pPr>
      <w:r>
        <w:rPr>
          <w:rFonts w:ascii="Calibri;sans-serif" w:hAnsi="Calibri;sans-serif"/>
          <w:b/>
          <w:i/>
          <w:sz w:val="20"/>
        </w:rPr>
        <w:t>Segment Income (Loss) from Operations</w:t>
      </w:r>
    </w:p>
    <w:p>
      <w:pPr>
        <w:pStyle w:val="TextBody"/>
        <w:bidi w:val="0"/>
        <w:spacing w:before="0" w:after="0"/>
        <w:jc w:val="both"/>
        <w:rPr/>
      </w:pPr>
      <w:r>
        <w:rPr/>
        <w:t> </w:t>
      </w:r>
    </w:p>
    <w:tbl>
      <w:tblPr>
        <w:tblW w:w="8302" w:type="dxa"/>
        <w:jc w:val="left"/>
        <w:tblInd w:w="0" w:type="dxa"/>
        <w:tblLayout w:type="fixed"/>
        <w:tblCellMar>
          <w:top w:w="28" w:type="dxa"/>
          <w:left w:w="28" w:type="dxa"/>
          <w:bottom w:w="28" w:type="dxa"/>
          <w:right w:w="28" w:type="dxa"/>
        </w:tblCellMar>
      </w:tblPr>
      <w:tblGrid>
        <w:gridCol w:w="3436"/>
        <w:gridCol w:w="146"/>
        <w:gridCol w:w="211"/>
        <w:gridCol w:w="676"/>
        <w:gridCol w:w="241"/>
        <w:gridCol w:w="146"/>
        <w:gridCol w:w="211"/>
        <w:gridCol w:w="676"/>
        <w:gridCol w:w="241"/>
        <w:gridCol w:w="146"/>
        <w:gridCol w:w="211"/>
        <w:gridCol w:w="631"/>
        <w:gridCol w:w="166"/>
        <w:gridCol w:w="146"/>
        <w:gridCol w:w="146"/>
        <w:gridCol w:w="48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Three Months Ended</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2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Segment Income (loss) from Operations: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24,619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28,346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(3,727</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(6,307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(2,638</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(3,669</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(139</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(2,166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3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17,738</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23,542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3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segment 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3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U.S. Marketplace segment income from operations decreased $3.7 million, or 13%, in the three months ended June 30, 2023 compared to the three months ended June 30, 2022 and represented 16% of U.S. Marketplace segment revenue for the three months ended June 30, 2023 and 19% of U.S. Marketplace segment revenue for the three months ended June 30, 2022. The decrease was due to increases in revenue of $5.7 million, offset by increases in cost of revenue of $1.9 million and increases in operating expenses of $7.5 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Digital Wholesale segment loss from operations increased $3.7 million, or 139%, in the three months ended June 30, 2023 compared to the three months ended June 30, 2022 and represented (9)% of Digital Wholesale segment revenue for the three months ended June 30, 2023 and (1)% of Digital Wholesale segment revenue for the three months ended June 30, 2022. The increase in the loss was due to decreases in revenue of $278.5 million, offset by decreases in cost of revenue of $250.0 million and decreases in operating expenses of $24.8 million.</w:t>
      </w:r>
    </w:p>
    <w:p>
      <w:pPr>
        <w:pStyle w:val="TextBody"/>
        <w:bidi w:val="0"/>
        <w:spacing w:before="240" w:after="0"/>
        <w:jc w:val="both"/>
        <w:rPr>
          <w:rFonts w:ascii="Times New Roman" w:hAnsi="Times New Roman"/>
          <w:sz w:val="20"/>
        </w:rPr>
      </w:pPr>
      <w:r>
        <w:rPr>
          <w:rFonts w:ascii="Calibri;sans-serif" w:hAnsi="Calibri;sans-serif"/>
          <w:b/>
          <w:i/>
          <w:sz w:val="20"/>
        </w:rPr>
        <w:t>For the six months ended June 30, 2023 and 2022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i/>
          <w:sz w:val="20"/>
        </w:rPr>
        <w:t>Revenue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i/>
          <w:sz w:val="20"/>
        </w:rPr>
        <w:t>Revenue by Source</w:t>
      </w:r>
      <w:r>
        <w:rPr>
          <w:rFonts w:ascii="Times New Roman" w:hAnsi="Times New Roman"/>
          <w:sz w:val="20"/>
        </w:rPr>
        <w:t xml:space="preserve"> </w:t>
      </w:r>
    </w:p>
    <w:p>
      <w:pPr>
        <w:pStyle w:val="TextBody"/>
        <w:bidi w:val="0"/>
        <w:spacing w:before="0" w:after="0"/>
        <w:jc w:val="both"/>
        <w:rPr/>
      </w:pPr>
      <w:r>
        <w:rPr/>
        <w:t> </w:t>
      </w:r>
    </w:p>
    <w:tbl>
      <w:tblPr>
        <w:tblW w:w="769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84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4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4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338,077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327,215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10,862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57,138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166,931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(109,793</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76,485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447,691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(371,206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(470,137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35</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Overall revenue decreased $470.1 million, or 50%, in the six months ended June 30, 2023 compared to the six months ended June 30, 2022.</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Marketplace revenue increased $10.9 million, or 3%, in the six months ended June 30, 2023 compared to the six months ended June 30, 2022 and represented 72% of total revenue for the six months ended June 30, 2023 compared to 35% of total revenue for the six months ended June 30, 2022. The increase was due primarily to a $15.4 million increase in Listings revenue, as a result of the 4% growth in our QARSD for paying dealers to $4,986 at March 31, 2023 from $4,806 at March 31, 2022 and as a result of the 5% growth in our QARSD for paying dealers to $5,116 at June 30, 2023 from $4,862 at June 30, 2022. The increase in QARSD was due primarily to signing on new dealers with higher average monthly recurring revenue and revenue expansion through product upgrades for existing dealers. The increase in marketplace revenue was offset in part by a $4.3 million decrease in advertising revenue as a result of lower spend by our advertisers and economic conditions.</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revenue decreased $109.8 million, or 66%, in the six months ended June 30, 2023 compared to the six months ended June 30, 2022 and represented 12% of total revenue for the six months ended June 30, 2023 compared to 18% of total revenue for the six months ended June 30, 2022. The decrease was due primarily to a 71% decrease in Transactions, which includes Dealer-to-Dealer transactions and IMCO transactions, to 38,298 for the six months ended June 30, 2023 from 132,752 for the six months ended June 30, 2022, as a result of operational challenges in the prior year which resulted in our focus in the current year on optimization of internal policies and procedures over volume of Transactions. The decrease in Transactions resulted in a decrease in transaction fee revenue as well as a decrease in transportation revenue, inspection revenue, and guarantee revenue.</w:t>
      </w:r>
    </w:p>
    <w:p>
      <w:pPr>
        <w:pStyle w:val="TextBody"/>
        <w:bidi w:val="0"/>
        <w:spacing w:before="240" w:after="0"/>
        <w:jc w:val="both"/>
        <w:rPr>
          <w:rFonts w:ascii="Calibri;sans-serif" w:hAnsi="Calibri;sans-serif"/>
          <w:b w:val="false"/>
          <w:sz w:val="20"/>
        </w:rPr>
      </w:pPr>
      <w:r>
        <w:rPr>
          <w:rFonts w:ascii="Calibri;sans-serif" w:hAnsi="Calibri;sans-serif"/>
          <w:b w:val="false"/>
          <w:sz w:val="20"/>
        </w:rPr>
        <w:t>Product revenue decreased by $371.2 million, or 83%, in the six months ended June 30, 2023 compared to the six months ended June 30, 2022 and represented 16% of total revenue for the six months ended June 30, 2023 compared to 48% of total revenue for the six months ended June 30, 2022. The decrease was due primarily to a $334.6 million decrease in proceeds received from the sale of vehicles through IMCO transactions, including vehicle sale price and transaction fees, as a result of decreased Transactions resulting from the purposeful slowdown in volume as we emphasize operational rigor. The decrease in product revenue was also due in part to a $36.6 million decrease in proceeds received from the sale of vehicles acquired through arbitration, including vehicle sale price, as a result of decreased arbitration claims primarily due to process improvements focused on higher quality inspections.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Segment Revenue</w:t>
      </w:r>
    </w:p>
    <w:p>
      <w:pPr>
        <w:pStyle w:val="TextBody"/>
        <w:bidi w:val="0"/>
        <w:spacing w:before="0" w:after="0"/>
        <w:jc w:val="both"/>
        <w:rPr/>
      </w:pPr>
      <w:r>
        <w:rPr/>
        <w:t> </w:t>
      </w:r>
    </w:p>
    <w:tbl>
      <w:tblPr>
        <w:tblW w:w="767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841"/>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4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314,064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304,642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133,623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614,622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(480,999</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(78</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24,013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22,573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471,700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941,837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(470,137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4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U.S. Marketplace segment revenue increased $9.4 million, or 3%, in the six months ended June 30, 2023 compared to the six months ended June 30, 2022 and represented 67% of total revenue for the six months ended June 30, 2023 compared to 32% of total revenue for the six months ended June 30, 2022. The increase was due primarily to a $10.9 million increase in marketplace revenue, as described above.</w:t>
      </w:r>
    </w:p>
    <w:p>
      <w:pPr>
        <w:pStyle w:val="TextBody"/>
        <w:bidi w:val="0"/>
        <w:spacing w:before="240" w:after="0"/>
        <w:jc w:val="both"/>
        <w:rPr>
          <w:rFonts w:ascii="Calibri;sans-serif" w:hAnsi="Calibri;sans-serif"/>
          <w:b w:val="false"/>
          <w:sz w:val="20"/>
        </w:rPr>
      </w:pPr>
      <w:r>
        <w:rPr>
          <w:rFonts w:ascii="Calibri;sans-serif" w:hAnsi="Calibri;sans-serif"/>
          <w:b w:val="false"/>
          <w:sz w:val="20"/>
        </w:rPr>
        <w:t>Digital Wholesale segment revenue, which is comprised of wholesale revenue and product revenue, decreased $481.0 million, or 78%, in the six months ended June 30, 2023 compared to the six months ended June 30, 2022 and represented 28% of total revenue for the six months ended June 30, 2023 compared to 65% of total revenue for the six months ended June 30, 2022. The decrease in Digital Wholesale segment revenue was due to a decrease in wholesale revenue and product revenue, as described above.</w:t>
      </w:r>
    </w:p>
    <w:p>
      <w:pPr>
        <w:pStyle w:val="TextBody"/>
        <w:bidi w:val="0"/>
        <w:spacing w:before="240" w:after="0"/>
        <w:jc w:val="both"/>
        <w:rPr>
          <w:rFonts w:ascii="Calibri;sans-serif" w:hAnsi="Calibri;sans-serif"/>
          <w:b/>
          <w:i/>
          <w:sz w:val="20"/>
        </w:rPr>
      </w:pPr>
      <w:r>
        <w:rPr>
          <w:rFonts w:ascii="Calibri;sans-serif" w:hAnsi="Calibri;sans-serif"/>
          <w:b/>
          <w:i/>
          <w:sz w:val="20"/>
        </w:rPr>
        <w:t>Cost of Revenue</w:t>
      </w:r>
    </w:p>
    <w:p>
      <w:pPr>
        <w:pStyle w:val="TextBody"/>
        <w:bidi w:val="0"/>
        <w:spacing w:before="0" w:after="0"/>
        <w:jc w:val="left"/>
        <w:rPr/>
      </w:pPr>
      <w:r>
        <w:rPr/>
        <w:t> </w:t>
      </w:r>
    </w:p>
    <w:tbl>
      <w:tblPr>
        <w:tblW w:w="7892" w:type="dxa"/>
        <w:jc w:val="left"/>
        <w:tblInd w:w="0" w:type="dxa"/>
        <w:tblLayout w:type="fixed"/>
        <w:tblCellMar>
          <w:top w:w="28" w:type="dxa"/>
          <w:left w:w="28" w:type="dxa"/>
          <w:bottom w:w="28" w:type="dxa"/>
          <w:right w:w="28" w:type="dxa"/>
        </w:tblCellMar>
      </w:tblPr>
      <w:tblGrid>
        <w:gridCol w:w="2691"/>
        <w:gridCol w:w="146"/>
        <w:gridCol w:w="211"/>
        <w:gridCol w:w="781"/>
        <w:gridCol w:w="241"/>
        <w:gridCol w:w="146"/>
        <w:gridCol w:w="211"/>
        <w:gridCol w:w="781"/>
        <w:gridCol w:w="241"/>
        <w:gridCol w:w="146"/>
        <w:gridCol w:w="211"/>
        <w:gridCol w:w="841"/>
        <w:gridCol w:w="166"/>
        <w:gridCol w:w="146"/>
        <w:gridCol w:w="146"/>
        <w:gridCol w:w="376"/>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4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411" w:type="dxa"/>
            <w:tcBorders/>
            <w:vAlign w:val="center"/>
          </w:tcPr>
          <w:p>
            <w:pPr>
              <w:pStyle w:val="TableContents"/>
              <w:bidi w:val="0"/>
              <w:spacing w:before="0" w:after="0"/>
              <w:ind w:left="0" w:right="0" w:hanging="0"/>
              <w:jc w:val="center"/>
              <w:rPr/>
            </w:pPr>
            <w:r>
              <w:rPr/>
              <w:t> </w:t>
            </w:r>
          </w:p>
        </w:tc>
      </w:tr>
      <w:tr>
        <w:trPr/>
        <w:tc>
          <w:tcPr>
            <w:tcW w:w="269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Cost of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31,007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25,466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46,496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104,700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(58,204</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(56</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75,076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441,945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(366,869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152,579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572,111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(419,532</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(73</w:t>
            </w:r>
          </w:p>
        </w:tc>
        <w:tc>
          <w:tcPr>
            <w:tcW w:w="4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691" w:type="dxa"/>
            <w:tcBorders/>
            <w:vAlign w:val="center"/>
          </w:tcPr>
          <w:p>
            <w:pPr>
              <w:pStyle w:val="TableContents"/>
              <w:bidi w:val="0"/>
              <w:spacing w:before="0" w:after="0"/>
              <w:ind w:left="0" w:right="0" w:firstLine="20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2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Marketplace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Wholesale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91" w:type="dxa"/>
            <w:tcBorders/>
            <w:vAlign w:val="center"/>
          </w:tcPr>
          <w:p>
            <w:pPr>
              <w:pStyle w:val="TableContents"/>
              <w:bidi w:val="0"/>
              <w:spacing w:before="0" w:after="0"/>
              <w:ind w:left="0" w:right="0" w:firstLine="200"/>
              <w:jc w:val="left"/>
              <w:rPr>
                <w:rFonts w:ascii="Calibri;sans-serif" w:hAnsi="Calibri;sans-serif"/>
                <w:b w:val="false"/>
                <w:sz w:val="20"/>
              </w:rPr>
            </w:pPr>
            <w:r>
              <w:rPr>
                <w:rFonts w:ascii="Calibri;sans-serif" w:hAnsi="Calibri;sans-serif"/>
                <w:b w:val="false"/>
                <w:sz w:val="20"/>
              </w:rPr>
              <w:t>Product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69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61</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Overall cost of revenue decreased $419.5 million, or 73%, in the six months ended June 30, 2023 compared to the six months ended June 30, 2022.</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Marketplace cost of revenue increased $5.5 million, or 22%, in the six months ended June 30, 2023 compared to the six months ended June 30, 2022 and represented 7% of total revenue for the six months ended June 30, 2023 compared to 3% of total revenue for the six months ended June 30, 2022. The increase was due primarily to a $2.6 million increase in data and hosting costs as a result of our migration onto a cloud-based hosting platform and a $2.2 million increase in fees related to provisioning advertising campaigns on our websites from changing to more effective, higher cost service providers.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Wholesale cost of revenue decreased $58.2 million, or 56%, in the six months ended June 30, 2023 compared to the six months ended June 30, 2022 and represented 10% of total revenue for the six months ended June 30, 2023 compared to 11% of total revenue for the six months ended June 30, 2022. The decrease was due primarily to process improvements implemented, resulting in a purposeful decrease in the volume of Dealer-to-Dealer transactions. This decrease in volume resulted in a decrease in transportation expense, inspection expense, third-party service provider expense, personnel expense, and guarantee expense.</w:t>
      </w:r>
    </w:p>
    <w:p>
      <w:pPr>
        <w:pStyle w:val="TextBody"/>
        <w:bidi w:val="0"/>
        <w:spacing w:before="240" w:after="0"/>
        <w:jc w:val="both"/>
        <w:rPr>
          <w:rFonts w:ascii="Calibri;sans-serif" w:hAnsi="Calibri;sans-serif"/>
          <w:b w:val="false"/>
          <w:sz w:val="20"/>
        </w:rPr>
      </w:pPr>
      <w:r>
        <w:rPr>
          <w:rFonts w:ascii="Calibri;sans-serif" w:hAnsi="Calibri;sans-serif"/>
          <w:b w:val="false"/>
          <w:sz w:val="20"/>
        </w:rPr>
        <w:t>Product cost of revenue decreased $366.9 million, or 83%, in the six months ended June 30, 2023 compared to the six months ended June 30, 2022 and represented 16% of the total revenue for the six months ended June 30, 2023 compared to 47% of total revenue for the six months ended June 30, 2022. The decrease was due primarily to a $309.6 million decrease in expenses related to vehicles sold to dealers through IMCO transactions as a result of decreased Transactions resulting from the purposeful slowdown in volume as we emphasize operational rigor. The decrease in product cost of revenue was also due in part to a $57.3 million decrease in expenses related to vehicles sold to dealers acquired through arbitration as a result of decreased arbitration claims primarily due to process improvements focused on higher quality inspections.</w:t>
      </w:r>
    </w:p>
    <w:p>
      <w:pPr>
        <w:pStyle w:val="TextBody"/>
        <w:bidi w:val="0"/>
        <w:spacing w:before="240" w:after="0"/>
        <w:jc w:val="left"/>
        <w:rPr>
          <w:rFonts w:ascii="Calibri;sans-serif" w:hAnsi="Calibri;sans-serif"/>
          <w:b/>
          <w:i/>
          <w:sz w:val="20"/>
        </w:rPr>
      </w:pPr>
      <w:r>
        <w:rPr>
          <w:rFonts w:ascii="Calibri;sans-serif" w:hAnsi="Calibri;sans-serif"/>
          <w:b/>
          <w:i/>
          <w:sz w:val="20"/>
        </w:rPr>
        <w:t>Operating Expenses</w:t>
      </w:r>
    </w:p>
    <w:p>
      <w:pPr>
        <w:pStyle w:val="TextBody"/>
        <w:bidi w:val="0"/>
        <w:spacing w:before="240" w:after="0"/>
        <w:jc w:val="both"/>
        <w:rPr>
          <w:rFonts w:ascii="Times New Roman" w:hAnsi="Times New Roman"/>
          <w:sz w:val="20"/>
        </w:rPr>
      </w:pPr>
      <w:r>
        <w:rPr>
          <w:rFonts w:ascii="Calibri;sans-serif" w:hAnsi="Calibri;sans-serif"/>
          <w:b w:val="false"/>
          <w:i/>
          <w:sz w:val="20"/>
        </w:rPr>
        <w:t>Sales and Marketing Expense</w:t>
      </w:r>
      <w:r>
        <w:rPr>
          <w:rFonts w:ascii="Times New Roman" w:hAnsi="Times New Roman"/>
          <w:sz w:val="20"/>
        </w:rPr>
        <w:t xml:space="preserve"> </w:t>
      </w:r>
    </w:p>
    <w:p>
      <w:pPr>
        <w:pStyle w:val="TextBody"/>
        <w:bidi w:val="0"/>
        <w:spacing w:before="0" w:after="0"/>
        <w:jc w:val="both"/>
        <w:rPr/>
      </w:pPr>
      <w:r>
        <w:rPr/>
        <w:t> </w:t>
      </w:r>
    </w:p>
    <w:tbl>
      <w:tblPr>
        <w:tblW w:w="7327" w:type="dxa"/>
        <w:jc w:val="left"/>
        <w:tblInd w:w="0" w:type="dxa"/>
        <w:tblLayout w:type="fixed"/>
        <w:tblCellMar>
          <w:top w:w="28" w:type="dxa"/>
          <w:left w:w="28" w:type="dxa"/>
          <w:bottom w:w="28" w:type="dxa"/>
          <w:right w:w="28" w:type="dxa"/>
        </w:tblCellMar>
      </w:tblPr>
      <w:tblGrid>
        <w:gridCol w:w="2296"/>
        <w:gridCol w:w="146"/>
        <w:gridCol w:w="211"/>
        <w:gridCol w:w="781"/>
        <w:gridCol w:w="241"/>
        <w:gridCol w:w="146"/>
        <w:gridCol w:w="211"/>
        <w:gridCol w:w="781"/>
        <w:gridCol w:w="241"/>
        <w:gridCol w:w="146"/>
        <w:gridCol w:w="211"/>
        <w:gridCol w:w="736"/>
        <w:gridCol w:w="166"/>
        <w:gridCol w:w="146"/>
        <w:gridCol w:w="146"/>
        <w:gridCol w:w="376"/>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3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46"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153,415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183,186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(29,771</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3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Sales and marketing expense decreased $29.8 million, or 16%, in the six months ended June 30, 2023 compared to the six months ended June 30, 2022. The decrease was due primarily to a $16.6 million decrease in brand awareness advertising expenses due to decreased spend as a result of a change in advertising strategy implemented in the fourth quarter of 2022. The decrease was also due in part to a $9.0 million decrease in marketing expenses due primarily to a decrease in IMCO marketing and a $7.8 million decrease in commissions expense due primarily to decreased Transactions and higher capitalization on commissions as a result of signing on new dealers with higher average monthly recurring revenue. The decrease in sales and marketing expense was offset in part by a $3.1 million increase in rent expense due to the commencement of the 1001 Boylston Street lease.</w:t>
      </w:r>
    </w:p>
    <w:p>
      <w:pPr>
        <w:pStyle w:val="TextBody"/>
        <w:bidi w:val="0"/>
        <w:spacing w:before="240" w:after="0"/>
        <w:jc w:val="both"/>
        <w:rPr>
          <w:rFonts w:ascii="Times New Roman" w:hAnsi="Times New Roman"/>
          <w:sz w:val="20"/>
        </w:rPr>
      </w:pPr>
      <w:r>
        <w:rPr>
          <w:rFonts w:ascii="Calibri;sans-serif" w:hAnsi="Calibri;sans-serif"/>
          <w:b w:val="false"/>
          <w:i/>
          <w:sz w:val="20"/>
        </w:rPr>
        <w:t>Product, Technology, and Development Expense</w:t>
      </w:r>
      <w:r>
        <w:rPr>
          <w:rFonts w:ascii="Times New Roman" w:hAnsi="Times New Roman"/>
          <w:sz w:val="20"/>
        </w:rPr>
        <w:t xml:space="preserve"> </w:t>
      </w:r>
    </w:p>
    <w:p>
      <w:pPr>
        <w:pStyle w:val="TextBody"/>
        <w:bidi w:val="0"/>
        <w:spacing w:before="0" w:after="0"/>
        <w:jc w:val="both"/>
        <w:rPr/>
      </w:pPr>
      <w:r>
        <w:rPr/>
        <w:t> </w:t>
      </w:r>
    </w:p>
    <w:tbl>
      <w:tblPr>
        <w:tblW w:w="7802" w:type="dxa"/>
        <w:jc w:val="left"/>
        <w:tblInd w:w="0" w:type="dxa"/>
        <w:tblLayout w:type="fixed"/>
        <w:tblCellMar>
          <w:top w:w="28" w:type="dxa"/>
          <w:left w:w="28" w:type="dxa"/>
          <w:bottom w:w="28" w:type="dxa"/>
          <w:right w:w="28" w:type="dxa"/>
        </w:tblCellMar>
      </w:tblPr>
      <w:tblGrid>
        <w:gridCol w:w="3181"/>
        <w:gridCol w:w="146"/>
        <w:gridCol w:w="211"/>
        <w:gridCol w:w="676"/>
        <w:gridCol w:w="241"/>
        <w:gridCol w:w="146"/>
        <w:gridCol w:w="211"/>
        <w:gridCol w:w="676"/>
        <w:gridCol w:w="241"/>
        <w:gridCol w:w="146"/>
        <w:gridCol w:w="211"/>
        <w:gridCol w:w="676"/>
        <w:gridCol w:w="146"/>
        <w:gridCol w:w="146"/>
        <w:gridCol w:w="146"/>
        <w:gridCol w:w="316"/>
        <w:gridCol w:w="28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8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286"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Product, technology,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73,998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62,007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1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Product, technology, and development expense increased $12.0 million, or 19%, in the six months ended June 30, 2023 compared to the six months ended June 30, 2022. The increase was due primarily to a $7.2 million increase in salaries and employee-related expenses due primarily to a 10% increase in headcount as well as merit increases, a $2.7 million increase in rent expense due to the commencement of the 1001 Boylston Street lease, and a $2.3 million increase in consulting expense.</w:t>
      </w:r>
    </w:p>
    <w:p>
      <w:pPr>
        <w:pStyle w:val="TextBody"/>
        <w:bidi w:val="0"/>
        <w:spacing w:before="240" w:after="0"/>
        <w:jc w:val="both"/>
        <w:rPr>
          <w:rFonts w:ascii="Times New Roman" w:hAnsi="Times New Roman"/>
          <w:sz w:val="20"/>
        </w:rPr>
      </w:pPr>
      <w:r>
        <w:rPr>
          <w:rFonts w:ascii="Calibri;sans-serif" w:hAnsi="Calibri;sans-serif"/>
          <w:b w:val="false"/>
          <w:i/>
          <w:sz w:val="20"/>
        </w:rPr>
        <w:t>General and Administrative Expense</w:t>
      </w:r>
      <w:r>
        <w:rPr>
          <w:rFonts w:ascii="Times New Roman" w:hAnsi="Times New Roman"/>
          <w:sz w:val="20"/>
        </w:rPr>
        <w:t xml:space="preserve"> </w:t>
      </w:r>
    </w:p>
    <w:p>
      <w:pPr>
        <w:pStyle w:val="TextBody"/>
        <w:bidi w:val="0"/>
        <w:spacing w:before="0" w:after="0"/>
        <w:jc w:val="both"/>
        <w:rPr/>
      </w:pPr>
      <w:r>
        <w:rPr/>
        <w:t> </w:t>
      </w:r>
    </w:p>
    <w:tbl>
      <w:tblPr>
        <w:tblW w:w="711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736"/>
        <w:gridCol w:w="166"/>
        <w:gridCol w:w="146"/>
        <w:gridCol w:w="146"/>
        <w:gridCol w:w="376"/>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2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46"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52,186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66,635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(14,449</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w:t>
            </w:r>
          </w:p>
        </w:tc>
        <w:tc>
          <w:tcPr>
            <w:tcW w:w="34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General and administrative expense decreased $14.4 million, or 22%, in the six months ended June 30, 2023 compared to the six months ended June 30, 2022. The decrease was due primarily to a $21.3 million decrease in stock-based compensation due to the revaluation of liability-based stock awards. The decrease in general and administrative expense was offset in part by a $3.2 million increase in salaries and employee-related expenses, exclusive of stock-based compensation, due primarily to an 8% increase in headcount as well as merit increases, a $1.3 million increase in rent expense due to the commencement of the 1001 Boylston Street lease, a $0.6 million increase in insurance and legal expense, a $0.5 million increase in consulting expense, and a $0.5 million increase in software subscription expense.</w:t>
      </w:r>
    </w:p>
    <w:p>
      <w:pPr>
        <w:pStyle w:val="TextBody"/>
        <w:bidi w:val="0"/>
        <w:spacing w:before="240" w:after="0"/>
        <w:jc w:val="both"/>
        <w:rPr>
          <w:rFonts w:ascii="Times New Roman" w:hAnsi="Times New Roman"/>
          <w:sz w:val="20"/>
        </w:rPr>
      </w:pPr>
      <w:r>
        <w:rPr>
          <w:rFonts w:ascii="Calibri;sans-serif" w:hAnsi="Calibri;sans-serif"/>
          <w:b w:val="false"/>
          <w:i/>
          <w:sz w:val="20"/>
        </w:rPr>
        <w:t>Depreciation and Amortization Expense</w:t>
      </w:r>
      <w:r>
        <w:rPr>
          <w:rFonts w:ascii="Times New Roman" w:hAnsi="Times New Roman"/>
          <w:sz w:val="20"/>
        </w:rPr>
        <w:t xml:space="preserve"> </w:t>
      </w:r>
    </w:p>
    <w:p>
      <w:pPr>
        <w:pStyle w:val="TextBody"/>
        <w:bidi w:val="0"/>
        <w:spacing w:before="0" w:after="0"/>
        <w:jc w:val="both"/>
        <w:rPr/>
      </w:pPr>
      <w:r>
        <w:rPr/>
        <w:t> </w:t>
      </w:r>
    </w:p>
    <w:tbl>
      <w:tblPr>
        <w:tblW w:w="6616"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571"/>
        <w:gridCol w:w="241"/>
        <w:gridCol w:w="146"/>
        <w:gridCol w:w="270"/>
        <w:gridCol w:w="406"/>
        <w:gridCol w:w="146"/>
        <w:gridCol w:w="146"/>
        <w:gridCol w:w="146"/>
        <w:gridCol w:w="211"/>
        <w:gridCol w:w="28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63"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286"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7,697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0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52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Depreciation and amortization expenses remained relatively consistent in the six months ended June 30, 2023 compared to the six months ended June 30, 2022.</w:t>
      </w:r>
    </w:p>
    <w:p>
      <w:pPr>
        <w:pStyle w:val="TextBody"/>
        <w:bidi w:val="0"/>
        <w:spacing w:before="240" w:after="0"/>
        <w:jc w:val="both"/>
        <w:rPr>
          <w:rFonts w:ascii="Times New Roman" w:hAnsi="Times New Roman"/>
          <w:sz w:val="20"/>
        </w:rPr>
      </w:pPr>
      <w:r>
        <w:rPr>
          <w:rFonts w:ascii="Calibri;sans-serif" w:hAnsi="Calibri;sans-serif"/>
          <w:b/>
          <w:i/>
          <w:sz w:val="20"/>
        </w:rPr>
        <w:t>Other Income (Expense), Net</w:t>
      </w:r>
      <w:r>
        <w:rPr>
          <w:rFonts w:ascii="Times New Roman" w:hAnsi="Times New Roman"/>
          <w:sz w:val="20"/>
        </w:rPr>
        <w:t xml:space="preserve"> </w:t>
      </w:r>
    </w:p>
    <w:p>
      <w:pPr>
        <w:pStyle w:val="TextBody"/>
        <w:bidi w:val="0"/>
        <w:spacing w:before="0" w:after="0"/>
        <w:jc w:val="both"/>
        <w:rPr/>
      </w:pPr>
      <w:r>
        <w:rPr/>
        <w:t> </w:t>
      </w:r>
    </w:p>
    <w:tbl>
      <w:tblPr>
        <w:tblW w:w="7397" w:type="dxa"/>
        <w:jc w:val="left"/>
        <w:tblInd w:w="0" w:type="dxa"/>
        <w:tblLayout w:type="fixed"/>
        <w:tblCellMar>
          <w:top w:w="28" w:type="dxa"/>
          <w:left w:w="28" w:type="dxa"/>
          <w:bottom w:w="28" w:type="dxa"/>
          <w:right w:w="28" w:type="dxa"/>
        </w:tblCellMar>
      </w:tblPr>
      <w:tblGrid>
        <w:gridCol w:w="2761"/>
        <w:gridCol w:w="146"/>
        <w:gridCol w:w="211"/>
        <w:gridCol w:w="571"/>
        <w:gridCol w:w="241"/>
        <w:gridCol w:w="146"/>
        <w:gridCol w:w="211"/>
        <w:gridCol w:w="481"/>
        <w:gridCol w:w="301"/>
        <w:gridCol w:w="146"/>
        <w:gridCol w:w="211"/>
        <w:gridCol w:w="571"/>
        <w:gridCol w:w="146"/>
        <w:gridCol w:w="146"/>
        <w:gridCol w:w="146"/>
        <w:gridCol w:w="571"/>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9"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8,076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348</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2,221</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942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(623</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6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9,018</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(275</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3,379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761"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30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761"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(0</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Total other income (expense), net increased $9.3 million, or 3,379%, in the six months ended June 30, 2023 compared to the six months ended June 30, 2022. The $7.7 million increase in interest income was due primarily to interest rate increases since June 30, 2022. The $1.6 million increase in other income (expense), net was due primarily to a $2.2 million increase in unrealized gain associated with the fluctuation of certain foreign currencies, offset in part by an increase in interest expense.</w:t>
      </w:r>
    </w:p>
    <w:p>
      <w:pPr>
        <w:pStyle w:val="TextBody"/>
        <w:bidi w:val="0"/>
        <w:spacing w:before="240" w:after="0"/>
        <w:jc w:val="both"/>
        <w:rPr>
          <w:rFonts w:ascii="Times New Roman" w:hAnsi="Times New Roman"/>
          <w:sz w:val="20"/>
        </w:rPr>
      </w:pPr>
      <w:r>
        <w:rPr>
          <w:rFonts w:ascii="Calibri;sans-serif" w:hAnsi="Calibri;sans-serif"/>
          <w:b/>
          <w:i/>
          <w:sz w:val="20"/>
        </w:rPr>
        <w:t>Provision for Income Taxes</w:t>
      </w:r>
      <w:r>
        <w:rPr>
          <w:rFonts w:ascii="Times New Roman" w:hAnsi="Times New Roman"/>
          <w:sz w:val="20"/>
        </w:rPr>
        <w:t xml:space="preserve"> </w:t>
      </w:r>
    </w:p>
    <w:p>
      <w:pPr>
        <w:pStyle w:val="TextBody"/>
        <w:bidi w:val="0"/>
        <w:spacing w:before="0" w:after="0"/>
        <w:jc w:val="both"/>
        <w:rPr/>
      </w:pPr>
      <w:r>
        <w:rPr/>
        <w:t> </w:t>
      </w:r>
    </w:p>
    <w:tbl>
      <w:tblPr>
        <w:tblW w:w="6812"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316"/>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08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286"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15,132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13,027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57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8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229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Times New Roman" w:hAnsi="Times New Roman"/>
          <w:sz w:val="20"/>
        </w:rPr>
      </w:pPr>
      <w:r>
        <w:rPr>
          <w:rFonts w:ascii="Calibri;sans-serif" w:hAnsi="Calibri;sans-serif"/>
          <w:b w:val="false"/>
          <w:sz w:val="20"/>
        </w:rPr>
        <w:t>Provision for income taxes increased $2.1 million, or 16%, in the six months ended June 30, 2023 compared to the six months ended June 30, 2022, primarily due to aggregated $4.2 million shortfalls on the taxable compensation of stock-based awards and the Section 162(m) excess officer compensation limitation recorded during the six months ended June 30, 2023 offset by lower state and local income taxes, compared to $0.6 million tax expense related to shortfalls on the taxable compensation of stock-based awards and the Section 162(m) excess officer compensation limitation recorded during the six months ended June 30,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i/>
          <w:sz w:val="20"/>
        </w:rPr>
      </w:pPr>
      <w:r>
        <w:rPr>
          <w:rFonts w:ascii="Calibri;sans-serif" w:hAnsi="Calibri;sans-serif"/>
          <w:b/>
          <w:i/>
          <w:sz w:val="20"/>
        </w:rPr>
        <w:t>Segment Income (Loss) from Operations</w:t>
      </w:r>
    </w:p>
    <w:p>
      <w:pPr>
        <w:pStyle w:val="TextBody"/>
        <w:bidi w:val="0"/>
        <w:spacing w:before="0" w:after="0"/>
        <w:jc w:val="both"/>
        <w:rPr/>
      </w:pPr>
      <w:r>
        <w:rPr/>
        <w:t> </w:t>
      </w:r>
    </w:p>
    <w:tbl>
      <w:tblPr>
        <w:tblW w:w="8437" w:type="dxa"/>
        <w:jc w:val="left"/>
        <w:tblInd w:w="0" w:type="dxa"/>
        <w:tblLayout w:type="fixed"/>
        <w:tblCellMar>
          <w:top w:w="28" w:type="dxa"/>
          <w:left w:w="28" w:type="dxa"/>
          <w:bottom w:w="28" w:type="dxa"/>
          <w:right w:w="28" w:type="dxa"/>
        </w:tblCellMar>
      </w:tblPr>
      <w:tblGrid>
        <w:gridCol w:w="3406"/>
        <w:gridCol w:w="146"/>
        <w:gridCol w:w="211"/>
        <w:gridCol w:w="736"/>
        <w:gridCol w:w="241"/>
        <w:gridCol w:w="146"/>
        <w:gridCol w:w="211"/>
        <w:gridCol w:w="676"/>
        <w:gridCol w:w="241"/>
        <w:gridCol w:w="146"/>
        <w:gridCol w:w="211"/>
        <w:gridCol w:w="736"/>
        <w:gridCol w:w="166"/>
        <w:gridCol w:w="146"/>
        <w:gridCol w:w="146"/>
        <w:gridCol w:w="481"/>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94" w:type="dxa"/>
            <w:gridSpan w:val="14"/>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Segment Income (Loss) from Operations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51,158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58,182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(7,024</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(17,532</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(4,749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(12,783</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(269</w:t>
            </w:r>
          </w:p>
        </w:tc>
        <w:tc>
          <w:tcPr>
            <w:tcW w:w="39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(1,829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(3,232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31,797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50,201</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(18,404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(37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406" w:type="dxa"/>
            <w:tcBorders/>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Percentage of segment revenue: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U.S. Marketplace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19</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Digital Wholesale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4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0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06" w:type="dxa"/>
            <w:tcBorders/>
            <w:vAlign w:val="center"/>
          </w:tcPr>
          <w:p>
            <w:pPr>
              <w:pStyle w:val="TableContents"/>
              <w:bidi w:val="0"/>
              <w:spacing w:before="0" w:after="0"/>
              <w:ind w:left="200" w:right="0" w:hanging="0"/>
              <w:jc w:val="left"/>
              <w:rPr>
                <w:rFonts w:ascii="Calibri;sans-serif" w:hAnsi="Calibri;sans-serif"/>
                <w:b w:val="false"/>
                <w:sz w:val="20"/>
              </w:rPr>
            </w:pP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U.S. Marketplace segment income from operations decreased $7.0 million, or 12%, in the six months ended June 30, 2023 compared to the six months ended June 30, 2022 and represented 16% of U.S. Marketplace segment revenue for the six months ended June 30, 2023 and 19% of U.S. Marketplace segment revenue for the six months ended June 30, 2022. The decrease was due to increases in revenue of $9.4 million, offset by increases in cost of revenue of $4.9 million and increases in operating expenses of $11.5 million.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Digital Wholesale segment loss from operations increased $12.8 million, or 269%, in the six months ended June 30, 2023 compared to the six months ended June 30, 2022 and represented (13)% of Digital Wholesale segment revenue for the six months ended June 30, 2023 and (1)% of Digital Wholesale segment revenue for the six months ended June 30, 2022. The increase in the loss was due to decreases in revenue of $481.0 million, offset by decreases in cost of revenue of $425.1 million and decreases in operating expenses of $43.1 million.</w:t>
      </w:r>
    </w:p>
    <w:p>
      <w:pPr>
        <w:pStyle w:val="TextBody"/>
        <w:bidi w:val="0"/>
        <w:spacing w:before="240" w:after="0"/>
        <w:jc w:val="both"/>
        <w:rPr>
          <w:rFonts w:ascii="Times New Roman" w:hAnsi="Times New Roman"/>
          <w:sz w:val="20"/>
        </w:rPr>
      </w:pPr>
      <w:r>
        <w:rPr>
          <w:rFonts w:ascii="Calibri;sans-serif" w:hAnsi="Calibri;sans-serif"/>
          <w:b/>
          <w:sz w:val="20"/>
        </w:rPr>
        <w:t>Liquidity and Capital Resources</w:t>
      </w:r>
      <w:r>
        <w:rPr>
          <w:rFonts w:ascii="Times New Roman" w:hAnsi="Times New Roman"/>
          <w:sz w:val="20"/>
        </w:rPr>
        <w:t xml:space="preserve"> </w:t>
      </w:r>
    </w:p>
    <w:p>
      <w:pPr>
        <w:pStyle w:val="TextBody"/>
        <w:bidi w:val="0"/>
        <w:spacing w:before="240" w:after="0"/>
        <w:jc w:val="both"/>
        <w:rPr>
          <w:rFonts w:ascii="Calibri;sans-serif" w:hAnsi="Calibri;sans-serif"/>
          <w:b/>
          <w:i/>
          <w:sz w:val="20"/>
        </w:rPr>
      </w:pPr>
      <w:r>
        <w:rPr>
          <w:rFonts w:ascii="Calibri;sans-serif" w:hAnsi="Calibri;sans-serif"/>
          <w:b/>
          <w:i/>
          <w:sz w:val="20"/>
        </w:rPr>
        <w:t>Cash, Cash Equivalents, Short-term Investments, and Borrowing Capacity</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our principal sources of liquidity were cash and cash equivalents of $363.1 million and short-term investments of $90.5 million. As of December 31, 2022, our principal sources of liquidity were cash and cash equivalents of $469.5 million. As of June 30, 2023, our borrowing capacity under the 2022 Revolver (as defined below) was $399.3 million.</w:t>
      </w:r>
    </w:p>
    <w:p>
      <w:pPr>
        <w:pStyle w:val="TextBody"/>
        <w:bidi w:val="0"/>
        <w:spacing w:before="240" w:after="0"/>
        <w:jc w:val="both"/>
        <w:rPr>
          <w:rFonts w:ascii="Times New Roman" w:hAnsi="Times New Roman"/>
          <w:sz w:val="20"/>
        </w:rPr>
      </w:pPr>
      <w:r>
        <w:rPr>
          <w:rFonts w:ascii="Calibri;sans-serif" w:hAnsi="Calibri;sans-serif"/>
          <w:b/>
          <w:i/>
          <w:sz w:val="20"/>
        </w:rPr>
        <w:t>Sources and Uses of Cash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During the six months ended June 30, 2023 and 2022, our cash flows from operating, investing, and financing activities, as reflected in the Unaudited Condensed Consolidated Statements of Cash Flows, are as follows:</w:t>
      </w:r>
      <w:r>
        <w:rPr>
          <w:rFonts w:ascii="Times New Roman" w:hAnsi="Times New Roman"/>
          <w:sz w:val="20"/>
        </w:rPr>
        <w:t xml:space="preserve"> </w:t>
      </w:r>
    </w:p>
    <w:p>
      <w:pPr>
        <w:pStyle w:val="TextBody"/>
        <w:bidi w:val="0"/>
        <w:spacing w:before="0" w:after="0"/>
        <w:jc w:val="both"/>
        <w:rPr/>
      </w:pPr>
      <w:r>
        <w:rPr/>
        <w:t> </w:t>
      </w:r>
    </w:p>
    <w:tbl>
      <w:tblPr>
        <w:tblW w:w="8189" w:type="dxa"/>
        <w:jc w:val="left"/>
        <w:tblInd w:w="0" w:type="dxa"/>
        <w:tblLayout w:type="fixed"/>
        <w:tblCellMar>
          <w:top w:w="28" w:type="dxa"/>
          <w:left w:w="28" w:type="dxa"/>
          <w:bottom w:w="28" w:type="dxa"/>
          <w:right w:w="28" w:type="dxa"/>
        </w:tblCellMar>
      </w:tblPr>
      <w:tblGrid>
        <w:gridCol w:w="5476"/>
        <w:gridCol w:w="146"/>
        <w:gridCol w:w="211"/>
        <w:gridCol w:w="841"/>
        <w:gridCol w:w="166"/>
        <w:gridCol w:w="146"/>
        <w:gridCol w:w="211"/>
        <w:gridCol w:w="781"/>
        <w:gridCol w:w="21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 xml:space="preserve">Six Months Ended </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7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95,681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87,595</w:t>
            </w:r>
          </w:p>
        </w:tc>
        <w:tc>
          <w:tcPr>
            <w:tcW w:w="211" w:type="dxa"/>
            <w:tcBorders/>
            <w:vAlign w:val="center"/>
          </w:tcPr>
          <w:p>
            <w:pPr>
              <w:pStyle w:val="TableContents"/>
              <w:bidi w:val="0"/>
              <w:spacing w:before="0" w:after="0"/>
              <w:ind w:left="0" w:right="0" w:hanging="0"/>
              <w:jc w:val="left"/>
              <w:rPr/>
            </w:pPr>
            <w:r>
              <w:rPr/>
              <w:t> </w:t>
            </w:r>
          </w:p>
        </w:tc>
      </w:tr>
      <w:tr>
        <w:trPr/>
        <w:tc>
          <w:tcPr>
            <w:tcW w:w="547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cash (used in)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(104,334</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51,837</w:t>
            </w:r>
          </w:p>
        </w:tc>
        <w:tc>
          <w:tcPr>
            <w:tcW w:w="211" w:type="dxa"/>
            <w:tcBorders/>
            <w:vAlign w:val="center"/>
          </w:tcPr>
          <w:p>
            <w:pPr>
              <w:pStyle w:val="TableContents"/>
              <w:bidi w:val="0"/>
              <w:spacing w:before="0" w:after="0"/>
              <w:ind w:left="0" w:right="0" w:hanging="0"/>
              <w:jc w:val="left"/>
              <w:rPr/>
            </w:pPr>
            <w:r>
              <w:rPr/>
              <w:t> </w:t>
            </w:r>
          </w:p>
        </w:tc>
      </w:tr>
      <w:tr>
        <w:trPr/>
        <w:tc>
          <w:tcPr>
            <w:tcW w:w="547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(101,069</w:t>
            </w:r>
          </w:p>
        </w:tc>
        <w:tc>
          <w:tcPr>
            <w:tcW w:w="16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(25,644</w:t>
            </w:r>
          </w:p>
        </w:tc>
        <w:tc>
          <w:tcPr>
            <w:tcW w:w="21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47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Impact of foreign currency on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211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(912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5476"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Net (decrease)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(109,511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112,876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Calibri;sans-serif" w:hAnsi="Calibri;sans-serif"/>
          <w:b w:val="false"/>
          <w:sz w:val="20"/>
        </w:rPr>
      </w:pPr>
      <w:r>
        <w:rPr>
          <w:rFonts w:ascii="Calibri;sans-serif" w:hAnsi="Calibri;sans-serif"/>
          <w:b w:val="false"/>
          <w:sz w:val="20"/>
        </w:rPr>
        <w:t>Our operations have been financed primarily from operating activities. During the six months ended June 30, 2023 and 2022, we generated cash from operating activities of $95.7 million and $87.6 million, respectively.</w:t>
      </w:r>
    </w:p>
    <w:p>
      <w:pPr>
        <w:pStyle w:val="TextBody"/>
        <w:bidi w:val="0"/>
        <w:spacing w:before="240" w:after="0"/>
        <w:jc w:val="both"/>
        <w:rPr>
          <w:rFonts w:ascii="Times New Roman" w:hAnsi="Times New Roman"/>
          <w:sz w:val="20"/>
        </w:rPr>
      </w:pPr>
      <w:r>
        <w:rPr>
          <w:rFonts w:ascii="Calibri;sans-serif" w:hAnsi="Calibri;sans-serif"/>
          <w:b w:val="false"/>
          <w:sz w:val="20"/>
        </w:rPr>
        <w:t>We believe that our existing sources of liquidity, including access to the 2022 Revolver, will be sufficient to fund our operations for at least the next 12 months from the date of the filing of this Quarterly Report.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val="false"/>
          <w:sz w:val="20"/>
        </w:rPr>
      </w:pPr>
      <w:r>
        <w:rPr>
          <w:rFonts w:ascii="Calibri;sans-serif" w:hAnsi="Calibri;sans-serif"/>
          <w:b w:val="false"/>
          <w:sz w:val="20"/>
        </w:rPr>
        <w:t>Our future capital requirements will depend on many factors, including, but not limited to: our revenue; expenses associated with our sales and marketing activities and the support of our product, technology, and development efforts; expenses associated with our facilities build-out under our 1001 Boylston Street lease in excess of tenant allowance; payments received in advance from a third-party transaction processor; activity under the Share Repurchase Program (as defined below); and our investments in international markets. In connection with the 1001 Boylston Street lease, we expect to spend approximately $69.8 million, net of tenant reimbursements. As of June 30, 2023, we have incurred $8.8 million in expenses, of which $8.6 million was capitalized. We have also signed $2.5 million in contract commitments, which have not yet been incurred.</w:t>
      </w:r>
    </w:p>
    <w:p>
      <w:pPr>
        <w:pStyle w:val="TextBody"/>
        <w:bidi w:val="0"/>
        <w:spacing w:before="240" w:after="0"/>
        <w:jc w:val="both"/>
        <w:rPr>
          <w:rFonts w:ascii="Times New Roman" w:hAnsi="Times New Roman"/>
          <w:sz w:val="20"/>
        </w:rPr>
      </w:pPr>
      <w:r>
        <w:rPr>
          <w:rFonts w:ascii="Calibri;sans-serif" w:hAnsi="Calibri;sans-serif"/>
          <w:b w:val="false"/>
          <w:sz w:val="20"/>
        </w:rPr>
        <w:t>Our long-term future capital requirements will depend on many factors, including the future cash requirements described above, as well as the potential exercise of a call right to acquire all, and not less than all, of the remaining equity interests in CarOffer and the representative of the holders of the remaining equity will have a put right to sell to us all, and not less than all, of the remaining equity interests of CarOffer. Details of this acquisition are more fully described in Note 2 to our consolidated financial statements contained within our Annual Report. Cash from operations could also be affected by various risks and uncertainties, including, but not limited to, macroeconomic effects and other risks detailed in the “Risk Factors” section of this Quarterly Report.</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The borrowing capacity under the Credit Agreement may be increased in accordance with the terms and subject to the adjustments as set forth in the Credit Agreement. For example,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June 30, 2023, there were no borrowings and $0.7 million in letters of credit outstanding, which reduces the borrowing capacity under the 2022 Revolver to $399.3 million. As of December 31, 2022, there were no borrowings and no letters of credit outstanding under the 2022 Revolver.</w:t>
      </w:r>
    </w:p>
    <w:p>
      <w:pPr>
        <w:pStyle w:val="TextBody"/>
        <w:bidi w:val="0"/>
        <w:spacing w:before="240" w:after="0"/>
        <w:jc w:val="both"/>
        <w:rPr>
          <w:rFonts w:ascii="Calibri;sans-serif" w:hAnsi="Calibri;sans-serif"/>
          <w:b w:val="false"/>
          <w:sz w:val="20"/>
        </w:rPr>
      </w:pPr>
      <w:r>
        <w:rPr>
          <w:rFonts w:ascii="Calibri;sans-serif" w:hAnsi="Calibri;sans-serif"/>
          <w:b w:val="false"/>
          <w:sz w:val="20"/>
        </w:rPr>
        <w:t>On December 8, 2022, we announced that our Board of Directors authorized a new share repurchase program, or the Share Repurchase Program, pursuant to which we may, from time to time, purchase shares of our Class A common stock for an aggregate purchase price not to exceed $250.0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under the Share Repurchase Program will be retired. We expect to fund share repurchases through cash on hand and cash generated from operations. During the three months ended June 30, 2023, we repurchased and retired 1,311,387 shares for $22.0 million, exclusive of commissions and excise tax, at an average cost of $16.75 per share under the Share Repurchase Program. During the six months ended June 30, 2023, we repurchased and retired 5,301,248 shares for $87.1 million, exclusive of commissions and excise tax, at an average cost of $16.43 per share under the Share Repurchase Program. As of June 30, 2023, we had remaining authorization to purchase up to $144.2 million of our Class A common stock under the Share Repurchase Program.</w:t>
      </w:r>
    </w:p>
    <w:p>
      <w:pPr>
        <w:pStyle w:val="TextBody"/>
        <w:bidi w:val="0"/>
        <w:spacing w:before="240" w:after="0"/>
        <w:jc w:val="both"/>
        <w:rPr>
          <w:rFonts w:ascii="Times New Roman" w:hAnsi="Times New Roman"/>
          <w:sz w:val="20"/>
        </w:rPr>
      </w:pPr>
      <w:r>
        <w:rPr>
          <w:rFonts w:ascii="Calibri;sans-serif" w:hAnsi="Calibri;sans-serif"/>
          <w:b w:val="false"/>
          <w:sz w:val="20"/>
        </w:rPr>
        <w:t>To the extent that our operating income, existing cash, cash equivalents, investments,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Calibri;sans-serif" w:hAnsi="Calibri;sans-serif"/>
          <w:b w:val="false"/>
          <w:i/>
          <w:sz w:val="20"/>
        </w:rPr>
        <w:t xml:space="preserve">Risk Factors—Risks Related to Our Business and Industry— 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Calibri;sans-serif" w:hAnsi="Calibri;sans-serif"/>
          <w:b w:val="false"/>
          <w:sz w:val="20"/>
        </w:rPr>
        <w:t>in Part II, Item 1A within this Quarterly Report.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i/>
          <w:sz w:val="20"/>
        </w:rPr>
        <w:t>Operating Activities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Net cash provided by operating activities of $95.7 million during the six months ended June 30, 2023 was due primarily to consolidated net income of $25.7 million, adjusted for $29.5 million of stock-based compensation expense for equity classified awards, $23.2 million of depreciation and amortization, and $5.6 million of amortization of deferred contract costs, partially offset by $16.4 million of deferred taxes and $0.5 million of gain on sale of property and equipment. Net cash provided by operating activities was also attributable to a $13.2 million decrease in accounts receivable, a $9.0 million increase in deferred revenue, a $7.6 million increase in lease obligations, a $4.7 million decrease in inventory, a $4.1 million increase in accounts payable, and a $3.5 million decrease in prepaid expenses, prepaid income taxes, and other assets. The increases in cash flow from operations were partially offset by a $9.7 million increase in deferred contract costs and a $4.1 million decrease in accrued expenses, accrued income taxes, and other liabilities.</w:t>
      </w:r>
    </w:p>
    <w:p>
      <w:pPr>
        <w:pStyle w:val="TextBody"/>
        <w:bidi w:val="0"/>
        <w:spacing w:before="240" w:after="0"/>
        <w:jc w:val="both"/>
        <w:rPr>
          <w:rFonts w:ascii="Calibri;sans-serif" w:hAnsi="Calibri;sans-serif"/>
          <w:b w:val="false"/>
          <w:sz w:val="20"/>
        </w:rPr>
      </w:pPr>
      <w:r>
        <w:rPr>
          <w:rFonts w:ascii="Calibri;sans-serif" w:hAnsi="Calibri;sans-serif"/>
          <w:b w:val="false"/>
          <w:sz w:val="20"/>
        </w:rPr>
        <w:t>Net cash provided by operating activities of $87.6 million during the six months ended June 30, 2022 was due primarily to consolidated net income of $36.9 million, adjusted for $27.6 million of stock-based compensation expense for equity classified awards, $22.4 million of depreciation and amortization, $5.6 million of amortization of deferred contract costs, and $0.7 million of provision for doubtful accounts, partially offset by $23.5 million of deferred taxes. Net cash provided by operating activities was also attributable to a $38.2 million increase in accrued expenses, accrued income taxes, and other liabilities, an $8.2 million increase in accounts payable, and a $2.3 million increase in deferred revenue. The increases in cash flow from operations were partially offset by a $12.0 million increase in accounts receivable, a $10.4 million increase in prepaid expenses, prepaid income taxes, and other assets, a $5.7 million increase in deferred contract costs, a $2.0 million increase in inventory, and a $0.9 million decrease in lease obligations.</w:t>
      </w:r>
    </w:p>
    <w:p>
      <w:pPr>
        <w:pStyle w:val="TextBody"/>
        <w:bidi w:val="0"/>
        <w:spacing w:before="240" w:after="0"/>
        <w:jc w:val="both"/>
        <w:rPr>
          <w:rFonts w:ascii="Times New Roman" w:hAnsi="Times New Roman"/>
          <w:sz w:val="20"/>
        </w:rPr>
      </w:pPr>
      <w:r>
        <w:rPr>
          <w:rFonts w:ascii="Calibri;sans-serif" w:hAnsi="Calibri;sans-serif"/>
          <w:b/>
          <w:i/>
          <w:sz w:val="20"/>
        </w:rPr>
        <w:t>Investing Activities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Net cash used in investing activities of $104.3 million during the six months ended June 30, 2023 was due to $95.5 million in purchases of short-term investments, $7.4 million of capitalization of website development costs, $4.2 million of purchases of property and equipment, and $2.6 million in advance payments to customer, offset in part by $5.0 million of sales of short-term investments and $0.5 million in proceeds from the sale of property and equipment.</w:t>
      </w:r>
    </w:p>
    <w:p>
      <w:pPr>
        <w:pStyle w:val="TextBody"/>
        <w:bidi w:val="0"/>
        <w:spacing w:before="240" w:after="0"/>
        <w:jc w:val="both"/>
        <w:rPr>
          <w:rFonts w:ascii="Calibri;sans-serif" w:hAnsi="Calibri;sans-serif"/>
          <w:b w:val="false"/>
          <w:sz w:val="20"/>
        </w:rPr>
      </w:pPr>
      <w:r>
        <w:rPr>
          <w:rFonts w:ascii="Calibri;sans-serif" w:hAnsi="Calibri;sans-serif"/>
          <w:b w:val="false"/>
          <w:sz w:val="20"/>
        </w:rPr>
        <w:t>Net cash provided by investing activities of $51.8 million during the six months ended June 30, 2022 was due to $60.0 million in maturities of short-term investments, offset by $5.5 million of capitalization of website development costs and $2.7 million of purchases of property and equipment.</w:t>
      </w:r>
    </w:p>
    <w:p>
      <w:pPr>
        <w:pStyle w:val="TextBody"/>
        <w:bidi w:val="0"/>
        <w:spacing w:before="240" w:after="0"/>
        <w:jc w:val="both"/>
        <w:rPr>
          <w:rFonts w:ascii="Times New Roman" w:hAnsi="Times New Roman"/>
          <w:sz w:val="20"/>
        </w:rPr>
      </w:pPr>
      <w:r>
        <w:rPr>
          <w:rFonts w:ascii="Calibri;sans-serif" w:hAnsi="Calibri;sans-serif"/>
          <w:b/>
          <w:i/>
          <w:sz w:val="20"/>
        </w:rPr>
        <w:t>Financing Activities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Net cash used in financing activities of $101.1 million during the six months ended June 30, 2023 was due primarily to $91.5 million of payment for the repurchase of our Class A common stock under the Share Repurchase Program, $6.9 million of payment of withholding taxes on net share settlements of restricted stock units, and $2.7 million of change in gross advance payments received from third-party transaction processor.</w:t>
      </w:r>
    </w:p>
    <w:p>
      <w:pPr>
        <w:pStyle w:val="TextBody"/>
        <w:bidi w:val="0"/>
        <w:spacing w:before="240" w:after="0"/>
        <w:jc w:val="both"/>
        <w:rPr>
          <w:rFonts w:ascii="Calibri;sans-serif" w:hAnsi="Calibri;sans-serif"/>
          <w:b w:val="false"/>
          <w:sz w:val="20"/>
        </w:rPr>
      </w:pPr>
      <w:r>
        <w:rPr>
          <w:rFonts w:ascii="Calibri;sans-serif" w:hAnsi="Calibri;sans-serif"/>
          <w:b w:val="false"/>
          <w:sz w:val="20"/>
        </w:rPr>
        <w:t>Net cash used in financing activities of $25.6 million during the six months ended June 30, 2022 was due primarily to $12.7 million of payment of tax distributions to redeemable noncontrolling interest holders, $11.3 million of payment of withholding taxes on net share settlements of restricted stock units, and $2.4 million of change in gross advance payments received from third-party transaction processor, offset in part by $0.7 million of proceeds from the issuance of common stock related to the exercise of vested stock options.</w:t>
      </w:r>
    </w:p>
    <w:p>
      <w:pPr>
        <w:pStyle w:val="TextBody"/>
        <w:bidi w:val="0"/>
        <w:spacing w:before="240" w:after="0"/>
        <w:jc w:val="both"/>
        <w:rPr>
          <w:rFonts w:ascii="Times New Roman" w:hAnsi="Times New Roman"/>
          <w:sz w:val="20"/>
        </w:rPr>
      </w:pPr>
      <w:r>
        <w:rPr>
          <w:rFonts w:ascii="Calibri;sans-serif" w:hAnsi="Calibri;sans-serif"/>
          <w:b/>
          <w:sz w:val="20"/>
        </w:rPr>
        <w:t>Contractual Obligations and Known Future Cash Requirements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sz w:val="20"/>
        </w:rPr>
      </w:pPr>
      <w:r>
        <w:rPr>
          <w:rFonts w:ascii="Calibri;sans-serif" w:hAnsi="Calibri;sans-serif"/>
          <w:b/>
          <w:sz w:val="20"/>
        </w:rPr>
        <w:t>Seasonality</w:t>
      </w:r>
    </w:p>
    <w:p>
      <w:pPr>
        <w:pStyle w:val="TextBody"/>
        <w:bidi w:val="0"/>
        <w:spacing w:before="240" w:after="0"/>
        <w:jc w:val="both"/>
        <w:rPr>
          <w:rFonts w:ascii="Calibri;sans-serif" w:hAnsi="Calibri;sans-serif"/>
          <w:b w:val="false"/>
          <w:sz w:val="20"/>
        </w:rPr>
      </w:pPr>
      <w:r>
        <w:rPr>
          <w:rFonts w:ascii="Calibri;sans-serif" w:hAnsi="Calibri;sans-serif"/>
          <w:b w:val="false"/>
          <w:sz w:val="20"/>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due to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0"/>
        <w:jc w:val="both"/>
        <w:rPr>
          <w:rFonts w:ascii="Times New Roman" w:hAnsi="Times New Roman"/>
          <w:sz w:val="20"/>
        </w:rPr>
      </w:pPr>
      <w:r>
        <w:rPr>
          <w:rFonts w:ascii="Calibri;sans-serif" w:hAnsi="Calibri;sans-serif"/>
          <w:b w:val="false"/>
          <w:sz w:val="20"/>
        </w:rPr>
        <w:t>Macroeconomic conditions, such as slower growth or recession, higher interest rates, unemployment, consumer confidence in the economy, consumer debt levels, the ongoing military conflict between Russia and Ukraine, foreign currency exchange rate fluctuations, and other matters that influence consumer spending and preferences, can also impact the volume of wholesale vehicle sales, as was evidenced by the global semiconductor chip shortage.</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develop.</w:t>
      </w:r>
    </w:p>
    <w:p>
      <w:pPr>
        <w:pStyle w:val="TextBody"/>
        <w:bidi w:val="0"/>
        <w:spacing w:before="240" w:after="0"/>
        <w:jc w:val="both"/>
        <w:rPr>
          <w:rFonts w:ascii="Times New Roman" w:hAnsi="Times New Roman"/>
          <w:sz w:val="20"/>
        </w:rPr>
      </w:pPr>
      <w:r>
        <w:rPr>
          <w:rFonts w:ascii="Calibri;sans-serif" w:hAnsi="Calibri;sans-serif"/>
          <w:b w:val="false"/>
          <w:sz w:val="20"/>
        </w:rPr>
        <w:t>As a result, revenue and cost of revenue related to volume will fluctuate accordingly on a quarterly basis. Typical seasonality trends may not be observed in periods where other external factors more significantly impact the wholesale industry.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sz w:val="20"/>
        </w:rPr>
        <w:t>Off-Balance Sheet Arrangements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As of June 30, 2023 and December 31, 2022,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sz w:val="20"/>
        </w:rPr>
        <w:t xml:space="preserve"> </w:t>
      </w:r>
    </w:p>
    <w:p>
      <w:pPr>
        <w:pStyle w:val="TextBody"/>
        <w:bidi w:val="0"/>
        <w:spacing w:before="240" w:after="0"/>
        <w:jc w:val="both"/>
        <w:rPr>
          <w:rFonts w:ascii="Calibri;sans-serif" w:hAnsi="Calibri;sans-serif"/>
          <w:b/>
          <w:sz w:val="20"/>
        </w:rPr>
      </w:pPr>
      <w:r>
        <w:rPr>
          <w:rFonts w:ascii="Calibri;sans-serif" w:hAnsi="Calibri;sans-serif"/>
          <w:b/>
          <w:sz w:val="20"/>
        </w:rPr>
        <w:t>Critical Accounting Estimates</w:t>
      </w:r>
    </w:p>
    <w:p>
      <w:pPr>
        <w:pStyle w:val="TextBody"/>
        <w:bidi w:val="0"/>
        <w:spacing w:before="240" w:after="0"/>
        <w:jc w:val="both"/>
        <w:rPr>
          <w:rFonts w:ascii="Times New Roman" w:hAnsi="Times New Roman"/>
          <w:sz w:val="20"/>
        </w:rPr>
      </w:pPr>
      <w:r>
        <w:rPr>
          <w:rFonts w:ascii="Calibri;sans-serif" w:hAnsi="Calibri;sans-serif"/>
          <w:b w:val="false"/>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Critical estimates relied upon in preparing the Unaudited Condensed Consolidated Financial Statements include the determination of sales allowance and variable consideration in our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equity and liability-classified compensation awards. Accordingly, we consider these to be our critical accounting estimates and believe that of our significant accounting policies, these involve the greatest degree of judgment and complexity.</w:t>
      </w:r>
    </w:p>
    <w:p>
      <w:pPr>
        <w:pStyle w:val="TextBody"/>
        <w:bidi w:val="0"/>
        <w:spacing w:before="240" w:after="0"/>
        <w:jc w:val="both"/>
        <w:rPr>
          <w:rFonts w:ascii="Calibri;sans-serif" w:hAnsi="Calibri;sans-serif"/>
          <w:b w:val="false"/>
          <w:sz w:val="20"/>
        </w:rPr>
      </w:pPr>
      <w:r>
        <w:rPr>
          <w:rFonts w:ascii="Calibri;sans-serif" w:hAnsi="Calibri;sans-serif"/>
          <w:b w:val="false"/>
          <w:sz w:val="20"/>
        </w:rPr>
        <w:t>For a detailed explanation of the judgments made in these areas, refer to Note 2 to our Unaudited Condensed Consolidated Financial Statements appearing elsewhere in this Quarterly Report and “Management’s Discussion and Analysis of Financial Condition and Results of Operations” in our Annual Report.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Calibri;sans-serif" w:hAnsi="Calibri;sans-serif"/>
          <w:b/>
          <w:sz w:val="20"/>
        </w:rPr>
        <w:t>Recently Issued Accounting Pronouncements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Information concerning recently issued accounting pronouncements may be found in Note 2 to our Unaudited Condensed Consolidated Financial Statements appearing elsewhere in this Quarterly Report.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bookmarkStart w:id="12" w:name="item_3_quantitative_qualitative_disclosu"/>
      <w:bookmarkEnd w:id="12"/>
      <w:r>
        <w:rPr>
          <w:rFonts w:ascii="Calibri;sans-serif" w:hAnsi="Calibri;sans-serif"/>
          <w:b/>
          <w:sz w:val="20"/>
        </w:rPr>
        <w:t>Item 3. Quantitative and Qualitative Disclosures about Market Risk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Market risk represents the risk of loss that may affect our financial position due to adverse changes in financial market prices and rates. We are exposed to market risks as described below.</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i/>
          <w:sz w:val="20"/>
        </w:rPr>
        <w:t>Interest Rate Risk</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our exposure to market risk associated with changes in interest rates relates primarily to the 2022 Revolver, which allows us to borrow up to $400.0 million. The applicable interest rate is, at our option, based on a number of different benchmark rates and applicable spreads, as determined by the Consolidated Secured Net Leverage Ratio (as defined in Note 7 to the Unaudited Condensed Consolidated Financial Statements appearing elsewhere in this Quarterly Report). A fluctuation in interest rates does not have an impact on interest expense unless the 2022 Revolver is drawn upon. Such impact would also be dependent on the amount of the draw. As of June 30, 2023, there were no borrowings and $0.7 million in letters of credit outstanding, which reduces the borrowing capacity under the 2022 Revolver to $399.3 million.</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of June 30, 2023, we had cash, cash equivalents, and short-term investments of $453.6 million, which consisted of bank deposits, money market accounts, and mutual funds. As of December 31, 2022, we had cash and cash equivalents of $469.5 million, which consisted of bank deposits, money market accounts, and mutual funds.</w:t>
      </w:r>
    </w:p>
    <w:p>
      <w:pPr>
        <w:pStyle w:val="TextBody"/>
        <w:bidi w:val="0"/>
        <w:spacing w:before="240" w:after="0"/>
        <w:jc w:val="both"/>
        <w:rPr>
          <w:rFonts w:ascii="Times New Roman" w:hAnsi="Times New Roman"/>
          <w:sz w:val="20"/>
        </w:rPr>
      </w:pPr>
      <w:r>
        <w:rPr>
          <w:rFonts w:ascii="Calibri;sans-serif" w:hAnsi="Calibri;sans-serif"/>
          <w:b w:val="false"/>
          <w:sz w:val="20"/>
        </w:rPr>
        <w:t>Such interest-earning instruments carry a degree of interest rate risk.</w:t>
      </w:r>
      <w:r>
        <w:rPr>
          <w:rFonts w:ascii="Times New Roman" w:hAnsi="Times New Roman"/>
          <w:sz w:val="20"/>
        </w:rPr>
        <w:t xml:space="preserve"> </w:t>
      </w:r>
      <w:r>
        <w:rPr>
          <w:rFonts w:ascii="Calibri;sans-serif" w:hAnsi="Calibri;sans-serif"/>
          <w:b w:val="false"/>
          <w:sz w:val="20"/>
        </w:rPr>
        <w:t>Given recent changes in the interest rate environment and in an effort to ensure liquidity, we expect variable returns from our cash equivalents for the foreseeable future. To date, fluctuations resulting from changes in the interest rate environment in interest income have not been material to the operations of the business.</w:t>
      </w:r>
    </w:p>
    <w:p>
      <w:pPr>
        <w:pStyle w:val="TextBody"/>
        <w:bidi w:val="0"/>
        <w:spacing w:before="240" w:after="0"/>
        <w:jc w:val="both"/>
        <w:rPr>
          <w:rFonts w:ascii="Times New Roman" w:hAnsi="Times New Roman"/>
          <w:sz w:val="20"/>
        </w:rPr>
      </w:pPr>
      <w:r>
        <w:rPr>
          <w:rFonts w:ascii="Calibri;sans-serif" w:hAnsi="Calibri;sans-serif"/>
          <w:b w:val="false"/>
          <w:sz w:val="20"/>
        </w:rPr>
        <w:t>We do not enter into investments for trading or speculative purposes and have not used any derivative financial instruments to manage our interest rate risk exposure.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i/>
          <w:sz w:val="20"/>
        </w:rPr>
        <w:t>Inflation Risk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0"/>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i/>
          <w:sz w:val="20"/>
        </w:rPr>
        <w:t>Foreign Currency Exchange Risk</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Historically, because our operations and sales have been primarily in the United States, we have not faced any significant foreign currency risk. As of June 30, 2023 and December 31, 2022, we had foreign currency exposures in the British pound, the Euro, and the Canadian dollar, although such exposure was immaterial.</w:t>
      </w:r>
    </w:p>
    <w:p>
      <w:pPr>
        <w:pStyle w:val="TextBody"/>
        <w:bidi w:val="0"/>
        <w:spacing w:before="240" w:after="0"/>
        <w:jc w:val="both"/>
        <w:rPr>
          <w:rFonts w:ascii="Calibri;sans-serif" w:hAnsi="Calibri;sans-serif"/>
          <w:b w:val="false"/>
          <w:sz w:val="20"/>
        </w:rPr>
      </w:pPr>
      <w:r>
        <w:rPr>
          <w:rFonts w:ascii="Calibri;sans-serif" w:hAnsi="Calibri;sans-serif"/>
          <w:b w:val="false"/>
          <w:sz w:val="20"/>
        </w:rPr>
        <w:t>Our foreign subsidiaries have intercompany transactions that are eliminated upon consolidation, and these transactions expose us to foreign currency exchange rate fluctuations. Exchange rate fluctuations on short</w:t>
        <w:noBreakHyphen/>
        <w:t>term intercompany transactions are recognized within other income (expense), net in our Unaudited Condensed Consolidated Income Statements. Exchange rate fluctuations on long-term intercompany transactions are recognized within accumulated other comprehensive (loss) income in our Unaudited Condensed Consolidated Balance Sheets.</w:t>
      </w:r>
    </w:p>
    <w:p>
      <w:pPr>
        <w:pStyle w:val="TextBody"/>
        <w:bidi w:val="0"/>
        <w:spacing w:before="240" w:after="0"/>
        <w:jc w:val="both"/>
        <w:rPr>
          <w:rFonts w:ascii="Times New Roman" w:hAnsi="Times New Roman"/>
          <w:sz w:val="20"/>
        </w:rPr>
      </w:pPr>
      <w:r>
        <w:rPr>
          <w:rFonts w:ascii="Calibri;sans-serif" w:hAnsi="Calibri;sans-serif"/>
          <w:b w:val="false"/>
          <w:sz w:val="20"/>
        </w:rPr>
        <w:t>As we seek to grow our international operations in Canada and the United Kingdom, our risks associated with fluctuation in currency rates may become greater, and we will continue to reassess our approach to managing these risks.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bookmarkStart w:id="13" w:name="item_4_controls_procedures"/>
      <w:bookmarkEnd w:id="13"/>
      <w:r>
        <w:rPr>
          <w:rFonts w:ascii="Calibri;sans-serif" w:hAnsi="Calibri;sans-serif"/>
          <w:b/>
          <w:sz w:val="20"/>
        </w:rPr>
        <w:t>Item 4. Controls</w:t>
      </w:r>
      <w:r>
        <w:rPr>
          <w:rFonts w:ascii="Times New Roman" w:hAnsi="Times New Roman"/>
          <w:sz w:val="20"/>
        </w:rPr>
        <w:t xml:space="preserve"> </w:t>
      </w:r>
      <w:r>
        <w:rPr>
          <w:rFonts w:ascii="Calibri;sans-serif" w:hAnsi="Calibri;sans-serif"/>
          <w:b/>
          <w:sz w:val="20"/>
        </w:rPr>
        <w:t>and Procedures</w:t>
      </w:r>
    </w:p>
    <w:p>
      <w:pPr>
        <w:pStyle w:val="TextBody"/>
        <w:bidi w:val="0"/>
        <w:spacing w:before="240" w:after="0"/>
        <w:jc w:val="both"/>
        <w:rPr>
          <w:rFonts w:ascii="Calibri;sans-serif" w:hAnsi="Calibri;sans-serif"/>
          <w:b/>
          <w:i/>
          <w:sz w:val="20"/>
        </w:rPr>
      </w:pPr>
      <w:r>
        <w:rPr>
          <w:rFonts w:ascii="Calibri;sans-serif" w:hAnsi="Calibri;sans-serif"/>
          <w:b/>
          <w:i/>
          <w:sz w:val="20"/>
        </w:rPr>
        <w:t>Evaluation of Disclosure Controls and Procedures</w:t>
      </w:r>
    </w:p>
    <w:p>
      <w:pPr>
        <w:pStyle w:val="TextBody"/>
        <w:bidi w:val="0"/>
        <w:spacing w:before="240" w:after="0"/>
        <w:jc w:val="both"/>
        <w:rPr>
          <w:rFonts w:ascii="Times New Roman" w:hAnsi="Times New Roman"/>
          <w:sz w:val="20"/>
        </w:rPr>
      </w:pPr>
      <w:r>
        <w:rPr>
          <w:rFonts w:ascii="Calibri;sans-serif" w:hAnsi="Calibri;sans-serif"/>
          <w:b w:val="false"/>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0"/>
        <w:jc w:val="both"/>
        <w:rPr>
          <w:rFonts w:ascii="Times New Roman" w:hAnsi="Times New Roman"/>
          <w:sz w:val="20"/>
        </w:rPr>
      </w:pPr>
      <w:r>
        <w:rPr>
          <w:rFonts w:ascii="Calibri;sans-serif" w:hAnsi="Calibri;sans-serif"/>
          <w:b w:val="false"/>
          <w:sz w:val="20"/>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As described below, based on the evaluation of our disclosure controls and procedures as of the end of the period covered by this Quarterly Report, management identified a material weakness in our internal control over financial reporting. As a result of the material weakness, our Principal Executive Officer has concluded that, as of such date, our disclosure controls and procedures were not effective to provide reasonable assurance that information required to be disclosed in the reports we file and submit under the Exchange Act is recorded, processed, summarized, and reported as and when required.</w:t>
      </w:r>
    </w:p>
    <w:p>
      <w:pPr>
        <w:pStyle w:val="TextBody"/>
        <w:bidi w:val="0"/>
        <w:spacing w:before="240" w:after="0"/>
        <w:jc w:val="both"/>
        <w:rPr>
          <w:rFonts w:ascii="Calibri;sans-serif" w:hAnsi="Calibri;sans-serif"/>
          <w:b w:val="false"/>
          <w:sz w:val="20"/>
        </w:rPr>
      </w:pPr>
      <w:r>
        <w:rPr>
          <w:rFonts w:ascii="Calibri;sans-serif" w:hAnsi="Calibri;sans-serif"/>
          <w:b w:val="false"/>
          <w:sz w:val="20"/>
        </w:rPr>
        <w:t>Notwithstanding this material weakness noted above, our management, including our Principal Executive Officer, has concluded that our financial statements included in this Quarterly Report present fairly, in all material respects, our financial position, results of operations, and cash flows for the periods presented in accordance with GAAP.</w:t>
      </w:r>
    </w:p>
    <w:p>
      <w:pPr>
        <w:pStyle w:val="TextBody"/>
        <w:bidi w:val="0"/>
        <w:spacing w:before="240" w:after="0"/>
        <w:jc w:val="both"/>
        <w:rPr>
          <w:rFonts w:ascii="Times New Roman" w:hAnsi="Times New Roman"/>
          <w:sz w:val="20"/>
        </w:rPr>
      </w:pPr>
      <w:r>
        <w:rPr>
          <w:rFonts w:ascii="Calibri;sans-serif" w:hAnsi="Calibri;sans-serif"/>
          <w:b w:val="false"/>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 control deficiencies, which, in the aggregate, were assessed as a material weakness as disclosed in our Annual Report, have not yet been fully remediated.</w:t>
      </w:r>
    </w:p>
    <w:p>
      <w:pPr>
        <w:pStyle w:val="TextBody"/>
        <w:bidi w:val="0"/>
        <w:spacing w:before="240" w:after="0"/>
        <w:jc w:val="both"/>
        <w:rPr>
          <w:rFonts w:ascii="Calibri;sans-serif" w:hAnsi="Calibri;sans-serif"/>
          <w:b w:val="false"/>
          <w:sz w:val="20"/>
        </w:rPr>
      </w:pPr>
      <w:r>
        <w:rPr>
          <w:rFonts w:ascii="Calibri;sans-serif" w:hAnsi="Calibri;sans-serif"/>
          <w:b w:val="false"/>
          <w:sz w:val="20"/>
        </w:rPr>
        <w:t>We have concluded that this material weakness exists at our CarOffer subsidiary, as CarOffer does not have the necessary business and IT processes, personnel, and related internal controls to operate in a manner to satisfy the accounting and financial reporting requirements of a public company.</w:t>
      </w:r>
    </w:p>
    <w:p>
      <w:pPr>
        <w:pStyle w:val="TextBody"/>
        <w:bidi w:val="0"/>
        <w:spacing w:before="240" w:after="0"/>
        <w:jc w:val="both"/>
        <w:rPr>
          <w:rFonts w:ascii="Times New Roman" w:hAnsi="Times New Roman"/>
          <w:sz w:val="20"/>
        </w:rPr>
      </w:pPr>
      <w:r>
        <w:rPr>
          <w:rFonts w:ascii="Calibri;sans-serif" w:hAnsi="Calibri;sans-serif"/>
          <w:b w:val="false"/>
          <w:sz w:val="20"/>
        </w:rPr>
        <w:t>The deficiencies at our CarOffer subsidiary were the result of both design and operating deficiencies related to certain controls over information technology systems that are relevant to the preparation of our financial statements, and business controls over our financial statement close processes. The deficiencies were primarily the result of (i) insufficient evidence of management review and performance of control procedures, (ii) the inability to rely on information produced from IT systems and an absence of compensating procedures, (iii) controls not designed to require proper authorization of certain transactions, and (iv) controls not designed or operating effectively related to logical access and change management of IT systems.</w:t>
      </w:r>
      <w:r>
        <w:rPr>
          <w:rFonts w:ascii="Times New Roman" w:hAnsi="Times New Roman"/>
          <w:sz w:val="20"/>
        </w:rPr>
        <w:t xml:space="preserve"> </w:t>
      </w:r>
    </w:p>
    <w:p>
      <w:pPr>
        <w:pStyle w:val="TextBody"/>
        <w:bidi w:val="0"/>
        <w:spacing w:before="240" w:after="0"/>
        <w:jc w:val="both"/>
        <w:rPr>
          <w:rFonts w:ascii="Calibri;sans-serif" w:hAnsi="Calibri;sans-serif"/>
          <w:b w:val="false"/>
          <w:sz w:val="20"/>
        </w:rPr>
      </w:pPr>
      <w:r>
        <w:rPr>
          <w:rFonts w:ascii="Calibri;sans-serif" w:hAnsi="Calibri;sans-serif"/>
          <w:b w:val="false"/>
          <w:sz w:val="20"/>
        </w:rPr>
        <w:t>Specifically, we did not have sufficient knowledgeable personnel or processes in place which resulted in:</w:t>
      </w:r>
    </w:p>
    <w:p>
      <w:pPr>
        <w:pStyle w:val="TextBody"/>
        <w:bidi w:val="0"/>
        <w:spacing w:before="240" w:after="0"/>
        <w:jc w:val="both"/>
        <w:rPr/>
      </w:pPr>
      <w:r>
        <w:rPr/>
        <w:t>•</w:t>
      </w:r>
    </w:p>
    <w:p>
      <w:pPr>
        <w:pStyle w:val="TextBody"/>
        <w:bidi w:val="0"/>
        <w:spacing w:before="240" w:after="283"/>
        <w:jc w:val="both"/>
        <w:rPr>
          <w:rFonts w:ascii="Calibri;sans-serif" w:hAnsi="Calibri;sans-serif"/>
          <w:b w:val="false"/>
          <w:sz w:val="20"/>
        </w:rPr>
      </w:pPr>
      <w:r>
        <w:rPr>
          <w:rFonts w:ascii="Calibri;sans-serif" w:hAnsi="Calibri;sans-serif"/>
          <w:b w:val="false"/>
          <w:sz w:val="20"/>
        </w:rPr>
        <w:t xml:space="preserve">Ineffective controls related to user access reviews designed to adequately restrict privileged and end-user access to certain financial applications, programs, and data to appropriate company personnel, including consideration to segregation of incompatible duties;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Ineffective change management review controls for certain financial applications to ensure that IT program and data changes affecting financial IT applications and underlying accounting records are identified, tested, authorized, and implemented appropriately; and</w:t>
      </w:r>
    </w:p>
    <w:p>
      <w:pPr>
        <w:pStyle w:val="TextBody"/>
        <w:bidi w:val="0"/>
        <w:spacing w:before="240" w:after="0"/>
        <w:jc w:val="both"/>
        <w:rPr/>
      </w:pPr>
      <w:r>
        <w:rPr/>
        <w:t>•</w:t>
      </w:r>
    </w:p>
    <w:p>
      <w:pPr>
        <w:pStyle w:val="TextBody"/>
        <w:bidi w:val="0"/>
        <w:spacing w:before="240" w:after="283"/>
        <w:jc w:val="both"/>
        <w:rPr>
          <w:rFonts w:ascii="Calibri;sans-serif" w:hAnsi="Calibri;sans-serif"/>
          <w:b w:val="false"/>
          <w:sz w:val="20"/>
        </w:rPr>
      </w:pPr>
      <w:r>
        <w:rPr>
          <w:rFonts w:ascii="Calibri;sans-serif" w:hAnsi="Calibri;sans-serif"/>
          <w:b w:val="false"/>
          <w:sz w:val="20"/>
        </w:rPr>
        <w:t>Ineffective controls over the financial statement close processes, including those related to the review of CarOffer journal entries, reconciliations, management review controls, and analyses of transactions and accounts.</w:t>
      </w:r>
    </w:p>
    <w:p>
      <w:pPr>
        <w:pStyle w:val="TextBody"/>
        <w:bidi w:val="0"/>
        <w:spacing w:before="240" w:after="0"/>
        <w:jc w:val="both"/>
        <w:rPr>
          <w:rFonts w:ascii="Calibri;sans-serif" w:hAnsi="Calibri;sans-serif"/>
          <w:b w:val="false"/>
          <w:sz w:val="20"/>
        </w:rPr>
      </w:pPr>
      <w:r>
        <w:rPr>
          <w:rFonts w:ascii="Calibri;sans-serif" w:hAnsi="Calibri;sans-serif"/>
          <w:b w:val="false"/>
          <w:sz w:val="20"/>
        </w:rPr>
        <w:t>This material weakness did not result in a known material misstatement to our financial statements. However, the material weakness could have resulted in material misstatements in our interim or annual financial statements and disclosures which then may not have been prevented or detected. The material weakness also impacts the effectiveness of segregation of duties, impacts the effectiveness of financial controls which rely on information from relevant financial systems, and increases the reliance on corporate accounting personnel to identify errors at the CarOffer subsidiary level.</w:t>
      </w:r>
    </w:p>
    <w:p>
      <w:pPr>
        <w:pStyle w:val="TextBody"/>
        <w:bidi w:val="0"/>
        <w:spacing w:before="240" w:after="0"/>
        <w:jc w:val="both"/>
        <w:rPr>
          <w:rFonts w:ascii="Calibri;sans-serif" w:hAnsi="Calibri;sans-serif"/>
          <w:b w:val="false"/>
          <w:i/>
          <w:sz w:val="20"/>
        </w:rPr>
      </w:pPr>
      <w:r>
        <w:rPr>
          <w:rFonts w:ascii="Calibri;sans-serif" w:hAnsi="Calibri;sans-serif"/>
          <w:b w:val="false"/>
          <w:i/>
          <w:sz w:val="20"/>
        </w:rPr>
        <w:t>Remediation Plan</w:t>
      </w:r>
    </w:p>
    <w:p>
      <w:pPr>
        <w:pStyle w:val="TextBody"/>
        <w:bidi w:val="0"/>
        <w:spacing w:before="240" w:after="0"/>
        <w:jc w:val="both"/>
        <w:rPr>
          <w:rFonts w:ascii="Times New Roman" w:hAnsi="Times New Roman"/>
          <w:sz w:val="20"/>
        </w:rPr>
      </w:pPr>
      <w:r>
        <w:rPr>
          <w:rFonts w:ascii="Calibri;sans-serif" w:hAnsi="Calibri;sans-serif"/>
          <w:b w:val="false"/>
          <w:sz w:val="20"/>
        </w:rPr>
        <w:t>We and our Board of Directors are committed to maintaining a strong internal control environment. Management, with the oversight of the Audit Committee of our Board of Directors, evaluated the material weakness identified during the second quarter of 2022, and implemented a remediation plan to address the material weakness and enhance our control environment. Management subsequently evaluated the additional control deficiencies, status of remediation, and the material weakness which exists as of June 30, 2023, to determine key remediation activities. The remediation plan addresses the additional deficiencies identified through the annual assessment of the effectiveness of our internal control over financial reporting. Our remediation measures are ongoing and include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Implementing robust review controls over user access and change management for relevant financial systems;</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Implementing effective review of journal entries and account reconciliations, and other financial statement close analyses and processes;</w:t>
      </w:r>
    </w:p>
    <w:p>
      <w:pPr>
        <w:pStyle w:val="TextBody"/>
        <w:bidi w:val="0"/>
        <w:spacing w:before="240" w:after="0"/>
        <w:jc w:val="both"/>
        <w:rPr/>
      </w:pPr>
      <w:r>
        <w:rPr/>
        <w:t>•</w:t>
      </w:r>
    </w:p>
    <w:p>
      <w:pPr>
        <w:pStyle w:val="TextBody"/>
        <w:bidi w:val="0"/>
        <w:spacing w:before="240" w:after="0"/>
        <w:jc w:val="both"/>
        <w:rPr>
          <w:rFonts w:ascii="Calibri;sans-serif" w:hAnsi="Calibri;sans-serif"/>
          <w:b w:val="false"/>
          <w:sz w:val="20"/>
        </w:rPr>
      </w:pPr>
      <w:r>
        <w:rPr>
          <w:rFonts w:ascii="Calibri;sans-serif" w:hAnsi="Calibri;sans-serif"/>
          <w:b w:val="false"/>
          <w:sz w:val="20"/>
        </w:rPr>
        <w:t>Implementing controls to address the inability to rely on information from the IT systems;</w:t>
      </w:r>
    </w:p>
    <w:p>
      <w:pPr>
        <w:pStyle w:val="TextBody"/>
        <w:bidi w:val="0"/>
        <w:spacing w:before="240" w:after="0"/>
        <w:jc w:val="left"/>
        <w:rPr/>
      </w:pPr>
      <w:r>
        <w:rPr/>
        <w:t>•</w:t>
      </w:r>
    </w:p>
    <w:p>
      <w:pPr>
        <w:pStyle w:val="TextBody"/>
        <w:bidi w:val="0"/>
        <w:spacing w:before="240" w:after="0"/>
        <w:jc w:val="left"/>
        <w:rPr>
          <w:rFonts w:ascii="Calibri;sans-serif" w:hAnsi="Calibri;sans-serif"/>
          <w:b w:val="false"/>
          <w:sz w:val="20"/>
        </w:rPr>
      </w:pPr>
      <w:r>
        <w:rPr>
          <w:rFonts w:ascii="Calibri;sans-serif" w:hAnsi="Calibri;sans-serif"/>
          <w:b w:val="false"/>
          <w:sz w:val="20"/>
        </w:rPr>
        <w:t>Enhancing evidence retained which supports the operating effectiveness of controls;</w:t>
      </w:r>
    </w:p>
    <w:p>
      <w:pPr>
        <w:pStyle w:val="TextBody"/>
        <w:bidi w:val="0"/>
        <w:spacing w:before="240" w:after="0"/>
        <w:jc w:val="left"/>
        <w:rPr/>
      </w:pPr>
      <w:r>
        <w:rPr/>
        <w:t>•</w:t>
      </w:r>
    </w:p>
    <w:p>
      <w:pPr>
        <w:pStyle w:val="TextBody"/>
        <w:bidi w:val="0"/>
        <w:spacing w:before="240" w:after="0"/>
        <w:jc w:val="left"/>
        <w:rPr>
          <w:rFonts w:ascii="Calibri;sans-serif" w:hAnsi="Calibri;sans-serif"/>
          <w:b w:val="false"/>
          <w:sz w:val="20"/>
        </w:rPr>
      </w:pPr>
      <w:r>
        <w:rPr>
          <w:rFonts w:ascii="Calibri;sans-serif" w:hAnsi="Calibri;sans-serif"/>
          <w:b w:val="false"/>
          <w:sz w:val="20"/>
        </w:rPr>
        <w:t>Engaging internal and external resources to assist with remediation;</w:t>
      </w:r>
    </w:p>
    <w:p>
      <w:pPr>
        <w:pStyle w:val="TextBody"/>
        <w:bidi w:val="0"/>
        <w:spacing w:before="240" w:after="0"/>
        <w:jc w:val="left"/>
        <w:rPr/>
      </w:pPr>
      <w:r>
        <w:rPr/>
        <w:t>•</w:t>
      </w:r>
    </w:p>
    <w:p>
      <w:pPr>
        <w:pStyle w:val="TextBody"/>
        <w:bidi w:val="0"/>
        <w:spacing w:before="240" w:after="0"/>
        <w:jc w:val="left"/>
        <w:rPr>
          <w:rFonts w:ascii="Calibri;sans-serif" w:hAnsi="Calibri;sans-serif"/>
          <w:b w:val="false"/>
          <w:sz w:val="20"/>
        </w:rPr>
      </w:pPr>
      <w:r>
        <w:rPr>
          <w:rFonts w:ascii="Calibri;sans-serif" w:hAnsi="Calibri;sans-serif"/>
          <w:b w:val="false"/>
          <w:sz w:val="20"/>
        </w:rPr>
        <w:t>Implementation of controls at the corporate level to reduce the risk of material misstatement related to CarOffer financial statements and disclosures;</w:t>
      </w:r>
    </w:p>
    <w:p>
      <w:pPr>
        <w:pStyle w:val="TextBody"/>
        <w:bidi w:val="0"/>
        <w:spacing w:before="240" w:after="0"/>
        <w:jc w:val="left"/>
        <w:rPr/>
      </w:pPr>
      <w:r>
        <w:rPr/>
        <w:t>•</w:t>
      </w:r>
    </w:p>
    <w:p>
      <w:pPr>
        <w:pStyle w:val="TextBody"/>
        <w:bidi w:val="0"/>
        <w:spacing w:before="240" w:after="0"/>
        <w:jc w:val="left"/>
        <w:rPr>
          <w:rFonts w:ascii="Calibri;sans-serif" w:hAnsi="Calibri;sans-serif"/>
          <w:b w:val="false"/>
          <w:sz w:val="20"/>
        </w:rPr>
      </w:pPr>
      <w:r>
        <w:rPr>
          <w:rFonts w:ascii="Calibri;sans-serif" w:hAnsi="Calibri;sans-serif"/>
          <w:b w:val="false"/>
          <w:sz w:val="20"/>
        </w:rPr>
        <w:t>Hiring additional qualified SOX-focused personnel to provide additional capacity and expertise to enhance our IT control environment; and</w:t>
      </w:r>
    </w:p>
    <w:p>
      <w:pPr>
        <w:pStyle w:val="TextBody"/>
        <w:bidi w:val="0"/>
        <w:spacing w:before="240" w:after="0"/>
        <w:jc w:val="left"/>
        <w:rPr/>
      </w:pPr>
      <w:r>
        <w:rPr/>
        <w:t>•</w:t>
      </w:r>
    </w:p>
    <w:p>
      <w:pPr>
        <w:pStyle w:val="TextBody"/>
        <w:bidi w:val="0"/>
        <w:spacing w:before="240" w:after="283"/>
        <w:jc w:val="left"/>
        <w:rPr>
          <w:rFonts w:ascii="Calibri;sans-serif" w:hAnsi="Calibri;sans-serif"/>
          <w:b w:val="false"/>
          <w:sz w:val="20"/>
        </w:rPr>
      </w:pPr>
      <w:r>
        <w:rPr>
          <w:rFonts w:ascii="Calibri;sans-serif" w:hAnsi="Calibri;sans-serif"/>
          <w:b w:val="false"/>
          <w:sz w:val="20"/>
        </w:rPr>
        <w:t>Leveraging CarGurus resources with significant public company experience to provide oversight of CarOffer IT and financial controls programs.</w:t>
      </w:r>
    </w:p>
    <w:p>
      <w:pPr>
        <w:pStyle w:val="TextBody"/>
        <w:bidi w:val="0"/>
        <w:spacing w:before="240" w:after="0"/>
        <w:jc w:val="both"/>
        <w:rPr>
          <w:rFonts w:ascii="Times New Roman" w:hAnsi="Times New Roman"/>
          <w:sz w:val="20"/>
        </w:rPr>
      </w:pPr>
      <w:r>
        <w:rPr>
          <w:rFonts w:ascii="Calibri;sans-serif" w:hAnsi="Calibri;sans-serif"/>
          <w:b w:val="false"/>
          <w:sz w:val="20"/>
        </w:rPr>
        <w:t>Management is committed to successfully implementing the remediation plan as promptly as possible. As of June 30, 2023, management has implemented or enhanced certain controls to address specific issues related to the material weakness.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 See “</w:t>
      </w:r>
      <w:r>
        <w:rPr>
          <w:rFonts w:ascii="Calibri;sans-serif" w:hAnsi="Calibri;sans-serif"/>
          <w:b w:val="false"/>
          <w:i/>
          <w:sz w:val="20"/>
        </w:rPr>
        <w:t>Risk Factors—Risks Related to Our Business and Industry— 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Calibri;sans-serif" w:hAnsi="Calibri;sans-serif"/>
          <w:b/>
          <w:i/>
          <w:sz w:val="20"/>
        </w:rPr>
      </w:pPr>
      <w:r>
        <w:rPr>
          <w:rFonts w:ascii="Calibri;sans-serif" w:hAnsi="Calibri;sans-serif"/>
          <w:b/>
          <w:i/>
          <w:sz w:val="20"/>
        </w:rPr>
        <w:t>Changes in Internal Control over Financial Reporting</w:t>
      </w:r>
    </w:p>
    <w:p>
      <w:pPr>
        <w:pStyle w:val="TextBody"/>
        <w:bidi w:val="0"/>
        <w:spacing w:before="240" w:after="0"/>
        <w:jc w:val="both"/>
        <w:rPr>
          <w:rFonts w:ascii="Calibri;sans-serif" w:hAnsi="Calibri;sans-serif"/>
          <w:b w:val="false"/>
          <w:sz w:val="20"/>
        </w:rPr>
      </w:pPr>
      <w:r>
        <w:rPr>
          <w:rFonts w:ascii="Calibri;sans-serif" w:hAnsi="Calibri;sans-serif"/>
          <w:b w:val="false"/>
          <w:sz w:val="20"/>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160"/>
        <w:jc w:val="center"/>
        <w:rPr>
          <w:rFonts w:ascii="Calibri;sans-serif" w:hAnsi="Calibri;sans-serif"/>
          <w:b/>
          <w:sz w:val="20"/>
        </w:rPr>
      </w:pPr>
      <w:bookmarkStart w:id="14" w:name="part_iior_information"/>
      <w:bookmarkEnd w:id="14"/>
      <w:r>
        <w:rPr>
          <w:rFonts w:ascii="Calibri;sans-serif" w:hAnsi="Calibri;sans-serif"/>
          <w:b/>
          <w:sz w:val="20"/>
        </w:rPr>
        <w:t>PART II—OTHER INFORMATION</w:t>
      </w:r>
    </w:p>
    <w:p>
      <w:pPr>
        <w:pStyle w:val="TextBody"/>
        <w:bidi w:val="0"/>
        <w:spacing w:before="120" w:after="120"/>
        <w:jc w:val="both"/>
        <w:rPr>
          <w:rFonts w:ascii="Calibri;sans-serif" w:hAnsi="Calibri;sans-serif"/>
          <w:b/>
          <w:sz w:val="20"/>
        </w:rPr>
      </w:pPr>
      <w:bookmarkStart w:id="15" w:name="item_1_legal_proceedings"/>
      <w:bookmarkEnd w:id="15"/>
      <w:r>
        <w:rPr>
          <w:rFonts w:ascii="Calibri;sans-serif" w:hAnsi="Calibri;sans-serif"/>
          <w:b/>
          <w:sz w:val="20"/>
        </w:rPr>
        <w:t>Item 1. Legal Proceedings.</w:t>
      </w:r>
    </w:p>
    <w:p>
      <w:pPr>
        <w:pStyle w:val="TextBody"/>
        <w:bidi w:val="0"/>
        <w:spacing w:before="120" w:after="120"/>
        <w:jc w:val="both"/>
        <w:rPr>
          <w:rFonts w:ascii="Calibri;sans-serif" w:hAnsi="Calibri;sans-serif"/>
          <w:b w:val="false"/>
          <w:sz w:val="20"/>
        </w:rPr>
      </w:pPr>
      <w:r>
        <w:rPr>
          <w:rFonts w:ascii="Calibri;sans-serif" w:hAnsi="Calibri;sans-serif"/>
          <w:b w:val="false"/>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sz w:val="20"/>
        </w:rPr>
      </w:pPr>
      <w:bookmarkStart w:id="16" w:name="item_1a_risk_factors"/>
      <w:bookmarkEnd w:id="16"/>
      <w:r>
        <w:rPr>
          <w:rFonts w:ascii="Calibri;sans-serif" w:hAnsi="Calibri;sans-serif"/>
          <w:b/>
          <w:sz w:val="20"/>
        </w:rPr>
        <w:t>Item 1A. Risk Factors.</w:t>
      </w:r>
    </w:p>
    <w:p>
      <w:pPr>
        <w:pStyle w:val="TextBody"/>
        <w:bidi w:val="0"/>
        <w:spacing w:before="60" w:after="60"/>
        <w:jc w:val="both"/>
        <w:rPr>
          <w:rFonts w:ascii="Calibri;sans-serif" w:hAnsi="Calibri;sans-serif"/>
          <w:b w:val="false"/>
          <w:i/>
          <w:sz w:val="20"/>
        </w:rPr>
      </w:pPr>
      <w:r>
        <w:rPr>
          <w:rFonts w:ascii="Calibri;sans-serif" w:hAnsi="Calibri;sans-serif"/>
          <w:b w:val="false"/>
          <w:i/>
          <w:sz w:val="20"/>
        </w:rPr>
        <w:t>Investing in our Class A common stock involves a high degree of risk. You should carefully consider the risks and uncertainties described below, some of which have previously occurred and any of which may occur in the future, together with all of the other information contained in this Quarterly Report, including “Management’s Discussion and Analysis of Financial Condition and Results of Operations” and our Unaudited Consolidated Financial Statements and the related notes thereto appearing elsewhere in this Quarterly Report,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noBreakHyphen/>
        <w:t>Looking Statements.”</w:t>
      </w:r>
    </w:p>
    <w:p>
      <w:pPr>
        <w:pStyle w:val="TextBody"/>
        <w:bidi w:val="0"/>
        <w:spacing w:before="60" w:after="60"/>
        <w:jc w:val="both"/>
        <w:rPr>
          <w:rFonts w:ascii="Times New Roman" w:hAnsi="Times New Roman"/>
          <w:sz w:val="20"/>
        </w:rPr>
      </w:pPr>
      <w:r>
        <w:rPr>
          <w:rFonts w:ascii="Calibri;sans-serif" w:hAnsi="Calibri;sans-serif"/>
          <w:b/>
          <w:sz w:val="20"/>
        </w:rPr>
        <w:t>Risks Related to Our Business and Industry</w:t>
      </w:r>
      <w:r>
        <w:rPr>
          <w:rFonts w:ascii="Times New Roman" w:hAnsi="Times New Roman"/>
          <w:sz w:val="20"/>
        </w:rPr>
        <w:t xml:space="preserve"> </w:t>
      </w:r>
    </w:p>
    <w:p>
      <w:pPr>
        <w:pStyle w:val="TextBody"/>
        <w:bidi w:val="0"/>
        <w:spacing w:before="60" w:after="60"/>
        <w:jc w:val="both"/>
        <w:rPr>
          <w:rFonts w:ascii="Calibri;sans-serif" w:hAnsi="Calibri;sans-serif"/>
          <w:b/>
          <w:i/>
          <w:sz w:val="20"/>
        </w:rPr>
      </w:pPr>
      <w:r>
        <w:rPr>
          <w:rFonts w:ascii="Calibri;sans-serif" w:hAnsi="Calibri;sans-serif"/>
          <w:b/>
          <w:i/>
          <w:sz w:val="20"/>
        </w:rPr>
        <w:t>Our business is substantially dependent on our relationships with dealers. If a significant number of dealers terminate their subscription agreements with us, and/or dealer closures or consolidations occur that reduce demand for our products, our business and financial results would be materially and adversely affected.</w:t>
      </w:r>
    </w:p>
    <w:p>
      <w:pPr>
        <w:pStyle w:val="TextBody"/>
        <w:bidi w:val="0"/>
        <w:spacing w:before="60" w:after="60"/>
        <w:jc w:val="both"/>
        <w:rPr>
          <w:rFonts w:ascii="Calibri;sans-serif" w:hAnsi="Calibri;sans-serif"/>
          <w:b w:val="false"/>
          <w:sz w:val="20"/>
        </w:rPr>
      </w:pPr>
      <w:r>
        <w:rPr>
          <w:rFonts w:ascii="Calibri;sans-serif" w:hAnsi="Calibri;sans-serif"/>
          <w:b w:val="false"/>
          <w:sz w:val="20"/>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 dealer may be influenced by several factors to cancel its subscription with us,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dealers could share this belief and we may lose a number of our paying dealers. If a significant number of our paying dealers terminate their subscriptions with us, our business and financial results would be materially and adversely affected.</w:t>
      </w:r>
    </w:p>
    <w:p>
      <w:pPr>
        <w:pStyle w:val="TextBody"/>
        <w:bidi w:val="0"/>
        <w:spacing w:before="60" w:after="60"/>
        <w:jc w:val="both"/>
        <w:rPr>
          <w:rFonts w:ascii="Calibri;sans-serif" w:hAnsi="Calibri;sans-serif"/>
          <w:b w:val="false"/>
          <w:sz w:val="20"/>
        </w:rPr>
      </w:pPr>
      <w:r>
        <w:rPr>
          <w:rFonts w:ascii="Calibri;sans-serif" w:hAnsi="Calibri;sans-serif"/>
          <w:b w:val="false"/>
          <w:sz w:val="20"/>
        </w:rPr>
        <w:t>Additionally, in the past, the number of United States dealers has declined due to dealership closures and consolidations as a result of industry dynamics and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and financial results could be materially and adversely affected.</w:t>
      </w:r>
    </w:p>
    <w:p>
      <w:pPr>
        <w:pStyle w:val="TextBody"/>
        <w:bidi w:val="0"/>
        <w:spacing w:before="60" w:after="60"/>
        <w:jc w:val="both"/>
        <w:rPr>
          <w:rFonts w:ascii="Calibri;sans-serif" w:hAnsi="Calibri;sans-serif"/>
          <w:b/>
          <w:i/>
          <w:sz w:val="20"/>
        </w:rPr>
      </w:pPr>
      <w:r>
        <w:rPr>
          <w:rFonts w:ascii="Calibri;sans-serif" w:hAnsi="Calibri;sans-serif"/>
          <w:b/>
          <w:i/>
          <w:sz w:val="20"/>
        </w:rPr>
        <w:t>If we fail to maintain or increase the number of dealers that pay subscription fees to us, or fail to maintain or increase the fees paid to us for subscriptions, our business and financial results would be materially and adversely affected.</w:t>
      </w:r>
    </w:p>
    <w:p>
      <w:pPr>
        <w:pStyle w:val="TextBody"/>
        <w:bidi w:val="0"/>
        <w:spacing w:before="60" w:after="60"/>
        <w:jc w:val="both"/>
        <w:rPr>
          <w:rFonts w:ascii="Calibri;sans-serif" w:hAnsi="Calibri;sans-serif"/>
          <w:b w:val="false"/>
          <w:sz w:val="20"/>
        </w:rPr>
      </w:pPr>
      <w:r>
        <w:rPr>
          <w:rFonts w:ascii="Calibri;sans-serif" w:hAnsi="Calibri;sans-serif"/>
          <w:b w:val="false"/>
          <w:sz w:val="20"/>
        </w:rPr>
        <w:t>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allow dealers to list their inventory in CarGurus' marketplaces for free; however, we impose certain limitations on such free listings.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pStyle w:val="TextBody"/>
        <w:bidi w:val="0"/>
        <w:spacing w:before="60" w:after="60"/>
        <w:jc w:val="both"/>
        <w:rPr>
          <w:rFonts w:ascii="Times New Roman" w:hAnsi="Times New Roman"/>
          <w:sz w:val="20"/>
        </w:rPr>
      </w:pPr>
      <w:r>
        <w:rPr>
          <w:rFonts w:ascii="Calibri;sans-serif" w:hAnsi="Calibri;sans-serif"/>
          <w:b/>
          <w:i/>
          <w:sz w:val="20"/>
        </w:rPr>
        <w:t>Our business is subject to risks related to the larger automotive industry ecosystem, which could have a material adverse effect on our business, revenue, results of operations, and financial condition.</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lingering effects of the COVID-19 pandemic; the cost of energy and gasoline; the availability and cost of credit; increased interest rates; reductions in business and consumer confidence; stock market volatility; and unemployment.</w:t>
      </w:r>
    </w:p>
    <w:p>
      <w:pPr>
        <w:pStyle w:val="TextBody"/>
        <w:bidi w:val="0"/>
        <w:spacing w:before="60" w:after="60"/>
        <w:jc w:val="both"/>
        <w:rPr>
          <w:rFonts w:ascii="Times New Roman" w:hAnsi="Times New Roman"/>
          <w:sz w:val="20"/>
        </w:rPr>
      </w:pPr>
      <w:r>
        <w:rPr>
          <w:rFonts w:ascii="Calibri;sans-serif" w:hAnsi="Calibri;sans-serif"/>
          <w:b w:val="false"/>
          <w:sz w:val="20"/>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adversely affect dealers and car manufacturers and lead to a reduction in other spending by these groups, including targeted incentive programs.</w:t>
      </w:r>
    </w:p>
    <w:p>
      <w:pPr>
        <w:pStyle w:val="TextBody"/>
        <w:bidi w:val="0"/>
        <w:spacing w:before="60" w:after="60"/>
        <w:jc w:val="both"/>
        <w:rPr>
          <w:rFonts w:ascii="Calibri;sans-serif" w:hAnsi="Calibri;sans-serif"/>
          <w:b w:val="false"/>
          <w:sz w:val="20"/>
        </w:rPr>
      </w:pPr>
      <w:r>
        <w:rPr>
          <w:rFonts w:ascii="Calibri;sans-serif" w:hAnsi="Calibri;sans-serif"/>
          <w:b w:val="false"/>
          <w:sz w:val="20"/>
        </w:rPr>
        <w:t>In addition, our business has been and may continue to be negatively affected by challenges to the larger automotive industry ecosystem, including global supply chain challenges, the effects of the global semiconductor chip shortage, changes to trade policies, including tariff rates and customs duties, trade relations between the United States and China and other macroeconomic issues, including the lingering effects of the COVID-19 pandemic, and increased interest rates. Increasing global inflation rates have spurred a cycle of monetary policy tightening, including through central bank increases to key short-term lending rates. Both the availability and cost of credit are factors affecting consumer confidence, which is a critical driver of vehicle sales for our consumers and dealers. Additionally, vehicle affordability for our consumers is becoming more challenging due to a combination of factors, including elevated vehicle pricing resulting from inflationary cost increases and vehicle production constraints, and rising vehicle finance costs due to increased interest rates. These factors could have a material adverse effect on our business, revenue, results of operations, and financial condition.</w:t>
      </w:r>
    </w:p>
    <w:p>
      <w:pPr>
        <w:pStyle w:val="TextBody"/>
        <w:bidi w:val="0"/>
        <w:spacing w:before="60" w:after="60"/>
        <w:jc w:val="both"/>
        <w:rPr>
          <w:rFonts w:ascii="Calibri;sans-serif" w:hAnsi="Calibri;sans-serif"/>
          <w:b/>
          <w:i/>
          <w:sz w:val="20"/>
        </w:rPr>
      </w:pPr>
      <w:r>
        <w:rPr>
          <w:rFonts w:ascii="Calibri;sans-serif" w:hAnsi="Calibri;sans-serif"/>
          <w:b/>
          <w:i/>
          <w:sz w:val="20"/>
        </w:rPr>
        <w:t>If the CarOffer business and/or our combined offerings do not continue to grow, our revenue and business would be significantly harmed.</w:t>
      </w:r>
    </w:p>
    <w:p>
      <w:pPr>
        <w:pStyle w:val="TextBody"/>
        <w:bidi w:val="0"/>
        <w:spacing w:before="60" w:after="60"/>
        <w:jc w:val="both"/>
        <w:rPr>
          <w:rFonts w:ascii="Calibri;sans-serif" w:hAnsi="Calibri;sans-serif"/>
          <w:b w:val="false"/>
          <w:sz w:val="20"/>
        </w:rPr>
      </w:pPr>
      <w:r>
        <w:rPr>
          <w:rFonts w:ascii="Calibri;sans-serif" w:hAnsi="Calibri;sans-serif"/>
          <w:b w:val="false"/>
          <w:sz w:val="20"/>
        </w:rPr>
        <w:t>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that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pStyle w:val="TextBody"/>
        <w:bidi w:val="0"/>
        <w:spacing w:before="60" w:after="60"/>
        <w:jc w:val="both"/>
        <w:rPr>
          <w:rFonts w:ascii="Calibri;sans-serif" w:hAnsi="Calibri;sans-serif"/>
          <w:b w:val="false"/>
          <w:sz w:val="20"/>
        </w:rPr>
      </w:pPr>
      <w:r>
        <w:rPr>
          <w:rFonts w:ascii="Calibri;sans-serif" w:hAnsi="Calibri;sans-serif"/>
          <w:b w:val="false"/>
          <w:sz w:val="20"/>
        </w:rPr>
        <w:t>Industry conditions such as a significant change in retail vehicle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which could adversely impact the volume of vehicles offered for sale on the CarOffer platform. We also face inventory risk in connection with vehicles acquired by CarOffer via arbitration, including the risk of inventory obsolescence, a decline in values, and significant inventory write-downs or write-offs. Such inventory risk would be higher if arbitrations increase, which is more likely to occur in connection with declining wholesale market conditions.</w:t>
      </w:r>
    </w:p>
    <w:p>
      <w:pPr>
        <w:pStyle w:val="TextBody"/>
        <w:bidi w:val="0"/>
        <w:spacing w:before="60" w:after="60"/>
        <w:jc w:val="both"/>
        <w:rPr>
          <w:rFonts w:ascii="Times New Roman" w:hAnsi="Times New Roman"/>
          <w:sz w:val="20"/>
        </w:rPr>
      </w:pPr>
      <w:r>
        <w:rPr>
          <w:rFonts w:ascii="Calibri;sans-serif" w:hAnsi="Calibri;sans-serif"/>
          <w:b w:val="false"/>
          <w:sz w:val="20"/>
        </w:rPr>
        <w:t>Furthermore, activity on the CarOffer platform has in the past fluctuated, and may again in the future fluctuate, from period to period based on macroeconomic conditions and changing demand requirements, which could adversely impact our revenue, results of operations, and financial condition for such period(s). Macroeconomic issues, including increased interest rates and lower consumer confidence, could also adversely impact dealer demand for sourcing inventory and therefore lead to a reduction in the number of vehicle wholesale sales on the CarOffer platform and/or transacted via IMCO, which would adversely impact CarOffer’s business and financial results. Additionally, inventory challenges in the automotive industry, including for reasons attributable to the COVID-19 pandemic, have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r>
        <w:rPr>
          <w:rFonts w:ascii="Times New Roman" w:hAnsi="Times New Roman"/>
          <w:sz w:val="20"/>
        </w:rPr>
        <w:t xml:space="preserve"> </w:t>
      </w:r>
    </w:p>
    <w:p>
      <w:pPr>
        <w:pStyle w:val="TextBody"/>
        <w:bidi w:val="0"/>
        <w:spacing w:before="60" w:after="60"/>
        <w:jc w:val="both"/>
        <w:rPr>
          <w:rFonts w:ascii="Calibri;sans-serif" w:hAnsi="Calibri;sans-serif"/>
          <w:b/>
          <w:i/>
          <w:sz w:val="20"/>
        </w:rPr>
      </w:pPr>
      <w:r>
        <w:rPr>
          <w:rFonts w:ascii="Calibri;sans-serif" w:hAnsi="Calibri;sans-serif"/>
          <w:b/>
          <w:i/>
          <w:sz w:val="20"/>
        </w:rPr>
        <w:t>If dealers or other advertisers reduce their spending with us, our advertising revenue and business and our financial results would be harmed.</w:t>
      </w:r>
    </w:p>
    <w:p>
      <w:pPr>
        <w:pStyle w:val="TextBody"/>
        <w:bidi w:val="0"/>
        <w:spacing w:before="60" w:after="60"/>
        <w:jc w:val="both"/>
        <w:rPr>
          <w:rFonts w:ascii="Calibri;sans-serif" w:hAnsi="Calibri;sans-serif"/>
          <w:b w:val="false"/>
          <w:sz w:val="20"/>
        </w:rPr>
      </w:pPr>
      <w:r>
        <w:rPr>
          <w:rFonts w:ascii="Calibri;sans-serif" w:hAnsi="Calibri;sans-serif"/>
          <w:b w:val="false"/>
          <w:sz w:val="20"/>
        </w:rPr>
        <w:t>A portion of our revenue is derived from advertising revenue generated primarily through short-term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pStyle w:val="TextBody"/>
        <w:bidi w:val="0"/>
        <w:spacing w:before="60" w:after="60"/>
        <w:jc w:val="both"/>
        <w:rPr>
          <w:rFonts w:ascii="Times New Roman" w:hAnsi="Times New Roman"/>
          <w:sz w:val="20"/>
        </w:rPr>
      </w:pPr>
      <w:r>
        <w:rPr>
          <w:rFonts w:ascii="Calibri;sans-serif" w:hAnsi="Calibri;sans-serif"/>
          <w:b w:val="false"/>
          <w:sz w:val="20"/>
        </w:rPr>
        <w:t>As a result of the effects of the COVID-19 pandemic, some advertisers canceled or reduced their advertising with us and it is possible that advertising customers will cancel or reduce their advertising with us in the future for a variety of reasons, including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lingering effects of the COVID-19 pandemic and other macroeconomic issues, such as increased interest rates and other matters that influence consumer spending. In addition, the year-over-year decline in the number of consumer visits to our sites as a result of the COVID-19 pandemic or otherwise resulted in the delivery of fewer impressions for our advertising customers than anticipated year-over-year for the years ended December 31, 2020, 2021, and 2022, which has caused, and may continue to cause, an adverse impact on our advertising revenue.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pStyle w:val="TextBody"/>
        <w:bidi w:val="0"/>
        <w:spacing w:before="60" w:after="60"/>
        <w:jc w:val="both"/>
        <w:rPr>
          <w:rFonts w:ascii="Calibri;sans-serif" w:hAnsi="Calibri;sans-serif"/>
          <w:b/>
          <w:i/>
          <w:sz w:val="20"/>
        </w:rPr>
      </w:pPr>
      <w:r>
        <w:rPr>
          <w:rFonts w:ascii="Calibri;sans-serif" w:hAnsi="Calibri;sans-serif"/>
          <w:b/>
          <w:i/>
          <w:sz w:val="20"/>
        </w:rPr>
        <w:t>If we are unable to provide a compelling experience to consumers on our platform, connections between consumers and dealers using our marketplaces may decline and our business and financial results would be materially and adversely affected.</w:t>
      </w:r>
    </w:p>
    <w:p>
      <w:pPr>
        <w:pStyle w:val="TextBody"/>
        <w:bidi w:val="0"/>
        <w:spacing w:before="60" w:after="60"/>
        <w:jc w:val="both"/>
        <w:rPr>
          <w:rFonts w:ascii="Calibri;sans-serif" w:hAnsi="Calibri;sans-serif"/>
          <w:b w:val="false"/>
          <w:sz w:val="20"/>
        </w:rPr>
      </w:pPr>
      <w:r>
        <w:rPr>
          <w:rFonts w:ascii="Calibri;sans-serif" w:hAnsi="Calibri;sans-serif"/>
          <w:b w:val="false"/>
          <w:sz w:val="20"/>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anticipate or adapt to new and changing technologies and consumer requirements on a timely basis;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pStyle w:val="TextBody"/>
        <w:bidi w:val="0"/>
        <w:spacing w:before="60" w:after="60"/>
        <w:jc w:val="both"/>
        <w:rPr>
          <w:rFonts w:ascii="Calibri;sans-serif" w:hAnsi="Calibri;sans-serif"/>
          <w:b/>
          <w:i/>
          <w:sz w:val="20"/>
        </w:rPr>
      </w:pPr>
      <w:r>
        <w:rPr>
          <w:rFonts w:ascii="Calibri;sans-serif" w:hAnsi="Calibri;sans-serif"/>
          <w:b/>
          <w:i/>
          <w:sz w:val="20"/>
        </w:rPr>
        <w:t>Any inability by us to develop new products, adapt to new technologies, or achieve widespread consumer and dealer adoption of those products, could negatively impact our business and financial results.</w:t>
      </w:r>
    </w:p>
    <w:p>
      <w:pPr>
        <w:pStyle w:val="TextBody"/>
        <w:bidi w:val="0"/>
        <w:spacing w:before="60" w:after="60"/>
        <w:jc w:val="both"/>
        <w:rPr>
          <w:rFonts w:ascii="Times New Roman" w:hAnsi="Times New Roman"/>
          <w:sz w:val="20"/>
        </w:rPr>
      </w:pPr>
      <w:r>
        <w:rPr>
          <w:rFonts w:ascii="Calibri;sans-serif" w:hAnsi="Calibri;sans-serif"/>
          <w:b w:val="false"/>
          <w:sz w:val="20"/>
        </w:rPr>
        <w:t>Our success depends on our continued innovation to provide products that make our marketplaces, websites, and mobile applications useful for consumers and dealers or that otherwise provide value to consumers and dealers. For example, we continue to develop digital retail offerings, including those that expand a dealer’s geographic footprint and others that bring additional elements of the car buying experience online through our websites. A failure by us to capture the benefits that we expect from these digital retail investments could negatively impact our business and financial results.</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also anticipate that over time our investments in our current products may become less productive and the growth of our revenue will require more focus on developing new products. These new products must be widely adopted by consumers and dealers in order for us to continue to attract consumers to our marketplaces and dealers to our products and services. Accordingly, we must continually invest resources in product, technology, and development to improve the attractiveness of our marketplaces and adapt to new and changing technologies and consumer requirements. Our ability to engage in these activities may decline as a result of macroeconomic effects and any cost-savings initiatives on our business. These product, technology, and development expenses may include costs of hiring additional personnel and retaining our current employees,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There can also be no assurance that our future products will meet consumer expectations in light of new technologies offered by others in the marketplace.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pStyle w:val="TextBody"/>
        <w:bidi w:val="0"/>
        <w:spacing w:before="60" w:after="60"/>
        <w:jc w:val="both"/>
        <w:rPr>
          <w:rFonts w:ascii="Calibri;sans-serif" w:hAnsi="Calibri;sans-serif"/>
          <w:b/>
          <w:i/>
          <w:sz w:val="20"/>
        </w:rPr>
      </w:pPr>
      <w:r>
        <w:rPr>
          <w:rFonts w:ascii="Calibri;sans-serif" w:hAnsi="Calibri;sans-serif"/>
          <w:b/>
          <w:i/>
          <w:sz w:val="20"/>
        </w:rPr>
        <w:t>We rely on internet search engines to drive traffic to our websites, and if we fail to appear prominently in the search results, our traffic would decline and our business would be adversely affected.</w:t>
      </w:r>
    </w:p>
    <w:p>
      <w:pPr>
        <w:pStyle w:val="TextBody"/>
        <w:bidi w:val="0"/>
        <w:spacing w:before="60" w:after="60"/>
        <w:jc w:val="both"/>
        <w:rPr>
          <w:rFonts w:ascii="Times New Roman" w:hAnsi="Times New Roman"/>
          <w:sz w:val="20"/>
        </w:rPr>
      </w:pPr>
      <w:r>
        <w:rPr>
          <w:rFonts w:ascii="Calibri;sans-serif" w:hAnsi="Calibri;sans-serif"/>
          <w:b w:val="false"/>
          <w:sz w:val="20"/>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and/or introduce competing products in a way that would adversely affect our search result rankings. If internet search engines modify their methodologies in ways that are detrimental to us, as they have done from time to time, or if our efforts to improve our search engine optimization are unsuccessful or less successful than our competitors’ efforts, our ability to attract a large consumer audience could diminish, traffic to our marketplaces could decline, and the number of leads that we send to our dealers could be adversely impacted. Additionally, competing products from internet search engine providers, such as those that provide dealer and vehicle pricing and other information directly in search results, could also adversely impact traffic to our websites and the number of leads that we are able to send to our dealers. Our business would also be adversely affected if internet search engine providers choose to align with our competitors.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would harm our business and operating results.</w:t>
      </w:r>
    </w:p>
    <w:p>
      <w:pPr>
        <w:pStyle w:val="TextBody"/>
        <w:bidi w:val="0"/>
        <w:spacing w:before="60" w:after="60"/>
        <w:jc w:val="both"/>
        <w:rPr>
          <w:rFonts w:ascii="Calibri;sans-serif" w:hAnsi="Calibri;sans-serif"/>
          <w:b/>
          <w:i/>
          <w:sz w:val="20"/>
        </w:rPr>
      </w:pPr>
      <w:r>
        <w:rPr>
          <w:rFonts w:ascii="Calibri;sans-serif" w:hAnsi="Calibri;sans-serif"/>
          <w:b/>
          <w:i/>
          <w:sz w:val="20"/>
        </w:rPr>
        <w:t>We may be unable to maintain or grow relationships with data providers, or may experience interruptions in the data they provide, which may create a less valuable or transparent shopping experience and negatively affect our business and operating results.</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pStyle w:val="TextBody"/>
        <w:bidi w:val="0"/>
        <w:spacing w:before="60" w:after="60"/>
        <w:jc w:val="both"/>
        <w:rPr>
          <w:rFonts w:ascii="Calibri;sans-serif" w:hAnsi="Calibri;sans-serif"/>
          <w:b/>
          <w:i/>
          <w:sz w:val="20"/>
        </w:rPr>
      </w:pPr>
      <w:r>
        <w:rPr>
          <w:rFonts w:ascii="Calibri;sans-serif" w:hAnsi="Calibri;sans-serif"/>
          <w:b/>
          <w:i/>
          <w:sz w:val="20"/>
        </w:rPr>
        <w:t>The failure to build, maintain and protect our brands would harm our ability to attract a large consumer audience and to expand the use of our marketplaces by consumers and dealers.</w:t>
      </w:r>
    </w:p>
    <w:p>
      <w:pPr>
        <w:pStyle w:val="TextBody"/>
        <w:bidi w:val="0"/>
        <w:spacing w:before="60" w:after="60"/>
        <w:jc w:val="both"/>
        <w:rPr>
          <w:rFonts w:ascii="Calibri;sans-serif" w:hAnsi="Calibri;sans-serif"/>
          <w:b w:val="false"/>
          <w:sz w:val="20"/>
        </w:rPr>
      </w:pPr>
      <w:r>
        <w:rPr>
          <w:rFonts w:ascii="Calibri;sans-serif" w:hAnsi="Calibri;sans-serif"/>
          <w:b w:val="false"/>
          <w:sz w:val="20"/>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macroeconomic conditions.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pStyle w:val="TextBody"/>
        <w:bidi w:val="0"/>
        <w:spacing w:before="60" w:after="60"/>
        <w:jc w:val="both"/>
        <w:rPr>
          <w:rFonts w:ascii="Times New Roman" w:hAnsi="Times New Roman"/>
          <w:sz w:val="20"/>
        </w:rPr>
      </w:pPr>
      <w:r>
        <w:rPr>
          <w:rFonts w:ascii="Calibri;sans-serif" w:hAnsi="Calibri;sans-serif"/>
          <w:b w:val="false"/>
          <w:sz w:val="20"/>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third party content and conduct on our websites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r>
        <w:rPr>
          <w:rFonts w:ascii="Times New Roman" w:hAnsi="Times New Roman"/>
          <w:sz w:val="20"/>
        </w:rPr>
        <w:t xml:space="preserve"> </w:t>
      </w:r>
    </w:p>
    <w:p>
      <w:pPr>
        <w:pStyle w:val="TextBody"/>
        <w:bidi w:val="0"/>
        <w:spacing w:before="60" w:after="60"/>
        <w:jc w:val="both"/>
        <w:rPr>
          <w:rFonts w:ascii="Calibri;sans-serif" w:hAnsi="Calibri;sans-serif"/>
          <w:b/>
          <w:i/>
          <w:sz w:val="20"/>
        </w:rPr>
      </w:pPr>
      <w:r>
        <w:rPr>
          <w:rFonts w:ascii="Calibri;sans-serif" w:hAnsi="Calibri;sans-serif"/>
          <w:b/>
          <w:i/>
          <w:sz w:val="20"/>
        </w:rPr>
        <w:t>Our recent, rapid growth is not indicative of our future growth, and our revenue growth rate in the future is uncertain, including due to potential macroeconomic effects.</w:t>
      </w:r>
    </w:p>
    <w:p>
      <w:pPr>
        <w:pStyle w:val="TextBody"/>
        <w:bidi w:val="0"/>
        <w:spacing w:before="60" w:after="60"/>
        <w:jc w:val="both"/>
        <w:rPr>
          <w:rFonts w:ascii="Times New Roman" w:hAnsi="Times New Roman"/>
          <w:sz w:val="20"/>
        </w:rPr>
      </w:pPr>
      <w:r>
        <w:rPr>
          <w:rFonts w:ascii="Calibri;sans-serif" w:hAnsi="Calibri;sans-serif"/>
          <w:b w:val="false"/>
          <w:sz w:val="20"/>
        </w:rPr>
        <w:t>While our revenue increased to $1,655.0 million for the year ended December 31, 2022, from $951.4 million for the year ended December 31, 2021, representing a 74% increase between such periods, our revenue decreased to $239.7 million for the three months ended June 30, 2023, from $511.2 million, representing a 53% decrease between such periods. Our revenue in the future may not grow at such a rate and could potentially be impacted by macroeconomic issues, such as declining wholesale vehicle prices, the war in Ukraine and Russian sanctions, increased interest rates, lower consumer confidence, consumer debt levels, and other matters that influence consumer spending and preferences. In addition, we will not be able to grow as expected, or at all, if we fail to: increase the number of consumers using our marketplaces; attract new consumers to sell their vehicles online through IMCO; maintain and expand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number of dealers that subscribe to our marketplaces and maintain and increase the fees that they are paying; expand the number of dealers engaging on the CarOffer platform and increase the share of wholesale transactions which they complete on such platform;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pStyle w:val="TextBody"/>
        <w:bidi w:val="0"/>
        <w:spacing w:before="60" w:after="60"/>
        <w:jc w:val="both"/>
        <w:rPr>
          <w:rFonts w:ascii="Calibri;sans-serif" w:hAnsi="Calibri;sans-serif"/>
          <w:b/>
          <w:i/>
          <w:sz w:val="20"/>
        </w:rPr>
      </w:pPr>
      <w:r>
        <w:rPr>
          <w:rFonts w:ascii="Calibri;sans-serif" w:hAnsi="Calibri;sans-serif"/>
          <w:b/>
          <w:i/>
          <w:sz w:val="20"/>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pStyle w:val="TextBody"/>
        <w:bidi w:val="0"/>
        <w:spacing w:before="60" w:after="60"/>
        <w:jc w:val="both"/>
        <w:rPr>
          <w:rFonts w:ascii="Calibri;sans-serif" w:hAnsi="Calibri;sans-serif"/>
          <w:b w:val="false"/>
          <w:sz w:val="20"/>
        </w:rPr>
      </w:pPr>
      <w:r>
        <w:rPr>
          <w:rFonts w:ascii="Calibri;sans-serif" w:hAnsi="Calibri;sans-serif"/>
          <w:b w:val="false"/>
          <w:sz w:val="20"/>
        </w:rPr>
        <w:t>If we are unable to generate sufficient cash flows, we would require additional capital to pursue our business objectives and respond to business opportunities, challenges, or unforeseen circumstances, including the effects of macroeconomic issues and the lingering effects of COVID-19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in addition to the 2022 Revolver. However, additional funds may not be available when we need them on terms that are acceptable to us or at all. Volatility in the equity and credit markets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pStyle w:val="TextBody"/>
        <w:bidi w:val="0"/>
        <w:spacing w:before="60" w:after="60"/>
        <w:jc w:val="both"/>
        <w:rPr>
          <w:rFonts w:ascii="Calibri;sans-serif" w:hAnsi="Calibri;sans-serif"/>
          <w:b/>
          <w:i/>
          <w:sz w:val="20"/>
        </w:rPr>
      </w:pPr>
      <w:r>
        <w:rPr>
          <w:rFonts w:ascii="Calibri;sans-serif" w:hAnsi="Calibri;sans-serif"/>
          <w:b/>
          <w:i/>
          <w:sz w:val="20"/>
        </w:rPr>
        <w:t>Our international operations involve risks that may differ from, or are in addition to, our domestic operational risks.</w:t>
      </w:r>
    </w:p>
    <w:p>
      <w:pPr>
        <w:pStyle w:val="TextBody"/>
        <w:bidi w:val="0"/>
        <w:spacing w:before="60" w:after="60"/>
        <w:jc w:val="both"/>
        <w:rPr>
          <w:rFonts w:ascii="Calibri;sans-serif" w:hAnsi="Calibri;sans-serif"/>
          <w:b w:val="false"/>
          <w:sz w:val="20"/>
        </w:rPr>
      </w:pPr>
      <w:r>
        <w:rPr>
          <w:rFonts w:ascii="Calibri;sans-serif" w:hAnsi="Calibri;sans-serif"/>
          <w:b w:val="false"/>
          <w:sz w:val="20"/>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Any of these barriers could impede our operations in our international markets, which could affect our business and potential growth.</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adapting our websites and mobile applications to conform to local consumer behavior; increased competition from local providers and potential preferences by local populations for local providers; compliance with applicable foreign laws and regulations, including different privacy, censorship, and liability standards and regulations, and different intellectual property laws; the enforceability of our intellectual property rights; credit risk and higher levels of payment fraud; compliance with anti-bribery laws, including compliance with currency exchange rate fluctuations; adverse changes in trade relationships among foreign countries and/or between the United States and such countries; double taxation of our international earnings and potentially adverse tax consequences arising from the tax laws of the United States or the foreign jurisdictions in which we operate; and higher costs of doing business internationally.</w:t>
      </w:r>
    </w:p>
    <w:p>
      <w:pPr>
        <w:pStyle w:val="TextBody"/>
        <w:bidi w:val="0"/>
        <w:spacing w:before="60" w:after="60"/>
        <w:jc w:val="both"/>
        <w:rPr>
          <w:rFonts w:ascii="Calibri;sans-serif" w:hAnsi="Calibri;sans-serif"/>
          <w:b/>
          <w:i/>
          <w:sz w:val="20"/>
        </w:rPr>
      </w:pPr>
      <w:r>
        <w:rPr>
          <w:rFonts w:ascii="Calibri;sans-serif" w:hAnsi="Calibri;sans-serif"/>
          <w:b/>
          <w:i/>
          <w:sz w:val="20"/>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pStyle w:val="TextBody"/>
        <w:bidi w:val="0"/>
        <w:spacing w:before="60" w:after="60"/>
        <w:jc w:val="both"/>
        <w:rPr>
          <w:rFonts w:ascii="Times New Roman" w:hAnsi="Times New Roman"/>
          <w:sz w:val="20"/>
        </w:rPr>
      </w:pPr>
      <w:r>
        <w:rPr>
          <w:rFonts w:ascii="Calibri;sans-serif" w:hAnsi="Calibri;sans-serif"/>
          <w:b w:val="false"/>
          <w:sz w:val="20"/>
        </w:rPr>
        <w:t>We believe our success has depended, and continues to depend, on our continuing ability to attract, develop, motivate, and retain highly qualified and skilled employees. We have encountered intense competition for retaining and attracting qualified and skilled employees. Accordingly, we have incurred, and we may continue to incur, significant costs to attract new employees and retain existing ones, and we may in the future become less competitive in attracting and retaining employees as a result of any expense reduction efforts that we may initiate.</w:t>
      </w:r>
      <w:r>
        <w:rPr>
          <w:rFonts w:ascii="Times New Roman" w:hAnsi="Times New Roman"/>
          <w:sz w:val="20"/>
        </w:rPr>
        <w:t xml:space="preserve"> </w:t>
      </w:r>
    </w:p>
    <w:p>
      <w:pPr>
        <w:pStyle w:val="TextBody"/>
        <w:bidi w:val="0"/>
        <w:spacing w:before="60" w:after="60"/>
        <w:jc w:val="both"/>
        <w:rPr>
          <w:rFonts w:ascii="Times New Roman" w:hAnsi="Times New Roman"/>
          <w:sz w:val="20"/>
        </w:rPr>
      </w:pPr>
      <w:r>
        <w:rPr>
          <w:rFonts w:ascii="Calibri;sans-serif" w:hAnsi="Calibri;sans-serif"/>
          <w:b w:val="false"/>
          <w:sz w:val="20"/>
        </w:rPr>
        <w:t>In addition, any unplanned turnover, reduced involvement,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Times New Roman" w:hAnsi="Times New Roman"/>
          <w:sz w:val="20"/>
        </w:rPr>
      </w:pPr>
      <w:r>
        <w:rPr>
          <w:rFonts w:ascii="Calibri;sans-serif" w:hAnsi="Calibri;sans-serif"/>
          <w:b w:val="false"/>
          <w:sz w:val="20"/>
        </w:rPr>
        <w:t>succeed in attracting well-qualified employees or retaining and motivating existing employees, our business could be materially and adversely affected. Additionally, we may face risks related to future transitions in our leadership, including the disruption of our operations and the depletion of our institutional knowledge base.</w:t>
      </w:r>
      <w:r>
        <w:rPr>
          <w:rFonts w:ascii="Times New Roman" w:hAnsi="Times New Roman"/>
          <w:sz w:val="20"/>
        </w:rPr>
        <w:t xml:space="preserve"> </w:t>
      </w:r>
    </w:p>
    <w:p>
      <w:pPr>
        <w:pStyle w:val="TextBody"/>
        <w:bidi w:val="0"/>
        <w:spacing w:before="60" w:after="60"/>
        <w:jc w:val="both"/>
        <w:rPr>
          <w:rFonts w:ascii="Calibri;sans-serif" w:hAnsi="Calibri;sans-serif"/>
          <w:b/>
          <w:i/>
          <w:sz w:val="20"/>
        </w:rPr>
      </w:pPr>
      <w:r>
        <w:rPr>
          <w:rFonts w:ascii="Calibri;sans-serif" w:hAnsi="Calibri;sans-serif"/>
          <w:b/>
          <w:i/>
          <w:sz w:val="20"/>
        </w:rPr>
        <w:t>We may be subject to disputes regarding the accuracy of Instant Market Values, Deal Ratings, Dealer Ratings, New Car Price Guidance, and other features of our marketplaces.</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provide consumers using our CarGurus platform and dealers using our CarOffer platform with our proprietary Instant Market Value, or IMV, Deal Ratings, and Dealer Ratings, as well as other features to help them evaluate vehicle listings, including price guidance for new car listings, or New Car Price Guidance. Our valuation models depend on the inventory listed on our websites as well as public information regarding automotive sales. If the inventory on our websites declines significantly, or if the number of automotive sales declines significantly or used car sales prices become volatile, whether as a result of macroeconomic effects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pStyle w:val="TextBody"/>
        <w:bidi w:val="0"/>
        <w:spacing w:before="60" w:after="60"/>
        <w:jc w:val="both"/>
        <w:rPr>
          <w:rFonts w:ascii="Calibri;sans-serif" w:hAnsi="Calibri;sans-serif"/>
          <w:b/>
          <w:i/>
          <w:sz w:val="20"/>
        </w:rPr>
      </w:pPr>
      <w:r>
        <w:rPr>
          <w:rFonts w:ascii="Calibri;sans-serif" w:hAnsi="Calibri;sans-serif"/>
          <w:b/>
          <w:i/>
          <w:sz w:val="20"/>
        </w:rPr>
        <w:t>We are subject to a complex framework of laws and regulations, many of which are unsettled, still developing, and contradictory, which have in the past, and could in the future, subject us to claims, challenge our business model, or otherwise harm our business.</w:t>
      </w:r>
    </w:p>
    <w:p>
      <w:pPr>
        <w:pStyle w:val="TextBody"/>
        <w:bidi w:val="0"/>
        <w:spacing w:before="60" w:after="60"/>
        <w:jc w:val="both"/>
        <w:rPr>
          <w:rFonts w:ascii="Calibri;sans-serif" w:hAnsi="Calibri;sans-serif"/>
          <w:b w:val="false"/>
          <w:sz w:val="20"/>
        </w:rPr>
      </w:pPr>
      <w:r>
        <w:rPr>
          <w:rFonts w:ascii="Calibri;sans-serif" w:hAnsi="Calibri;sans-serif"/>
          <w:b w:val="false"/>
          <w:sz w:val="20"/>
        </w:rPr>
        <w:t>Various aspects of our business are, may become, or may be viewed by regulators from time to time as subject, directly or indirectly, to United States federal, state, and local laws and regulations, and to foreign laws and regulations.</w:t>
      </w:r>
    </w:p>
    <w:p>
      <w:pPr>
        <w:pStyle w:val="TextBody"/>
        <w:bidi w:val="0"/>
        <w:spacing w:before="60" w:after="60"/>
        <w:jc w:val="both"/>
        <w:rPr>
          <w:rFonts w:ascii="Calibri;sans-serif" w:hAnsi="Calibri;sans-serif"/>
          <w:b w:val="false"/>
          <w:i/>
          <w:sz w:val="20"/>
        </w:rPr>
      </w:pPr>
      <w:r>
        <w:rPr>
          <w:rFonts w:ascii="Calibri;sans-serif" w:hAnsi="Calibri;sans-serif"/>
          <w:b w:val="false"/>
          <w:i/>
          <w:sz w:val="20"/>
        </w:rPr>
        <w:t>Local Motor Vehicle Sales, Advertising and Brokering, and Consumer Protection Laws</w:t>
      </w:r>
    </w:p>
    <w:p>
      <w:pPr>
        <w:pStyle w:val="TextBody"/>
        <w:bidi w:val="0"/>
        <w:spacing w:before="60" w:after="60"/>
        <w:jc w:val="both"/>
        <w:rPr>
          <w:rFonts w:ascii="Times New Roman" w:hAnsi="Times New Roman"/>
          <w:sz w:val="20"/>
        </w:rPr>
      </w:pPr>
      <w:r>
        <w:rPr>
          <w:rFonts w:ascii="Calibri;sans-serif" w:hAnsi="Calibri;sans-serif"/>
          <w:b w:val="false"/>
          <w:sz w:val="20"/>
        </w:rPr>
        <w:t>The advertising and sale of new and used motor vehicles is highly regulated by the jurisdictions in which we do business. Regulatory authorities or third parties could take the position that some of the laws or regulations applicable to dealers or to the manner in which motor vehicles are advertised and sold generally are directly applicable to our business.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If regulators or other third parties take the position that our marketplaces or related products violate applicable dealer licensing,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 distraction for our employees, increased expenses, and decreased profitability.</w:t>
      </w:r>
    </w:p>
    <w:p>
      <w:pPr>
        <w:pStyle w:val="TextBody"/>
        <w:bidi w:val="0"/>
        <w:spacing w:before="60" w:after="60"/>
        <w:jc w:val="both"/>
        <w:rPr>
          <w:rFonts w:ascii="Calibri;sans-serif" w:hAnsi="Calibri;sans-serif"/>
          <w:b w:val="false"/>
          <w:i/>
          <w:sz w:val="20"/>
        </w:rPr>
      </w:pPr>
      <w:r>
        <w:rPr>
          <w:rFonts w:ascii="Calibri;sans-serif" w:hAnsi="Calibri;sans-serif"/>
          <w:b w:val="false"/>
          <w:i/>
          <w:sz w:val="20"/>
        </w:rPr>
        <w:t>Federal Laws and Regulations</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 increased expenses, and decreased profitability.</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pStyle w:val="TextBody"/>
        <w:bidi w:val="0"/>
        <w:spacing w:before="60" w:after="60"/>
        <w:jc w:val="both"/>
        <w:rPr>
          <w:rFonts w:ascii="Times New Roman" w:hAnsi="Times New Roman"/>
          <w:sz w:val="20"/>
        </w:rPr>
      </w:pPr>
      <w:r>
        <w:rPr>
          <w:rFonts w:ascii="Calibri;sans-serif" w:hAnsi="Calibri;sans-serif"/>
          <w:b w:val="false"/>
          <w:sz w:val="20"/>
        </w:rPr>
        <w:t>Any failure by us, or the third parties on which we rely, to adhere to, or successfully implement, appropriate processes and procedures in response to existing or future laws and regulations could result in legal and monetary liability, fines and penalties,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pStyle w:val="TextBody"/>
        <w:bidi w:val="0"/>
        <w:spacing w:before="60" w:after="60"/>
        <w:jc w:val="both"/>
        <w:rPr>
          <w:rFonts w:ascii="Calibri;sans-serif" w:hAnsi="Calibri;sans-serif"/>
          <w:b w:val="false"/>
          <w:i/>
          <w:sz w:val="20"/>
        </w:rPr>
      </w:pPr>
      <w:r>
        <w:rPr>
          <w:rFonts w:ascii="Calibri;sans-serif" w:hAnsi="Calibri;sans-serif"/>
          <w:b w:val="false"/>
          <w:i/>
          <w:sz w:val="20"/>
        </w:rPr>
        <w:t>Antitrust and Other Laws</w:t>
      </w:r>
    </w:p>
    <w:p>
      <w:pPr>
        <w:pStyle w:val="TextBody"/>
        <w:bidi w:val="0"/>
        <w:spacing w:before="60" w:after="60"/>
        <w:jc w:val="both"/>
        <w:rPr>
          <w:rFonts w:ascii="Calibri;sans-serif" w:hAnsi="Calibri;sans-serif"/>
          <w:b w:val="false"/>
          <w:sz w:val="20"/>
        </w:rPr>
      </w:pPr>
      <w:r>
        <w:rPr>
          <w:rFonts w:ascii="Calibri;sans-serif" w:hAnsi="Calibri;sans-serif"/>
          <w:b w:val="false"/>
          <w:sz w:val="20"/>
        </w:rPr>
        <w:t>Antitrust and competition laws prohibit, among other things, any joint conduct among competitors that would lessen competition in the marketplace. A governmental or private civil action alleging unlawful or anticompetitive activity could be costly to defend and could harm our business, results of operations, financial condition, and cash flows.</w:t>
      </w:r>
    </w:p>
    <w:p>
      <w:pPr>
        <w:pStyle w:val="TextBody"/>
        <w:bidi w:val="0"/>
        <w:spacing w:before="60" w:after="60"/>
        <w:jc w:val="both"/>
        <w:rPr>
          <w:rFonts w:ascii="Calibri;sans-serif" w:hAnsi="Calibri;sans-serif"/>
          <w:b w:val="false"/>
          <w:sz w:val="20"/>
        </w:rPr>
      </w:pPr>
      <w:r>
        <w:rPr>
          <w:rFonts w:ascii="Calibri;sans-serif" w:hAnsi="Calibri;sans-serif"/>
          <w:b w:val="false"/>
          <w:sz w:val="20"/>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pStyle w:val="TextBody"/>
        <w:bidi w:val="0"/>
        <w:spacing w:before="60" w:after="60"/>
        <w:jc w:val="both"/>
        <w:rPr>
          <w:rFonts w:ascii="Times New Roman" w:hAnsi="Times New Roman"/>
          <w:sz w:val="20"/>
        </w:rPr>
      </w:pPr>
      <w:r>
        <w:rPr>
          <w:rFonts w:ascii="Calibri;sans-serif" w:hAnsi="Calibri;sans-serif"/>
          <w:b/>
          <w:i/>
          <w:sz w:val="20"/>
        </w:rPr>
        <w:t>Expectations relating to environmental, social and governance considerations expose us to potential liabilities, increased costs, reputational harm, and other adverse effects on our business.</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Expectations relating to environmental, social and governance, or ESG, considerations expose us to potential liabilities, increased costs, reputational harm, and other adverse effects on our business.</w:t>
      </w:r>
    </w:p>
    <w:p>
      <w:pPr>
        <w:pStyle w:val="TextBody"/>
        <w:bidi w:val="0"/>
        <w:spacing w:before="60" w:after="60"/>
        <w:jc w:val="both"/>
        <w:rPr>
          <w:rFonts w:ascii="Calibri;sans-serif" w:hAnsi="Calibri;sans-serif"/>
          <w:b w:val="false"/>
          <w:sz w:val="20"/>
        </w:rPr>
      </w:pPr>
      <w:r>
        <w:rPr>
          <w:rFonts w:ascii="Calibri;sans-serif" w:hAnsi="Calibri;sans-serif"/>
          <w:b w:val="false"/>
          <w:sz w:val="20"/>
        </w:rPr>
        <w:t>Many governments, regulators, investors, employees, customers, and other stakeholders are increasingly focused on ESG considerations relating to our business, including climate change and greenhouse gas emissions, human capital, and diversity, equity and inclusion. We make statements about our ESG goals and initiatives through information provided on our website. Responding to these ESG considerations and implementation of these goals and initiatives involves risks and uncertainties, requires investments, and are impacted by factors that may be outside our control. In addition, some stakeholders may disagree with our ESG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ESG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 Additionally, meeting evolving and varied stakeholder expectations and standards may require management time and expense and may result in a significant increase in costs, which may negatively impact our business and financial results.</w:t>
      </w:r>
    </w:p>
    <w:p>
      <w:pPr>
        <w:pStyle w:val="TextBody"/>
        <w:bidi w:val="0"/>
        <w:spacing w:before="60" w:after="60"/>
        <w:jc w:val="both"/>
        <w:rPr>
          <w:rFonts w:ascii="Calibri;sans-serif" w:hAnsi="Calibri;sans-serif"/>
          <w:b/>
          <w:i/>
          <w:sz w:val="20"/>
        </w:rPr>
      </w:pPr>
      <w:r>
        <w:rPr>
          <w:rFonts w:ascii="Calibri;sans-serif" w:hAnsi="Calibri;sans-serif"/>
          <w:b/>
          <w:i/>
          <w:sz w:val="20"/>
        </w:rPr>
        <w:t>We rely on third-party service providers and strategic partners for many aspects of our business, and any failure to maintain these relationships or to successfully integrate certain third-party platforms could harm our business.</w:t>
      </w:r>
    </w:p>
    <w:p>
      <w:pPr>
        <w:pStyle w:val="TextBody"/>
        <w:bidi w:val="0"/>
        <w:spacing w:before="60" w:after="60"/>
        <w:jc w:val="both"/>
        <w:rPr>
          <w:rFonts w:ascii="Times New Roman" w:hAnsi="Times New Roman"/>
          <w:sz w:val="20"/>
        </w:rPr>
      </w:pPr>
      <w:r>
        <w:rPr>
          <w:rFonts w:ascii="Calibri;sans-serif" w:hAnsi="Calibri;sans-serif"/>
          <w:b w:val="false"/>
          <w:sz w:val="20"/>
        </w:rPr>
        <w:t>Our success depends upon our relationships with third parties, including, among others: our transaction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macroeconomic conditions or otherwise, we could suffer increased costs and we may be unable to provide similar services until an equivalent provider could be found or we could develop replacement technology or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Times New Roman" w:hAnsi="Times New Roman"/>
          <w:sz w:val="20"/>
        </w:rPr>
      </w:pPr>
      <w:r>
        <w:rPr>
          <w:rFonts w:ascii="Calibri;sans-serif" w:hAnsi="Calibri;sans-serif"/>
          <w:b w:val="false"/>
          <w:sz w:val="20"/>
        </w:rPr>
        <w:t>For example, primarily in connection with our Dealer-to-Dealer transactions, we utilize a single third-party transaction processor that collects customer payments on our behalf and remits them to us, provides payments in advance for certain selling dealers, provides titling services for transactions, and holds auction licenses. If our relationship with this third-party transaction processor were to deteriorate or terminate, we would have to identify a succeeding transaction processor or assume in-house facilitation of these services, which would disrupt our business and could adversely affect our revenue, results of operations, and financial condition. Furthermore, if we are unsuccessful in identifying or finding high-quality partners, if we fail to negotiate cost-effective relationships with them, or if we ineffectively manage these relationships, it could have an adverse impact on our business and financial results.</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pStyle w:val="TextBody"/>
        <w:bidi w:val="0"/>
        <w:spacing w:before="60" w:after="60"/>
        <w:jc w:val="both"/>
        <w:rPr>
          <w:rFonts w:ascii="Calibri;sans-serif" w:hAnsi="Calibri;sans-serif"/>
          <w:b/>
          <w:i/>
          <w:sz w:val="20"/>
        </w:rPr>
      </w:pPr>
      <w:r>
        <w:rPr>
          <w:rFonts w:ascii="Calibri;sans-serif" w:hAnsi="Calibri;sans-serif"/>
          <w:b/>
          <w:i/>
          <w:sz w:val="20"/>
        </w:rPr>
        <w:t>A significant disruption in service on our websites or mobile applications could damage our reputation and result in a loss of consumers, which could harm our business, brands, operating results, and financial condition.</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could affect the security or availability of our marketplaces,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pStyle w:val="TextBody"/>
        <w:bidi w:val="0"/>
        <w:spacing w:before="60" w:after="60"/>
        <w:jc w:val="both"/>
        <w:rPr>
          <w:rFonts w:ascii="Calibri;sans-serif" w:hAnsi="Calibri;sans-serif"/>
          <w:b w:val="false"/>
          <w:sz w:val="20"/>
        </w:rPr>
      </w:pPr>
      <w:r>
        <w:rPr>
          <w:rFonts w:ascii="Calibri;sans-serif" w:hAnsi="Calibri;sans-serif"/>
          <w:b w:val="false"/>
          <w:sz w:val="20"/>
        </w:rPr>
        <w:t>Substantially all of the communications, network, and computer hardware used to operate our platforms is located in the Eastern region of the United States, and internationally near each of London, England, Dublin, Ireland, and Frankfurt, Germany. These facilities include hosting through Amazon Web Services, a provider of cloud infrastructure services. Although we can host our U.S. CarGurus’ 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or problems faced by their operators, including our cloud infrastructure service provider, could result in material interruptions in our services, adversely affect our reputation and results of operations, and subject us to liability.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extreme weather conditions, power loss, telecommunications failure, terrorist attacks, acts of war, electronic breaches, cyber-attacks, phishing attempts, errors by employees,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pStyle w:val="TextBody"/>
        <w:bidi w:val="0"/>
        <w:spacing w:before="60" w:after="60"/>
        <w:jc w:val="both"/>
        <w:rPr>
          <w:rFonts w:ascii="Calibri;sans-serif" w:hAnsi="Calibri;sans-serif"/>
          <w:b w:val="false"/>
          <w:sz w:val="20"/>
        </w:rPr>
      </w:pPr>
      <w:r>
        <w:rPr>
          <w:rFonts w:ascii="Calibri;sans-serif" w:hAnsi="Calibri;sans-serif"/>
          <w:b w:val="false"/>
          <w:sz w:val="20"/>
        </w:rPr>
        <w:t>Any errors, defects, disruptions, or other performance or reliability problems with our network operations could cause interruptions in access to our marketplaces as well as delays and additional expense in arranging new facilities and services and fixing or replacing any affected systems or hardware and could harm our reputation, business, brands,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pStyle w:val="TextBody"/>
        <w:bidi w:val="0"/>
        <w:spacing w:before="60" w:after="60"/>
        <w:jc w:val="both"/>
        <w:rPr>
          <w:rFonts w:ascii="Calibri;sans-serif" w:hAnsi="Calibri;sans-serif"/>
          <w:b/>
          <w:i/>
          <w:sz w:val="20"/>
        </w:rPr>
      </w:pPr>
      <w:r>
        <w:rPr>
          <w:rFonts w:ascii="Calibri;sans-serif" w:hAnsi="Calibri;sans-serif"/>
          <w:b/>
          <w:i/>
          <w:sz w:val="20"/>
        </w:rPr>
        <w:t>We, and our third-party service providers, collect, process, store, transfer, share, disclose, and use consumer information and other data, and our actual or perceived failure, or the actual or perceived failure of our third-party service provides, to protect such information and data or respect users’ privacy could expose us to liability and adversely affect our reputation and brands and business and operating results.</w:t>
      </w:r>
    </w:p>
    <w:p>
      <w:pPr>
        <w:pStyle w:val="TextBody"/>
        <w:bidi w:val="0"/>
        <w:spacing w:before="60" w:after="60"/>
        <w:jc w:val="both"/>
        <w:rPr>
          <w:rFonts w:ascii="Times New Roman" w:hAnsi="Times New Roman"/>
          <w:sz w:val="20"/>
        </w:rPr>
      </w:pPr>
      <w:r>
        <w:rPr>
          <w:rFonts w:ascii="Calibri;sans-serif" w:hAnsi="Calibri;sans-serif"/>
          <w:b w:val="false"/>
          <w:sz w:val="20"/>
        </w:rPr>
        <w:t>Some functions of our marketplaces involve the storage and transmission of consumers’ information, such as IP addresses, contact information of users who connect with dealers, credit applications and other financial data, and profile information of users who create accounts on our marketplaces, as well as dealers’ information. We also process and store personal and confidential information of our vendors, partners, and employees, and we employ third-party service providers, such as payment processing providers, who also regularly have access to customer and consumer data. Some of this information may be private, and security breaches against us or our third-party service providers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and we also rely on our third-party service providers to use sufficient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Times New Roman" w:hAnsi="Times New Roman"/>
          <w:sz w:val="20"/>
        </w:rPr>
      </w:pPr>
      <w:r>
        <w:rPr>
          <w:rFonts w:ascii="Calibri;sans-serif" w:hAnsi="Calibri;sans-serif"/>
          <w:b w:val="false"/>
          <w:sz w:val="20"/>
        </w:rPr>
        <w:t>security measures to protect such information. Despite all of our efforts to protect this information and data, none of our security measures or those of our third-party service providers provide absolute security, and they may not be effective in preventing a future failure of our systems. Like all information systems and technology, our websites, mobile applications, and information systems, and those of our third-party service providers, are subject to computer viruses, break-ins, phishing attacks, attempts to overload the systems with denial-of-service or other attacks, ransomware, and similar incidents or disruptions from unauthorized use of our or our third-party service providers’ computer systems, any of which could lead to interruptions, delays, or website shutdowns, and could cause loss of critical data and the unauthorized disclosure, access, acquisition, alteration, and use of personal or other confidential information. If we or our third-party service providers experience compromises to data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pStyle w:val="TextBody"/>
        <w:bidi w:val="0"/>
        <w:spacing w:before="60" w:after="60"/>
        <w:jc w:val="both"/>
        <w:rPr>
          <w:rFonts w:ascii="Calibri;sans-serif" w:hAnsi="Calibri;sans-serif"/>
          <w:b w:val="false"/>
          <w:sz w:val="20"/>
        </w:rPr>
      </w:pPr>
      <w:r>
        <w:rPr>
          <w:rFonts w:ascii="Calibri;sans-serif" w:hAnsi="Calibri;sans-serif"/>
          <w:b w:val="false"/>
          <w:sz w:val="20"/>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 Although we carry privacy, data breach, and network security liability insurance, we cannot be certain that our coverage will be adequate for liabilities actually incurred or sufficient to compensate us for the potentially significant losses, or that insurance will continue to be available to us on economically reasonable terms or at all.</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 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which we refer to collectively as the Privacy Regulations. The Privacy Regulations include, but are not limited to, the European Union’s, or EU, General Data Protection Regulation and the California Consumer Privacy Act. Certain of the Privacy Regulations have already required, and certain others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Privacy Regulations and other statutory requirements.</w:t>
      </w:r>
    </w:p>
    <w:p>
      <w:pPr>
        <w:pStyle w:val="TextBody"/>
        <w:bidi w:val="0"/>
        <w:spacing w:before="60" w:after="60"/>
        <w:jc w:val="both"/>
        <w:rPr>
          <w:rFonts w:ascii="Times New Roman" w:hAnsi="Times New Roman"/>
          <w:sz w:val="20"/>
        </w:rPr>
      </w:pPr>
      <w:r>
        <w:rPr>
          <w:rFonts w:ascii="Calibri;sans-serif" w:hAnsi="Calibri;sans-serif"/>
          <w:b w:val="false"/>
          <w:sz w:val="20"/>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pStyle w:val="TextBody"/>
        <w:bidi w:val="0"/>
        <w:spacing w:before="60" w:after="60"/>
        <w:jc w:val="both"/>
        <w:rPr>
          <w:rFonts w:ascii="Calibri;sans-serif" w:hAnsi="Calibri;sans-serif"/>
          <w:b/>
          <w:i/>
          <w:sz w:val="20"/>
        </w:rPr>
      </w:pPr>
      <w:r>
        <w:rPr>
          <w:rFonts w:ascii="Calibri;sans-serif" w:hAnsi="Calibri;sans-serif"/>
          <w:b/>
          <w:i/>
          <w:sz w:val="20"/>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pStyle w:val="TextBody"/>
        <w:bidi w:val="0"/>
        <w:spacing w:before="60" w:after="60"/>
        <w:jc w:val="both"/>
        <w:rPr>
          <w:rFonts w:ascii="Times New Roman" w:hAnsi="Times New Roman"/>
          <w:sz w:val="20"/>
        </w:rPr>
      </w:pPr>
      <w:r>
        <w:rPr>
          <w:rFonts w:ascii="Calibri;sans-serif" w:hAnsi="Calibri;sans-serif"/>
          <w:b w:val="false"/>
          <w:sz w:val="20"/>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 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r>
        <w:rPr>
          <w:rFonts w:ascii="Times New Roman" w:hAnsi="Times New Roman"/>
          <w:sz w:val="20"/>
        </w:rPr>
        <w:t xml:space="preserve"> </w:t>
      </w:r>
    </w:p>
    <w:p>
      <w:pPr>
        <w:pStyle w:val="TextBody"/>
        <w:bidi w:val="0"/>
        <w:spacing w:before="60" w:after="60"/>
        <w:jc w:val="both"/>
        <w:rPr>
          <w:rFonts w:ascii="Calibri;sans-serif" w:hAnsi="Calibri;sans-serif"/>
          <w:b/>
          <w:i/>
          <w:sz w:val="20"/>
        </w:rPr>
      </w:pPr>
      <w:r>
        <w:rPr>
          <w:rFonts w:ascii="Calibri;sans-serif" w:hAnsi="Calibri;sans-serif"/>
          <w:b/>
          <w:i/>
          <w:sz w:val="20"/>
        </w:rPr>
        <w:t>We have been, and may again be, subject to intellectual property disputes, which are costly to defend and could harm our business and operating results.</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have been, and expect in the future to be, subject to claims and litigation alleging that we or content on our websites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which could require significant effort and expense and may ultimately not be successful.</w:t>
      </w:r>
    </w:p>
    <w:p>
      <w:pPr>
        <w:pStyle w:val="TextBody"/>
        <w:bidi w:val="0"/>
        <w:spacing w:before="60" w:after="60"/>
        <w:jc w:val="both"/>
        <w:rPr>
          <w:rFonts w:ascii="Calibri;sans-serif" w:hAnsi="Calibri;sans-serif"/>
          <w:b w:val="false"/>
          <w:sz w:val="20"/>
        </w:rPr>
      </w:pPr>
      <w:r>
        <w:rPr>
          <w:rFonts w:ascii="Calibri;sans-serif" w:hAnsi="Calibri;sans-serif"/>
          <w:b w:val="false"/>
          <w:sz w:val="20"/>
        </w:rPr>
        <w:t>In addition, we use open source software in our platform and will use open source software in the future. From time to time, we may face claims regarding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pStyle w:val="TextBody"/>
        <w:bidi w:val="0"/>
        <w:spacing w:before="60" w:after="60"/>
        <w:jc w:val="both"/>
        <w:rPr>
          <w:rFonts w:ascii="Calibri;sans-serif" w:hAnsi="Calibri;sans-serif"/>
          <w:b/>
          <w:i/>
          <w:sz w:val="20"/>
        </w:rPr>
      </w:pPr>
      <w:r>
        <w:rPr>
          <w:rFonts w:ascii="Calibri;sans-serif" w:hAnsi="Calibri;sans-serif"/>
          <w:b/>
          <w:i/>
          <w:sz w:val="20"/>
        </w:rPr>
        <w:t>Failure to adequately protect our intellectual property could harm our business and operating results.</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pStyle w:val="TextBody"/>
        <w:bidi w:val="0"/>
        <w:spacing w:before="60" w:after="60"/>
        <w:jc w:val="both"/>
        <w:rPr>
          <w:rFonts w:ascii="Times New Roman" w:hAnsi="Times New Roman"/>
          <w:sz w:val="20"/>
        </w:rPr>
      </w:pPr>
      <w:r>
        <w:rPr>
          <w:rFonts w:ascii="Calibri;sans-serif" w:hAnsi="Calibri;sans-serif"/>
          <w:b w:val="false"/>
          <w:sz w:val="20"/>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third-party trademarks that incorporate variations of our trademarks. We have registered the CARGURUS and CG logos, as well as the word-mark CARGURUS, in the United States, Canada, and the United Kingdom. Additionally, CarOffer has a number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Times New Roman" w:hAnsi="Times New Roman"/>
          <w:sz w:val="20"/>
        </w:rPr>
      </w:pPr>
      <w:r>
        <w:rPr>
          <w:rFonts w:ascii="Calibri;sans-serif" w:hAnsi="Calibri;sans-serif"/>
          <w:b w:val="false"/>
          <w:sz w:val="20"/>
        </w:rPr>
        <w:t>of registered and unregistered trademarks, including “CarOffer” and the CarOffer logo, and related marks, which CarOffer has registered as trademarks in the United States.</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pStyle w:val="TextBody"/>
        <w:bidi w:val="0"/>
        <w:spacing w:before="60" w:after="60"/>
        <w:jc w:val="both"/>
        <w:rPr>
          <w:rFonts w:ascii="Calibri;sans-serif" w:hAnsi="Calibri;sans-serif"/>
          <w:b/>
          <w:i/>
          <w:sz w:val="20"/>
        </w:rPr>
      </w:pPr>
      <w:r>
        <w:rPr>
          <w:rFonts w:ascii="Calibri;sans-serif" w:hAnsi="Calibri;sans-serif"/>
          <w:b/>
          <w:i/>
          <w:sz w:val="20"/>
        </w:rPr>
        <w:t>We may be unable to halt the operations of websites that aggregate or misappropriate our data.</w:t>
      </w:r>
    </w:p>
    <w:p>
      <w:pPr>
        <w:pStyle w:val="TextBody"/>
        <w:bidi w:val="0"/>
        <w:spacing w:before="60" w:after="60"/>
        <w:jc w:val="both"/>
        <w:rPr>
          <w:rFonts w:ascii="Calibri;sans-serif" w:hAnsi="Calibri;sans-serif"/>
          <w:b w:val="false"/>
          <w:sz w:val="20"/>
        </w:rPr>
      </w:pPr>
      <w:r>
        <w:rPr>
          <w:rFonts w:ascii="Calibri;sans-serif" w:hAnsi="Calibri;sans-serif"/>
          <w:b w:val="false"/>
          <w:sz w:val="20"/>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We may be unable to detect and remedy all such activities in a timely and adequate manner.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pStyle w:val="TextBody"/>
        <w:bidi w:val="0"/>
        <w:spacing w:before="60" w:after="60"/>
        <w:jc w:val="both"/>
        <w:rPr>
          <w:rFonts w:ascii="Calibri;sans-serif" w:hAnsi="Calibri;sans-serif"/>
          <w:b/>
          <w:i/>
          <w:sz w:val="20"/>
        </w:rPr>
      </w:pPr>
      <w:r>
        <w:rPr>
          <w:rFonts w:ascii="Calibri;sans-serif" w:hAnsi="Calibri;sans-serif"/>
          <w:b/>
          <w:i/>
          <w:sz w:val="20"/>
        </w:rPr>
        <w:t>Seasonality and other factors may cause fluctuations in our operating results and our marketing spend.</w:t>
      </w:r>
    </w:p>
    <w:p>
      <w:pPr>
        <w:pStyle w:val="TextBody"/>
        <w:bidi w:val="0"/>
        <w:spacing w:before="60" w:after="60"/>
        <w:jc w:val="both"/>
        <w:rPr>
          <w:rFonts w:ascii="Calibri;sans-serif" w:hAnsi="Calibri;sans-serif"/>
          <w:b w:val="false"/>
          <w:sz w:val="20"/>
        </w:rPr>
      </w:pPr>
      <w:r>
        <w:rPr>
          <w:rFonts w:ascii="Calibri;sans-serif" w:hAnsi="Calibri;sans-serif"/>
          <w:b w:val="false"/>
          <w:sz w:val="20"/>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any macroeconomic-related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can fluctuate from quarter to quarter as a result of macroeconomic issues, which may have a corresponding impact on our results of operations. This variability is due to several factors including the timing of used vehicles available for sale from selling customers, the seasonality of the retail market for used vehicles, and/or inventory challenges in the automotive industry, which affect the demand side of the wholesale industry. This variability has affected our Digital Wholesale segment in the past, and may continue to in the future.</w:t>
      </w:r>
    </w:p>
    <w:p>
      <w:pPr>
        <w:pStyle w:val="TextBody"/>
        <w:bidi w:val="0"/>
        <w:spacing w:before="60" w:after="60"/>
        <w:jc w:val="both"/>
        <w:rPr>
          <w:rFonts w:ascii="Calibri;sans-serif" w:hAnsi="Calibri;sans-serif"/>
          <w:b/>
          <w:i/>
          <w:sz w:val="20"/>
        </w:rPr>
      </w:pPr>
      <w:r>
        <w:rPr>
          <w:rFonts w:ascii="Calibri;sans-serif" w:hAnsi="Calibri;sans-serif"/>
          <w:b/>
          <w:i/>
          <w:sz w:val="20"/>
        </w:rPr>
        <w:t>Failure to deal effectively with fraud or other illegal activity could harm our business.</w:t>
      </w:r>
    </w:p>
    <w:p>
      <w:pPr>
        <w:pStyle w:val="TextBody"/>
        <w:bidi w:val="0"/>
        <w:spacing w:before="60" w:after="60"/>
        <w:jc w:val="both"/>
        <w:rPr>
          <w:rFonts w:ascii="Calibri;sans-serif" w:hAnsi="Calibri;sans-serif"/>
          <w:b w:val="false"/>
          <w:sz w:val="20"/>
        </w:rPr>
      </w:pPr>
      <w:r>
        <w:rPr>
          <w:rFonts w:ascii="Calibri;sans-serif" w:hAnsi="Calibri;sans-serif"/>
          <w:b w:val="false"/>
          <w:sz w:val="20"/>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now or in the future. Failure to limit the impact of fraudulent and illegal activity on our websites could lead to potential legal liability, harm our business, cause us to lose paying dealer customers, and adversely affect our reputation, financial performance, and growth prospects.</w:t>
      </w:r>
    </w:p>
    <w:p>
      <w:pPr>
        <w:pStyle w:val="TextBody"/>
        <w:bidi w:val="0"/>
        <w:spacing w:before="60" w:after="60"/>
        <w:jc w:val="both"/>
        <w:rPr>
          <w:rFonts w:ascii="Times New Roman" w:hAnsi="Times New Roman"/>
          <w:sz w:val="20"/>
        </w:rPr>
      </w:pPr>
      <w:r>
        <w:rPr>
          <w:rFonts w:ascii="Calibri;sans-serif" w:hAnsi="Calibri;sans-serif"/>
          <w:b/>
          <w:i/>
          <w:sz w:val="20"/>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have identified deficiencies in controls at our CarOffer subsidiary. These deficiencies include controls over (i) certain IT general controls for systems that are relevant to the preparation of our financial statements and (ii) our financial statement close process, which in the aggregate constitute a material weakness. While this material weakness did not result in a material misstatement of our financial statements, it could impact the effectiveness of our segregation of duties controls, as well as the effectiveness of IT-dependent controls, which could result in misstatement(s) impacting financial statement accounts and disclosures, resulting in a material misstatement of our annual or interim financial statements that we would have failed to prevent or detect. As a result of this material weakness, our management concluded that our disclosure controls and procedures were not effective as of June 30, 2023.</w:t>
      </w:r>
    </w:p>
    <w:p>
      <w:pPr>
        <w:pStyle w:val="TextBody"/>
        <w:bidi w:val="0"/>
        <w:spacing w:before="60" w:after="60"/>
        <w:jc w:val="both"/>
        <w:rPr>
          <w:rFonts w:ascii="Times New Roman" w:hAnsi="Times New Roman"/>
          <w:sz w:val="20"/>
        </w:rPr>
      </w:pPr>
      <w:r>
        <w:rPr>
          <w:rFonts w:ascii="Calibri;sans-serif" w:hAnsi="Calibri;sans-serif"/>
          <w:b w:val="false"/>
          <w:sz w:val="20"/>
        </w:rPr>
        <w:t>We have implemented a remediation plan designed to improve our internal control over financial reporting to remediate this material weakness. This remediation plan includes implementation of additional controls and procedures, including timely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performance of user access and change management reviews, as well as an effective review of journal entries and accounts reconciliations. We cannot assure you that the measures we have taken to date, and actions we may take in the future, will be sufficient to remediate the control deficiencies that led to the material weakness in our internal control over financial reporting or that they will prevent or avoid potential future material weaknesses. If we are unable to successfully remediate the material weakness in our internal control over financial reporting, the accuracy and timing of our financial reporting may be adversely affected,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w:t>
      </w:r>
    </w:p>
    <w:p>
      <w:pPr>
        <w:pStyle w:val="TextBody"/>
        <w:bidi w:val="0"/>
        <w:spacing w:before="60" w:after="60"/>
        <w:jc w:val="both"/>
        <w:rPr>
          <w:rFonts w:ascii="Calibri;sans-serif" w:hAnsi="Calibri;sans-serif"/>
          <w:b/>
          <w:i/>
          <w:sz w:val="20"/>
        </w:rPr>
      </w:pPr>
      <w:r>
        <w:rPr>
          <w:rFonts w:ascii="Calibri;sans-serif" w:hAnsi="Calibri;sans-serif"/>
          <w:b/>
          <w:i/>
          <w:sz w:val="20"/>
        </w:rPr>
        <w:t>The 2022 Revolver contains certain covenants and other restrictions on our actions that may limit our operational flexibility or otherwise adversely affect our results of operations.</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terms of the 2022 Revolver include a number of covenants that limit our ability to, among other things, grant or incur liens, incur additional indebtedness, make certain restricted investments or payments, enter into certain mergers and acquisitions, or engage in certain asset sales, subject in each case to certain exceptions. In addition, the 2022 Revolver also subjects us to financial covenants in respect of minimum liquidity and requires that we maintain a net leverage ratio. The terms of the 2022 Revolver may restrict our current and future operations and could adversely affect our ability to finance our future operations or capital needs. Complying with these covenants may make it more difficult for us to successfully execute our business strategy and compete against companies which are not subject to such restrictions. Further, interest rate fluctuations may materially adversely affect our results of operations and financial conditions due to the variable interest rate on the 2022 Revolver, in the event that we draw down funds thereunder.</w:t>
      </w:r>
    </w:p>
    <w:p>
      <w:pPr>
        <w:pStyle w:val="TextBody"/>
        <w:bidi w:val="0"/>
        <w:spacing w:before="60" w:after="60"/>
        <w:jc w:val="both"/>
        <w:rPr>
          <w:rFonts w:ascii="Calibri;sans-serif" w:hAnsi="Calibri;sans-serif"/>
          <w:b w:val="false"/>
          <w:sz w:val="20"/>
        </w:rPr>
      </w:pPr>
      <w:r>
        <w:rPr>
          <w:rFonts w:ascii="Calibri;sans-serif" w:hAnsi="Calibri;sans-serif"/>
          <w:b w:val="false"/>
          <w:sz w:val="20"/>
        </w:rPr>
        <w:t>A failure by us to comply with the covenants or payment requirements specified in the 2022 Revolver could result in an event of default, which would give the lenders the right to terminate their commitments to provide loans under the 2022 Revolver and to declare any borrowings outstanding, together with any accrued and unpaid interest and fees, to be immediately due and payable. If any debt under the 2022 Revolver were to be accelerated, we may not have sufficient cash or be able to borrow sufficient funds to refinance the debt or sell sufficient assets to repay the debt, which could immediately adversely affect our business, cash flows, results of operations, and financial condition. Even if we were able to obtain new financing, it may not be on commercially reasonable terms or on terms that are acceptable to us. As of June 30, 2023, there were no amounts outstanding under the 2022 Revolver.</w:t>
      </w:r>
    </w:p>
    <w:p>
      <w:pPr>
        <w:pStyle w:val="TextBody"/>
        <w:bidi w:val="0"/>
        <w:spacing w:before="60" w:after="60"/>
        <w:jc w:val="both"/>
        <w:rPr>
          <w:rFonts w:ascii="Calibri;sans-serif" w:hAnsi="Calibri;sans-serif"/>
          <w:b/>
          <w:sz w:val="20"/>
        </w:rPr>
      </w:pPr>
      <w:r>
        <w:rPr>
          <w:rFonts w:ascii="Calibri;sans-serif" w:hAnsi="Calibri;sans-serif"/>
          <w:b/>
          <w:sz w:val="20"/>
        </w:rPr>
        <w:t>Risks Related to Our Class A Common Stock</w:t>
      </w:r>
    </w:p>
    <w:p>
      <w:pPr>
        <w:pStyle w:val="TextBody"/>
        <w:bidi w:val="0"/>
        <w:spacing w:before="60" w:after="60"/>
        <w:jc w:val="both"/>
        <w:rPr>
          <w:rFonts w:ascii="Calibri;sans-serif" w:hAnsi="Calibri;sans-serif"/>
          <w:b/>
          <w:i/>
          <w:sz w:val="20"/>
        </w:rPr>
      </w:pPr>
      <w:r>
        <w:rPr>
          <w:rFonts w:ascii="Calibri;sans-serif" w:hAnsi="Calibri;sans-serif"/>
          <w:b/>
          <w:i/>
          <w:sz w:val="20"/>
        </w:rPr>
        <w:t>Our founder controls a majority of the voting power of our outstanding capital stock, and, therefore, has control over key decision-making and could control our actions in a manner that conflicts with the interests of other stockholders.</w:t>
      </w:r>
    </w:p>
    <w:p>
      <w:pPr>
        <w:pStyle w:val="TextBody"/>
        <w:bidi w:val="0"/>
        <w:spacing w:before="60" w:after="60"/>
        <w:jc w:val="both"/>
        <w:rPr>
          <w:rFonts w:ascii="Calibri;sans-serif" w:hAnsi="Calibri;sans-serif"/>
          <w:b w:val="false"/>
          <w:sz w:val="20"/>
        </w:rPr>
      </w:pPr>
      <w:r>
        <w:rPr>
          <w:rFonts w:ascii="Calibri;sans-serif" w:hAnsi="Calibri;sans-serif"/>
          <w:b w:val="false"/>
          <w:sz w:val="20"/>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included as Exhibit 3.1 to our Annual Report),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our Class B common stock into Class A common stock in accordance with its terms, or otherwise, our business, or the trading price of our Class A common stock may be adversely affected.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i/>
          <w:sz w:val="20"/>
        </w:rPr>
      </w:pPr>
      <w:r>
        <w:rPr>
          <w:rFonts w:ascii="Calibri;sans-serif" w:hAnsi="Calibri;sans-serif"/>
          <w:b/>
          <w:i/>
          <w:sz w:val="20"/>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 Additionally, 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pStyle w:val="TextBody"/>
        <w:bidi w:val="0"/>
        <w:spacing w:before="60" w:after="60"/>
        <w:jc w:val="both"/>
        <w:rPr>
          <w:rFonts w:ascii="Calibri;sans-serif" w:hAnsi="Calibri;sans-serif"/>
          <w:b/>
          <w:i/>
          <w:sz w:val="20"/>
        </w:rPr>
      </w:pPr>
      <w:r>
        <w:rPr>
          <w:rFonts w:ascii="Calibri;sans-serif" w:hAnsi="Calibri;sans-serif"/>
          <w:b/>
          <w:i/>
          <w:sz w:val="20"/>
        </w:rPr>
        <w:t>Our status as a “controlled company” could make our Class A common stock less attractive to some investors or otherwise harm the trading price of our Class A common stock.</w:t>
      </w:r>
    </w:p>
    <w:p>
      <w:pPr>
        <w:pStyle w:val="TextBody"/>
        <w:bidi w:val="0"/>
        <w:spacing w:before="60" w:after="60"/>
        <w:jc w:val="both"/>
        <w:rPr>
          <w:rFonts w:ascii="Calibri;sans-serif" w:hAnsi="Calibri;sans-serif"/>
          <w:b w:val="false"/>
          <w:sz w:val="20"/>
        </w:rPr>
      </w:pPr>
      <w:r>
        <w:rPr>
          <w:rFonts w:ascii="Calibri;sans-serif" w:hAnsi="Calibri;sans-serif"/>
          <w:b w:val="false"/>
          <w:sz w:val="20"/>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pStyle w:val="TextBody"/>
        <w:bidi w:val="0"/>
        <w:spacing w:before="60" w:after="60"/>
        <w:jc w:val="both"/>
        <w:rPr>
          <w:rFonts w:ascii="Calibri;sans-serif" w:hAnsi="Calibri;sans-serif"/>
          <w:b/>
          <w:i/>
          <w:sz w:val="20"/>
        </w:rPr>
      </w:pPr>
      <w:r>
        <w:rPr>
          <w:rFonts w:ascii="Calibri;sans-serif" w:hAnsi="Calibri;sans-serif"/>
          <w:b/>
          <w:i/>
          <w:sz w:val="20"/>
        </w:rPr>
        <w:t>The trading price of our Class A common stock has been and may continue to be volatile and the value of our stockholders’ investment in our stock could decline.</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changes in the operating performance and stock market valuations of other technology companies generally, or those in our industry in particular; sales of shares of our Class A common stock by us or our stockholders; adverse changes to recommendations regarding our stock by covering securities analysts;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public health emergencies, such as the COVID-19 pandemic; and general economic conditions.</w:t>
      </w:r>
    </w:p>
    <w:p>
      <w:pPr>
        <w:pStyle w:val="TextBody"/>
        <w:bidi w:val="0"/>
        <w:spacing w:before="60" w:after="60"/>
        <w:jc w:val="both"/>
        <w:rPr/>
      </w:pPr>
      <w:r>
        <w:rPr/>
        <w:t> </w:t>
      </w:r>
    </w:p>
    <w:p>
      <w:pPr>
        <w:pStyle w:val="TextBody"/>
        <w:bidi w:val="0"/>
        <w:spacing w:before="60" w:after="60"/>
        <w:jc w:val="both"/>
        <w:rPr>
          <w:rFonts w:ascii="Calibri;sans-serif" w:hAnsi="Calibri;sans-serif"/>
          <w:b/>
          <w:i/>
          <w:sz w:val="20"/>
        </w:rPr>
      </w:pPr>
      <w:r>
        <w:rPr>
          <w:rFonts w:ascii="Calibri;sans-serif" w:hAnsi="Calibri;sans-serif"/>
          <w:b/>
          <w:i/>
          <w:sz w:val="20"/>
        </w:rPr>
        <w:t>We cannot guarantee that the Share Repurchase Program will be fully implemented or that it will enhance stockholder value, and share repurchases could affect the price of our Class A common stock.</w:t>
      </w:r>
    </w:p>
    <w:p>
      <w:pPr>
        <w:pStyle w:val="TextBody"/>
        <w:bidi w:val="0"/>
        <w:spacing w:before="60" w:after="60"/>
        <w:jc w:val="both"/>
        <w:rPr>
          <w:rFonts w:ascii="Calibri;sans-serif" w:hAnsi="Calibri;sans-serif"/>
          <w:b w:val="false"/>
          <w:sz w:val="20"/>
        </w:rPr>
      </w:pPr>
      <w:r>
        <w:rPr>
          <w:rFonts w:ascii="Calibri;sans-serif" w:hAnsi="Calibri;sans-serif"/>
          <w:b w:val="false"/>
          <w:sz w:val="20"/>
        </w:rPr>
        <w:t>In December 2022 our Board of Directors authorized the Share Repurchase Program pursuant to which we may, from time to time, purchase shares of our Class A common stock for an aggregate purchase price not to exceed $250.0 million, with an expiration date of December 31, 2023. Share repurchases under the Share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Share Repurchase Program does not obligate us to repurchase any minimum dollar amount or number of shares, and the Share Repurchase Program may be modified, suspended, or discontinued by our Board of Directors at any time, which may result in a decrease in the price of our Class A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Repurchases under the Share Repurchase Program will decrease the number of outstanding shares of our Class A common stock and therefore could affect the price of our Class A common stock and increase its volatility. The existence of the Share Repurchase Program could also cause the price of our Class A common stock to be higher than it would be in the absence of such a program and could reduce the market liquidity for our Class A common stock. Additionally, repurchases under the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the Share Repurchase Program is intended to enhance long-term stockholder value, short-term price fluctuations could reduce the Share Repurchase Program’s effectiveness.</w:t>
      </w:r>
    </w:p>
    <w:p>
      <w:pPr>
        <w:pStyle w:val="TextBody"/>
        <w:bidi w:val="0"/>
        <w:spacing w:before="60" w:after="60"/>
        <w:jc w:val="both"/>
        <w:rPr>
          <w:rFonts w:ascii="Calibri;sans-serif" w:hAnsi="Calibri;sans-serif"/>
          <w:b/>
          <w:sz w:val="20"/>
        </w:rPr>
      </w:pPr>
      <w:r>
        <w:rPr>
          <w:rFonts w:ascii="Calibri;sans-serif" w:hAnsi="Calibri;sans-serif"/>
          <w:b/>
          <w:sz w:val="20"/>
        </w:rPr>
        <w:t>General Risk Factors</w:t>
      </w:r>
    </w:p>
    <w:p>
      <w:pPr>
        <w:pStyle w:val="TextBody"/>
        <w:bidi w:val="0"/>
        <w:spacing w:before="60" w:after="60"/>
        <w:jc w:val="both"/>
        <w:rPr>
          <w:rFonts w:ascii="Calibri;sans-serif" w:hAnsi="Calibri;sans-serif"/>
          <w:b/>
          <w:i/>
          <w:sz w:val="20"/>
        </w:rPr>
      </w:pPr>
      <w:r>
        <w:rPr>
          <w:rFonts w:ascii="Calibri;sans-serif" w:hAnsi="Calibri;sans-serif"/>
          <w:b/>
          <w:i/>
          <w:sz w:val="20"/>
        </w:rPr>
        <w:t>We participate in a highly competitive market, and pressure from existing and new companies may adversely affect our business and operating results.</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 Furthermore, 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pStyle w:val="TextBody"/>
        <w:bidi w:val="0"/>
        <w:spacing w:before="60" w:after="60"/>
        <w:jc w:val="both"/>
        <w:rPr>
          <w:rFonts w:ascii="Calibri;sans-serif" w:hAnsi="Calibri;sans-serif"/>
          <w:b/>
          <w:i/>
          <w:sz w:val="20"/>
        </w:rPr>
      </w:pPr>
      <w:r>
        <w:rPr>
          <w:rFonts w:ascii="Calibri;sans-serif" w:hAnsi="Calibri;sans-serif"/>
          <w:b/>
          <w:i/>
          <w:sz w:val="20"/>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pStyle w:val="TextBody"/>
        <w:bidi w:val="0"/>
        <w:spacing w:before="60" w:after="60"/>
        <w:jc w:val="both"/>
        <w:rPr>
          <w:rFonts w:ascii="Times New Roman" w:hAnsi="Times New Roman"/>
          <w:sz w:val="20"/>
        </w:rPr>
      </w:pPr>
      <w:r>
        <w:rPr>
          <w:rFonts w:ascii="Calibri;sans-serif" w:hAnsi="Calibri;sans-serif"/>
          <w:b w:val="false"/>
          <w:sz w:val="20"/>
        </w:rPr>
        <w:t>We are required, pursuant to Section 404 of the Sarbanes-Oxley Act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such as those described above. 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the material weakness described above and/or any future material weaknesses that may be identified,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 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60" w:after="60"/>
        <w:jc w:val="both"/>
        <w:rPr>
          <w:rFonts w:ascii="Calibri;sans-serif" w:hAnsi="Calibri;sans-serif"/>
          <w:b w:val="false"/>
          <w:sz w:val="20"/>
        </w:rPr>
      </w:pPr>
      <w:r>
        <w:rPr>
          <w:rFonts w:ascii="Calibri;sans-serif" w:hAnsi="Calibri;sans-serif"/>
          <w:b w:val="false"/>
          <w:sz w:val="20"/>
        </w:rPr>
        <w:t>common stock could decline, and we could be subject to sanctions or investigations by Nasdaq, the SEC or other regulatory authorities. Failure to remedy the material weakness described above and/or any future material weaknesses that may be identified, or to implement or maintain other effective control systems required of public companies, could also restrict our future access to the capital markets.</w:t>
      </w:r>
    </w:p>
    <w:p>
      <w:pPr>
        <w:pStyle w:val="TextBody"/>
        <w:bidi w:val="0"/>
        <w:spacing w:before="60" w:after="60"/>
        <w:jc w:val="both"/>
        <w:rPr>
          <w:rFonts w:ascii="Calibri;sans-serif" w:hAnsi="Calibri;sans-serif"/>
          <w:b/>
          <w:i/>
          <w:sz w:val="20"/>
        </w:rPr>
      </w:pPr>
      <w:r>
        <w:rPr>
          <w:rFonts w:ascii="Calibri;sans-serif" w:hAnsi="Calibri;sans-serif"/>
          <w:b/>
          <w:i/>
          <w:sz w:val="20"/>
        </w:rPr>
        <w:t>We expect our results of operations to fluctuate on a quarterly and annual basis.</w:t>
      </w:r>
    </w:p>
    <w:p>
      <w:pPr>
        <w:pStyle w:val="TextBody"/>
        <w:bidi w:val="0"/>
        <w:spacing w:before="60" w:after="60"/>
        <w:jc w:val="both"/>
        <w:rPr>
          <w:rFonts w:ascii="Calibri;sans-serif" w:hAnsi="Calibri;sans-serif"/>
          <w:b w:val="false"/>
          <w:sz w:val="20"/>
        </w:rPr>
      </w:pPr>
      <w:r>
        <w:rPr>
          <w:rFonts w:ascii="Calibri;sans-serif" w:hAnsi="Calibri;sans-serif"/>
          <w:b w:val="false"/>
          <w:sz w:val="20"/>
        </w:rPr>
        <w:t>Our revenue and results of operations could vary significantly from period to period and may fail to match expectations as a result of a variety of factors, some of which are outside of our control, including the lingering effects of the COVID-19 pandemic and other macroeconomic issues, such as increased interest rates. Our results may vary as a result of fluctuations in the number of dealers subscribing to our marketplaces, the size and seasonal variability of our advertisers’ marketing budgets, and the impact of vehicle arbitrations, volume, and prices in a given period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covering analysts, which may adversely affect the trading price of our Class A common stock.</w:t>
      </w:r>
    </w:p>
    <w:p>
      <w:pPr>
        <w:pStyle w:val="TextBody"/>
        <w:bidi w:val="0"/>
        <w:spacing w:before="60" w:after="60"/>
        <w:jc w:val="both"/>
        <w:rPr>
          <w:rFonts w:ascii="Calibri;sans-serif" w:hAnsi="Calibri;sans-serif"/>
          <w:b/>
          <w:i/>
          <w:sz w:val="20"/>
        </w:rPr>
      </w:pPr>
      <w:r>
        <w:rPr>
          <w:rFonts w:ascii="Calibri;sans-serif" w:hAnsi="Calibri;sans-serif"/>
          <w:b/>
          <w:i/>
          <w:sz w:val="20"/>
        </w:rPr>
        <w:t>We could be subject to adverse changes in tax laws, regulations and interpretations, plus challenges to our tax positions.</w:t>
      </w:r>
    </w:p>
    <w:p>
      <w:pPr>
        <w:pStyle w:val="TextBody"/>
        <w:bidi w:val="0"/>
        <w:spacing w:before="60" w:after="60"/>
        <w:jc w:val="both"/>
        <w:rPr>
          <w:rFonts w:ascii="Calibri;sans-serif" w:hAnsi="Calibri;sans-serif"/>
          <w:b w:val="false"/>
          <w:sz w:val="20"/>
        </w:rPr>
      </w:pPr>
      <w:r>
        <w:rPr>
          <w:rFonts w:ascii="Calibri;sans-serif" w:hAnsi="Calibri;sans-serif"/>
          <w:b w:val="false"/>
          <w:sz w:val="20"/>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recent U.S. Supreme Court and Massachusetts Supreme Court decisions, which could precipitate reactions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pStyle w:val="TextBody"/>
        <w:bidi w:val="0"/>
        <w:spacing w:before="60" w:after="60"/>
        <w:jc w:val="both"/>
        <w:rPr>
          <w:rFonts w:ascii="Calibri;sans-serif" w:hAnsi="Calibri;sans-serif"/>
          <w:b/>
          <w:i/>
          <w:sz w:val="20"/>
        </w:rPr>
      </w:pPr>
      <w:r>
        <w:rPr>
          <w:rFonts w:ascii="Calibri;sans-serif" w:hAnsi="Calibri;sans-serif"/>
          <w:b/>
          <w:i/>
          <w:sz w:val="20"/>
        </w:rPr>
        <w:t>COVID-19 may adversely impact our business operations, financial performance, and results of operations.</w:t>
      </w:r>
    </w:p>
    <w:p>
      <w:pPr>
        <w:pStyle w:val="TextBody"/>
        <w:bidi w:val="0"/>
        <w:spacing w:before="60" w:after="60"/>
        <w:jc w:val="both"/>
        <w:rPr>
          <w:rFonts w:ascii="Times New Roman" w:hAnsi="Times New Roman"/>
          <w:sz w:val="20"/>
        </w:rPr>
      </w:pPr>
      <w:r>
        <w:rPr>
          <w:rFonts w:ascii="Calibri;sans-serif" w:hAnsi="Calibri;sans-serif"/>
          <w:b w:val="false"/>
          <w:sz w:val="20"/>
        </w:rPr>
        <w:t>Our operations have been and may continue to be materially adversely affected by a range of factors related to COVID-19, including periodic changes in restrictions that vary from region to region in which we operate and may require rapid response to new or reinstated orders. Many of these orders resulted in, and, to the extent reinstated, may in the future result in, changes to our on-site work policies and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COVID-19 have impacted car shopping by consumers and disrupted the operations of dealerships, which has adversely affected and may continue to adversely affect the market for automobile purchases.</w:t>
      </w:r>
      <w:r>
        <w:rPr>
          <w:rFonts w:ascii="Times New Roman" w:hAnsi="Times New Roman"/>
          <w:sz w:val="20"/>
        </w:rPr>
        <w:t xml:space="preserve"> </w:t>
      </w:r>
    </w:p>
    <w:p>
      <w:pPr>
        <w:pStyle w:val="TextBody"/>
        <w:bidi w:val="0"/>
        <w:spacing w:before="60" w:after="60"/>
        <w:jc w:val="both"/>
        <w:rPr>
          <w:rFonts w:ascii="Times New Roman" w:hAnsi="Times New Roman"/>
          <w:sz w:val="20"/>
        </w:rPr>
      </w:pPr>
      <w:r>
        <w:rPr>
          <w:rFonts w:ascii="Calibri;sans-serif" w:hAnsi="Calibri;sans-serif"/>
          <w:b w:val="false"/>
          <w:sz w:val="20"/>
        </w:rPr>
        <w:t>These effects from the COVID-19 pandemic on our revenue caused us to implement certain cost-savings measures across our business, which previously disrupted our business and operations. Any future cost-savings measures implemented by us due to macroeconomic issues may affect our future business and operations and yield unintended consequences, such as loss of key employees, increased costs in hiring new employees, undesired attrition, and the risk that we may not achieve anticipated cost savings at the levels we expect, any of which may have a material adverse effect on our results of operations and/or financial condition.</w:t>
      </w:r>
      <w:r>
        <w:rPr>
          <w:rFonts w:ascii="Times New Roman" w:hAnsi="Times New Roman"/>
          <w:sz w:val="20"/>
        </w:rPr>
        <w:t xml:space="preserve"> </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global outbreak of COVID-19 continues to evolve, and significant adverse changes in the spread or severity of COVID-19 infections and the resulting economic impact could have a material adverse effect on our business operations, financial performance, and results of operations.</w:t>
      </w:r>
    </w:p>
    <w:p>
      <w:pPr>
        <w:pStyle w:val="TextBody"/>
        <w:bidi w:val="0"/>
        <w:spacing w:before="60" w:after="60"/>
        <w:jc w:val="both"/>
        <w:rPr>
          <w:rFonts w:ascii="Calibri;sans-serif" w:hAnsi="Calibri;sans-serif"/>
          <w:b/>
          <w:i/>
          <w:sz w:val="20"/>
        </w:rPr>
      </w:pPr>
      <w:r>
        <w:rPr>
          <w:rFonts w:ascii="Calibri;sans-serif" w:hAnsi="Calibri;sans-serif"/>
          <w:b/>
          <w:i/>
          <w:sz w:val="20"/>
        </w:rPr>
        <w:t>The Russian invasion of Ukraine and the retaliatory measures imposed by the United States, the United Kingdom, the EU, and other countries and the responses of Russia to such measures have caused significant disruptions to domestic and foreign economies.</w:t>
      </w:r>
    </w:p>
    <w:p>
      <w:pPr>
        <w:pStyle w:val="TextBody"/>
        <w:bidi w:val="0"/>
        <w:spacing w:before="60" w:after="60"/>
        <w:jc w:val="both"/>
        <w:rPr>
          <w:rFonts w:ascii="Calibri;sans-serif" w:hAnsi="Calibri;sans-serif"/>
          <w:b w:val="false"/>
          <w:sz w:val="20"/>
        </w:rPr>
      </w:pPr>
      <w:r>
        <w:rPr>
          <w:rFonts w:ascii="Calibri;sans-serif" w:hAnsi="Calibri;sans-serif"/>
          <w:b w:val="false"/>
          <w:sz w:val="20"/>
        </w:rPr>
        <w:t>The Russia and Ukraine conflict had an immediate impact on the global economy resulting in higher prices for oil and other commodities, including vehicle components. Economic sanctions and bans, together with Russia’s own retaliatory measures have disrupted supply chains and economic markets. The global impact of these measures is continually evolving and the future impact cannot be predicted with certainty. In particular, the Russia and Ukraine conflict has further impacted the ability of certain manufacturers to produce new vehicles and new vehicle parts, which may result in continued disruptions to the supply of new and used vehicles. Further, there is no assurance that when the Russia and Ukraine conflict ends, countries will not continue to impose sanctions and bans.</w:t>
      </w:r>
    </w:p>
    <w:p>
      <w:pPr>
        <w:pStyle w:val="TextBody"/>
        <w:bidi w:val="0"/>
        <w:spacing w:before="60" w:after="60"/>
        <w:jc w:val="both"/>
        <w:rPr>
          <w:rFonts w:ascii="Calibri;sans-serif" w:hAnsi="Calibri;sans-serif"/>
          <w:b w:val="false"/>
          <w:sz w:val="20"/>
        </w:rPr>
      </w:pPr>
      <w:r>
        <w:rPr>
          <w:rFonts w:ascii="Calibri;sans-serif" w:hAnsi="Calibri;sans-serif"/>
          <w:b w:val="false"/>
          <w:sz w:val="20"/>
        </w:rPr>
        <w:t>While these events have not materially interrupted our operations, these or future developments resulting from the Russia and Ukraine conflict, such as a cyberattack on the United States or our suppliers, could disrupt our operations, our customers’ operations, or the activity of consumers on our websites.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160"/>
        <w:jc w:val="both"/>
        <w:rPr>
          <w:rFonts w:ascii="Calibri;sans-serif" w:hAnsi="Calibri;sans-serif"/>
          <w:b/>
          <w:sz w:val="20"/>
        </w:rPr>
      </w:pPr>
      <w:r>
        <w:rPr>
          <w:rFonts w:ascii="Calibri;sans-serif" w:hAnsi="Calibri;sans-serif"/>
          <w:b/>
          <w:sz w:val="20"/>
        </w:rPr>
        <w:t>Item 2. Unregistered Sales of Equity Securities and Use of Proceeds.</w:t>
      </w:r>
    </w:p>
    <w:p>
      <w:pPr>
        <w:pStyle w:val="TextBody"/>
        <w:bidi w:val="0"/>
        <w:spacing w:before="120" w:after="0"/>
        <w:jc w:val="both"/>
        <w:rPr>
          <w:rFonts w:ascii="Calibri;sans-serif" w:hAnsi="Calibri;sans-serif"/>
          <w:b/>
          <w:i/>
          <w:sz w:val="20"/>
        </w:rPr>
      </w:pPr>
      <w:r>
        <w:rPr>
          <w:rFonts w:ascii="Calibri;sans-serif" w:hAnsi="Calibri;sans-serif"/>
          <w:b/>
          <w:i/>
          <w:sz w:val="20"/>
        </w:rPr>
        <w:t>Recent Sales of Unregistered Securities</w:t>
      </w:r>
    </w:p>
    <w:p>
      <w:pPr>
        <w:pStyle w:val="TextBody"/>
        <w:bidi w:val="0"/>
        <w:spacing w:before="120" w:after="0"/>
        <w:jc w:val="both"/>
        <w:rPr>
          <w:rFonts w:ascii="Calibri;sans-serif" w:hAnsi="Calibri;sans-serif"/>
          <w:b w:val="false"/>
          <w:sz w:val="20"/>
        </w:rPr>
      </w:pPr>
      <w:r>
        <w:rPr>
          <w:rFonts w:ascii="Calibri;sans-serif" w:hAnsi="Calibri;sans-serif"/>
          <w:b w:val="false"/>
          <w:sz w:val="20"/>
        </w:rPr>
        <w:t>None.</w:t>
      </w:r>
    </w:p>
    <w:p>
      <w:pPr>
        <w:pStyle w:val="TextBody"/>
        <w:bidi w:val="0"/>
        <w:spacing w:before="120" w:after="0"/>
        <w:jc w:val="both"/>
        <w:rPr>
          <w:rFonts w:ascii="Calibri;sans-serif" w:hAnsi="Calibri;sans-serif"/>
          <w:b/>
          <w:i/>
          <w:sz w:val="20"/>
        </w:rPr>
      </w:pPr>
      <w:r>
        <w:rPr>
          <w:rFonts w:ascii="Calibri;sans-serif" w:hAnsi="Calibri;sans-serif"/>
          <w:b/>
          <w:i/>
          <w:sz w:val="20"/>
        </w:rPr>
        <w:t>Purchases of Equity Securities</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following table summarizes information about our purchases of our Class A common stock equity securities for each of the months during the three months ended June 30, 2023:</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203"/>
        <w:gridCol w:w="146"/>
        <w:gridCol w:w="211"/>
        <w:gridCol w:w="1347"/>
        <w:gridCol w:w="146"/>
        <w:gridCol w:w="146"/>
        <w:gridCol w:w="381"/>
        <w:gridCol w:w="1037"/>
        <w:gridCol w:w="146"/>
        <w:gridCol w:w="146"/>
        <w:gridCol w:w="300"/>
        <w:gridCol w:w="1918"/>
        <w:gridCol w:w="146"/>
        <w:gridCol w:w="146"/>
        <w:gridCol w:w="508"/>
        <w:gridCol w:w="1882"/>
        <w:gridCol w:w="396"/>
      </w:tblGrid>
      <w:tr>
        <w:trPr/>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03"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Period</w:t>
            </w:r>
          </w:p>
        </w:tc>
        <w:tc>
          <w:tcPr>
            <w:tcW w:w="146" w:type="dxa"/>
            <w:tcBorders/>
            <w:vAlign w:val="center"/>
          </w:tcPr>
          <w:p>
            <w:pPr>
              <w:pStyle w:val="TableContents"/>
              <w:bidi w:val="0"/>
              <w:spacing w:before="0" w:after="0"/>
              <w:ind w:left="0" w:right="0" w:hanging="0"/>
              <w:jc w:val="left"/>
              <w:rPr/>
            </w:pPr>
            <w:r>
              <w:rPr/>
              <w:t> </w:t>
            </w:r>
          </w:p>
        </w:tc>
        <w:tc>
          <w:tcPr>
            <w:tcW w:w="15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Total Number of Shares of Common Stock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Calibri;sans-serif" w:hAnsi="Calibri;sans-serif"/>
                <w:b/>
                <w:sz w:val="16"/>
              </w:rPr>
              <w:t>Weighted Average Price Paid per Share of Common Stock</w:t>
            </w:r>
            <w:r>
              <w:rPr>
                <w:rFonts w:ascii="Calibri;sans-serif" w:hAnsi="Calibri;sans-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Calibri;sans-serif" w:hAnsi="Calibri;sans-serif"/>
                <w:b/>
                <w:sz w:val="16"/>
              </w:rPr>
              <w:t>Total Number of Shares of Common Stock Purchased as Part of Publicly Announced Plans or Programs</w:t>
            </w:r>
            <w:r>
              <w:rPr>
                <w:rFonts w:ascii="Calibri;sans-serif" w:hAnsi="Calibri;sans-serif"/>
                <w:b/>
                <w:sz w:val="11"/>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Calibri;sans-serif" w:hAnsi="Calibri;sans-serif"/>
                <w:b/>
                <w:sz w:val="16"/>
              </w:rPr>
              <w:t xml:space="preserve">Maximum Approximate Dollar Value of Shares of Common Stock that May Yet be Purchased Under the Plans or Programs </w:t>
              <w:br/>
              <w:t>(in thousands)</w:t>
            </w:r>
            <w:r>
              <w:rPr>
                <w:rFonts w:ascii="Calibri;sans-serif" w:hAnsi="Calibri;sans-serif"/>
                <w:b/>
                <w:sz w:val="11"/>
              </w:rPr>
              <w:t>(2)</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203" w:type="dxa"/>
            <w:tcBorders/>
            <w:vAlign w:val="center"/>
          </w:tcPr>
          <w:p>
            <w:pPr>
              <w:pStyle w:val="TableContents"/>
              <w:bidi w:val="0"/>
              <w:spacing w:before="0" w:after="0"/>
              <w:ind w:left="100" w:right="0" w:hanging="0"/>
              <w:jc w:val="left"/>
              <w:rPr/>
            </w:pPr>
            <w:r>
              <w:rPr/>
              <w:t> </w:t>
            </w:r>
            <w:r>
              <w:rPr>
                <w:rFonts w:ascii="Calibri;sans-serif" w:hAnsi="Calibri;sans-serif"/>
                <w:b w:val="false"/>
                <w:sz w:val="20"/>
              </w:rPr>
              <w:t>April 1, 2023 through April 30,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651,992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3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0" w:type="dxa"/>
            <w:tcBorders/>
            <w:vAlign w:val="center"/>
          </w:tcPr>
          <w:p>
            <w:pPr>
              <w:pStyle w:val="TableContents"/>
              <w:bidi w:val="0"/>
              <w:spacing w:before="0" w:after="0"/>
              <w:ind w:left="0" w:right="0" w:hanging="0"/>
              <w:jc w:val="left"/>
              <w:rPr/>
            </w:pPr>
            <w:r>
              <w:rPr/>
              <w:t> </w:t>
            </w:r>
          </w:p>
        </w:tc>
        <w:tc>
          <w:tcPr>
            <w:tcW w:w="1918"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651,992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8"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882"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155,081</w:t>
            </w:r>
          </w:p>
        </w:tc>
        <w:tc>
          <w:tcPr>
            <w:tcW w:w="396" w:type="dxa"/>
            <w:tcBorders/>
            <w:vAlign w:val="center"/>
          </w:tcPr>
          <w:p>
            <w:pPr>
              <w:pStyle w:val="TableContents"/>
              <w:bidi w:val="0"/>
              <w:spacing w:before="0" w:after="0"/>
              <w:ind w:left="0" w:right="0" w:firstLine="100"/>
              <w:jc w:val="left"/>
              <w:rPr/>
            </w:pPr>
            <w:r>
              <w:rPr/>
              <w:t> </w:t>
            </w:r>
          </w:p>
        </w:tc>
      </w:tr>
      <w:tr>
        <w:trPr/>
        <w:tc>
          <w:tcPr>
            <w:tcW w:w="1203" w:type="dxa"/>
            <w:tcBorders/>
            <w:vAlign w:val="center"/>
          </w:tcPr>
          <w:p>
            <w:pPr>
              <w:pStyle w:val="TableContents"/>
              <w:bidi w:val="0"/>
              <w:spacing w:before="0" w:after="0"/>
              <w:ind w:left="100" w:right="0" w:hanging="0"/>
              <w:jc w:val="left"/>
              <w:rPr/>
            </w:pPr>
            <w:r>
              <w:rPr/>
              <w:t> </w:t>
            </w:r>
            <w:r>
              <w:rPr>
                <w:rFonts w:ascii="Calibri;sans-serif" w:hAnsi="Calibri;sans-serif"/>
                <w:b w:val="false"/>
                <w:sz w:val="20"/>
              </w:rPr>
              <w:t>May 1, 2023 through May 31,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652,318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3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0" w:type="dxa"/>
            <w:tcBorders/>
            <w:vAlign w:val="center"/>
          </w:tcPr>
          <w:p>
            <w:pPr>
              <w:pStyle w:val="TableContents"/>
              <w:bidi w:val="0"/>
              <w:spacing w:before="0" w:after="0"/>
              <w:ind w:left="0" w:right="0" w:hanging="0"/>
              <w:jc w:val="left"/>
              <w:rPr/>
            </w:pPr>
            <w:r>
              <w:rPr/>
              <w:t> </w:t>
            </w:r>
          </w:p>
        </w:tc>
        <w:tc>
          <w:tcPr>
            <w:tcW w:w="1918"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652,318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8"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882"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144,324</w:t>
            </w:r>
          </w:p>
        </w:tc>
        <w:tc>
          <w:tcPr>
            <w:tcW w:w="396" w:type="dxa"/>
            <w:tcBorders/>
            <w:vAlign w:val="center"/>
          </w:tcPr>
          <w:p>
            <w:pPr>
              <w:pStyle w:val="TableContents"/>
              <w:bidi w:val="0"/>
              <w:spacing w:before="0" w:after="0"/>
              <w:ind w:left="0" w:right="0" w:firstLine="100"/>
              <w:jc w:val="left"/>
              <w:rPr/>
            </w:pPr>
            <w:r>
              <w:rPr/>
              <w:t> </w:t>
            </w:r>
          </w:p>
        </w:tc>
      </w:tr>
      <w:tr>
        <w:trPr/>
        <w:tc>
          <w:tcPr>
            <w:tcW w:w="1203" w:type="dxa"/>
            <w:tcBorders/>
            <w:vAlign w:val="center"/>
          </w:tcPr>
          <w:p>
            <w:pPr>
              <w:pStyle w:val="TableContents"/>
              <w:bidi w:val="0"/>
              <w:spacing w:before="0" w:after="0"/>
              <w:ind w:left="100" w:right="0" w:hanging="0"/>
              <w:jc w:val="left"/>
              <w:rPr/>
            </w:pPr>
            <w:r>
              <w:rPr/>
              <w:t> </w:t>
            </w:r>
            <w:r>
              <w:rPr>
                <w:rFonts w:ascii="Calibri;sans-serif" w:hAnsi="Calibri;sans-serif"/>
                <w:b w:val="false"/>
                <w:sz w:val="20"/>
              </w:rPr>
              <w:t>June 1, 2023 through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7,077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3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7,077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8"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882"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144,190</w:t>
            </w:r>
          </w:p>
        </w:tc>
        <w:tc>
          <w:tcPr>
            <w:tcW w:w="396" w:type="dxa"/>
            <w:tcBorders/>
            <w:vAlign w:val="center"/>
          </w:tcPr>
          <w:p>
            <w:pPr>
              <w:pStyle w:val="TableContents"/>
              <w:bidi w:val="0"/>
              <w:spacing w:before="0" w:after="0"/>
              <w:ind w:left="0" w:right="0" w:firstLine="200"/>
              <w:jc w:val="left"/>
              <w:rPr/>
            </w:pPr>
            <w:r>
              <w:rPr/>
              <w:t> </w:t>
            </w:r>
          </w:p>
        </w:tc>
      </w:tr>
      <w:tr>
        <w:trPr/>
        <w:tc>
          <w:tcPr>
            <w:tcW w:w="1203" w:type="dxa"/>
            <w:tcBorders/>
            <w:vAlign w:val="center"/>
          </w:tcPr>
          <w:p>
            <w:pPr>
              <w:pStyle w:val="TableContents"/>
              <w:bidi w:val="0"/>
              <w:spacing w:before="0" w:after="0"/>
              <w:ind w:left="200" w:right="0" w:hanging="0"/>
              <w:jc w:val="left"/>
              <w:rPr/>
            </w:pPr>
            <w:r>
              <w:rPr/>
              <w:t> </w:t>
            </w:r>
            <w:r>
              <w:rPr>
                <w:rFonts w:ascii="Calibri;sans-serif" w:hAnsi="Calibri;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1,311,387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1"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37"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1,311,387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8"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882" w:type="dxa"/>
            <w:tcBorders/>
            <w:vAlign w:val="center"/>
          </w:tcPr>
          <w:p>
            <w:pPr>
              <w:pStyle w:val="TableContents"/>
              <w:bidi w:val="0"/>
              <w:spacing w:before="0" w:after="0"/>
              <w:ind w:left="0" w:right="0" w:hanging="0"/>
              <w:jc w:val="right"/>
              <w:rPr>
                <w:rFonts w:ascii="Calibri;sans-serif" w:hAnsi="Calibri;sans-serif"/>
                <w:b w:val="false"/>
                <w:sz w:val="20"/>
              </w:rPr>
            </w:pPr>
            <w:r>
              <w:rPr>
                <w:rFonts w:ascii="Calibri;sans-serif" w:hAnsi="Calibri;sans-serif"/>
                <w:b w:val="false"/>
                <w:sz w:val="20"/>
              </w:rPr>
              <w:t>144,190</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Calibri" w:hAnsi="Calibri"/>
          <w:b w:val="false"/>
          <w:sz w:val="20"/>
        </w:rPr>
      </w:pPr>
      <w:r>
        <w:rPr>
          <w:rFonts w:ascii="Calibri" w:hAnsi="Calibri"/>
          <w:b w:val="false"/>
          <w:sz w:val="20"/>
        </w:rPr>
        <w:t>(1)</w:t>
      </w:r>
    </w:p>
    <w:p>
      <w:pPr>
        <w:pStyle w:val="TextBody"/>
        <w:bidi w:val="0"/>
        <w:spacing w:before="120" w:after="0"/>
        <w:jc w:val="both"/>
        <w:rPr>
          <w:rFonts w:ascii="Calibri;sans-serif" w:hAnsi="Calibri;sans-serif"/>
          <w:b w:val="false"/>
          <w:sz w:val="13"/>
        </w:rPr>
      </w:pPr>
      <w:r>
        <w:rPr>
          <w:rFonts w:ascii="Calibri;sans-serif" w:hAnsi="Calibri;sans-serif"/>
          <w:b w:val="false"/>
          <w:sz w:val="13"/>
        </w:rPr>
        <w:t>The weighted average price paid per share of Class A common stock does not include cost of commissions.</w:t>
      </w:r>
    </w:p>
    <w:p>
      <w:pPr>
        <w:pStyle w:val="TextBody"/>
        <w:bidi w:val="0"/>
        <w:spacing w:before="0" w:after="0"/>
        <w:jc w:val="both"/>
        <w:rPr>
          <w:rFonts w:ascii="Calibri" w:hAnsi="Calibri"/>
          <w:b w:val="false"/>
          <w:sz w:val="20"/>
        </w:rPr>
      </w:pPr>
      <w:r>
        <w:rPr>
          <w:rFonts w:ascii="Calibri" w:hAnsi="Calibri"/>
          <w:b w:val="false"/>
          <w:sz w:val="20"/>
        </w:rPr>
        <w:t>(2)</w:t>
      </w:r>
    </w:p>
    <w:p>
      <w:pPr>
        <w:pStyle w:val="TextBody"/>
        <w:bidi w:val="0"/>
        <w:spacing w:before="0" w:after="0"/>
        <w:jc w:val="both"/>
        <w:rPr>
          <w:rFonts w:ascii="Calibri;sans-serif" w:hAnsi="Calibri;sans-serif"/>
          <w:b w:val="false"/>
          <w:sz w:val="13"/>
        </w:rPr>
      </w:pPr>
      <w:r>
        <w:rPr>
          <w:rFonts w:ascii="Calibri;sans-serif" w:hAnsi="Calibri;sans-serif"/>
          <w:b w:val="false"/>
          <w:sz w:val="13"/>
        </w:rPr>
        <w:t>On December 8, 2022, we announced that our Board of Directors authorized the Share Repurchase Program, pursuant to which we may, from time to time, purchase shares of our Class A common stock for an aggregate purchase price not to exceed $250.0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will be retired. We expect to fund any share repurchases through cash on hand and cash generated from operations.</w:t>
      </w:r>
    </w:p>
    <w:p>
      <w:pPr>
        <w:pStyle w:val="TextBody"/>
        <w:bidi w:val="0"/>
        <w:spacing w:before="0" w:after="0"/>
        <w:jc w:val="both"/>
        <w:rPr>
          <w:rFonts w:ascii="Calibri" w:hAnsi="Calibri"/>
          <w:b w:val="false"/>
          <w:sz w:val="20"/>
        </w:rPr>
      </w:pPr>
      <w:r>
        <w:rPr>
          <w:rFonts w:ascii="Calibri" w:hAnsi="Calibri"/>
          <w:b w:val="false"/>
          <w:sz w:val="20"/>
        </w:rPr>
        <w:t>(3)</w:t>
      </w:r>
    </w:p>
    <w:p>
      <w:pPr>
        <w:pStyle w:val="TextBody"/>
        <w:bidi w:val="0"/>
        <w:jc w:val="both"/>
        <w:rPr>
          <w:rFonts w:ascii="Calibri;sans-serif" w:hAnsi="Calibri;sans-serif"/>
          <w:b w:val="false"/>
          <w:sz w:val="13"/>
        </w:rPr>
      </w:pPr>
      <w:r>
        <w:rPr>
          <w:rFonts w:ascii="Calibri;sans-serif" w:hAnsi="Calibri;sans-serif"/>
          <w:b w:val="false"/>
          <w:sz w:val="13"/>
        </w:rPr>
        <w:t>The total number of shares of common stock purchased as part of the Share Repurchase Program was inclusive of any shares purchased but not settled as of June 30, 2023.</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Calibri;sans-serif" w:hAnsi="Calibri;sans-serif"/>
          <w:b/>
          <w:sz w:val="20"/>
        </w:rPr>
      </w:pPr>
      <w:bookmarkStart w:id="17" w:name="item_6_exhibits"/>
      <w:bookmarkEnd w:id="17"/>
      <w:r>
        <w:rPr>
          <w:rFonts w:ascii="Calibri;sans-serif" w:hAnsi="Calibri;sans-serif"/>
          <w:b/>
          <w:sz w:val="20"/>
        </w:rPr>
        <w:t>Item 6. Exhibits.</w:t>
      </w:r>
    </w:p>
    <w:p>
      <w:pPr>
        <w:pStyle w:val="TextBody"/>
        <w:bidi w:val="0"/>
        <w:spacing w:before="120" w:after="0"/>
        <w:jc w:val="both"/>
        <w:rPr>
          <w:rFonts w:ascii="Calibri;sans-serif" w:hAnsi="Calibri;sans-serif"/>
          <w:b w:val="false"/>
          <w:sz w:val="20"/>
        </w:rPr>
      </w:pPr>
      <w:r>
        <w:rPr>
          <w:rFonts w:ascii="Calibri;sans-serif" w:hAnsi="Calibri;sans-serif"/>
          <w:b w:val="false"/>
          <w:sz w:val="20"/>
        </w:rPr>
        <w:t>The exhibits listed below are filed or incorporated by reference into this Quarterly Report.</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14"/>
        <w:gridCol w:w="146"/>
        <w:gridCol w:w="5104"/>
        <w:gridCol w:w="146"/>
        <w:gridCol w:w="466"/>
        <w:gridCol w:w="146"/>
        <w:gridCol w:w="749"/>
        <w:gridCol w:w="146"/>
        <w:gridCol w:w="807"/>
        <w:gridCol w:w="146"/>
        <w:gridCol w:w="676"/>
        <w:gridCol w:w="146"/>
        <w:gridCol w:w="813"/>
      </w:tblGrid>
      <w:tr>
        <w:trPr/>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2"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Incorporated by Reference</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4" w:type="dxa"/>
            <w:tcBorders/>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Exhibit</w:t>
            </w:r>
          </w:p>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Number</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sz w:val="16"/>
              </w:rPr>
            </w:pPr>
            <w:r>
              <w:rPr>
                <w:rFonts w:ascii="Calibri;sans-serif" w:hAnsi="Calibri;sans-serif"/>
                <w:b/>
                <w:sz w:val="16"/>
              </w:rPr>
              <w:t>Exhibit Description</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Form</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File</w:t>
            </w:r>
          </w:p>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Number</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Filing</w:t>
            </w:r>
          </w:p>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Date</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Exhibit</w:t>
            </w:r>
          </w:p>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Number</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Filed</w:t>
            </w:r>
          </w:p>
          <w:p>
            <w:pPr>
              <w:pStyle w:val="TableContents"/>
              <w:bidi w:val="0"/>
              <w:spacing w:before="0" w:after="0"/>
              <w:ind w:left="0" w:right="0" w:hanging="0"/>
              <w:jc w:val="center"/>
              <w:rPr>
                <w:rFonts w:ascii="Calibri;sans-serif" w:hAnsi="Calibri;sans-serif"/>
                <w:b/>
                <w:sz w:val="16"/>
              </w:rPr>
            </w:pPr>
            <w:r>
              <w:rPr>
                <w:rFonts w:ascii="Calibri;sans-serif" w:hAnsi="Calibri;sans-serif"/>
                <w:b/>
                <w:sz w:val="16"/>
              </w:rPr>
              <w:t>Herewith</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pPr>
            <w:hyperlink r:id="rId2">
              <w:r>
                <w:rPr>
                  <w:rStyle w:val="InternetLink"/>
                  <w:rFonts w:ascii="Calibri;sans-serif" w:hAnsi="Calibri;sans-serif"/>
                  <w:b w:val="false"/>
                  <w:sz w:val="20"/>
                  <w:u w:val="single"/>
                </w:rPr>
                <w:t>Second Amended and Restated By-laws of the Registrant</w:t>
              </w:r>
            </w:hyperlink>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001-38233</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August 4, 2023</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3.1</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pPr>
            <w:r>
              <w:rPr/>
              <w:t> </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pPr>
            <w:hyperlink w:anchor="carg-ex10_1.htm">
              <w:r>
                <w:rPr>
                  <w:rStyle w:val="InternetLink"/>
                  <w:rFonts w:ascii="Calibri;sans-serif" w:hAnsi="Calibri;sans-serif"/>
                  <w:b w:val="false"/>
                  <w:sz w:val="20"/>
                  <w:u w:val="single"/>
                </w:rPr>
                <w:t>Separation Agreement, dated May 30, 2023, between the Registrant and Tom Caputo</w:t>
              </w:r>
            </w:hyperlink>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pPr>
            <w:hyperlink w:anchor="carg-ex31_1.htm">
              <w:r>
                <w:rPr>
                  <w:rStyle w:val="InternetLink"/>
                  <w:rFonts w:ascii="Calibri;sans-serif" w:hAnsi="Calibri;sans-serif"/>
                  <w:b w:val="false"/>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pPr>
            <w:hyperlink w:anchor="carg-ex32_1.htm">
              <w:r>
                <w:rPr>
                  <w:rStyle w:val="InternetLink"/>
                  <w:rFonts w:ascii="Calibri;sans-serif" w:hAnsi="Calibri;sans-serif"/>
                  <w:b w:val="false"/>
                  <w:sz w:val="20"/>
                  <w:u w:val="single"/>
                </w:rPr>
                <w:t>Certification of Principal Executive Officer and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Inline XBRL Instance Document – the instance document does not appear in the Interactive Data File because its XBRL tags are embedded with the Inline XBRL document.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pPr>
            <w:r>
              <w:rPr/>
              <w:t> </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r>
        <w:trPr/>
        <w:tc>
          <w:tcPr>
            <w:tcW w:w="71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5104" w:type="dxa"/>
            <w:tcBorders/>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Cover Page Interactive Data File (Embedded within the Inline XBRL document and included in Exhibit)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center"/>
              <w:rPr>
                <w:rFonts w:ascii="Calibri;sans-serif" w:hAnsi="Calibri;sans-serif"/>
                <w:b w:val="false"/>
                <w:sz w:val="20"/>
              </w:rPr>
            </w:pPr>
            <w:r>
              <w:rPr>
                <w:rFonts w:ascii="Calibri;sans-serif" w:hAnsi="Calibri;sans-serif"/>
                <w:b w:val="false"/>
                <w:sz w:val="20"/>
              </w:rPr>
              <w:t>X</w:t>
            </w:r>
          </w:p>
        </w:tc>
      </w:tr>
    </w:tbl>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40" w:after="0"/>
        <w:jc w:val="both"/>
        <w:rPr>
          <w:rFonts w:ascii="Calibri;sans-serif" w:hAnsi="Calibri;sans-serif"/>
          <w:b w:val="false"/>
          <w:sz w:val="20"/>
        </w:rPr>
      </w:pPr>
      <w:r>
        <w:rPr>
          <w:rFonts w:ascii="Calibri;sans-serif" w:hAnsi="Calibri;sans-serif"/>
          <w:b w:val="false"/>
          <w:sz w:val="20"/>
        </w:rPr>
        <w:t># Indicates a management contract or compensatory plan</w:t>
      </w:r>
    </w:p>
    <w:p>
      <w:pPr>
        <w:pStyle w:val="TextBody"/>
        <w:bidi w:val="0"/>
        <w:spacing w:before="40" w:after="0"/>
        <w:jc w:val="both"/>
        <w:rPr>
          <w:rFonts w:ascii="Calibri;sans-serif" w:hAnsi="Calibri;sans-serif"/>
          <w:b w:val="false"/>
          <w:sz w:val="20"/>
        </w:rPr>
      </w:pPr>
      <w:r>
        <w:rPr>
          <w:rFonts w:ascii="Calibri;sans-serif" w:hAnsi="Calibri;sans-serif"/>
          <w:b w:val="false"/>
          <w:sz w:val="20"/>
        </w:rPr>
        <w:t>* The certification furnished in Exhibit 32.1 hereto is deemed to accompany this Quarterly Report and will not be deemed “filed” for purposes of Section 18 of the Securities Exchange Act of 1934, as amended, except to the extent that the registrant specifically incorporates it by reference.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sans-serif" w:hAnsi="Calibri;sans-serif"/>
          <w:b/>
          <w:sz w:val="20"/>
        </w:rPr>
      </w:pPr>
      <w:bookmarkStart w:id="18" w:name="signatures"/>
      <w:bookmarkEnd w:id="18"/>
      <w:r>
        <w:rPr>
          <w:rFonts w:ascii="Calibri;sans-serif" w:hAnsi="Calibri;sans-serif"/>
          <w:b/>
          <w:sz w:val="20"/>
        </w:rPr>
        <w:t>SIGNATURES</w:t>
      </w:r>
    </w:p>
    <w:p>
      <w:pPr>
        <w:pStyle w:val="TextBody"/>
        <w:bidi w:val="0"/>
        <w:spacing w:before="240" w:after="0"/>
        <w:jc w:val="both"/>
        <w:rPr>
          <w:rFonts w:ascii="Calibri;sans-serif" w:hAnsi="Calibri;sans-serif"/>
          <w:b w:val="false"/>
          <w:sz w:val="20"/>
        </w:rPr>
      </w:pPr>
      <w:r>
        <w:rPr>
          <w:rFonts w:ascii="Calibri;sans-serif" w:hAnsi="Calibri;sans-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9232" w:type="dxa"/>
        <w:jc w:val="left"/>
        <w:tblInd w:w="0" w:type="dxa"/>
        <w:tblLayout w:type="fixed"/>
        <w:tblCellMar>
          <w:top w:w="28" w:type="dxa"/>
          <w:left w:w="28" w:type="dxa"/>
          <w:bottom w:w="28" w:type="dxa"/>
          <w:right w:w="28" w:type="dxa"/>
        </w:tblCellMar>
      </w:tblPr>
      <w:tblGrid>
        <w:gridCol w:w="1786"/>
        <w:gridCol w:w="109"/>
        <w:gridCol w:w="346"/>
        <w:gridCol w:w="699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3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sz w:val="20"/>
              </w:rPr>
            </w:pPr>
            <w:r>
              <w:rPr>
                <w:rFonts w:ascii="Calibri;sans-serif" w:hAnsi="Calibri;sans-serif"/>
                <w:b/>
                <w:sz w:val="20"/>
              </w:rPr>
              <w:t>CarGurus, Inc.</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69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 Jason Trevisan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9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Jason Trevisan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91"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Chief Executive Officer</w:t>
            </w:r>
          </w:p>
          <w:p>
            <w:pPr>
              <w:pStyle w:val="TableContents"/>
              <w:bidi w:val="0"/>
              <w:spacing w:before="0" w:after="0"/>
              <w:ind w:left="0" w:right="0" w:hanging="0"/>
              <w:jc w:val="left"/>
              <w:rPr>
                <w:rFonts w:ascii="Calibri;sans-serif" w:hAnsi="Calibri;sans-serif"/>
                <w:b w:val="false"/>
                <w:i/>
                <w:sz w:val="20"/>
              </w:rPr>
            </w:pPr>
            <w:r>
              <w:rPr>
                <w:rFonts w:ascii="Calibri;sans-serif" w:hAnsi="Calibri;sans-serif"/>
                <w:b w:val="false"/>
                <w:i/>
                <w:sz w:val="20"/>
              </w:rPr>
              <w:t>(Principal Executive Officer, Principal Financial Officer and Principal Accounting Officer)</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9" w:name="carg-ex10_1.htm"/>
      <w:bookmarkStart w:id="20" w:name="kscargex10_1"/>
      <w:bookmarkEnd w:id="19"/>
      <w:bookmarkEnd w:id="20"/>
      <w:r>
        <w:rPr>
          <w:rFonts w:ascii="Times New Roman;serif" w:hAnsi="Times New Roman;serif"/>
          <w:b/>
          <w:sz w:val="20"/>
        </w:rPr>
        <w:t>Exhibit 10.1</w:t>
      </w:r>
      <w:r>
        <w:br w:type="page"/>
      </w:r>
    </w:p>
    <w:p>
      <w:pPr>
        <w:pStyle w:val="TextBody"/>
        <w:bidi w:val="0"/>
        <w:spacing w:before="0" w:after="0"/>
        <w:jc w:val="right"/>
        <w:rPr/>
      </w:pPr>
      <w:r>
        <w:rPr/>
        <w:t> </w:t>
      </w:r>
    </w:p>
    <w:p>
      <w:pPr>
        <w:pStyle w:val="TextBody"/>
        <w:bidi w:val="0"/>
        <w:spacing w:before="82" w:after="0"/>
        <w:jc w:val="center"/>
        <w:rPr>
          <w:rFonts w:ascii="Arial;sans-serif" w:hAnsi="Arial;sans-serif"/>
          <w:b/>
          <w:sz w:val="21"/>
        </w:rPr>
      </w:pPr>
      <w:bookmarkStart w:id="21" w:name="tcaputo_signed_separation_agreement_no_n"/>
      <w:bookmarkEnd w:id="21"/>
      <w:r>
        <w:rPr>
          <w:rFonts w:ascii="Arial;sans-serif" w:hAnsi="Arial;sans-serif"/>
          <w:b/>
          <w:sz w:val="21"/>
        </w:rPr>
        <w:t>SEPARATION AGREEMENT</w:t>
      </w:r>
    </w:p>
    <w:p>
      <w:pPr>
        <w:pStyle w:val="TextBody"/>
        <w:bidi w:val="0"/>
        <w:spacing w:before="6" w:after="0"/>
        <w:jc w:val="left"/>
        <w:rPr/>
      </w:pPr>
      <w:r>
        <w:rPr/>
        <w:t> </w:t>
      </w:r>
    </w:p>
    <w:p>
      <w:pPr>
        <w:pStyle w:val="TextBody"/>
        <w:bidi w:val="0"/>
        <w:spacing w:before="94" w:after="0"/>
        <w:jc w:val="left"/>
        <w:rPr>
          <w:rFonts w:ascii="Arial;sans-serif" w:hAnsi="Arial;sans-serif"/>
          <w:b w:val="false"/>
          <w:sz w:val="21"/>
        </w:rPr>
      </w:pPr>
      <w:r>
        <w:rPr>
          <w:rFonts w:ascii="Arial;sans-serif" w:hAnsi="Arial;sans-serif"/>
          <w:b w:val="false"/>
          <w:sz w:val="21"/>
        </w:rPr>
        <w:t>Tom Caputo</w:t>
      </w:r>
    </w:p>
    <w:p>
      <w:pPr>
        <w:pStyle w:val="TextBody"/>
        <w:bidi w:val="0"/>
        <w:spacing w:before="3" w:after="0"/>
        <w:jc w:val="left"/>
        <w:rPr>
          <w:rFonts w:ascii="Arial;sans-serif" w:hAnsi="Arial;sans-serif"/>
          <w:b w:val="false"/>
          <w:sz w:val="21"/>
        </w:rPr>
      </w:pPr>
      <w:r>
        <w:rPr>
          <w:rFonts w:ascii="Arial;sans-serif" w:hAnsi="Arial;sans-serif"/>
          <w:b w:val="false"/>
          <w:sz w:val="21"/>
        </w:rPr>
        <w:t>[ADDRESS]</w:t>
      </w:r>
    </w:p>
    <w:p>
      <w:pPr>
        <w:pStyle w:val="TextBody"/>
        <w:bidi w:val="0"/>
        <w:spacing w:before="2" w:after="0"/>
        <w:jc w:val="left"/>
        <w:rPr/>
      </w:pPr>
      <w:r>
        <w:rPr/>
        <w:t> </w:t>
      </w:r>
    </w:p>
    <w:p>
      <w:pPr>
        <w:pStyle w:val="TextBody"/>
        <w:bidi w:val="0"/>
        <w:spacing w:before="0" w:after="0"/>
        <w:jc w:val="left"/>
        <w:rPr>
          <w:rFonts w:ascii="Arial;sans-serif" w:hAnsi="Arial;sans-serif"/>
          <w:b w:val="false"/>
          <w:sz w:val="21"/>
        </w:rPr>
      </w:pPr>
      <w:r>
        <w:rPr>
          <w:rFonts w:ascii="Arial;sans-serif" w:hAnsi="Arial;sans-serif"/>
          <w:b w:val="false"/>
          <w:sz w:val="21"/>
        </w:rPr>
        <w:t>Dear Tom:</w:t>
      </w:r>
    </w:p>
    <w:p>
      <w:pPr>
        <w:pStyle w:val="TextBody"/>
        <w:bidi w:val="0"/>
        <w:spacing w:before="9"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The purpose of this Separation Agreement (the “Agreement”) is to set forth the terms of your separation of employment from CarGurus, Inc. (“CarGurus” or the “Company”), including the following defined terms:</w:t>
      </w:r>
    </w:p>
    <w:p>
      <w:pPr>
        <w:pStyle w:val="TextBody"/>
        <w:bidi w:val="0"/>
        <w:spacing w:before="0" w:after="0"/>
        <w:jc w:val="left"/>
        <w:rPr/>
      </w:pPr>
      <w:r>
        <w:rPr/>
        <w:t> </w:t>
      </w:r>
    </w:p>
    <w:p>
      <w:pPr>
        <w:pStyle w:val="TextBody"/>
        <w:bidi w:val="0"/>
        <w:spacing w:before="5" w:after="0"/>
        <w:jc w:val="left"/>
        <w:rPr/>
      </w:pPr>
      <w:r>
        <w:rPr/>
        <w:t> </w:t>
      </w:r>
    </w:p>
    <w:p>
      <w:pPr>
        <w:pStyle w:val="TextBody"/>
        <w:bidi w:val="0"/>
        <w:spacing w:before="0" w:after="0"/>
        <w:jc w:val="left"/>
        <w:rPr/>
      </w:pPr>
      <w:r>
        <w:rPr/>
        <w:t>•</w:t>
      </w:r>
    </w:p>
    <w:p>
      <w:pPr>
        <w:pStyle w:val="TextBody"/>
        <w:bidi w:val="0"/>
        <w:spacing w:before="0" w:after="0"/>
        <w:jc w:val="left"/>
        <w:rPr/>
      </w:pPr>
      <w:r>
        <w:rPr>
          <w:rFonts w:ascii="Arial;sans-serif" w:hAnsi="Arial;sans-serif"/>
          <w:b w:val="false"/>
          <w:sz w:val="21"/>
          <w:u w:val="single"/>
        </w:rPr>
        <w:t>Date of this Agreement</w:t>
      </w:r>
      <w:r>
        <w:rPr>
          <w:rFonts w:ascii="Arial;sans-serif" w:hAnsi="Arial;sans-serif"/>
          <w:b w:val="false"/>
          <w:sz w:val="21"/>
        </w:rPr>
        <w:t>: May 30, 2023</w:t>
      </w:r>
    </w:p>
    <w:p>
      <w:pPr>
        <w:pStyle w:val="TextBody"/>
        <w:bidi w:val="0"/>
        <w:spacing w:before="13" w:after="0"/>
        <w:jc w:val="left"/>
        <w:rPr/>
      </w:pPr>
      <w:r>
        <w:rPr/>
        <w:t>•</w:t>
      </w:r>
    </w:p>
    <w:p>
      <w:pPr>
        <w:pStyle w:val="TextBody"/>
        <w:bidi w:val="0"/>
        <w:spacing w:before="13" w:after="0"/>
        <w:jc w:val="left"/>
        <w:rPr/>
      </w:pPr>
      <w:r>
        <w:rPr>
          <w:rFonts w:ascii="Arial;sans-serif" w:hAnsi="Arial;sans-serif"/>
          <w:b w:val="false"/>
          <w:sz w:val="21"/>
          <w:u w:val="single"/>
        </w:rPr>
        <w:t>Separation Date</w:t>
      </w:r>
      <w:r>
        <w:rPr>
          <w:rFonts w:ascii="Arial;sans-serif" w:hAnsi="Arial;sans-serif"/>
          <w:b w:val="false"/>
          <w:sz w:val="21"/>
        </w:rPr>
        <w:t>: May 31, 2023, or your last day of employment with the Company if terminated earlier</w:t>
      </w:r>
    </w:p>
    <w:p>
      <w:pPr>
        <w:pStyle w:val="TextBody"/>
        <w:bidi w:val="0"/>
        <w:spacing w:before="16" w:after="0"/>
        <w:jc w:val="left"/>
        <w:rPr/>
      </w:pPr>
      <w:r>
        <w:rPr/>
        <w:t>•</w:t>
      </w:r>
    </w:p>
    <w:p>
      <w:pPr>
        <w:pStyle w:val="TextBody"/>
        <w:bidi w:val="0"/>
        <w:spacing w:before="16" w:after="0"/>
        <w:jc w:val="left"/>
        <w:rPr/>
      </w:pPr>
      <w:r>
        <w:rPr>
          <w:rFonts w:ascii="Arial;sans-serif" w:hAnsi="Arial;sans-serif"/>
          <w:b w:val="false"/>
          <w:sz w:val="21"/>
          <w:u w:val="single"/>
        </w:rPr>
        <w:t>Acceptance Due Date</w:t>
      </w:r>
      <w:r>
        <w:rPr>
          <w:rFonts w:ascii="Arial;sans-serif" w:hAnsi="Arial;sans-serif"/>
          <w:b w:val="false"/>
          <w:sz w:val="21"/>
        </w:rPr>
        <w:t>: June 21, 2023</w:t>
      </w:r>
    </w:p>
    <w:p>
      <w:pPr>
        <w:pStyle w:val="TextBody"/>
        <w:bidi w:val="0"/>
        <w:spacing w:before="13" w:after="0"/>
        <w:jc w:val="left"/>
        <w:rPr/>
      </w:pPr>
      <w:r>
        <w:rPr/>
        <w:t>•</w:t>
      </w:r>
    </w:p>
    <w:p>
      <w:pPr>
        <w:pStyle w:val="TextBody"/>
        <w:bidi w:val="0"/>
        <w:spacing w:before="13" w:after="0"/>
        <w:jc w:val="left"/>
        <w:rPr/>
      </w:pPr>
      <w:r>
        <w:rPr>
          <w:rFonts w:ascii="Arial;sans-serif" w:hAnsi="Arial;sans-serif"/>
          <w:b w:val="false"/>
          <w:sz w:val="21"/>
          <w:u w:val="single"/>
        </w:rPr>
        <w:t>Severance Pay</w:t>
      </w:r>
      <w:r>
        <w:rPr>
          <w:rFonts w:ascii="Arial;sans-serif" w:hAnsi="Arial;sans-serif"/>
          <w:b w:val="false"/>
          <w:sz w:val="21"/>
        </w:rPr>
        <w:t>:</w:t>
      </w:r>
    </w:p>
    <w:p>
      <w:pPr>
        <w:pStyle w:val="TextBody"/>
        <w:bidi w:val="0"/>
        <w:spacing w:before="22" w:after="0"/>
        <w:jc w:val="left"/>
        <w:rPr>
          <w:rFonts w:ascii="Times New Roman" w:hAnsi="Times New Roman"/>
          <w:b w:val="false"/>
          <w:sz w:val="21"/>
        </w:rPr>
      </w:pPr>
      <w:r>
        <w:rPr>
          <w:rFonts w:ascii="Times New Roman" w:hAnsi="Times New Roman"/>
          <w:b w:val="false"/>
          <w:sz w:val="21"/>
        </w:rPr>
        <w:t>o</w:t>
      </w:r>
    </w:p>
    <w:p>
      <w:pPr>
        <w:pStyle w:val="TextBody"/>
        <w:bidi w:val="0"/>
        <w:spacing w:before="22" w:after="283"/>
        <w:jc w:val="left"/>
        <w:rPr>
          <w:rFonts w:ascii="Arial;sans-serif" w:hAnsi="Arial;sans-serif"/>
          <w:b w:val="false"/>
          <w:sz w:val="21"/>
        </w:rPr>
      </w:pPr>
      <w:r>
        <w:rPr>
          <w:rFonts w:ascii="Arial;sans-serif" w:hAnsi="Arial;sans-serif"/>
          <w:b w:val="false"/>
          <w:sz w:val="21"/>
        </w:rPr>
        <w:t>An amount equal to the sum of: (i) $258,750, your current base salary for the nine (9) month period following the Separation Date; and (ii) an additional cash payment of</w:t>
      </w:r>
    </w:p>
    <w:p>
      <w:pPr>
        <w:pStyle w:val="TextBody"/>
        <w:bidi w:val="0"/>
        <w:spacing w:before="4" w:after="0"/>
        <w:jc w:val="left"/>
        <w:rPr>
          <w:rFonts w:ascii="Arial;sans-serif" w:hAnsi="Arial;sans-serif"/>
          <w:b w:val="false"/>
          <w:sz w:val="21"/>
        </w:rPr>
      </w:pPr>
      <w:r>
        <w:rPr>
          <w:rFonts w:ascii="Arial;sans-serif" w:hAnsi="Arial;sans-serif"/>
          <w:b w:val="false"/>
          <w:sz w:val="21"/>
        </w:rPr>
        <w:t>$27,000.</w:t>
      </w:r>
    </w:p>
    <w:p>
      <w:pPr>
        <w:pStyle w:val="TextBody"/>
        <w:bidi w:val="0"/>
        <w:spacing w:before="3" w:after="0"/>
        <w:jc w:val="both"/>
        <w:rPr>
          <w:rFonts w:ascii="Times New Roman" w:hAnsi="Times New Roman"/>
          <w:b w:val="false"/>
          <w:sz w:val="21"/>
        </w:rPr>
      </w:pPr>
      <w:r>
        <w:rPr>
          <w:rFonts w:ascii="Times New Roman" w:hAnsi="Times New Roman"/>
          <w:b w:val="false"/>
          <w:sz w:val="21"/>
        </w:rPr>
        <w:t>o</w:t>
      </w:r>
    </w:p>
    <w:p>
      <w:pPr>
        <w:pStyle w:val="TextBody"/>
        <w:bidi w:val="0"/>
        <w:spacing w:before="3" w:after="283"/>
        <w:jc w:val="both"/>
        <w:rPr>
          <w:rFonts w:ascii="Arial;sans-serif" w:hAnsi="Arial;sans-serif"/>
          <w:b w:val="false"/>
          <w:sz w:val="21"/>
        </w:rPr>
      </w:pPr>
      <w:r>
        <w:rPr>
          <w:rFonts w:ascii="Arial;sans-serif" w:hAnsi="Arial;sans-serif"/>
          <w:b w:val="false"/>
          <w:sz w:val="21"/>
        </w:rPr>
        <w:t>Subject to your completion of the appropriate forms, and subject to all the requirements of the Consolidated Omnibus Budget Reconciliation Act of 1985, as amended (“COBRA”), through February 29, 2024 (the Separation Date through this date is the “COBRA subsidy period”), the Company will pay the employer portion of premiums for your participation in the Company’s medical and dental insurance plans through COBRA, to the same extent that such insurance is provided to persons currently employed by the Company. The Company will make these payments to the COBRA administrator each month during the COBRA subsidy period while you remain eligible if you do not become eligible for other benefits through new employment, and you will be required to pay the employee portion of premiums plus a 2% administrative fee, also directly to the Company’s COBRA administrator. If you obtain employment that provides medical and/or dental insurance, you agree to notify the Company, and the Company will no longer be obligated to provide payment for the benefit continuation hereunder. You also have the right to continue insurance coverage after this period, subject to the requirements of COBRA, at your own cost.</w:t>
      </w:r>
    </w:p>
    <w:p>
      <w:pPr>
        <w:pStyle w:val="TextBody"/>
        <w:bidi w:val="0"/>
        <w:spacing w:before="3" w:after="0"/>
        <w:jc w:val="left"/>
        <w:rPr/>
      </w:pPr>
      <w:r>
        <w:rPr/>
        <w:t> </w:t>
      </w:r>
    </w:p>
    <w:p>
      <w:pPr>
        <w:pStyle w:val="TextBody"/>
        <w:bidi w:val="0"/>
        <w:spacing w:before="1" w:after="0"/>
        <w:jc w:val="both"/>
        <w:rPr>
          <w:rFonts w:ascii="Arial" w:hAnsi="Arial"/>
          <w:b w:val="false"/>
          <w:sz w:val="21"/>
        </w:rPr>
      </w:pPr>
      <w:r>
        <w:rPr>
          <w:rFonts w:ascii="Arial" w:hAnsi="Arial"/>
          <w:b w:val="false"/>
          <w:sz w:val="21"/>
        </w:rPr>
        <w:t>1.</w:t>
      </w:r>
    </w:p>
    <w:p>
      <w:pPr>
        <w:pStyle w:val="TextBody"/>
        <w:bidi w:val="0"/>
        <w:spacing w:before="1" w:after="283"/>
        <w:jc w:val="both"/>
        <w:rPr/>
      </w:pPr>
      <w:r>
        <w:rPr>
          <w:rFonts w:ascii="Arial;sans-serif" w:hAnsi="Arial;sans-serif"/>
          <w:b w:val="false"/>
          <w:sz w:val="21"/>
          <w:u w:val="single"/>
        </w:rPr>
        <w:t>Effect of Agreement</w:t>
      </w:r>
      <w:r>
        <w:rPr>
          <w:rFonts w:ascii="Arial;sans-serif" w:hAnsi="Arial;sans-serif"/>
          <w:b w:val="false"/>
          <w:sz w:val="21"/>
        </w:rPr>
        <w:t>. This Agreement shall be effective and binding on all parties on the date that you sign and return the Agreement to the Company (the “Acceptance Date”), unless you revoke this Agreement in accordance with its terms during the seven business (7) day period following the Acceptance Date.</w:t>
      </w:r>
    </w:p>
    <w:p>
      <w:pPr>
        <w:pStyle w:val="TextBody"/>
        <w:bidi w:val="0"/>
        <w:spacing w:before="8" w:after="0"/>
        <w:jc w:val="left"/>
        <w:rPr/>
      </w:pPr>
      <w:r>
        <w:rPr/>
        <w:t> </w:t>
      </w:r>
    </w:p>
    <w:p>
      <w:pPr>
        <w:pStyle w:val="TextBody"/>
        <w:bidi w:val="0"/>
        <w:spacing w:before="0" w:after="0"/>
        <w:jc w:val="both"/>
        <w:rPr>
          <w:rFonts w:ascii="Arial" w:hAnsi="Arial"/>
          <w:b w:val="false"/>
          <w:sz w:val="21"/>
        </w:rPr>
      </w:pPr>
      <w:r>
        <w:rPr>
          <w:rFonts w:ascii="Arial" w:hAnsi="Arial"/>
          <w:b w:val="false"/>
          <w:sz w:val="21"/>
        </w:rPr>
        <w:t>2.</w:t>
      </w:r>
    </w:p>
    <w:p>
      <w:pPr>
        <w:pStyle w:val="TextBody"/>
        <w:bidi w:val="0"/>
        <w:jc w:val="both"/>
        <w:rPr/>
      </w:pPr>
      <w:r>
        <w:rPr>
          <w:rFonts w:ascii="Arial;sans-serif" w:hAnsi="Arial;sans-serif"/>
          <w:b w:val="false"/>
          <w:sz w:val="21"/>
          <w:u w:val="single"/>
        </w:rPr>
        <w:t>Termination of Employment</w:t>
      </w:r>
      <w:r>
        <w:rPr>
          <w:rFonts w:ascii="Arial;sans-serif" w:hAnsi="Arial;sans-serif"/>
          <w:b w:val="false"/>
          <w:sz w:val="21"/>
        </w:rPr>
        <w:t>. Your employment with the Company will terminate on the Separation Date. After the Separation Date, you shall have no authority to represent yourself as an employee or agent of the Company. On the Separation Date, the Company shall pay your accrued but unpaid base salary and any accrued but unused vacation through the Separation Date.</w:t>
      </w:r>
    </w:p>
    <w:p>
      <w:pPr>
        <w:pStyle w:val="TextBody"/>
        <w:bidi w:val="0"/>
        <w:spacing w:before="2" w:after="0"/>
        <w:jc w:val="left"/>
        <w:rPr/>
      </w:pPr>
      <w:r>
        <w:rPr/>
        <w:t> </w:t>
      </w:r>
    </w:p>
    <w:p>
      <w:pPr>
        <w:pStyle w:val="TextBody"/>
        <w:bidi w:val="0"/>
        <w:spacing w:before="1" w:after="0"/>
        <w:jc w:val="both"/>
        <w:rPr>
          <w:rFonts w:ascii="Arial" w:hAnsi="Arial"/>
          <w:b w:val="false"/>
          <w:sz w:val="21"/>
        </w:rPr>
      </w:pPr>
      <w:r>
        <w:rPr>
          <w:rFonts w:ascii="Arial" w:hAnsi="Arial"/>
          <w:b w:val="false"/>
          <w:sz w:val="21"/>
        </w:rPr>
        <w:t>3.</w:t>
      </w:r>
    </w:p>
    <w:p>
      <w:pPr>
        <w:pStyle w:val="TextBody"/>
        <w:bidi w:val="0"/>
        <w:spacing w:before="1" w:after="283"/>
        <w:jc w:val="both"/>
        <w:rPr/>
      </w:pPr>
      <w:r>
        <w:rPr>
          <w:rFonts w:ascii="Arial;sans-serif" w:hAnsi="Arial;sans-serif"/>
          <w:b w:val="false"/>
          <w:sz w:val="21"/>
          <w:u w:val="single"/>
        </w:rPr>
        <w:t>Severance Pay; Acceleration of Vesting</w:t>
      </w:r>
      <w:r>
        <w:rPr>
          <w:rFonts w:ascii="Arial;sans-serif" w:hAnsi="Arial;sans-serif"/>
          <w:b w:val="false"/>
          <w:sz w:val="21"/>
        </w:rPr>
        <w:t>. Provided that you have accepted this Agreement and complied with its terms and conditions and you have not revoked this Agreement, the Company agrees to pay you the Severance Pay. The Severance Pay will be paid in a lump sum as soon as practicable after the later of the Separation Date or the date on which you no longer have any ability to revoke this Agreement in accordance with its terms (the “Effective Date”).</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82" w:after="0"/>
        <w:jc w:val="both"/>
        <w:rPr>
          <w:rFonts w:ascii="Times New Roman" w:hAnsi="Times New Roman"/>
          <w:sz w:val="20"/>
        </w:rPr>
      </w:pPr>
      <w:r>
        <w:rPr>
          <w:rFonts w:ascii="Arial;sans-serif" w:hAnsi="Arial;sans-serif"/>
          <w:b w:val="false"/>
          <w:sz w:val="21"/>
        </w:rPr>
        <w:t xml:space="preserve">Additionally, provided that you have accepted this Agreement and complied with its terms and conditions and you have not revoked this Agreement, the Company agrees to accelerate the vesting of those restricted stock units (“RSUs”) and those shares subject to the nonqualified stock option (“NQSO”) granted to you during your employment that would have vested during the nine (9) month period following the Separation Date (equal to a total of 63,893 RSUs (the “Accelerated RSUs”) and a total of 4,107 shares subject to the NQSO (the “Accelerated NQSO Shares”)) had your employment continued during that time, as set forth on </w:t>
      </w:r>
      <w:r>
        <w:rPr>
          <w:rFonts w:ascii="Arial;sans-serif" w:hAnsi="Arial;sans-serif"/>
          <w:b w:val="false"/>
          <w:sz w:val="21"/>
          <w:u w:val="single"/>
        </w:rPr>
        <w:t>Exhibit A</w:t>
      </w:r>
      <w:r>
        <w:rPr>
          <w:rFonts w:ascii="Times New Roman" w:hAnsi="Times New Roman"/>
          <w:sz w:val="20"/>
        </w:rPr>
        <w:t xml:space="preserve"> </w:t>
      </w:r>
      <w:r>
        <w:rPr>
          <w:rFonts w:ascii="Arial;sans-serif" w:hAnsi="Arial;sans-serif"/>
          <w:b w:val="false"/>
          <w:sz w:val="21"/>
        </w:rPr>
        <w:t>hereto (the “Acceleration of Vesting”, and together with the Severance Pay, the “Severance Package”). The Acceleration of Vesting will occur on the Effective Date, provided this Agreement has not been revoked in accordance with its terms.</w:t>
      </w:r>
    </w:p>
    <w:p>
      <w:pPr>
        <w:pStyle w:val="TextBody"/>
        <w:bidi w:val="0"/>
        <w:spacing w:before="11"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The Company shall issue to you one share of Class A common stock of the Company for each Accelerated RSU, within 30 days following the Effective Date, in accordance with the terms of the applicable Company plan and the applicable RSU agreement. All remaining unvested shall be forfeited as of the Separation Date without any consideration. The NQSO with respect to the Accelerated NQSO Shares shall be exercisable only in accordance with the terms and conditions of the applicable Company plan and the applicable stock option grant agreement, including those provisions regarding the time in which you must exercise vested options, except that, notwithstanding anything to the contrary in such plan or agreement, the Accelerated NQSO Shares subject to the NQSO shall be deemed outstanding following the Separation Date for purposes of the accelerated vesting provisions of this Section 3. For the avoidance of doubt, the vested portion of the NQSO, including the Accelerated NQSO Shares subject to the NQSO, shall remain outstanding until the expiration of the 90-day period following the Separation Date, in accordance with the applicable stock option grant agreement, and shall automatically terminate on the last day of such 90-day period.</w:t>
      </w:r>
    </w:p>
    <w:p>
      <w:pPr>
        <w:pStyle w:val="TextBody"/>
        <w:bidi w:val="0"/>
        <w:spacing w:before="9"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The Severance Package is subject to tax withholdings and any other authorized deductions (as applicable).</w:t>
      </w:r>
    </w:p>
    <w:p>
      <w:pPr>
        <w:pStyle w:val="TextBody"/>
        <w:bidi w:val="0"/>
        <w:spacing w:before="7"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You acknowledge and agree that the Severance Package is not otherwise due or owing to you under any other agreement, obligation or any Company policy or practice. The Severance Package is not intended to be, and shall not be construed to constitute, a severance plan, and shall confer no benefit on anyone other than the parties specified herein. You further acknowledge that except for (i) the specific financial consideration set forth in this Agreement, (ii) any unpaid regular wages earned through the Separation Date, (iii) any accrued but unused vacation earned through the Separation Date, (iv) any business expenses incurred by you on behalf of the Company for which you submit a timely reimbursement claim in accordance with Company policy on or prior to the Separation Date (which will be paid as soon as practicable thereafter), and (v) any vested amount owing to you pursuant to any 401(k) savings plan of the Company, you are not and shall not in the future be entitled to any other compensation, benefit or reimbursement including, without limitation, other wages, commissions, bonuses, incentives, vacation pay, holiday pay, overtime pay, sabbatical pay, any form of equity, any equity vesting or acceleration, or any other form of compensation or benefit.</w:t>
      </w:r>
    </w:p>
    <w:p>
      <w:pPr>
        <w:pStyle w:val="TextBody"/>
        <w:bidi w:val="0"/>
        <w:spacing w:before="2" w:after="0"/>
        <w:jc w:val="left"/>
        <w:rPr/>
      </w:pPr>
      <w:r>
        <w:rPr/>
        <w:t> </w:t>
      </w:r>
    </w:p>
    <w:p>
      <w:pPr>
        <w:pStyle w:val="TextBody"/>
        <w:bidi w:val="0"/>
        <w:spacing w:before="1" w:after="0"/>
        <w:jc w:val="both"/>
        <w:rPr>
          <w:rFonts w:ascii="Arial;sans-serif" w:hAnsi="Arial;sans-serif"/>
          <w:b w:val="false"/>
          <w:sz w:val="21"/>
        </w:rPr>
      </w:pPr>
      <w:r>
        <w:rPr>
          <w:rFonts w:ascii="Arial;sans-serif" w:hAnsi="Arial;sans-serif"/>
          <w:b w:val="false"/>
          <w:sz w:val="21"/>
        </w:rPr>
        <w:t>If you do not accept and allow this Agreement to become effective, then subject to your completion of the appropriate forms, and subject to all the requirements of COBRA, you will be entitled to continue your participation, if any, in the Company’s medical and dental insurance plans, to the same extent that such insurance is provided to persons then employed by the Company and made available to you prior to the date hereof, in accordance with applicable law, at your own cost. In all cases, the “qualifying event” under COBRA shall be deemed to have occurred on the Separation Date.</w:t>
      </w:r>
    </w:p>
    <w:p>
      <w:pPr>
        <w:pStyle w:val="TextBody"/>
        <w:bidi w:val="0"/>
        <w:spacing w:before="0" w:after="0"/>
        <w:jc w:val="left"/>
        <w:rPr/>
      </w:pPr>
      <w:r>
        <w:rPr/>
        <w:t> </w:t>
      </w:r>
    </w:p>
    <w:p>
      <w:pPr>
        <w:pStyle w:val="TextBody"/>
        <w:bidi w:val="0"/>
        <w:spacing w:before="0" w:after="0"/>
        <w:jc w:val="both"/>
        <w:rPr>
          <w:rFonts w:ascii="Arial" w:hAnsi="Arial"/>
          <w:b w:val="false"/>
          <w:sz w:val="21"/>
        </w:rPr>
      </w:pPr>
      <w:r>
        <w:rPr>
          <w:rFonts w:ascii="Arial" w:hAnsi="Arial"/>
          <w:b w:val="false"/>
          <w:sz w:val="21"/>
        </w:rPr>
        <w:t>4.</w:t>
      </w:r>
    </w:p>
    <w:p>
      <w:pPr>
        <w:pStyle w:val="TextBody"/>
        <w:bidi w:val="0"/>
        <w:jc w:val="both"/>
        <w:rPr/>
      </w:pPr>
      <w:r>
        <w:rPr>
          <w:rFonts w:ascii="Arial;sans-serif" w:hAnsi="Arial;sans-serif"/>
          <w:b w:val="false"/>
          <w:sz w:val="21"/>
          <w:u w:val="single"/>
        </w:rPr>
        <w:t>Equity Grants</w:t>
      </w:r>
      <w:r>
        <w:rPr>
          <w:rFonts w:ascii="Arial;sans-serif" w:hAnsi="Arial;sans-serif"/>
          <w:b w:val="false"/>
          <w:sz w:val="21"/>
        </w:rPr>
        <w:t xml:space="preserve">. Except for the Acceleration of Vesting that is included with the Severance Package and specified on </w:t>
      </w:r>
      <w:r>
        <w:rPr>
          <w:rFonts w:ascii="Arial;sans-serif" w:hAnsi="Arial;sans-serif"/>
          <w:b w:val="false"/>
          <w:sz w:val="21"/>
          <w:u w:val="single"/>
        </w:rPr>
        <w:t>Exhibit A</w:t>
      </w:r>
      <w:r>
        <w:rPr/>
        <w:t xml:space="preserve"> </w:t>
      </w:r>
      <w:r>
        <w:rPr>
          <w:rFonts w:ascii="Arial;sans-serif" w:hAnsi="Arial;sans-serif"/>
          <w:b w:val="false"/>
          <w:sz w:val="21"/>
        </w:rPr>
        <w:t>hereto, if you have received a grant of equity from the Company, you acknowledge and agree that from and after the Separation Date, all vesting of any equity grant under any equity plan (of whatever name or kind, including, without limitation, any stock option plan or plan relating to restricted stock units) that you participated in or were eligible to participate in during</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- 2</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82" w:after="0"/>
        <w:jc w:val="both"/>
        <w:rPr>
          <w:rFonts w:ascii="Arial;sans-serif" w:hAnsi="Arial;sans-serif"/>
          <w:b w:val="false"/>
          <w:sz w:val="21"/>
        </w:rPr>
      </w:pPr>
      <w:r>
        <w:rPr>
          <w:rFonts w:ascii="Arial;sans-serif" w:hAnsi="Arial;sans-serif"/>
          <w:b w:val="false"/>
          <w:sz w:val="21"/>
        </w:rPr>
        <w:t>your employment with the Company will terminate. If you have received a grant of stock options from the Company, you further acknowledge and agree that you are entitled to exercise only those stock options that have vested as of the Separation Date (including in connection with the Acceleration of Vesting hereunder), and only in accordance with the terms and conditions of the applicable Company plan, including those provisions regarding the time in which you must exercise vested options.</w:t>
      </w:r>
    </w:p>
    <w:p>
      <w:pPr>
        <w:pStyle w:val="TextBody"/>
        <w:bidi w:val="0"/>
        <w:spacing w:before="0" w:after="0"/>
        <w:jc w:val="left"/>
        <w:rPr/>
      </w:pPr>
      <w:r>
        <w:rPr/>
        <w:t> </w:t>
      </w:r>
    </w:p>
    <w:p>
      <w:pPr>
        <w:pStyle w:val="TextBody"/>
        <w:bidi w:val="0"/>
        <w:spacing w:before="0" w:after="0"/>
        <w:jc w:val="left"/>
        <w:rPr>
          <w:rFonts w:ascii="Arial" w:hAnsi="Arial"/>
          <w:b w:val="false"/>
          <w:sz w:val="21"/>
        </w:rPr>
      </w:pPr>
      <w:r>
        <w:rPr>
          <w:rFonts w:ascii="Arial" w:hAnsi="Arial"/>
          <w:b w:val="false"/>
          <w:sz w:val="21"/>
        </w:rPr>
        <w:t>5.</w:t>
      </w:r>
    </w:p>
    <w:p>
      <w:pPr>
        <w:pStyle w:val="TextBody"/>
        <w:bidi w:val="0"/>
        <w:jc w:val="left"/>
        <w:rPr/>
      </w:pPr>
      <w:r>
        <w:rPr>
          <w:rFonts w:ascii="Arial;sans-serif" w:hAnsi="Arial;sans-serif"/>
          <w:b w:val="false"/>
          <w:sz w:val="21"/>
          <w:u w:val="single"/>
        </w:rPr>
        <w:t>Confidentiality, Acknowledgements and Other Obligations.</w:t>
      </w:r>
      <w:r>
        <w:rPr/>
        <w:t xml:space="preserve"> </w:t>
      </w:r>
      <w:r>
        <w:rPr>
          <w:rFonts w:ascii="Arial;sans-serif" w:hAnsi="Arial;sans-serif"/>
          <w:b w:val="false"/>
          <w:sz w:val="21"/>
        </w:rPr>
        <w:t>You and the Company expressly acknowledge and agree to the following:</w:t>
      </w:r>
    </w:p>
    <w:p>
      <w:pPr>
        <w:pStyle w:val="TextBody"/>
        <w:bidi w:val="0"/>
        <w:spacing w:before="0" w:after="0"/>
        <w:jc w:val="left"/>
        <w:rPr/>
      </w:pPr>
      <w:r>
        <w:rPr/>
        <w:t> </w:t>
      </w:r>
    </w:p>
    <w:p>
      <w:pPr>
        <w:pStyle w:val="TextBody"/>
        <w:bidi w:val="0"/>
        <w:spacing w:before="1" w:after="0"/>
        <w:jc w:val="both"/>
        <w:rPr>
          <w:rFonts w:ascii="Arial" w:hAnsi="Arial"/>
          <w:b w:val="false"/>
          <w:sz w:val="21"/>
        </w:rPr>
      </w:pPr>
      <w:r>
        <w:rPr>
          <w:rFonts w:ascii="Arial" w:hAnsi="Arial"/>
          <w:b w:val="false"/>
          <w:sz w:val="21"/>
        </w:rPr>
        <w:t>(i)</w:t>
      </w:r>
    </w:p>
    <w:p>
      <w:pPr>
        <w:pStyle w:val="TextBody"/>
        <w:bidi w:val="0"/>
        <w:spacing w:before="1" w:after="283"/>
        <w:jc w:val="both"/>
        <w:rPr/>
      </w:pPr>
      <w:r>
        <w:rPr>
          <w:rFonts w:ascii="Arial;sans-serif" w:hAnsi="Arial;sans-serif"/>
          <w:b w:val="false"/>
          <w:sz w:val="21"/>
        </w:rPr>
        <w:t xml:space="preserve">You will keep all confidential information and trade secrets of the Company confidential, and not use or disclose any of the same, and you will abide by any and all common law and statutory obligations relating to protection and non-disclosure of the Company’s trade secrets and confidential or proprietary documents and information. In addition, you acknowledge that the Company is providing you with notice of immunity under the Defend Trade Secrets Act of 2016, attached as </w:t>
      </w:r>
      <w:r>
        <w:rPr>
          <w:rFonts w:ascii="Arial;sans-serif" w:hAnsi="Arial;sans-serif"/>
          <w:b w:val="false"/>
          <w:sz w:val="21"/>
          <w:u w:val="single"/>
        </w:rPr>
        <w:t>Exhibit B</w:t>
      </w:r>
      <w:r>
        <w:rPr>
          <w:rFonts w:ascii="Arial;sans-serif" w:hAnsi="Arial;sans-serif"/>
          <w:b w:val="false"/>
          <w:sz w:val="21"/>
        </w:rPr>
        <w:t>.</w:t>
      </w:r>
    </w:p>
    <w:p>
      <w:pPr>
        <w:pStyle w:val="TextBody"/>
        <w:bidi w:val="0"/>
        <w:spacing w:before="8" w:after="0"/>
        <w:jc w:val="left"/>
        <w:rPr/>
      </w:pPr>
      <w:r>
        <w:rPr/>
        <w:t> </w:t>
      </w:r>
    </w:p>
    <w:p>
      <w:pPr>
        <w:pStyle w:val="TextBody"/>
        <w:bidi w:val="0"/>
        <w:spacing w:before="94" w:after="0"/>
        <w:jc w:val="both"/>
        <w:rPr>
          <w:rFonts w:ascii="Arial" w:hAnsi="Arial"/>
          <w:b w:val="false"/>
          <w:sz w:val="21"/>
        </w:rPr>
      </w:pPr>
      <w:r>
        <w:rPr>
          <w:rFonts w:ascii="Arial" w:hAnsi="Arial"/>
          <w:b w:val="false"/>
          <w:sz w:val="21"/>
        </w:rPr>
        <w:t>(ii)</w:t>
      </w:r>
    </w:p>
    <w:p>
      <w:pPr>
        <w:pStyle w:val="TextBody"/>
        <w:bidi w:val="0"/>
        <w:spacing w:before="94" w:after="283"/>
        <w:jc w:val="both"/>
        <w:rPr>
          <w:rFonts w:ascii="Arial;sans-serif" w:hAnsi="Arial;sans-serif"/>
          <w:b w:val="false"/>
          <w:sz w:val="21"/>
        </w:rPr>
      </w:pPr>
      <w:r>
        <w:rPr>
          <w:rFonts w:ascii="Arial;sans-serif" w:hAnsi="Arial;sans-serif"/>
          <w:b w:val="false"/>
          <w:sz w:val="21"/>
        </w:rPr>
        <w:t>Except as may be set forth in this Agreement, you acknowledge that you remain obligated under, and agree that you will comply with, the provisions of any agreement between you and the Company that protects the confidentiality of the Company’s information and imposes certain restrictions and obligations on you after your employment, including on your ability to use or share confidential information, to solicit employees or customers of the Company or to compete with the Company (each such agreement, collectively, the “NDA”), each of which is incorporated herein by reference. You specifically acknowledge and agree that you have received and are now receiving consideration for any restrictive covenants included in the NDA, and you expressly reaffirm these restrictive covenants.</w:t>
      </w:r>
    </w:p>
    <w:p>
      <w:pPr>
        <w:pStyle w:val="TextBody"/>
        <w:bidi w:val="0"/>
        <w:spacing w:before="5" w:after="0"/>
        <w:jc w:val="left"/>
        <w:rPr/>
      </w:pPr>
      <w:r>
        <w:rPr/>
        <w:t> </w:t>
      </w:r>
    </w:p>
    <w:p>
      <w:pPr>
        <w:pStyle w:val="TextBody"/>
        <w:bidi w:val="0"/>
        <w:spacing w:before="0" w:after="0"/>
        <w:jc w:val="both"/>
        <w:rPr>
          <w:rFonts w:ascii="Arial" w:hAnsi="Arial"/>
          <w:b w:val="false"/>
          <w:sz w:val="21"/>
        </w:rPr>
      </w:pPr>
      <w:r>
        <w:rPr>
          <w:rFonts w:ascii="Arial" w:hAnsi="Arial"/>
          <w:b w:val="false"/>
          <w:sz w:val="21"/>
        </w:rPr>
        <w:t>(iii)</w:t>
      </w:r>
    </w:p>
    <w:p>
      <w:pPr>
        <w:pStyle w:val="TextBody"/>
        <w:bidi w:val="0"/>
        <w:jc w:val="both"/>
        <w:rPr>
          <w:rFonts w:ascii="Arial;sans-serif" w:hAnsi="Arial;sans-serif"/>
          <w:b w:val="false"/>
          <w:sz w:val="21"/>
        </w:rPr>
      </w:pPr>
      <w:r>
        <w:rPr>
          <w:rFonts w:ascii="Arial;sans-serif" w:hAnsi="Arial;sans-serif"/>
          <w:b w:val="false"/>
          <w:sz w:val="21"/>
        </w:rPr>
        <w:t>You shall keep confidential all information relating to the negotiations associated with this Agreement, and shall not disclose such information to any person or entity (other than an immediate family member, legal counsel or financial advisor, provided that you instruct any such individual to whom disclosure is made about these obligations and such individual agrees to be bound by these confidentiality obligations), except as required by law.</w:t>
      </w:r>
    </w:p>
    <w:p>
      <w:pPr>
        <w:pStyle w:val="TextBody"/>
        <w:bidi w:val="0"/>
        <w:spacing w:before="7" w:after="0"/>
        <w:jc w:val="left"/>
        <w:rPr/>
      </w:pPr>
      <w:r>
        <w:rPr/>
        <w:t> </w:t>
      </w:r>
    </w:p>
    <w:p>
      <w:pPr>
        <w:pStyle w:val="TextBody"/>
        <w:bidi w:val="0"/>
        <w:spacing w:before="0" w:after="0"/>
        <w:jc w:val="both"/>
        <w:rPr>
          <w:rFonts w:ascii="Arial" w:hAnsi="Arial"/>
          <w:b w:val="false"/>
          <w:sz w:val="21"/>
        </w:rPr>
      </w:pPr>
      <w:r>
        <w:rPr>
          <w:rFonts w:ascii="Arial" w:hAnsi="Arial"/>
          <w:b w:val="false"/>
          <w:sz w:val="21"/>
        </w:rPr>
        <w:t>(iv)</w:t>
      </w:r>
    </w:p>
    <w:p>
      <w:pPr>
        <w:pStyle w:val="TextBody"/>
        <w:bidi w:val="0"/>
        <w:jc w:val="both"/>
        <w:rPr>
          <w:rFonts w:ascii="Arial;sans-serif" w:hAnsi="Arial;sans-serif"/>
          <w:b w:val="false"/>
          <w:sz w:val="21"/>
        </w:rPr>
      </w:pPr>
      <w:r>
        <w:rPr>
          <w:rFonts w:ascii="Arial;sans-serif" w:hAnsi="Arial;sans-serif"/>
          <w:b w:val="false"/>
          <w:sz w:val="21"/>
        </w:rPr>
        <w:t>From and after the date hereof unless specifically requested by the Company in writing, you will cease using any Company property (including computer equipment) and Company information. Within five (5) business days after request by the Company, you will return to the Company in the manner specified by the Company all Company property and equipment and all Company documents, code, information and data in any form (including financial plans, management reports, customer lists, and other documents and information), in each case without deleting or otherwise damaging or altering the same and without retaining any copies. On or prior to the Separation Date, you will provide the Company with all information necessary to log in to, assume control of, and access any database, system, account or application over which you had control or to which you had access during your employment (including username, password, PIN information and any other access credentials for any devices or accounts). From and after the date hereof unless specifically requested by the Company in writing, you will no longer access any such database, system, account or application.</w:t>
      </w:r>
    </w:p>
    <w:p>
      <w:pPr>
        <w:pStyle w:val="TextBody"/>
        <w:bidi w:val="0"/>
        <w:spacing w:before="2" w:after="0"/>
        <w:jc w:val="left"/>
        <w:rPr/>
      </w:pPr>
      <w:r>
        <w:rPr/>
        <w:t> </w:t>
      </w:r>
    </w:p>
    <w:p>
      <w:pPr>
        <w:pStyle w:val="TextBody"/>
        <w:bidi w:val="0"/>
        <w:spacing w:before="0" w:after="0"/>
        <w:jc w:val="both"/>
        <w:rPr>
          <w:rFonts w:ascii="Arial" w:hAnsi="Arial"/>
          <w:b w:val="false"/>
          <w:sz w:val="21"/>
        </w:rPr>
      </w:pPr>
      <w:r>
        <w:rPr>
          <w:rFonts w:ascii="Arial" w:hAnsi="Arial"/>
          <w:b w:val="false"/>
          <w:sz w:val="21"/>
        </w:rPr>
        <w:t>(v)</w:t>
      </w:r>
    </w:p>
    <w:p>
      <w:pPr>
        <w:pStyle w:val="TextBody"/>
        <w:bidi w:val="0"/>
        <w:jc w:val="both"/>
        <w:rPr>
          <w:rFonts w:ascii="Arial;sans-serif" w:hAnsi="Arial;sans-serif"/>
          <w:b w:val="false"/>
          <w:sz w:val="21"/>
        </w:rPr>
      </w:pPr>
      <w:r>
        <w:rPr>
          <w:rFonts w:ascii="Arial;sans-serif" w:hAnsi="Arial;sans-serif"/>
          <w:b w:val="false"/>
          <w:sz w:val="21"/>
        </w:rPr>
        <w:t>You will not make any statements that are professionally or personally disparaging about, or adverse to, the interests of the Company (including its officers, directors, and employees) including, but not limited to, any statements that disparage any person, product, service, financial condition, capability or any other aspect of the business of the Company, and you will not engage in any conduct that could reasonably be expected to harm professionally or personally the reputation of the Company (including its officers, directors, and employees).</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- 3</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106" w:after="0"/>
        <w:jc w:val="both"/>
        <w:rPr>
          <w:rFonts w:ascii="Arial" w:hAnsi="Arial"/>
          <w:b w:val="false"/>
          <w:sz w:val="21"/>
        </w:rPr>
      </w:pPr>
      <w:r>
        <w:rPr>
          <w:rFonts w:ascii="Arial" w:hAnsi="Arial"/>
          <w:b w:val="false"/>
          <w:sz w:val="21"/>
        </w:rPr>
        <w:t>(vi)</w:t>
      </w:r>
    </w:p>
    <w:p>
      <w:pPr>
        <w:pStyle w:val="TextBody"/>
        <w:bidi w:val="0"/>
        <w:spacing w:before="106" w:after="283"/>
        <w:jc w:val="both"/>
        <w:rPr>
          <w:rFonts w:ascii="Arial;sans-serif" w:hAnsi="Arial;sans-serif"/>
          <w:b w:val="false"/>
          <w:sz w:val="21"/>
        </w:rPr>
      </w:pPr>
      <w:r>
        <w:rPr>
          <w:rFonts w:ascii="Arial;sans-serif" w:hAnsi="Arial;sans-serif"/>
          <w:b w:val="false"/>
          <w:sz w:val="21"/>
        </w:rPr>
        <w:t>Consistent with Company policy, the Company will only provide neutral references (e.g., confirming position, dates of employment and rate of pay) in response to requests for references from prospective employers or others processed through our Company reference check process (all reference requests should be sent to [EMAIL]).</w:t>
      </w:r>
    </w:p>
    <w:p>
      <w:pPr>
        <w:pStyle w:val="TextBody"/>
        <w:bidi w:val="0"/>
        <w:spacing w:before="7" w:after="0"/>
        <w:jc w:val="left"/>
        <w:rPr/>
      </w:pPr>
      <w:r>
        <w:rPr/>
        <w:t> </w:t>
      </w:r>
    </w:p>
    <w:p>
      <w:pPr>
        <w:pStyle w:val="TextBody"/>
        <w:bidi w:val="0"/>
        <w:spacing w:before="94" w:after="0"/>
        <w:jc w:val="both"/>
        <w:rPr>
          <w:rFonts w:ascii="Arial" w:hAnsi="Arial"/>
          <w:b w:val="false"/>
          <w:sz w:val="21"/>
        </w:rPr>
      </w:pPr>
      <w:r>
        <w:rPr>
          <w:rFonts w:ascii="Arial" w:hAnsi="Arial"/>
          <w:b w:val="false"/>
          <w:sz w:val="21"/>
        </w:rPr>
        <w:t>(vii)</w:t>
      </w:r>
    </w:p>
    <w:p>
      <w:pPr>
        <w:pStyle w:val="TextBody"/>
        <w:bidi w:val="0"/>
        <w:spacing w:before="94" w:after="283"/>
        <w:jc w:val="both"/>
        <w:rPr>
          <w:rFonts w:ascii="Arial;sans-serif" w:hAnsi="Arial;sans-serif"/>
          <w:b w:val="false"/>
          <w:sz w:val="21"/>
        </w:rPr>
      </w:pPr>
      <w:r>
        <w:rPr>
          <w:rFonts w:ascii="Arial;sans-serif" w:hAnsi="Arial;sans-serif"/>
          <w:b w:val="false"/>
          <w:sz w:val="21"/>
        </w:rPr>
        <w:t>You represent to the Company that you have not engaged in any fraudulent or unlawful conduct relating to the Company or your employment, that you have complied with all contractual obligations with the Company, that you have complied with Company policies and procedures, and that you have fully disclosed to the Company all material information relating to the performance of your employment.</w:t>
      </w:r>
    </w:p>
    <w:p>
      <w:pPr>
        <w:pStyle w:val="TextBody"/>
        <w:bidi w:val="0"/>
        <w:spacing w:before="5" w:after="0"/>
        <w:jc w:val="left"/>
        <w:rPr/>
      </w:pPr>
      <w:r>
        <w:rPr/>
        <w:t> </w:t>
      </w:r>
    </w:p>
    <w:p>
      <w:pPr>
        <w:pStyle w:val="TextBody"/>
        <w:bidi w:val="0"/>
        <w:spacing w:before="1" w:after="0"/>
        <w:jc w:val="both"/>
        <w:rPr>
          <w:rFonts w:ascii="Arial" w:hAnsi="Arial"/>
          <w:b w:val="false"/>
          <w:sz w:val="21"/>
        </w:rPr>
      </w:pPr>
      <w:r>
        <w:rPr>
          <w:rFonts w:ascii="Arial" w:hAnsi="Arial"/>
          <w:b w:val="false"/>
          <w:sz w:val="21"/>
        </w:rPr>
        <w:t>6.</w:t>
      </w:r>
    </w:p>
    <w:p>
      <w:pPr>
        <w:pStyle w:val="TextBody"/>
        <w:bidi w:val="0"/>
        <w:spacing w:before="1" w:after="283"/>
        <w:jc w:val="both"/>
        <w:rPr/>
      </w:pPr>
      <w:r>
        <w:rPr>
          <w:rFonts w:ascii="Arial;sans-serif" w:hAnsi="Arial;sans-serif"/>
          <w:b w:val="false"/>
          <w:sz w:val="21"/>
          <w:u w:val="single"/>
        </w:rPr>
        <w:t>Cooperation.</w:t>
      </w:r>
      <w:r>
        <w:rPr/>
        <w:t xml:space="preserve"> </w:t>
      </w:r>
      <w:r>
        <w:rPr>
          <w:rFonts w:ascii="Arial;sans-serif" w:hAnsi="Arial;sans-serif"/>
          <w:b w:val="false"/>
          <w:sz w:val="21"/>
        </w:rPr>
        <w:t>Through the Separation Date and thereafter, you will make yourself available to the Company, upon reasonable notice, to assist in any matter relating to the services performed by you during your employment with the Company including, but not limited to, transitioning your duties to others at the Company and providing assistance in any legal or regulatory investigation, matter or Claim (as defined below).</w:t>
      </w:r>
    </w:p>
    <w:p>
      <w:pPr>
        <w:pStyle w:val="TextBody"/>
        <w:bidi w:val="0"/>
        <w:spacing w:before="7" w:after="0"/>
        <w:jc w:val="left"/>
        <w:rPr/>
      </w:pPr>
      <w:r>
        <w:rPr/>
        <w:t> </w:t>
      </w:r>
    </w:p>
    <w:p>
      <w:pPr>
        <w:pStyle w:val="TextBody"/>
        <w:bidi w:val="0"/>
        <w:spacing w:before="0" w:after="0"/>
        <w:jc w:val="both"/>
        <w:rPr>
          <w:rFonts w:ascii="Arial" w:hAnsi="Arial"/>
          <w:b w:val="false"/>
          <w:sz w:val="21"/>
        </w:rPr>
      </w:pPr>
      <w:r>
        <w:rPr>
          <w:rFonts w:ascii="Arial" w:hAnsi="Arial"/>
          <w:b w:val="false"/>
          <w:sz w:val="21"/>
        </w:rPr>
        <w:t>7.</w:t>
      </w:r>
    </w:p>
    <w:p>
      <w:pPr>
        <w:pStyle w:val="TextBody"/>
        <w:bidi w:val="0"/>
        <w:jc w:val="both"/>
        <w:rPr/>
      </w:pPr>
      <w:r>
        <w:rPr>
          <w:rFonts w:ascii="Arial;sans-serif" w:hAnsi="Arial;sans-serif"/>
          <w:b w:val="false"/>
          <w:sz w:val="21"/>
          <w:u w:val="single"/>
        </w:rPr>
        <w:t>Release of Claims</w:t>
      </w:r>
      <w:r>
        <w:rPr>
          <w:rFonts w:ascii="Arial;sans-serif" w:hAnsi="Arial;sans-serif"/>
          <w:b w:val="false"/>
          <w:sz w:val="21"/>
        </w:rPr>
        <w:t>. You hereby acknowledge and agree that by signing this Agreement, you (on behalf of yourself and your representatives, agents, estate, heirs, attorneys, insurers, spouse, executors, administrators, successors and assigns) are waiving your right to assert any Claim, and you hereby release the Company from any Claim, arising from acts, omissions, facts, or circumstances that occurred on or before the Acceptance Date.</w:t>
      </w:r>
    </w:p>
    <w:p>
      <w:pPr>
        <w:pStyle w:val="TextBody"/>
        <w:bidi w:val="0"/>
        <w:spacing w:before="1"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You agree that your waiver and release bars any form of legal claim, lawsuit, charge, complaint or any other form of action against the Company (each, a “Claim”) seeking money or any other form of relief, including equitable relief (whether declaratory, injunctive or otherwise), damages or any other form of monetary recovery (including back pay, front pay, compensatory damages, overtime pay, emotional distress, punitive damages, attorneys’ fees and any other costs or expenses).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 any other source of law of any state, country and/or locality, including but not limited to the United States, the Commonwealth of Massachusetts, the State of California, the State of Michigan, the state in which you reside, and/or any other state or locality where you worked for the Company (collectively “Laws”).</w:t>
      </w:r>
    </w:p>
    <w:p>
      <w:pPr>
        <w:pStyle w:val="TextBody"/>
        <w:bidi w:val="0"/>
        <w:spacing w:before="7" w:after="0"/>
        <w:jc w:val="left"/>
        <w:rPr/>
      </w:pPr>
      <w:r>
        <w:rPr/>
        <w:t> </w:t>
      </w:r>
    </w:p>
    <w:p>
      <w:pPr>
        <w:pStyle w:val="TextBody"/>
        <w:bidi w:val="0"/>
        <w:spacing w:before="1" w:after="0"/>
        <w:jc w:val="both"/>
        <w:rPr>
          <w:rFonts w:ascii="Arial;sans-serif" w:hAnsi="Arial;sans-serif"/>
          <w:b w:val="false"/>
          <w:sz w:val="21"/>
        </w:rPr>
      </w:pPr>
      <w:r>
        <w:rPr>
          <w:rFonts w:ascii="Arial;sans-serif" w:hAnsi="Arial;sans-serif"/>
          <w:b w:val="false"/>
          <w:sz w:val="21"/>
        </w:rPr>
        <w:t>Without limiting the foregoing waiver and release, except for Claims resulting from the failure of the Company to perform its obligations under this Agreement, you specifically waive and release the Company from:</w:t>
      </w:r>
    </w:p>
    <w:p>
      <w:pPr>
        <w:pStyle w:val="TextBody"/>
        <w:bidi w:val="0"/>
        <w:spacing w:before="3" w:after="0"/>
        <w:jc w:val="left"/>
        <w:rPr/>
      </w:pPr>
      <w:r>
        <w:rPr/>
        <w:t> </w:t>
      </w:r>
    </w:p>
    <w:p>
      <w:pPr>
        <w:pStyle w:val="TextBody"/>
        <w:bidi w:val="0"/>
        <w:spacing w:before="0" w:after="0"/>
        <w:jc w:val="both"/>
        <w:rPr>
          <w:rFonts w:ascii="Arial" w:hAnsi="Arial"/>
          <w:b w:val="false"/>
          <w:sz w:val="21"/>
        </w:rPr>
      </w:pPr>
      <w:r>
        <w:rPr>
          <w:rFonts w:ascii="Arial" w:hAnsi="Arial"/>
          <w:b w:val="false"/>
          <w:sz w:val="21"/>
        </w:rPr>
        <w:t>(i)</w:t>
      </w:r>
    </w:p>
    <w:p>
      <w:pPr>
        <w:pStyle w:val="TextBody"/>
        <w:bidi w:val="0"/>
        <w:jc w:val="both"/>
        <w:rPr>
          <w:rFonts w:ascii="Arial;sans-serif" w:hAnsi="Arial;sans-serif"/>
          <w:b w:val="false"/>
          <w:sz w:val="21"/>
        </w:rPr>
      </w:pPr>
      <w:r>
        <w:rPr>
          <w:rFonts w:ascii="Arial;sans-serif" w:hAnsi="Arial;sans-serif"/>
          <w:b w:val="false"/>
          <w:sz w:val="21"/>
        </w:rPr>
        <w:t>Claims under any Law concerning equal pay, civil rights, discrimination, harassment, retaliation and fair employment practices, including the Massachusetts Sexual Harassment Law (M.G.L. c. 214, § 1C), the Massachusetts Equal Pay Act (M.G.L. c. 149, § 105A), the Massachusetts Equal Rights Act (M.G.L. c. 93, §§ 102, 103), Title VII of the Civil Rights Act of 1964 (42 U.S.C. § 2000e et seq.), 42 U.S.C. § 1981, the Age Discrimination in Employment Act (29 U.S.C. § 621 et seq.) and the Americans with Disabilities Act (42 U.S.C. § 12101 et seq.), each as they may have been amended through the Acceptance Date.</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- 4</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82" w:after="0"/>
        <w:jc w:val="both"/>
        <w:rPr>
          <w:rFonts w:ascii="Arial" w:hAnsi="Arial"/>
          <w:b w:val="false"/>
          <w:sz w:val="21"/>
        </w:rPr>
      </w:pPr>
      <w:r>
        <w:rPr>
          <w:rFonts w:ascii="Arial" w:hAnsi="Arial"/>
          <w:b w:val="false"/>
          <w:sz w:val="21"/>
        </w:rPr>
        <w:t>(ii)</w:t>
      </w:r>
    </w:p>
    <w:p>
      <w:pPr>
        <w:pStyle w:val="TextBody"/>
        <w:bidi w:val="0"/>
        <w:spacing w:before="82" w:after="283"/>
        <w:jc w:val="both"/>
        <w:rPr>
          <w:rFonts w:ascii="Arial;sans-serif" w:hAnsi="Arial;sans-serif"/>
          <w:b w:val="false"/>
          <w:sz w:val="21"/>
        </w:rPr>
      </w:pPr>
      <w:r>
        <w:rPr>
          <w:rFonts w:ascii="Arial;sans-serif" w:hAnsi="Arial;sans-serif"/>
          <w:b w:val="false"/>
          <w:sz w:val="21"/>
        </w:rPr>
        <w:t>Claims under any Law relating to wages, hours, overtime, whistleblowing, leaves of absence or any other terms and conditions of employment, including but not limited to the Massachusetts Payment of Wages Law (Mass. Gen. Laws c. 149, §§ 148, 150), Massachusetts General Laws Chapter 149 in its entirety, Massachusetts General Laws Chapter 151 in its entirety (including but not limited to the minimum wage and overtime provisions), the Family and Medical Leave Act of 1993 (29 U.S.C. § 2601 et seq.) and all other local, state or federal laws, regulations or ordinances relating to personal, sick, medical and/or family leave or benefits, the Sarbanes-Oxley Act (including 18 U.S.C. § 1514A), the Dodd- Frank Act (12 U.S.C. § 5301 et seq.), the Employee Retirement Income Security Act of 1974 (29 U.S.C. § 1001 et seq.), the federal Consolidated Omnibus Budget Reconciliation Act and any similar state law, and the Occupational Safety and Health Act (29 U.S.C. § 651 et seq.), each as they may have been amended through the Separation Date. You specifically acknowledge that you are waiving any Claims for unpaid wages under these and other Laws.</w:t>
      </w:r>
    </w:p>
    <w:p>
      <w:pPr>
        <w:pStyle w:val="TextBody"/>
        <w:bidi w:val="0"/>
        <w:spacing w:before="9" w:after="0"/>
        <w:jc w:val="left"/>
        <w:rPr/>
      </w:pPr>
      <w:r>
        <w:rPr/>
        <w:t> </w:t>
      </w:r>
    </w:p>
    <w:p>
      <w:pPr>
        <w:pStyle w:val="TextBody"/>
        <w:bidi w:val="0"/>
        <w:spacing w:before="1" w:after="0"/>
        <w:jc w:val="both"/>
        <w:rPr>
          <w:rFonts w:ascii="Arial" w:hAnsi="Arial"/>
          <w:b w:val="false"/>
          <w:sz w:val="21"/>
        </w:rPr>
      </w:pPr>
      <w:r>
        <w:rPr>
          <w:rFonts w:ascii="Arial" w:hAnsi="Arial"/>
          <w:b w:val="false"/>
          <w:sz w:val="21"/>
        </w:rPr>
        <w:t>(iii)</w:t>
      </w:r>
    </w:p>
    <w:p>
      <w:pPr>
        <w:pStyle w:val="TextBody"/>
        <w:bidi w:val="0"/>
        <w:spacing w:before="1" w:after="283"/>
        <w:jc w:val="both"/>
        <w:rPr>
          <w:rFonts w:ascii="Arial;sans-serif" w:hAnsi="Arial;sans-serif"/>
          <w:b w:val="false"/>
          <w:sz w:val="21"/>
        </w:rPr>
      </w:pPr>
      <w:r>
        <w:rPr>
          <w:rFonts w:ascii="Arial;sans-serif" w:hAnsi="Arial;sans-serif"/>
          <w:b w:val="false"/>
          <w:sz w:val="21"/>
        </w:rPr>
        <w:t>Claims under any local, state or federal common law theory including, without limitation, any Claim for breach of contract, implied contract, promissory estoppel, quantum meruit, or any Claim sounding in tort.</w:t>
      </w:r>
    </w:p>
    <w:p>
      <w:pPr>
        <w:pStyle w:val="TextBody"/>
        <w:bidi w:val="0"/>
        <w:spacing w:before="3" w:after="0"/>
        <w:jc w:val="left"/>
        <w:rPr/>
      </w:pPr>
      <w:r>
        <w:rPr/>
        <w:t> </w:t>
      </w:r>
    </w:p>
    <w:p>
      <w:pPr>
        <w:pStyle w:val="TextBody"/>
        <w:bidi w:val="0"/>
        <w:spacing w:before="0" w:after="0"/>
        <w:jc w:val="both"/>
        <w:rPr>
          <w:rFonts w:ascii="Arial" w:hAnsi="Arial"/>
          <w:b w:val="false"/>
          <w:sz w:val="21"/>
        </w:rPr>
      </w:pPr>
      <w:r>
        <w:rPr>
          <w:rFonts w:ascii="Arial" w:hAnsi="Arial"/>
          <w:b w:val="false"/>
          <w:sz w:val="21"/>
        </w:rPr>
        <w:t>(iv)</w:t>
      </w:r>
    </w:p>
    <w:p>
      <w:pPr>
        <w:pStyle w:val="TextBody"/>
        <w:bidi w:val="0"/>
        <w:jc w:val="both"/>
        <w:rPr>
          <w:rFonts w:ascii="Arial;sans-serif" w:hAnsi="Arial;sans-serif"/>
          <w:b w:val="false"/>
          <w:sz w:val="21"/>
        </w:rPr>
      </w:pPr>
      <w:r>
        <w:rPr>
          <w:rFonts w:ascii="Arial;sans-serif" w:hAnsi="Arial;sans-serif"/>
          <w:b w:val="false"/>
          <w:sz w:val="21"/>
        </w:rPr>
        <w:t>Claims arising under the Company’s policies, equity plans, and benefit plans.</w:t>
      </w:r>
    </w:p>
    <w:p>
      <w:pPr>
        <w:pStyle w:val="TextBody"/>
        <w:bidi w:val="0"/>
        <w:spacing w:before="9" w:after="0"/>
        <w:jc w:val="left"/>
        <w:rPr/>
      </w:pPr>
      <w:r>
        <w:rPr/>
        <w:t> </w:t>
      </w:r>
    </w:p>
    <w:p>
      <w:pPr>
        <w:pStyle w:val="TextBody"/>
        <w:bidi w:val="0"/>
        <w:spacing w:before="0" w:after="0"/>
        <w:jc w:val="both"/>
        <w:rPr>
          <w:rFonts w:ascii="Arial" w:hAnsi="Arial"/>
          <w:b w:val="false"/>
          <w:sz w:val="21"/>
        </w:rPr>
      </w:pPr>
      <w:r>
        <w:rPr>
          <w:rFonts w:ascii="Arial" w:hAnsi="Arial"/>
          <w:b w:val="false"/>
          <w:sz w:val="21"/>
        </w:rPr>
        <w:t>(v)</w:t>
      </w:r>
    </w:p>
    <w:p>
      <w:pPr>
        <w:pStyle w:val="TextBody"/>
        <w:bidi w:val="0"/>
        <w:jc w:val="both"/>
        <w:rPr>
          <w:rFonts w:ascii="Arial;sans-serif" w:hAnsi="Arial;sans-serif"/>
          <w:b w:val="false"/>
          <w:sz w:val="21"/>
        </w:rPr>
      </w:pPr>
      <w:r>
        <w:rPr>
          <w:rFonts w:ascii="Arial;sans-serif" w:hAnsi="Arial;sans-serif"/>
          <w:b w:val="false"/>
          <w:sz w:val="21"/>
        </w:rPr>
        <w:t>Claims arising under any other Law or constitution.</w:t>
      </w:r>
    </w:p>
    <w:p>
      <w:pPr>
        <w:pStyle w:val="TextBody"/>
        <w:bidi w:val="0"/>
        <w:spacing w:before="1"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You acknowledge and agree that your receipt of the Severance Package is contingent upon your providing the waivers and releases in this Agreement, and not revoking this Agreement.</w:t>
      </w:r>
    </w:p>
    <w:p>
      <w:pPr>
        <w:pStyle w:val="TextBody"/>
        <w:bidi w:val="0"/>
        <w:spacing w:before="0" w:after="0"/>
        <w:jc w:val="left"/>
        <w:rPr/>
      </w:pPr>
      <w:r>
        <w:rPr/>
        <w:t> </w:t>
      </w:r>
    </w:p>
    <w:p>
      <w:pPr>
        <w:pStyle w:val="TextBody"/>
        <w:bidi w:val="0"/>
        <w:spacing w:before="1" w:after="0"/>
        <w:jc w:val="both"/>
        <w:rPr>
          <w:rFonts w:ascii="Arial;sans-serif" w:hAnsi="Arial;sans-serif"/>
          <w:b w:val="false"/>
          <w:sz w:val="21"/>
        </w:rPr>
      </w:pPr>
      <w:r>
        <w:rPr>
          <w:rFonts w:ascii="Arial;sans-serif" w:hAnsi="Arial;sans-serif"/>
          <w:b w:val="false"/>
          <w:sz w:val="21"/>
        </w:rPr>
        <w:t>Consistent with the provisions of Laws regarding discrimination (the “Discrimination Laws”), nothing in your waiver and release shall prohibit you from challenging the validity of the release under the Discrimination Laws or from filing a charge or complaint of age or other employment related discrimination with the Equal Employment Opportunity Commission (“EEOC”) or similar state agency, or from participating in any investigation or proceeding conducted by the EEOC or such state agency. However, your release and waiver does prohibit you from seeking or receiving monetary damages or other individual-specific relief in connection with any such charge or complaint of age or other work- related discrimination. Further, nothing in this Agreement shall limit the Company’s right to seek immediate dismissal of such charge or complaint on the basis that your signing of this Agreement constitutes a full release of any individual rights under the Discrimination Laws, or the Company’s right to seek restitution or other legal remedies of the economic benefits provided to you under this Agreement in the event that you successfully challenge the validity of this release and prevail in any claim under the Discrimination Laws.</w:t>
      </w:r>
    </w:p>
    <w:p>
      <w:pPr>
        <w:pStyle w:val="TextBody"/>
        <w:bidi w:val="0"/>
        <w:spacing w:before="2" w:after="0"/>
        <w:jc w:val="left"/>
        <w:rPr/>
      </w:pPr>
      <w:r>
        <w:rPr/>
        <w:t> </w:t>
      </w:r>
    </w:p>
    <w:p>
      <w:pPr>
        <w:pStyle w:val="TextBody"/>
        <w:bidi w:val="0"/>
        <w:spacing w:before="0" w:after="0"/>
        <w:jc w:val="both"/>
        <w:rPr>
          <w:rFonts w:ascii="Arial" w:hAnsi="Arial"/>
          <w:b w:val="false"/>
          <w:sz w:val="21"/>
        </w:rPr>
      </w:pPr>
      <w:r>
        <w:rPr>
          <w:rFonts w:ascii="Arial" w:hAnsi="Arial"/>
          <w:b w:val="false"/>
          <w:sz w:val="21"/>
        </w:rPr>
        <w:t>8.</w:t>
      </w:r>
    </w:p>
    <w:p>
      <w:pPr>
        <w:pStyle w:val="TextBody"/>
        <w:bidi w:val="0"/>
        <w:jc w:val="both"/>
        <w:rPr/>
      </w:pPr>
      <w:r>
        <w:rPr>
          <w:rFonts w:ascii="Arial;sans-serif" w:hAnsi="Arial;sans-serif"/>
          <w:b w:val="false"/>
          <w:sz w:val="21"/>
          <w:u w:val="single"/>
        </w:rPr>
        <w:t>OWBPA</w:t>
      </w:r>
      <w:r>
        <w:rPr>
          <w:rFonts w:ascii="Arial;sans-serif" w:hAnsi="Arial;sans-serif"/>
          <w:b w:val="false"/>
          <w:sz w:val="21"/>
        </w:rPr>
        <w:t>. Because you are at least forty (40) years of age, you have specific rights under the federal Age Discrimination in Employment Act (“ADEA”) and Older Workers Benefits Protection Act (“OWBPA”), which prohibit discrimination on the basis of age. The release in Section 7 is intended to release any Claim you may have against the Company alleging discrimination on the basis of age under the ADEA, OWBPA and other laws. Notwithstanding anything to the contrary in this Agreement, the release in Section 7 does not cover rights or Claims under the ADEA that arise after the Acceptance Date.</w:t>
      </w:r>
    </w:p>
    <w:p>
      <w:pPr>
        <w:pStyle w:val="TextBody"/>
        <w:bidi w:val="0"/>
        <w:spacing w:before="10" w:after="0"/>
        <w:jc w:val="left"/>
        <w:rPr/>
      </w:pPr>
      <w:r>
        <w:rPr/>
        <w:t> </w:t>
      </w:r>
    </w:p>
    <w:p>
      <w:pPr>
        <w:pStyle w:val="TextBody"/>
        <w:bidi w:val="0"/>
        <w:spacing w:before="0" w:after="0"/>
        <w:jc w:val="both"/>
        <w:rPr>
          <w:rFonts w:ascii="Arial;sans-serif" w:hAnsi="Arial;sans-serif"/>
          <w:b w:val="false"/>
          <w:sz w:val="21"/>
        </w:rPr>
      </w:pPr>
      <w:r>
        <w:rPr>
          <w:rFonts w:ascii="Arial;sans-serif" w:hAnsi="Arial;sans-serif"/>
          <w:b w:val="false"/>
          <w:sz w:val="21"/>
        </w:rPr>
        <w:t>The Company desires that you fully understand the provisions and effects of this Agreement. Consistent with the provisions of the OWBPA, you have a period of twenty-one (21) days from the date of delivery of this Agreement to you to consider and accept the provisions of this Agreement. You acknowledge and agree that any changes to this Agreement, whether material or immaterial, do not extend this period. You may revoke this Agreement within seven (7) business days after the Acceptance Date by sending an email to the Company’s Chief People Officer at</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- 5</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82" w:after="0"/>
        <w:jc w:val="left"/>
        <w:rPr>
          <w:rFonts w:ascii="Arial;sans-serif" w:hAnsi="Arial;sans-serif"/>
          <w:b w:val="false"/>
          <w:sz w:val="21"/>
        </w:rPr>
      </w:pPr>
      <w:r>
        <w:rPr>
          <w:rFonts w:ascii="Arial;sans-serif" w:hAnsi="Arial;sans-serif"/>
          <w:b w:val="false"/>
          <w:sz w:val="21"/>
        </w:rPr>
        <w:t>[EMAIL] with a copy to the Company’s Legal Department at [EMAIL] that specifically notifies the Company of your revocation of this Agreement under this Section.</w:t>
      </w:r>
    </w:p>
    <w:p>
      <w:pPr>
        <w:pStyle w:val="TextBody"/>
        <w:bidi w:val="0"/>
        <w:spacing w:before="6" w:after="0"/>
        <w:jc w:val="left"/>
        <w:rPr/>
      </w:pPr>
      <w:r>
        <w:rPr/>
        <w:t> </w:t>
      </w:r>
    </w:p>
    <w:p>
      <w:pPr>
        <w:pStyle w:val="TextBody"/>
        <w:bidi w:val="0"/>
        <w:spacing w:before="1" w:after="0"/>
        <w:jc w:val="both"/>
        <w:rPr>
          <w:rFonts w:ascii="Arial" w:hAnsi="Arial"/>
          <w:b w:val="false"/>
          <w:sz w:val="21"/>
        </w:rPr>
      </w:pPr>
      <w:r>
        <w:rPr>
          <w:rFonts w:ascii="Arial" w:hAnsi="Arial"/>
          <w:b w:val="false"/>
          <w:sz w:val="21"/>
        </w:rPr>
        <w:t>9.</w:t>
      </w:r>
    </w:p>
    <w:p>
      <w:pPr>
        <w:pStyle w:val="TextBody"/>
        <w:bidi w:val="0"/>
        <w:spacing w:before="1" w:after="283"/>
        <w:jc w:val="both"/>
        <w:rPr/>
      </w:pPr>
      <w:r>
        <w:rPr>
          <w:rFonts w:ascii="Arial;sans-serif" w:hAnsi="Arial;sans-serif"/>
          <w:b w:val="false"/>
          <w:sz w:val="21"/>
          <w:u w:val="single"/>
        </w:rPr>
        <w:t>Consequences of Breach or Revocation</w:t>
      </w:r>
      <w:r>
        <w:rPr>
          <w:rFonts w:ascii="Arial;sans-serif" w:hAnsi="Arial;sans-serif"/>
          <w:b w:val="false"/>
          <w:sz w:val="21"/>
        </w:rPr>
        <w:t>. In addition to any other remedies set forth in this Agreement or otherwise available to the Company in law or equity, a breach by you of any of your obligations set forth in this Agreement shall entitle the Company to cease providing any Severance Pay or other portion of the Severance Package and to recover any Severance Pay or other portion of the Severance Package already provided to you. Notwithstanding any such breach, your release and waiver set forth in this Agreement will remain in full force and effect to the maximum extent permitted by law.</w:t>
      </w:r>
    </w:p>
    <w:p>
      <w:pPr>
        <w:pStyle w:val="TextBody"/>
        <w:bidi w:val="0"/>
        <w:spacing w:before="9" w:after="0"/>
        <w:jc w:val="left"/>
        <w:rPr/>
      </w:pPr>
      <w:r>
        <w:rPr/>
        <w:t> </w:t>
      </w:r>
    </w:p>
    <w:p>
      <w:pPr>
        <w:pStyle w:val="TextBody"/>
        <w:bidi w:val="0"/>
        <w:spacing w:before="0" w:after="0"/>
        <w:jc w:val="both"/>
        <w:rPr>
          <w:rFonts w:ascii="Arial" w:hAnsi="Arial"/>
          <w:b w:val="false"/>
          <w:sz w:val="21"/>
        </w:rPr>
      </w:pPr>
      <w:r>
        <w:rPr>
          <w:rFonts w:ascii="Arial" w:hAnsi="Arial"/>
          <w:b w:val="false"/>
          <w:sz w:val="21"/>
        </w:rPr>
        <w:t>10.</w:t>
      </w:r>
    </w:p>
    <w:p>
      <w:pPr>
        <w:pStyle w:val="TextBody"/>
        <w:bidi w:val="0"/>
        <w:jc w:val="both"/>
        <w:rPr/>
      </w:pPr>
      <w:r>
        <w:rPr>
          <w:rFonts w:ascii="Arial;sans-serif" w:hAnsi="Arial;sans-serif"/>
          <w:b w:val="false"/>
          <w:sz w:val="21"/>
          <w:u w:val="single"/>
        </w:rPr>
        <w:t>Unemployment Benefits</w:t>
      </w:r>
      <w:r>
        <w:rPr>
          <w:rFonts w:ascii="Arial;sans-serif" w:hAnsi="Arial;sans-serif"/>
          <w:b w:val="false"/>
          <w:sz w:val="21"/>
        </w:rPr>
        <w:t>. You may seek unemployment benefits as a result of the termination of your employment from the Company. Decisions regarding unemployment eligibility, including whether the Severance Package affects the amount of eligibility, if any, are made by the applicable unemployment agency, not by the Company. The Company agrees to provide any necessary documents to enable you to seek such unemployment benefits promptly after a request in writing by an applicable state unemployment agency. Nothing in this Section shall be construed to require the Company to make, and the Company will not make, untruthful statements to an agency in connection with any claim for unemployment benefits.</w:t>
      </w:r>
    </w:p>
    <w:p>
      <w:pPr>
        <w:pStyle w:val="TextBody"/>
        <w:bidi w:val="0"/>
        <w:spacing w:before="1" w:after="0"/>
        <w:jc w:val="left"/>
        <w:rPr/>
      </w:pPr>
      <w:r>
        <w:rPr/>
        <w:t> </w:t>
      </w:r>
    </w:p>
    <w:p>
      <w:pPr>
        <w:pStyle w:val="TextBody"/>
        <w:bidi w:val="0"/>
        <w:spacing w:before="0" w:after="0"/>
        <w:jc w:val="both"/>
        <w:rPr>
          <w:rFonts w:ascii="Arial" w:hAnsi="Arial"/>
          <w:b w:val="false"/>
          <w:sz w:val="21"/>
        </w:rPr>
      </w:pPr>
      <w:r>
        <w:rPr>
          <w:rFonts w:ascii="Arial" w:hAnsi="Arial"/>
          <w:b w:val="false"/>
          <w:sz w:val="21"/>
        </w:rPr>
        <w:t>11.</w:t>
      </w:r>
    </w:p>
    <w:p>
      <w:pPr>
        <w:pStyle w:val="TextBody"/>
        <w:bidi w:val="0"/>
        <w:jc w:val="both"/>
        <w:rPr>
          <w:rFonts w:ascii="Arial;sans-serif" w:hAnsi="Arial;sans-serif"/>
          <w:b w:val="false"/>
          <w:sz w:val="21"/>
          <w:u w:val="single"/>
        </w:rPr>
      </w:pPr>
      <w:r>
        <w:rPr>
          <w:rFonts w:ascii="Arial;sans-serif" w:hAnsi="Arial;sans-serif"/>
          <w:b w:val="false"/>
          <w:sz w:val="21"/>
          <w:u w:val="single"/>
        </w:rPr>
        <w:t>Governing Provisions.</w:t>
      </w:r>
    </w:p>
    <w:p>
      <w:pPr>
        <w:pStyle w:val="TextBody"/>
        <w:bidi w:val="0"/>
        <w:spacing w:before="11" w:after="0"/>
        <w:jc w:val="left"/>
        <w:rPr/>
      </w:pPr>
      <w:r>
        <w:rPr/>
        <w:t> </w:t>
      </w:r>
    </w:p>
    <w:p>
      <w:pPr>
        <w:pStyle w:val="TextBody"/>
        <w:bidi w:val="0"/>
        <w:spacing w:before="94" w:after="0"/>
        <w:jc w:val="both"/>
        <w:rPr>
          <w:rFonts w:ascii="Arial" w:hAnsi="Arial"/>
          <w:b w:val="false"/>
          <w:sz w:val="21"/>
        </w:rPr>
      </w:pPr>
      <w:r>
        <w:rPr>
          <w:rFonts w:ascii="Arial" w:hAnsi="Arial"/>
          <w:b w:val="false"/>
          <w:sz w:val="21"/>
        </w:rPr>
        <w:t>(i)</w:t>
      </w:r>
    </w:p>
    <w:p>
      <w:pPr>
        <w:pStyle w:val="TextBody"/>
        <w:bidi w:val="0"/>
        <w:spacing w:before="94" w:after="283"/>
        <w:jc w:val="both"/>
        <w:rPr>
          <w:rFonts w:ascii="Arial;sans-serif" w:hAnsi="Arial;sans-serif"/>
          <w:b w:val="false"/>
          <w:sz w:val="21"/>
        </w:rPr>
      </w:pPr>
      <w:r>
        <w:rPr>
          <w:rFonts w:ascii="Arial;sans-serif" w:hAnsi="Arial;sans-serif"/>
          <w:b w:val="false"/>
          <w:sz w:val="21"/>
        </w:rPr>
        <w:t>Except as otherwise expressly provided in this Agreement and specifically your continuing obligations under the NDA, this Agreement, including the Exhibit B, supersedes any prior oral or written agreement and sets forth the entire agreement between you and the Company. No variations or modifications to this Agreement shall be valid unless reduced to writing and signed by the parties to this Agreement.</w:t>
      </w:r>
    </w:p>
    <w:p>
      <w:pPr>
        <w:pStyle w:val="TextBody"/>
        <w:bidi w:val="0"/>
        <w:spacing w:before="1" w:after="0"/>
        <w:jc w:val="left"/>
        <w:rPr/>
      </w:pPr>
      <w:r>
        <w:rPr/>
        <w:t> </w:t>
      </w:r>
    </w:p>
    <w:p>
      <w:pPr>
        <w:pStyle w:val="TextBody"/>
        <w:bidi w:val="0"/>
        <w:spacing w:before="0" w:after="0"/>
        <w:jc w:val="both"/>
        <w:rPr>
          <w:rFonts w:ascii="Arial" w:hAnsi="Arial"/>
          <w:b w:val="false"/>
          <w:sz w:val="21"/>
        </w:rPr>
      </w:pPr>
      <w:r>
        <w:rPr>
          <w:rFonts w:ascii="Arial" w:hAnsi="Arial"/>
          <w:b w:val="false"/>
          <w:sz w:val="21"/>
        </w:rPr>
        <w:t>(ii)</w:t>
      </w:r>
    </w:p>
    <w:p>
      <w:pPr>
        <w:pStyle w:val="TextBody"/>
        <w:bidi w:val="0"/>
        <w:jc w:val="both"/>
        <w:rPr>
          <w:rFonts w:ascii="Arial;sans-serif" w:hAnsi="Arial;sans-serif"/>
          <w:b w:val="false"/>
          <w:sz w:val="21"/>
        </w:rPr>
      </w:pPr>
      <w:r>
        <w:rPr>
          <w:rFonts w:ascii="Arial;sans-serif" w:hAnsi="Arial;sans-serif"/>
          <w:b w:val="false"/>
          <w:sz w:val="21"/>
        </w:rPr>
        <w:t>The validity, interpretation and performance of this Agreement shall be governed by, and construed in accordance with, the internal laws of the Commonwealth of Massachusetts, or if required by the laws of the state in which you reside, the laws of such state, without giving effect to conflict of law principles. Any action, demand, claim or counterclaim relating to the terms and provisions of this Agreement, or to its breach, shall be commenced in Massachusetts in a court of competent jurisdiction, and venue for such actions shall lie exclusively in Massachusetts. To the fullest extent permitted by law, any action, demand, claim or counterclaim relating to this Agreement shall be resolved by a judge alone, and both parties hereby waive the right to a trial before a civil jury.</w:t>
      </w:r>
    </w:p>
    <w:p>
      <w:pPr>
        <w:pStyle w:val="TextBody"/>
        <w:bidi w:val="0"/>
        <w:spacing w:before="11" w:after="0"/>
        <w:jc w:val="left"/>
        <w:rPr/>
      </w:pPr>
      <w:r>
        <w:rPr/>
        <w:t> </w:t>
      </w:r>
    </w:p>
    <w:p>
      <w:pPr>
        <w:pStyle w:val="TextBody"/>
        <w:bidi w:val="0"/>
        <w:spacing w:before="0" w:after="0"/>
        <w:jc w:val="both"/>
        <w:rPr>
          <w:rFonts w:ascii="Arial" w:hAnsi="Arial"/>
          <w:b w:val="false"/>
          <w:sz w:val="21"/>
        </w:rPr>
      </w:pPr>
      <w:r>
        <w:rPr>
          <w:rFonts w:ascii="Arial" w:hAnsi="Arial"/>
          <w:b w:val="false"/>
          <w:sz w:val="21"/>
        </w:rPr>
        <w:t>(iii)</w:t>
      </w:r>
    </w:p>
    <w:p>
      <w:pPr>
        <w:pStyle w:val="TextBody"/>
        <w:bidi w:val="0"/>
        <w:jc w:val="both"/>
        <w:rPr>
          <w:rFonts w:ascii="Arial;sans-serif" w:hAnsi="Arial;sans-serif"/>
          <w:b w:val="false"/>
          <w:sz w:val="21"/>
        </w:rPr>
      </w:pPr>
      <w:r>
        <w:rPr>
          <w:rFonts w:ascii="Arial;sans-serif" w:hAnsi="Arial;sans-serif"/>
          <w:b w:val="false"/>
          <w:sz w:val="21"/>
        </w:rPr>
        <w:t>The terms of this Agreement are severable, and if for any reason any part hereof shall be found to be unenforceable, the remaining terms and conditions shall be enforced in full.</w:t>
      </w:r>
    </w:p>
    <w:p>
      <w:pPr>
        <w:pStyle w:val="TextBody"/>
        <w:bidi w:val="0"/>
        <w:spacing w:before="0" w:after="0"/>
        <w:jc w:val="left"/>
        <w:rPr/>
      </w:pPr>
      <w:r>
        <w:rPr/>
        <w:t> </w:t>
      </w:r>
    </w:p>
    <w:p>
      <w:pPr>
        <w:pStyle w:val="TextBody"/>
        <w:bidi w:val="0"/>
        <w:spacing w:before="0" w:after="0"/>
        <w:jc w:val="both"/>
        <w:rPr>
          <w:rFonts w:ascii="Arial" w:hAnsi="Arial"/>
          <w:b w:val="false"/>
          <w:sz w:val="21"/>
        </w:rPr>
      </w:pPr>
      <w:r>
        <w:rPr>
          <w:rFonts w:ascii="Arial" w:hAnsi="Arial"/>
          <w:b w:val="false"/>
          <w:sz w:val="21"/>
        </w:rPr>
        <w:t>(iv)</w:t>
      </w:r>
    </w:p>
    <w:p>
      <w:pPr>
        <w:pStyle w:val="TextBody"/>
        <w:bidi w:val="0"/>
        <w:jc w:val="both"/>
        <w:rPr>
          <w:rFonts w:ascii="Arial;sans-serif" w:hAnsi="Arial;sans-serif"/>
          <w:b w:val="false"/>
          <w:sz w:val="21"/>
        </w:rPr>
      </w:pPr>
      <w:r>
        <w:rPr>
          <w:rFonts w:ascii="Arial;sans-serif" w:hAnsi="Arial;sans-serif"/>
          <w:b w:val="false"/>
          <w:sz w:val="21"/>
        </w:rPr>
        <w:t>This Agreement shall inure to the benefit of the Company and any of its successors and assigns and shall be enforceable against your heirs, executors and assigns.</w:t>
      </w:r>
    </w:p>
    <w:p>
      <w:pPr>
        <w:pStyle w:val="TextBody"/>
        <w:bidi w:val="0"/>
        <w:spacing w:before="0" w:after="0"/>
        <w:jc w:val="left"/>
        <w:rPr/>
      </w:pPr>
      <w:r>
        <w:rPr/>
        <w:t> </w:t>
      </w:r>
    </w:p>
    <w:p>
      <w:pPr>
        <w:pStyle w:val="TextBody"/>
        <w:bidi w:val="0"/>
        <w:spacing w:before="1" w:after="0"/>
        <w:jc w:val="both"/>
        <w:rPr>
          <w:rFonts w:ascii="Arial" w:hAnsi="Arial"/>
          <w:b w:val="false"/>
          <w:sz w:val="21"/>
        </w:rPr>
      </w:pPr>
      <w:r>
        <w:rPr>
          <w:rFonts w:ascii="Arial" w:hAnsi="Arial"/>
          <w:b w:val="false"/>
          <w:sz w:val="21"/>
        </w:rPr>
        <w:t>(v)</w:t>
      </w:r>
    </w:p>
    <w:p>
      <w:pPr>
        <w:pStyle w:val="TextBody"/>
        <w:bidi w:val="0"/>
        <w:spacing w:before="1" w:after="283"/>
        <w:jc w:val="both"/>
        <w:rPr>
          <w:rFonts w:ascii="Arial;sans-serif" w:hAnsi="Arial;sans-serif"/>
          <w:b w:val="false"/>
          <w:sz w:val="21"/>
        </w:rPr>
      </w:pPr>
      <w:r>
        <w:rPr>
          <w:rFonts w:ascii="Arial;sans-serif" w:hAnsi="Arial;sans-serif"/>
          <w:b w:val="false"/>
          <w:sz w:val="21"/>
        </w:rPr>
        <w:t>Except for the Company’s obligations set forth in Section 3 of this Agreement, which shall be the obligations solely of CarGurus, Inc., wherever the term the Company is used in this Agreement, it shall include CarGurus, Inc. and any and all entities corporately related to CarGurus, Inc. (including but not limited to any parents, divisions, affiliates and subsidiaries), and its and their respective partners, officers, directors, employees, agents, representatives, successors, predecessors, and assigns. The parties agree that all of such foregoing entities and persons are intended third party beneficiaries of this Agreement.</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- 6</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82" w:after="0"/>
        <w:jc w:val="both"/>
        <w:rPr>
          <w:rFonts w:ascii="Arial;sans-serif" w:hAnsi="Arial;sans-serif"/>
          <w:b w:val="false"/>
          <w:sz w:val="21"/>
        </w:rPr>
      </w:pPr>
      <w:r>
        <w:rPr>
          <w:rFonts w:ascii="Arial;sans-serif" w:hAnsi="Arial;sans-serif"/>
          <w:b w:val="false"/>
          <w:sz w:val="21"/>
        </w:rPr>
        <w:t>The Company advises you to consult with legal counsel for the purpose of reviewing the terms of this Agreement. By executing this Agreement, you are acknowledging that you have been afforded sufficient time to understand the terms and effects of this Agreement and to consult with legal counsel, that your agreements and obligations hereunder are made voluntarily, knowingly and without duress, and that neither the Company nor any of its employees, agents or representatives has made any representations to you inconsistent with the provisions of this Agreement.</w:t>
      </w:r>
    </w:p>
    <w:p>
      <w:pPr>
        <w:pStyle w:val="TextBody"/>
        <w:bidi w:val="0"/>
        <w:spacing w:before="10" w:after="0"/>
        <w:jc w:val="left"/>
        <w:rPr/>
      </w:pPr>
      <w:r>
        <w:rPr/>
        <w:t> </w:t>
      </w:r>
    </w:p>
    <w:p>
      <w:pPr>
        <w:pStyle w:val="TextBody"/>
        <w:bidi w:val="0"/>
        <w:spacing w:before="0" w:after="0"/>
        <w:jc w:val="center"/>
        <w:rPr>
          <w:rFonts w:ascii="Arial;sans-serif" w:hAnsi="Arial;sans-serif"/>
          <w:b w:val="false"/>
          <w:sz w:val="21"/>
        </w:rPr>
      </w:pPr>
      <w:r>
        <w:rPr>
          <w:rFonts w:ascii="Arial;sans-serif" w:hAnsi="Arial;sans-serif"/>
          <w:b w:val="false"/>
          <w:sz w:val="21"/>
        </w:rPr>
        <w:t>********</w:t>
      </w:r>
    </w:p>
    <w:p>
      <w:pPr>
        <w:pStyle w:val="TextBody"/>
        <w:bidi w:val="0"/>
        <w:spacing w:before="4" w:after="0"/>
        <w:jc w:val="both"/>
        <w:rPr>
          <w:rFonts w:ascii="Times New Roman" w:hAnsi="Times New Roman"/>
          <w:sz w:val="20"/>
        </w:rPr>
      </w:pPr>
      <w:r>
        <w:rPr>
          <w:rFonts w:ascii="Arial;sans-serif" w:hAnsi="Arial;sans-serif"/>
          <w:b w:val="false"/>
          <w:sz w:val="21"/>
        </w:rPr>
        <w:t>To accept the terms of this Agreement, you must sign and return this Agreement to the Company’s Chief People Officer at [EMAIL]</w:t>
      </w:r>
      <w:r>
        <w:rPr>
          <w:rFonts w:ascii="Times New Roman" w:hAnsi="Times New Roman"/>
          <w:sz w:val="20"/>
        </w:rPr>
        <w:t xml:space="preserve"> </w:t>
      </w:r>
      <w:r>
        <w:rPr>
          <w:rFonts w:ascii="Arial;sans-serif" w:hAnsi="Arial;sans-serif"/>
          <w:b w:val="false"/>
          <w:sz w:val="21"/>
        </w:rPr>
        <w:t>or by electronic signature and transmission (if made available by the Company) within the applicable period specified in Section 8.</w:t>
      </w:r>
    </w:p>
    <w:p>
      <w:pPr>
        <w:pStyle w:val="TextBody"/>
        <w:bidi w:val="0"/>
        <w:spacing w:before="0" w:after="0"/>
        <w:jc w:val="left"/>
        <w:rPr/>
      </w:pPr>
      <w:r>
        <w:rPr/>
        <w:t> </w:t>
      </w:r>
    </w:p>
    <w:p>
      <w:pPr>
        <w:pStyle w:val="TextBody"/>
        <w:bidi w:val="0"/>
        <w:spacing w:before="209" w:after="0"/>
        <w:jc w:val="left"/>
        <w:rPr>
          <w:rFonts w:ascii="Arial;sans-serif" w:hAnsi="Arial;sans-serif"/>
          <w:b w:val="false"/>
          <w:sz w:val="21"/>
        </w:rPr>
      </w:pPr>
      <w:r>
        <w:rPr>
          <w:rFonts w:ascii="Arial;sans-serif" w:hAnsi="Arial;sans-serif"/>
          <w:b w:val="false"/>
          <w:sz w:val="21"/>
        </w:rPr>
        <w:t>Very truly yours, CARGURUS, INC.</w:t>
      </w:r>
    </w:p>
    <w:p>
      <w:pPr>
        <w:pStyle w:val="TextBody"/>
        <w:bidi w:val="0"/>
        <w:spacing w:before="213" w:after="0"/>
        <w:jc w:val="left"/>
        <w:rPr>
          <w:rFonts w:ascii="Times New Roman" w:hAnsi="Times New Roman"/>
          <w:sz w:val="20"/>
        </w:rPr>
      </w:pPr>
      <w:r>
        <w:rPr>
          <w:rFonts w:ascii="Arial;sans-serif" w:hAnsi="Arial;sans-serif"/>
          <w:b w:val="false"/>
          <w:sz w:val="21"/>
        </w:rPr>
        <w:t>By:</w:t>
      </w:r>
      <w:r>
        <w:rPr>
          <w:rFonts w:ascii="Times New Roman" w:hAnsi="Times New Roman"/>
          <w:sz w:val="20"/>
          <w:u w:val="single"/>
        </w:rPr>
        <w:t xml:space="preserve"> </w:t>
      </w:r>
      <w:r>
        <w:rPr>
          <w:rFonts w:ascii="Arial;sans-serif" w:hAnsi="Arial;sans-serif"/>
          <w:b w:val="false"/>
          <w:sz w:val="21"/>
          <w:u w:val="single"/>
        </w:rPr>
        <w:t xml:space="preserve">/s/ Andrea Eldridge </w:t>
      </w:r>
    </w:p>
    <w:p>
      <w:pPr>
        <w:pStyle w:val="TextBody"/>
        <w:bidi w:val="0"/>
        <w:spacing w:before="6" w:after="0"/>
        <w:jc w:val="left"/>
        <w:rPr>
          <w:rFonts w:ascii="Arial;sans-serif" w:hAnsi="Arial;sans-serif"/>
          <w:b w:val="false"/>
          <w:sz w:val="21"/>
        </w:rPr>
      </w:pPr>
      <w:r>
        <w:rPr>
          <w:rFonts w:ascii="Arial;sans-serif" w:hAnsi="Arial;sans-serif"/>
          <w:b w:val="false"/>
          <w:sz w:val="21"/>
        </w:rPr>
        <w:t>Name: Andrea Eldridge Title: Chief People Officer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83" w:after="0"/>
        <w:jc w:val="left"/>
        <w:rPr>
          <w:rFonts w:ascii="Arial;sans-serif" w:hAnsi="Arial;sans-serif"/>
          <w:b w:val="false"/>
          <w:sz w:val="21"/>
        </w:rPr>
      </w:pPr>
      <w:r>
        <w:rPr>
          <w:rFonts w:ascii="Arial;sans-serif" w:hAnsi="Arial;sans-serif"/>
          <w:b w:val="false"/>
          <w:sz w:val="21"/>
        </w:rPr>
        <w:t>ACCEPTED AND AGREED:</w:t>
      </w:r>
    </w:p>
    <w:p>
      <w:pPr>
        <w:pStyle w:val="TextBody"/>
        <w:bidi w:val="0"/>
        <w:spacing w:before="1" w:after="0"/>
        <w:jc w:val="left"/>
        <w:rPr/>
      </w:pPr>
      <w:r>
        <w:rPr/>
        <w:t> </w:t>
      </w:r>
    </w:p>
    <w:p>
      <w:pPr>
        <w:pStyle w:val="TextBody"/>
        <w:bidi w:val="0"/>
        <w:spacing w:before="94" w:after="0"/>
        <w:jc w:val="left"/>
        <w:rPr>
          <w:rFonts w:ascii="Arial;sans-serif" w:hAnsi="Arial;sans-serif"/>
          <w:b w:val="false"/>
          <w:sz w:val="21"/>
          <w:u w:val="single"/>
        </w:rPr>
      </w:pPr>
      <w:r>
        <w:rPr>
          <w:rFonts w:ascii="Arial;sans-serif" w:hAnsi="Arial;sans-serif"/>
          <w:b w:val="false"/>
          <w:sz w:val="21"/>
          <w:u w:val="single"/>
        </w:rPr>
        <w:t xml:space="preserve">/s/ Tom Caputo </w:t>
      </w:r>
    </w:p>
    <w:p>
      <w:pPr>
        <w:pStyle w:val="TextBody"/>
        <w:bidi w:val="0"/>
        <w:spacing w:before="8" w:after="0"/>
        <w:jc w:val="left"/>
        <w:rPr/>
      </w:pPr>
      <w:r>
        <w:rPr/>
        <w:t> </w:t>
      </w:r>
    </w:p>
    <w:p>
      <w:pPr>
        <w:pStyle w:val="TextBody"/>
        <w:bidi w:val="0"/>
        <w:spacing w:before="94" w:after="0"/>
        <w:jc w:val="left"/>
        <w:rPr>
          <w:rFonts w:ascii="Times New Roman" w:hAnsi="Times New Roman"/>
          <w:sz w:val="20"/>
        </w:rPr>
      </w:pPr>
      <w:r>
        <w:rPr>
          <w:rFonts w:ascii="Arial;sans-serif" w:hAnsi="Arial;sans-serif"/>
          <w:b w:val="false"/>
          <w:sz w:val="21"/>
        </w:rPr>
        <w:t xml:space="preserve">Printed Name: </w:t>
      </w:r>
      <w:r>
        <w:rPr>
          <w:rFonts w:ascii="Arial;sans-serif" w:hAnsi="Arial;sans-serif"/>
          <w:b w:val="false"/>
          <w:sz w:val="21"/>
          <w:u w:val="single"/>
        </w:rPr>
        <w:t xml:space="preserve">Tom Caputo </w:t>
      </w:r>
      <w:r>
        <w:rPr>
          <w:rFonts w:ascii="Arial;sans-serif" w:hAnsi="Arial;sans-serif"/>
          <w:b w:val="false"/>
          <w:sz w:val="21"/>
        </w:rPr>
        <w:t xml:space="preserve">Acceptance Date: </w:t>
      </w:r>
      <w:r>
        <w:rPr>
          <w:rFonts w:ascii="Arial;sans-serif" w:hAnsi="Arial;sans-serif"/>
          <w:b w:val="false"/>
          <w:sz w:val="18"/>
        </w:rPr>
        <w:t>5/31/2023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- 7</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82" w:after="0"/>
        <w:jc w:val="center"/>
        <w:rPr>
          <w:rFonts w:ascii="Arial;sans-serif" w:hAnsi="Arial;sans-serif"/>
          <w:b/>
          <w:sz w:val="21"/>
          <w:u w:val="single"/>
        </w:rPr>
      </w:pPr>
      <w:r>
        <w:rPr>
          <w:rFonts w:ascii="Arial;sans-serif" w:hAnsi="Arial;sans-serif"/>
          <w:b/>
          <w:sz w:val="21"/>
          <w:u w:val="single"/>
        </w:rPr>
        <w:t>Exhibit A</w:t>
      </w:r>
    </w:p>
    <w:p>
      <w:pPr>
        <w:pStyle w:val="TextBody"/>
        <w:bidi w:val="0"/>
        <w:spacing w:before="6" w:after="0"/>
        <w:jc w:val="left"/>
        <w:rPr/>
      </w:pPr>
      <w:r>
        <w:rPr/>
        <w:t> </w:t>
      </w:r>
    </w:p>
    <w:p>
      <w:pPr>
        <w:pStyle w:val="TextBody"/>
        <w:bidi w:val="0"/>
        <w:spacing w:before="94" w:after="0"/>
        <w:jc w:val="left"/>
        <w:rPr>
          <w:rFonts w:ascii="Times New Roman" w:hAnsi="Times New Roman"/>
          <w:sz w:val="20"/>
        </w:rPr>
      </w:pPr>
      <w:r>
        <w:rPr>
          <w:rFonts w:ascii="Arial;sans-serif" w:hAnsi="Arial;sans-serif"/>
          <w:b w:val="false"/>
          <w:sz w:val="21"/>
          <w:u w:val="single"/>
        </w:rPr>
        <w:t>The chart below shows the number of RSUs and shares subject to the NQSO under your</w:t>
      </w:r>
      <w:r>
        <w:rPr>
          <w:rFonts w:ascii="Times New Roman" w:hAnsi="Times New Roman"/>
          <w:sz w:val="20"/>
        </w:rPr>
        <w:t xml:space="preserve"> </w:t>
      </w:r>
      <w:r>
        <w:rPr>
          <w:rFonts w:ascii="Arial;sans-serif" w:hAnsi="Arial;sans-serif"/>
          <w:b w:val="false"/>
          <w:sz w:val="21"/>
          <w:u w:val="single"/>
        </w:rPr>
        <w:t>outstanding equity awards that will accelerate and become vested as of the Separation Date, subject</w:t>
      </w:r>
      <w:r>
        <w:rPr>
          <w:rFonts w:ascii="Times New Roman" w:hAnsi="Times New Roman"/>
          <w:sz w:val="20"/>
        </w:rPr>
        <w:t xml:space="preserve"> </w:t>
      </w:r>
      <w:r>
        <w:rPr>
          <w:rFonts w:ascii="Arial;sans-serif" w:hAnsi="Arial;sans-serif"/>
          <w:b w:val="false"/>
          <w:sz w:val="21"/>
          <w:u w:val="single"/>
        </w:rPr>
        <w:t>to the terms and conditions of the Agreement:</w:t>
      </w:r>
    </w:p>
    <w:p>
      <w:pPr>
        <w:pStyle w:val="TextBody"/>
        <w:bidi w:val="0"/>
        <w:spacing w:before="4" w:after="0"/>
        <w:jc w:val="left"/>
        <w:rPr/>
      </w:pPr>
      <w:r>
        <w:rPr/>
        <w:t> </w:t>
      </w:r>
    </w:p>
    <w:tbl>
      <w:tblPr>
        <w:tblW w:w="10205" w:type="dxa"/>
        <w:jc w:val="left"/>
        <w:tblInd w:w="0" w:type="dxa"/>
        <w:tblLayout w:type="fixed"/>
        <w:tblCellMar>
          <w:top w:w="28" w:type="dxa"/>
          <w:left w:w="28" w:type="dxa"/>
          <w:bottom w:w="28" w:type="dxa"/>
          <w:right w:w="28" w:type="dxa"/>
        </w:tblCellMar>
      </w:tblPr>
      <w:tblGrid>
        <w:gridCol w:w="1357"/>
        <w:gridCol w:w="1553"/>
        <w:gridCol w:w="2149"/>
        <w:gridCol w:w="5146"/>
      </w:tblGrid>
      <w:tr>
        <w:trPr/>
        <w:tc>
          <w:tcPr>
            <w:tcW w:w="135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ind w:left="0" w:right="0" w:firstLine="111"/>
              <w:jc w:val="left"/>
              <w:rPr>
                <w:sz w:val="4"/>
                <w:szCs w:val="4"/>
              </w:rPr>
            </w:pPr>
            <w:r>
              <w:rPr>
                <w:sz w:val="4"/>
                <w:szCs w:val="4"/>
              </w:rPr>
            </w:r>
          </w:p>
        </w:tc>
      </w:tr>
      <w:tr>
        <w:trPr/>
        <w:tc>
          <w:tcPr>
            <w:tcW w:w="135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firstLine="111"/>
              <w:jc w:val="left"/>
              <w:rPr>
                <w:rFonts w:ascii="Arial;sans-serif" w:hAnsi="Arial;sans-serif"/>
                <w:b/>
                <w:sz w:val="21"/>
                <w:u w:val="single"/>
              </w:rPr>
            </w:pPr>
            <w:r>
              <w:rPr>
                <w:rFonts w:ascii="Arial;sans-serif" w:hAnsi="Arial;sans-serif"/>
                <w:b/>
                <w:sz w:val="21"/>
                <w:u w:val="single"/>
              </w:rPr>
              <w:t>Grant Date</w:t>
            </w:r>
          </w:p>
        </w:tc>
        <w:tc>
          <w:tcPr>
            <w:tcW w:w="15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112"/>
              <w:jc w:val="left"/>
              <w:rPr>
                <w:rFonts w:ascii="Arial;sans-serif" w:hAnsi="Arial;sans-serif"/>
                <w:b/>
                <w:sz w:val="21"/>
                <w:u w:val="single"/>
              </w:rPr>
            </w:pPr>
            <w:r>
              <w:rPr>
                <w:rFonts w:ascii="Arial;sans-serif" w:hAnsi="Arial;sans-serif"/>
                <w:b/>
                <w:sz w:val="21"/>
                <w:u w:val="single"/>
              </w:rPr>
              <w:t>Type of Award</w:t>
            </w:r>
          </w:p>
        </w:tc>
        <w:tc>
          <w:tcPr>
            <w:tcW w:w="214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111"/>
              <w:jc w:val="left"/>
              <w:rPr>
                <w:rFonts w:ascii="Times New Roman" w:hAnsi="Times New Roman"/>
                <w:sz w:val="21"/>
              </w:rPr>
            </w:pPr>
            <w:r>
              <w:rPr>
                <w:rFonts w:ascii="Arial;sans-serif" w:hAnsi="Arial;sans-serif"/>
                <w:b/>
                <w:sz w:val="21"/>
                <w:u w:val="single"/>
              </w:rPr>
              <w:t>Original Vesting</w:t>
            </w:r>
            <w:r>
              <w:rPr>
                <w:rFonts w:ascii="Times New Roman" w:hAnsi="Times New Roman"/>
                <w:sz w:val="21"/>
              </w:rPr>
              <w:t xml:space="preserve"> </w:t>
            </w:r>
            <w:r>
              <w:rPr>
                <w:rFonts w:ascii="Arial;sans-serif" w:hAnsi="Arial;sans-serif"/>
                <w:b/>
                <w:sz w:val="21"/>
                <w:u w:val="single"/>
              </w:rPr>
              <w:t>Date</w:t>
            </w:r>
          </w:p>
        </w:tc>
        <w:tc>
          <w:tcPr>
            <w:tcW w:w="5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111"/>
              <w:jc w:val="left"/>
              <w:rPr>
                <w:rFonts w:ascii="Times New Roman" w:hAnsi="Times New Roman"/>
                <w:sz w:val="21"/>
              </w:rPr>
            </w:pPr>
            <w:r>
              <w:rPr>
                <w:rFonts w:ascii="Arial;sans-serif" w:hAnsi="Arial;sans-serif"/>
                <w:b/>
                <w:sz w:val="21"/>
                <w:u w:val="single"/>
              </w:rPr>
              <w:t>Number of RSUs Scheduled</w:t>
            </w:r>
            <w:r>
              <w:rPr>
                <w:rFonts w:ascii="Times New Roman" w:hAnsi="Times New Roman"/>
                <w:sz w:val="21"/>
              </w:rPr>
              <w:t xml:space="preserve"> </w:t>
            </w:r>
            <w:r>
              <w:rPr>
                <w:rFonts w:ascii="Arial;sans-serif" w:hAnsi="Arial;sans-serif"/>
                <w:b/>
                <w:sz w:val="21"/>
                <w:u w:val="single"/>
              </w:rPr>
              <w:t>to Vest on the Vesting Date</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Feb-08-2022</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Jul-01-2023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2,688</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Feb-08-2022</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Oct-01-2023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2,688</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Feb-08-2022</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Jan-01-2024</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2,688</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Feb-08-2022</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Jul-01-2023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658</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Feb-08-2022</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Oct-01-2023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658</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Feb-08-2022</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Jan-01-2024</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658</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Feb-10-2021</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Jul-01-2023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1,317</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Feb-10-2021</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Oct-01-2023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1,316</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Feb-10-2021</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Jan-01-2024</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1,316</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Feb-10-2021</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NQSO</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Jul-01-2023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1,369</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Feb-10-2021</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NQSO</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Oct-01-2023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1,369</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Feb-10-2021</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NQSO</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Jan-01-2024</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1,369</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Feb-12-2020</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Jul-01-2023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2,772</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Feb-12-2020</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Oct-01-2023</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2,773</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Feb-12-2020</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Jan-01-2024</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2,773</w:t>
            </w:r>
          </w:p>
        </w:tc>
      </w:tr>
      <w:tr>
        <w:trPr/>
        <w:tc>
          <w:tcPr>
            <w:tcW w:w="135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firstLine="111"/>
              <w:jc w:val="left"/>
              <w:rPr>
                <w:rFonts w:ascii="Arial;sans-serif" w:hAnsi="Arial;sans-serif"/>
                <w:b w:val="false"/>
                <w:sz w:val="21"/>
                <w:u w:val="single"/>
              </w:rPr>
            </w:pPr>
            <w:r>
              <w:rPr>
                <w:rFonts w:ascii="Arial;sans-serif" w:hAnsi="Arial;sans-serif"/>
                <w:b w:val="false"/>
                <w:sz w:val="21"/>
                <w:u w:val="single"/>
              </w:rPr>
              <w:t>Feb-12-2020</w:t>
            </w:r>
          </w:p>
        </w:tc>
        <w:tc>
          <w:tcPr>
            <w:tcW w:w="15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2"/>
              <w:jc w:val="left"/>
              <w:rPr>
                <w:rFonts w:ascii="Arial;sans-serif" w:hAnsi="Arial;sans-serif"/>
                <w:b w:val="false"/>
                <w:sz w:val="21"/>
              </w:rPr>
            </w:pPr>
            <w:r>
              <w:rPr>
                <w:rFonts w:ascii="Arial;sans-serif" w:hAnsi="Arial;sans-serif"/>
                <w:b w:val="false"/>
                <w:sz w:val="21"/>
              </w:rPr>
              <w:t>RSU</w:t>
            </w:r>
          </w:p>
        </w:tc>
        <w:tc>
          <w:tcPr>
            <w:tcW w:w="2149"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111"/>
              <w:jc w:val="left"/>
              <w:rPr>
                <w:rFonts w:ascii="Arial;sans-serif" w:hAnsi="Arial;sans-serif"/>
                <w:b w:val="false"/>
                <w:sz w:val="21"/>
              </w:rPr>
            </w:pPr>
            <w:r>
              <w:rPr>
                <w:rFonts w:ascii="Arial;sans-serif" w:hAnsi="Arial;sans-serif"/>
                <w:b w:val="false"/>
                <w:sz w:val="21"/>
              </w:rPr>
              <w:t>Jan-01-2024</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111" w:right="0" w:hanging="0"/>
              <w:jc w:val="left"/>
              <w:rPr>
                <w:rFonts w:ascii="Arial;sans-serif" w:hAnsi="Arial;sans-serif"/>
                <w:b w:val="false"/>
                <w:sz w:val="21"/>
              </w:rPr>
            </w:pPr>
            <w:r>
              <w:rPr>
                <w:rFonts w:ascii="Arial;sans-serif" w:hAnsi="Arial;sans-serif"/>
                <w:b w:val="false"/>
                <w:sz w:val="21"/>
              </w:rPr>
              <w:t>41,588</w:t>
            </w:r>
          </w:p>
        </w:tc>
      </w:tr>
      <w:tr>
        <w:trPr/>
        <w:tc>
          <w:tcPr>
            <w:tcW w:w="5059"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201" w:after="0"/>
              <w:ind w:left="0" w:right="0" w:firstLine="111"/>
              <w:jc w:val="left"/>
              <w:rPr>
                <w:rFonts w:ascii="Arial;sans-serif" w:hAnsi="Arial;sans-serif"/>
                <w:b w:val="false"/>
                <w:sz w:val="21"/>
              </w:rPr>
            </w:pPr>
            <w:r>
              <w:rPr>
                <w:rFonts w:ascii="Arial;sans-serif" w:hAnsi="Arial;sans-serif"/>
                <w:b w:val="false"/>
                <w:sz w:val="21"/>
              </w:rPr>
              <w:t>TOTAL</w:t>
            </w:r>
          </w:p>
        </w:tc>
        <w:tc>
          <w:tcPr>
            <w:tcW w:w="5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111" w:right="0" w:hanging="0"/>
              <w:jc w:val="left"/>
              <w:rPr>
                <w:rFonts w:ascii="Arial;sans-serif" w:hAnsi="Arial;sans-serif"/>
                <w:b w:val="false"/>
                <w:sz w:val="21"/>
              </w:rPr>
            </w:pPr>
            <w:r>
              <w:rPr>
                <w:rFonts w:ascii="Arial;sans-serif" w:hAnsi="Arial;sans-serif"/>
                <w:b w:val="false"/>
                <w:sz w:val="21"/>
              </w:rPr>
              <w:t>63,893 RSUs</w:t>
            </w:r>
          </w:p>
          <w:p>
            <w:pPr>
              <w:pStyle w:val="TableContents"/>
              <w:bidi w:val="0"/>
              <w:spacing w:before="8" w:after="0"/>
              <w:ind w:left="0" w:right="0" w:hanging="0"/>
              <w:jc w:val="left"/>
              <w:rPr/>
            </w:pPr>
            <w:r>
              <w:rPr/>
              <w:t> </w:t>
            </w:r>
          </w:p>
          <w:p>
            <w:pPr>
              <w:pStyle w:val="TableContents"/>
              <w:bidi w:val="0"/>
              <w:spacing w:before="0" w:after="0"/>
              <w:ind w:left="111" w:right="350" w:hanging="0"/>
              <w:jc w:val="left"/>
              <w:rPr>
                <w:rFonts w:ascii="Arial;sans-serif" w:hAnsi="Arial;sans-serif"/>
                <w:b w:val="false"/>
                <w:sz w:val="21"/>
              </w:rPr>
            </w:pPr>
            <w:r>
              <w:rPr>
                <w:rFonts w:ascii="Arial;sans-serif" w:hAnsi="Arial;sans-serif"/>
                <w:b w:val="false"/>
                <w:sz w:val="21"/>
              </w:rPr>
              <w:t>4,107 shares subject to the NQSO</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- 8</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82" w:after="0"/>
        <w:jc w:val="center"/>
        <w:rPr>
          <w:rFonts w:ascii="Arial;sans-serif" w:hAnsi="Arial;sans-serif"/>
          <w:b/>
          <w:sz w:val="21"/>
          <w:u w:val="single"/>
        </w:rPr>
      </w:pPr>
      <w:r>
        <w:rPr>
          <w:rFonts w:ascii="Arial;sans-serif" w:hAnsi="Arial;sans-serif"/>
          <w:b/>
          <w:sz w:val="21"/>
          <w:u w:val="single"/>
        </w:rPr>
        <w:t>Exhibit B</w:t>
      </w:r>
    </w:p>
    <w:p>
      <w:pPr>
        <w:pStyle w:val="TextBody"/>
        <w:bidi w:val="0"/>
        <w:spacing w:before="6" w:after="0"/>
        <w:jc w:val="left"/>
        <w:rPr/>
      </w:pPr>
      <w:r>
        <w:rPr/>
        <w:t> </w:t>
      </w:r>
    </w:p>
    <w:p>
      <w:pPr>
        <w:pStyle w:val="TextBody"/>
        <w:bidi w:val="0"/>
        <w:spacing w:before="94" w:after="0"/>
        <w:jc w:val="center"/>
        <w:rPr>
          <w:rFonts w:ascii="Arial;sans-serif" w:hAnsi="Arial;sans-serif"/>
          <w:b/>
          <w:sz w:val="21"/>
          <w:u w:val="single"/>
        </w:rPr>
      </w:pPr>
      <w:r>
        <w:rPr>
          <w:rFonts w:ascii="Arial;sans-serif" w:hAnsi="Arial;sans-serif"/>
          <w:b/>
          <w:sz w:val="21"/>
          <w:u w:val="single"/>
        </w:rPr>
        <w:t>Notice of Immunity</w:t>
      </w:r>
    </w:p>
    <w:p>
      <w:pPr>
        <w:pStyle w:val="TextBody"/>
        <w:bidi w:val="0"/>
        <w:spacing w:before="6" w:after="0"/>
        <w:jc w:val="left"/>
        <w:rPr/>
      </w:pPr>
      <w:r>
        <w:rPr/>
        <w:t> </w:t>
      </w:r>
    </w:p>
    <w:p>
      <w:pPr>
        <w:pStyle w:val="TextBody"/>
        <w:bidi w:val="0"/>
        <w:spacing w:before="95" w:after="0"/>
        <w:jc w:val="left"/>
        <w:rPr>
          <w:rFonts w:ascii="Arial;sans-serif" w:hAnsi="Arial;sans-serif"/>
          <w:b w:val="false"/>
          <w:sz w:val="21"/>
        </w:rPr>
      </w:pPr>
      <w:r>
        <w:rPr>
          <w:rFonts w:ascii="Arial;sans-serif" w:hAnsi="Arial;sans-serif"/>
          <w:b w:val="false"/>
          <w:sz w:val="21"/>
        </w:rPr>
        <w:t>Consistent with federal law, the Company hereby notifies you of the following provisions of the Defend Trade Secrets Act of 2016.</w:t>
      </w:r>
    </w:p>
    <w:p>
      <w:pPr>
        <w:pStyle w:val="TextBody"/>
        <w:bidi w:val="0"/>
        <w:spacing w:before="207" w:after="0"/>
        <w:jc w:val="left"/>
        <w:rPr>
          <w:rFonts w:ascii="Arial;sans-serif" w:hAnsi="Arial;sans-serif"/>
          <w:b w:val="false"/>
          <w:smallCaps/>
          <w:sz w:val="21"/>
        </w:rPr>
      </w:pPr>
      <w:r>
        <w:rPr>
          <w:rFonts w:ascii="Arial;sans-serif" w:hAnsi="Arial;sans-serif"/>
          <w:b w:val="false"/>
          <w:smallCaps/>
          <w:sz w:val="21"/>
        </w:rPr>
        <w:t>Immunity from Liability for Confidential Disclosure of a Trade Secret to the Government or in a Court Filing—</w:t>
      </w:r>
    </w:p>
    <w:p>
      <w:pPr>
        <w:pStyle w:val="TextBody"/>
        <w:bidi w:val="0"/>
        <w:spacing w:before="199" w:after="0"/>
        <w:jc w:val="left"/>
        <w:rPr>
          <w:rFonts w:ascii="Arial" w:hAnsi="Arial"/>
          <w:b w:val="false"/>
          <w:sz w:val="21"/>
        </w:rPr>
      </w:pPr>
      <w:r>
        <w:rPr>
          <w:rFonts w:ascii="Arial" w:hAnsi="Arial"/>
          <w:b w:val="false"/>
          <w:sz w:val="21"/>
        </w:rPr>
        <w:t>(1)</w:t>
      </w:r>
    </w:p>
    <w:p>
      <w:pPr>
        <w:pStyle w:val="TextBody"/>
        <w:bidi w:val="0"/>
        <w:spacing w:before="199" w:after="0"/>
        <w:jc w:val="left"/>
        <w:rPr/>
      </w:pPr>
      <w:r>
        <w:rPr>
          <w:rFonts w:ascii="Arial;sans-serif" w:hAnsi="Arial;sans-serif"/>
          <w:b w:val="false"/>
          <w:sz w:val="21"/>
        </w:rPr>
        <w:t>I</w:t>
      </w:r>
      <w:r>
        <w:rPr>
          <w:rFonts w:ascii="Arial;sans-serif" w:hAnsi="Arial;sans-serif"/>
          <w:b w:val="false"/>
          <w:sz w:val="17"/>
        </w:rPr>
        <w:t>MMUNITY</w:t>
      </w:r>
      <w:r>
        <w:rPr>
          <w:rFonts w:ascii="Arial;sans-serif" w:hAnsi="Arial;sans-serif"/>
          <w:b w:val="false"/>
          <w:sz w:val="21"/>
        </w:rPr>
        <w:t>.—An individual shall not be held criminally or civilly liable under any Federal or State trade secret law for the disclosure of a trade secret that—</w:t>
      </w:r>
    </w:p>
    <w:p>
      <w:pPr>
        <w:pStyle w:val="TextBody"/>
        <w:bidi w:val="0"/>
        <w:spacing w:before="1" w:after="0"/>
        <w:jc w:val="left"/>
        <w:rPr>
          <w:rFonts w:ascii="Arial" w:hAnsi="Arial"/>
          <w:b w:val="false"/>
          <w:sz w:val="21"/>
        </w:rPr>
      </w:pPr>
      <w:r>
        <w:rPr>
          <w:rFonts w:ascii="Arial" w:hAnsi="Arial"/>
          <w:b w:val="false"/>
          <w:sz w:val="21"/>
        </w:rPr>
        <w:t>(A)</w:t>
      </w:r>
    </w:p>
    <w:p>
      <w:pPr>
        <w:pStyle w:val="TextBody"/>
        <w:bidi w:val="0"/>
        <w:spacing w:before="1" w:after="0"/>
        <w:jc w:val="left"/>
        <w:rPr>
          <w:rFonts w:ascii="Arial;sans-serif" w:hAnsi="Arial;sans-serif"/>
          <w:b w:val="false"/>
          <w:sz w:val="21"/>
        </w:rPr>
      </w:pPr>
      <w:r>
        <w:rPr>
          <w:rFonts w:ascii="Arial;sans-serif" w:hAnsi="Arial;sans-serif"/>
          <w:b w:val="false"/>
          <w:sz w:val="21"/>
        </w:rPr>
        <w:t>is made –</w:t>
      </w:r>
    </w:p>
    <w:p>
      <w:pPr>
        <w:pStyle w:val="TextBody"/>
        <w:bidi w:val="0"/>
        <w:spacing w:before="37" w:after="0"/>
        <w:jc w:val="left"/>
        <w:rPr>
          <w:rFonts w:ascii="Arial" w:hAnsi="Arial"/>
          <w:b w:val="false"/>
          <w:sz w:val="21"/>
        </w:rPr>
      </w:pPr>
      <w:r>
        <w:rPr>
          <w:rFonts w:ascii="Arial" w:hAnsi="Arial"/>
          <w:b w:val="false"/>
          <w:sz w:val="21"/>
        </w:rPr>
        <w:t>(i)</w:t>
      </w:r>
    </w:p>
    <w:p>
      <w:pPr>
        <w:pStyle w:val="TextBody"/>
        <w:bidi w:val="0"/>
        <w:spacing w:before="37" w:after="0"/>
        <w:jc w:val="left"/>
        <w:rPr>
          <w:rFonts w:ascii="Arial;sans-serif" w:hAnsi="Arial;sans-serif"/>
          <w:b w:val="false"/>
          <w:sz w:val="21"/>
        </w:rPr>
      </w:pPr>
      <w:r>
        <w:rPr>
          <w:rFonts w:ascii="Arial;sans-serif" w:hAnsi="Arial;sans-serif"/>
          <w:b w:val="false"/>
          <w:sz w:val="21"/>
        </w:rPr>
        <w:t>in confidence to a Federal, State, or local government official, either directly or indirectly, or to an attorney; and</w:t>
      </w:r>
    </w:p>
    <w:p>
      <w:pPr>
        <w:pStyle w:val="TextBody"/>
        <w:bidi w:val="0"/>
        <w:spacing w:before="6" w:after="0"/>
        <w:jc w:val="left"/>
        <w:rPr>
          <w:rFonts w:ascii="Arial" w:hAnsi="Arial"/>
          <w:b w:val="false"/>
          <w:sz w:val="21"/>
        </w:rPr>
      </w:pPr>
      <w:r>
        <w:rPr>
          <w:rFonts w:ascii="Arial" w:hAnsi="Arial"/>
          <w:b w:val="false"/>
          <w:sz w:val="21"/>
        </w:rPr>
        <w:t>(ii)</w:t>
      </w:r>
    </w:p>
    <w:p>
      <w:pPr>
        <w:pStyle w:val="TextBody"/>
        <w:bidi w:val="0"/>
        <w:spacing w:before="6" w:after="0"/>
        <w:jc w:val="left"/>
        <w:rPr>
          <w:rFonts w:ascii="Arial;sans-serif" w:hAnsi="Arial;sans-serif"/>
          <w:b w:val="false"/>
          <w:sz w:val="21"/>
        </w:rPr>
      </w:pPr>
      <w:r>
        <w:rPr>
          <w:rFonts w:ascii="Arial;sans-serif" w:hAnsi="Arial;sans-serif"/>
          <w:b w:val="false"/>
          <w:sz w:val="21"/>
        </w:rPr>
        <w:t>solely for the purpose of reporting or investigating a suspected violation of law; or</w:t>
      </w:r>
    </w:p>
    <w:p>
      <w:pPr>
        <w:pStyle w:val="TextBody"/>
        <w:bidi w:val="0"/>
        <w:spacing w:before="2" w:after="0"/>
        <w:jc w:val="left"/>
        <w:rPr>
          <w:rFonts w:ascii="Arial" w:hAnsi="Arial"/>
          <w:b w:val="false"/>
          <w:sz w:val="21"/>
        </w:rPr>
      </w:pPr>
      <w:r>
        <w:rPr>
          <w:rFonts w:ascii="Arial" w:hAnsi="Arial"/>
          <w:b w:val="false"/>
          <w:sz w:val="21"/>
        </w:rPr>
        <w:t>(B)</w:t>
      </w:r>
    </w:p>
    <w:p>
      <w:pPr>
        <w:pStyle w:val="TextBody"/>
        <w:bidi w:val="0"/>
        <w:spacing w:before="2" w:after="283"/>
        <w:jc w:val="left"/>
        <w:rPr>
          <w:rFonts w:ascii="Arial;sans-serif" w:hAnsi="Arial;sans-serif"/>
          <w:b w:val="false"/>
          <w:sz w:val="21"/>
        </w:rPr>
      </w:pPr>
      <w:r>
        <w:rPr>
          <w:rFonts w:ascii="Arial;sans-serif" w:hAnsi="Arial;sans-serif"/>
          <w:b w:val="false"/>
          <w:sz w:val="21"/>
        </w:rPr>
        <w:t>is made in a complaint or other document filed in a lawsuit or other proceeding, if such filing is made under seal.</w:t>
      </w:r>
    </w:p>
    <w:p>
      <w:pPr>
        <w:pStyle w:val="TextBody"/>
        <w:bidi w:val="0"/>
        <w:spacing w:before="1" w:after="0"/>
        <w:jc w:val="left"/>
        <w:rPr/>
      </w:pPr>
      <w:r>
        <w:rPr/>
        <w:t> </w:t>
      </w:r>
    </w:p>
    <w:p>
      <w:pPr>
        <w:pStyle w:val="TextBody"/>
        <w:bidi w:val="0"/>
        <w:spacing w:before="0" w:after="0"/>
        <w:jc w:val="left"/>
        <w:rPr>
          <w:rFonts w:ascii="Arial" w:hAnsi="Arial"/>
          <w:b w:val="false"/>
          <w:sz w:val="21"/>
        </w:rPr>
      </w:pPr>
      <w:r>
        <w:rPr>
          <w:rFonts w:ascii="Arial" w:hAnsi="Arial"/>
          <w:b w:val="false"/>
          <w:sz w:val="21"/>
        </w:rPr>
        <w:t>(2)</w:t>
      </w:r>
    </w:p>
    <w:p>
      <w:pPr>
        <w:pStyle w:val="TextBody"/>
        <w:bidi w:val="0"/>
        <w:jc w:val="left"/>
        <w:rPr/>
      </w:pPr>
      <w:r>
        <w:rPr>
          <w:rFonts w:ascii="Arial;sans-serif" w:hAnsi="Arial;sans-serif"/>
          <w:b w:val="false"/>
          <w:sz w:val="21"/>
        </w:rPr>
        <w:t>U</w:t>
      </w:r>
      <w:r>
        <w:rPr>
          <w:rFonts w:ascii="Arial;sans-serif" w:hAnsi="Arial;sans-serif"/>
          <w:b w:val="false"/>
          <w:sz w:val="17"/>
        </w:rPr>
        <w:t xml:space="preserve">SE OF </w:t>
      </w:r>
      <w:r>
        <w:rPr>
          <w:rFonts w:ascii="Arial;sans-serif" w:hAnsi="Arial;sans-serif"/>
          <w:b w:val="false"/>
          <w:sz w:val="21"/>
        </w:rPr>
        <w:t>T</w:t>
      </w:r>
      <w:r>
        <w:rPr>
          <w:rFonts w:ascii="Arial;sans-serif" w:hAnsi="Arial;sans-serif"/>
          <w:b w:val="false"/>
          <w:sz w:val="17"/>
        </w:rPr>
        <w:t xml:space="preserve">RADE </w:t>
      </w:r>
      <w:r>
        <w:rPr>
          <w:rFonts w:ascii="Arial;sans-serif" w:hAnsi="Arial;sans-serif"/>
          <w:b w:val="false"/>
          <w:sz w:val="21"/>
        </w:rPr>
        <w:t>S</w:t>
      </w:r>
      <w:r>
        <w:rPr>
          <w:rFonts w:ascii="Arial;sans-serif" w:hAnsi="Arial;sans-serif"/>
          <w:b w:val="false"/>
          <w:sz w:val="17"/>
        </w:rPr>
        <w:t xml:space="preserve">ECRET </w:t>
      </w:r>
      <w:r>
        <w:rPr>
          <w:rFonts w:ascii="Arial;sans-serif" w:hAnsi="Arial;sans-serif"/>
          <w:b w:val="false"/>
          <w:sz w:val="21"/>
        </w:rPr>
        <w:t>I</w:t>
      </w:r>
      <w:r>
        <w:rPr>
          <w:rFonts w:ascii="Arial;sans-serif" w:hAnsi="Arial;sans-serif"/>
          <w:b w:val="false"/>
          <w:sz w:val="17"/>
        </w:rPr>
        <w:t xml:space="preserve">NFORMATION IN </w:t>
      </w:r>
      <w:r>
        <w:rPr>
          <w:rFonts w:ascii="Arial;sans-serif" w:hAnsi="Arial;sans-serif"/>
          <w:b w:val="false"/>
          <w:sz w:val="21"/>
        </w:rPr>
        <w:t>A</w:t>
      </w:r>
      <w:r>
        <w:rPr>
          <w:rFonts w:ascii="Arial;sans-serif" w:hAnsi="Arial;sans-serif"/>
          <w:b w:val="false"/>
          <w:sz w:val="17"/>
        </w:rPr>
        <w:t>NTI</w:t>
      </w:r>
      <w:r>
        <w:rPr>
          <w:rFonts w:ascii="Arial;sans-serif" w:hAnsi="Arial;sans-serif"/>
          <w:b w:val="false"/>
          <w:sz w:val="21"/>
        </w:rPr>
        <w:t>-R</w:t>
      </w:r>
      <w:r>
        <w:rPr>
          <w:rFonts w:ascii="Arial;sans-serif" w:hAnsi="Arial;sans-serif"/>
          <w:b w:val="false"/>
          <w:sz w:val="17"/>
        </w:rPr>
        <w:t xml:space="preserve">ETALIATION </w:t>
      </w:r>
      <w:r>
        <w:rPr>
          <w:rFonts w:ascii="Arial;sans-serif" w:hAnsi="Arial;sans-serif"/>
          <w:b w:val="false"/>
          <w:sz w:val="21"/>
        </w:rPr>
        <w:t>L</w:t>
      </w:r>
      <w:r>
        <w:rPr>
          <w:rFonts w:ascii="Arial;sans-serif" w:hAnsi="Arial;sans-serif"/>
          <w:b w:val="false"/>
          <w:sz w:val="17"/>
        </w:rPr>
        <w:t>AWSUIT</w:t>
      </w:r>
      <w:r>
        <w:rPr/>
        <w:t>—</w:t>
      </w:r>
      <w:r>
        <w:rPr>
          <w:rFonts w:ascii="Arial;sans-serif" w:hAnsi="Arial;sans-serif"/>
          <w:b w:val="false"/>
          <w:sz w:val="21"/>
        </w:rPr>
        <w:t>An individual who files</w:t>
      </w:r>
    </w:p>
    <w:p>
      <w:pPr>
        <w:pStyle w:val="TextBody"/>
        <w:bidi w:val="0"/>
        <w:spacing w:before="33" w:after="0"/>
        <w:jc w:val="both"/>
        <w:rPr>
          <w:rFonts w:ascii="Arial;sans-serif" w:hAnsi="Arial;sans-serif"/>
          <w:b w:val="false"/>
          <w:sz w:val="21"/>
        </w:rPr>
      </w:pPr>
      <w:r>
        <w:rPr>
          <w:rFonts w:ascii="Arial;sans-serif" w:hAnsi="Arial;sans-serif"/>
          <w:b w:val="false"/>
          <w:sz w:val="21"/>
        </w:rPr>
        <w:t>a lawsuit for retaliation by an employer for reporting a suspected violation of law may disclose the trade secret to the attorney of the individual and use the trade secret information in the court proceeding, if the individual—</w:t>
      </w:r>
    </w:p>
    <w:p>
      <w:pPr>
        <w:pStyle w:val="TextBody"/>
        <w:bidi w:val="0"/>
        <w:spacing w:before="2" w:after="0"/>
        <w:jc w:val="both"/>
        <w:rPr>
          <w:rFonts w:ascii="Arial" w:hAnsi="Arial"/>
          <w:b w:val="false"/>
          <w:sz w:val="21"/>
        </w:rPr>
      </w:pPr>
      <w:r>
        <w:rPr>
          <w:rFonts w:ascii="Arial" w:hAnsi="Arial"/>
          <w:b w:val="false"/>
          <w:sz w:val="21"/>
        </w:rPr>
        <w:t>(A)</w:t>
      </w:r>
    </w:p>
    <w:p>
      <w:pPr>
        <w:pStyle w:val="TextBody"/>
        <w:bidi w:val="0"/>
        <w:spacing w:before="2" w:after="0"/>
        <w:jc w:val="both"/>
        <w:rPr>
          <w:rFonts w:ascii="Arial;sans-serif" w:hAnsi="Arial;sans-serif"/>
          <w:b w:val="false"/>
          <w:sz w:val="21"/>
        </w:rPr>
      </w:pPr>
      <w:r>
        <w:rPr>
          <w:rFonts w:ascii="Arial;sans-serif" w:hAnsi="Arial;sans-serif"/>
          <w:b w:val="false"/>
          <w:sz w:val="21"/>
        </w:rPr>
        <w:t>files any document containing the trade secret under seal; and</w:t>
      </w:r>
    </w:p>
    <w:p>
      <w:pPr>
        <w:pStyle w:val="TextBody"/>
        <w:bidi w:val="0"/>
        <w:spacing w:before="37" w:after="0"/>
        <w:jc w:val="both"/>
        <w:rPr>
          <w:rFonts w:ascii="Arial" w:hAnsi="Arial"/>
          <w:b w:val="false"/>
          <w:sz w:val="21"/>
        </w:rPr>
      </w:pPr>
      <w:r>
        <w:rPr>
          <w:rFonts w:ascii="Arial" w:hAnsi="Arial"/>
          <w:b w:val="false"/>
          <w:sz w:val="21"/>
        </w:rPr>
        <w:t>(B)</w:t>
      </w:r>
    </w:p>
    <w:p>
      <w:pPr>
        <w:pStyle w:val="TextBody"/>
        <w:bidi w:val="0"/>
        <w:spacing w:before="37" w:after="283"/>
        <w:jc w:val="both"/>
        <w:rPr>
          <w:rFonts w:ascii="Arial;sans-serif" w:hAnsi="Arial;sans-serif"/>
          <w:b w:val="false"/>
          <w:sz w:val="21"/>
        </w:rPr>
      </w:pPr>
      <w:r>
        <w:rPr>
          <w:rFonts w:ascii="Arial;sans-serif" w:hAnsi="Arial;sans-serif"/>
          <w:b w:val="false"/>
          <w:sz w:val="21"/>
        </w:rPr>
        <w:t>does not disclose the trade secret, except pursuant to court order.</w:t>
      </w:r>
    </w:p>
    <w:p>
      <w:pPr>
        <w:pStyle w:val="TextBody"/>
        <w:bidi w:val="0"/>
        <w:spacing w:before="3" w:after="0"/>
        <w:jc w:val="left"/>
        <w:rPr/>
      </w:pPr>
      <w:r>
        <w:rPr/>
        <w:t> </w:t>
      </w:r>
    </w:p>
    <w:p>
      <w:pPr>
        <w:pStyle w:val="TextBody"/>
        <w:bidi w:val="0"/>
        <w:spacing w:before="0" w:after="0"/>
        <w:jc w:val="center"/>
        <w:rPr>
          <w:rFonts w:ascii="Arial;sans-serif" w:hAnsi="Arial;sans-serif"/>
          <w:b w:val="false"/>
          <w:sz w:val="21"/>
        </w:rPr>
      </w:pPr>
      <w:r>
        <w:rPr>
          <w:rFonts w:ascii="Arial;sans-serif" w:hAnsi="Arial;sans-serif"/>
          <w:b w:val="false"/>
          <w:sz w:val="21"/>
        </w:rPr>
        <w:t>******</w:t>
      </w:r>
    </w:p>
    <w:p>
      <w:pPr>
        <w:pStyle w:val="TextBody"/>
        <w:bidi w:val="0"/>
        <w:spacing w:before="0" w:after="0"/>
        <w:jc w:val="left"/>
        <w:rPr/>
      </w:pPr>
      <w:r>
        <w:rPr/>
        <w:t> </w:t>
      </w:r>
    </w:p>
    <w:p>
      <w:pPr>
        <w:pStyle w:val="TextBody"/>
        <w:bidi w:val="0"/>
        <w:spacing w:before="16" w:after="0"/>
        <w:jc w:val="left"/>
        <w:rPr>
          <w:rFonts w:ascii="Times New Roman" w:hAnsi="Times New Roman"/>
          <w:sz w:val="20"/>
        </w:rPr>
      </w:pPr>
      <w:r>
        <w:rPr>
          <w:rFonts w:ascii="Arial;sans-serif" w:hAnsi="Arial;sans-serif"/>
          <w:b w:val="false"/>
          <w:sz w:val="18"/>
        </w:rPr>
        <w:t>- 9</w:t>
      </w:r>
      <w:r>
        <w:rPr>
          <w:rFonts w:ascii="Times New Roman" w:hAnsi="Times New Roman"/>
          <w:sz w:val="20"/>
        </w:rPr>
        <w:t xml:space="preserve"> </w:t>
      </w:r>
      <w:r>
        <w:rPr>
          <w:rFonts w:ascii="Arial;sans-serif" w:hAnsi="Arial;sans-serif"/>
          <w:b w:val="false"/>
          <w:sz w:val="18"/>
        </w:rPr>
        <w:t>-</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2" w:name="carg-ex31_1.htm"/>
      <w:bookmarkStart w:id="23" w:name="kscargex31_1"/>
      <w:bookmarkEnd w:id="22"/>
      <w:bookmarkEnd w:id="23"/>
      <w:r>
        <w:rPr/>
        <w:t> </w:t>
      </w:r>
      <w:r>
        <w:br w:type="page"/>
      </w:r>
    </w:p>
    <w:p>
      <w:pPr>
        <w:pStyle w:val="TextBody"/>
        <w:bidi w:val="0"/>
        <w:spacing w:before="0" w:after="0"/>
        <w:jc w:val="right"/>
        <w:rPr>
          <w:rFonts w:ascii="Calibri;sans-serif" w:hAnsi="Calibri;sans-serif"/>
          <w:b/>
          <w:sz w:val="20"/>
        </w:rPr>
      </w:pPr>
      <w:r>
        <w:rPr>
          <w:rFonts w:ascii="Calibri;sans-serif" w:hAnsi="Calibri;sans-serif"/>
          <w:b/>
          <w:sz w:val="20"/>
        </w:rPr>
        <w:t>Exhibit 31.1</w:t>
      </w:r>
    </w:p>
    <w:p>
      <w:pPr>
        <w:pStyle w:val="TextBody"/>
        <w:bidi w:val="0"/>
        <w:spacing w:before="240" w:after="0"/>
        <w:jc w:val="center"/>
        <w:rPr>
          <w:rFonts w:ascii="Calibri;sans-serif" w:hAnsi="Calibri;sans-serif"/>
          <w:b/>
          <w:sz w:val="20"/>
        </w:rPr>
      </w:pPr>
      <w:r>
        <w:rPr>
          <w:rFonts w:ascii="Calibri;sans-serif" w:hAnsi="Calibri;sans-serif"/>
          <w:b/>
          <w:sz w:val="20"/>
        </w:rPr>
        <w:t>CERTIFICATION PURSUANT TO</w:t>
      </w:r>
    </w:p>
    <w:p>
      <w:pPr>
        <w:pStyle w:val="TextBody"/>
        <w:bidi w:val="0"/>
        <w:spacing w:before="0" w:after="0"/>
        <w:jc w:val="center"/>
        <w:rPr>
          <w:rFonts w:ascii="Calibri;sans-serif" w:hAnsi="Calibri;sans-serif"/>
          <w:b/>
          <w:sz w:val="20"/>
        </w:rPr>
      </w:pPr>
      <w:r>
        <w:rPr>
          <w:rFonts w:ascii="Calibri;sans-serif" w:hAnsi="Calibri;sans-serif"/>
          <w:b/>
          <w:sz w:val="20"/>
        </w:rPr>
        <w:t>RULES 13a-14(a) AND 15d-14(a) UNDER THE SECURITIES EXCHANGE ACT OF 1934,</w:t>
      </w:r>
    </w:p>
    <w:p>
      <w:pPr>
        <w:pStyle w:val="TextBody"/>
        <w:bidi w:val="0"/>
        <w:spacing w:before="0" w:after="0"/>
        <w:jc w:val="center"/>
        <w:rPr>
          <w:rFonts w:ascii="Calibri;sans-serif" w:hAnsi="Calibri;sans-serif"/>
          <w:b/>
          <w:sz w:val="20"/>
        </w:rPr>
      </w:pPr>
      <w:r>
        <w:rPr>
          <w:rFonts w:ascii="Calibri;sans-serif" w:hAnsi="Calibri;sans-serif"/>
          <w:b/>
          <w:sz w:val="20"/>
        </w:rPr>
        <w:t>AS ADOPTED PURSUANT TO SECTION 302 OF THE SARBANES-OXLEY ACT OF 2002</w:t>
      </w:r>
    </w:p>
    <w:p>
      <w:pPr>
        <w:pStyle w:val="TextBody"/>
        <w:bidi w:val="0"/>
        <w:spacing w:before="240" w:after="0"/>
        <w:jc w:val="left"/>
        <w:rPr>
          <w:rFonts w:ascii="Calibri;sans-serif" w:hAnsi="Calibri;sans-serif"/>
          <w:b w:val="false"/>
          <w:sz w:val="20"/>
        </w:rPr>
      </w:pPr>
      <w:r>
        <w:rPr>
          <w:rFonts w:ascii="Calibri;sans-serif" w:hAnsi="Calibri;sans-serif"/>
          <w:b w:val="false"/>
          <w:sz w:val="20"/>
        </w:rPr>
        <w:t>I, Jason Trevisan,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Calibri;sans-serif" w:hAnsi="Calibri;sans-serif"/>
          <w:b w:val="false"/>
          <w:sz w:val="20"/>
        </w:rPr>
      </w:pPr>
      <w:r>
        <w:rPr>
          <w:rFonts w:ascii="Calibri;sans-serif" w:hAnsi="Calibri;sans-serif"/>
          <w:b w:val="false"/>
          <w:sz w:val="20"/>
        </w:rPr>
        <w:t>I have reviewed this Quarterly Report on Form 10-Q of CarGurus,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Calibri;sans-serif" w:hAnsi="Calibri;sans-serif"/>
          <w:b w:val="false"/>
          <w:sz w:val="20"/>
        </w:rPr>
      </w:pPr>
      <w:r>
        <w:rPr>
          <w:rFonts w:ascii="Calibri;sans-serif" w:hAnsi="Calibri;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Calibri;sans-serif" w:hAnsi="Calibri;sans-serif"/>
          <w:b w:val="false"/>
          <w:sz w:val="20"/>
        </w:rPr>
      </w:pPr>
      <w:r>
        <w:rPr>
          <w:rFonts w:ascii="Calibri;sans-serif" w:hAnsi="Calibri;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Calibri;sans-serif" w:hAnsi="Calibri;sans-serif"/>
          <w:b w:val="false"/>
          <w:sz w:val="20"/>
        </w:rPr>
      </w:pPr>
      <w:r>
        <w:rPr>
          <w:rFonts w:ascii="Calibri;sans-serif" w:hAnsi="Calibri;sans-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Calibri" w:hAnsi="Calibri"/>
          <w:b w:val="false"/>
          <w:sz w:val="20"/>
        </w:rPr>
      </w:pPr>
      <w:r>
        <w:rPr>
          <w:rFonts w:ascii="Calibri" w:hAnsi="Calibri"/>
          <w:b w:val="false"/>
          <w:sz w:val="20"/>
        </w:rPr>
        <w:t>(a)</w:t>
      </w:r>
    </w:p>
    <w:p>
      <w:pPr>
        <w:pStyle w:val="TextBody"/>
        <w:bidi w:val="0"/>
        <w:spacing w:before="240" w:after="0"/>
        <w:jc w:val="left"/>
        <w:rPr>
          <w:rFonts w:ascii="Calibri;sans-serif" w:hAnsi="Calibri;sans-serif"/>
          <w:b w:val="false"/>
          <w:sz w:val="20"/>
        </w:rPr>
      </w:pPr>
      <w:r>
        <w:rPr>
          <w:rFonts w:ascii="Calibri;sans-serif" w:hAnsi="Calibri;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Calibri" w:hAnsi="Calibri"/>
          <w:b w:val="false"/>
          <w:sz w:val="20"/>
        </w:rPr>
      </w:pPr>
      <w:r>
        <w:rPr>
          <w:rFonts w:ascii="Calibri" w:hAnsi="Calibri"/>
          <w:b w:val="false"/>
          <w:sz w:val="20"/>
        </w:rPr>
        <w:t>(b)</w:t>
      </w:r>
    </w:p>
    <w:p>
      <w:pPr>
        <w:pStyle w:val="TextBody"/>
        <w:bidi w:val="0"/>
        <w:spacing w:before="240" w:after="0"/>
        <w:jc w:val="left"/>
        <w:rPr>
          <w:rFonts w:ascii="Calibri;sans-serif" w:hAnsi="Calibri;sans-serif"/>
          <w:b w:val="false"/>
          <w:sz w:val="20"/>
        </w:rPr>
      </w:pPr>
      <w:r>
        <w:rPr>
          <w:rFonts w:ascii="Calibri;sans-serif" w:hAnsi="Calibri;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Calibri" w:hAnsi="Calibri"/>
          <w:b w:val="false"/>
          <w:sz w:val="20"/>
        </w:rPr>
      </w:pPr>
      <w:r>
        <w:rPr>
          <w:rFonts w:ascii="Calibri" w:hAnsi="Calibri"/>
          <w:b w:val="false"/>
          <w:sz w:val="20"/>
        </w:rPr>
        <w:t>(c)</w:t>
      </w:r>
    </w:p>
    <w:p>
      <w:pPr>
        <w:pStyle w:val="TextBody"/>
        <w:bidi w:val="0"/>
        <w:spacing w:before="240" w:after="0"/>
        <w:jc w:val="left"/>
        <w:rPr>
          <w:rFonts w:ascii="Calibri;sans-serif" w:hAnsi="Calibri;sans-serif"/>
          <w:b w:val="false"/>
          <w:sz w:val="20"/>
        </w:rPr>
      </w:pPr>
      <w:r>
        <w:rPr>
          <w:rFonts w:ascii="Calibri;sans-serif" w:hAnsi="Calibri;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Calibri" w:hAnsi="Calibri"/>
          <w:b w:val="false"/>
          <w:sz w:val="20"/>
        </w:rPr>
      </w:pPr>
      <w:r>
        <w:rPr>
          <w:rFonts w:ascii="Calibri" w:hAnsi="Calibri"/>
          <w:b w:val="false"/>
          <w:sz w:val="20"/>
        </w:rPr>
        <w:t>(d)</w:t>
      </w:r>
    </w:p>
    <w:p>
      <w:pPr>
        <w:pStyle w:val="TextBody"/>
        <w:bidi w:val="0"/>
        <w:spacing w:before="240" w:after="0"/>
        <w:jc w:val="left"/>
        <w:rPr>
          <w:rFonts w:ascii="Calibri;sans-serif" w:hAnsi="Calibri;sans-serif"/>
          <w:b w:val="false"/>
          <w:sz w:val="20"/>
        </w:rPr>
      </w:pPr>
      <w:r>
        <w:rPr>
          <w:rFonts w:ascii="Calibri;sans-serif" w:hAnsi="Calibri;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Calibri;sans-serif" w:hAnsi="Calibri;sans-serif"/>
          <w:b w:val="false"/>
          <w:sz w:val="20"/>
        </w:rPr>
      </w:pPr>
      <w:r>
        <w:rPr>
          <w:rFonts w:ascii="Calibri;sans-serif" w:hAnsi="Calibri;sans-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Calibri" w:hAnsi="Calibri"/>
          <w:b w:val="false"/>
          <w:sz w:val="20"/>
        </w:rPr>
      </w:pPr>
      <w:r>
        <w:rPr>
          <w:rFonts w:ascii="Calibri" w:hAnsi="Calibri"/>
          <w:b w:val="false"/>
          <w:sz w:val="20"/>
        </w:rPr>
        <w:t>(a)</w:t>
      </w:r>
    </w:p>
    <w:p>
      <w:pPr>
        <w:pStyle w:val="TextBody"/>
        <w:bidi w:val="0"/>
        <w:spacing w:before="240" w:after="0"/>
        <w:jc w:val="left"/>
        <w:rPr>
          <w:rFonts w:ascii="Calibri;sans-serif" w:hAnsi="Calibri;sans-serif"/>
          <w:b w:val="false"/>
          <w:sz w:val="20"/>
        </w:rPr>
      </w:pPr>
      <w:r>
        <w:rPr>
          <w:rFonts w:ascii="Calibri;sans-serif" w:hAnsi="Calibri;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Calibri" w:hAnsi="Calibri"/>
          <w:b w:val="false"/>
          <w:sz w:val="20"/>
        </w:rPr>
      </w:pPr>
      <w:r>
        <w:rPr>
          <w:rFonts w:ascii="Calibri" w:hAnsi="Calibri"/>
          <w:b w:val="false"/>
          <w:sz w:val="20"/>
        </w:rPr>
        <w:t>(b)</w:t>
      </w:r>
    </w:p>
    <w:p>
      <w:pPr>
        <w:pStyle w:val="TextBody"/>
        <w:bidi w:val="0"/>
        <w:spacing w:before="240" w:after="283"/>
        <w:jc w:val="left"/>
        <w:rPr>
          <w:rFonts w:ascii="Calibri;sans-serif" w:hAnsi="Calibri;sans-serif"/>
          <w:b w:val="false"/>
          <w:sz w:val="20"/>
        </w:rPr>
      </w:pPr>
      <w:r>
        <w:rPr>
          <w:rFonts w:ascii="Calibri;sans-serif" w:hAnsi="Calibri;sans-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937" w:type="dxa"/>
        <w:jc w:val="left"/>
        <w:tblInd w:w="0" w:type="dxa"/>
        <w:tblLayout w:type="fixed"/>
        <w:tblCellMar>
          <w:top w:w="28" w:type="dxa"/>
          <w:left w:w="28" w:type="dxa"/>
          <w:bottom w:w="28" w:type="dxa"/>
          <w:right w:w="28" w:type="dxa"/>
        </w:tblCellMar>
      </w:tblPr>
      <w:tblGrid>
        <w:gridCol w:w="1786"/>
        <w:gridCol w:w="109"/>
        <w:gridCol w:w="346"/>
        <w:gridCol w:w="469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4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 Jason Trevisan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9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Jason Trevisan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Chief Executive Officer</w:t>
            </w:r>
            <w:r>
              <w:rPr>
                <w:rFonts w:ascii="Times New Roman" w:hAnsi="Times New Roman"/>
                <w:sz w:val="20"/>
              </w:rPr>
              <w:t xml:space="preserve"> </w:t>
            </w:r>
          </w:p>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(Principal Executive Officer and Principal Financial Officer)</w:t>
            </w:r>
          </w:p>
        </w:tc>
      </w:tr>
    </w:tbl>
    <w:p>
      <w:pPr>
        <w:pStyle w:val="TextBody"/>
        <w:bidi w:val="0"/>
        <w:spacing w:before="24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carg-ex32_1.htm"/>
      <w:bookmarkStart w:id="25" w:name="kscargex32_1"/>
      <w:bookmarkEnd w:id="24"/>
      <w:bookmarkEnd w:id="25"/>
      <w:r>
        <w:rPr/>
        <w:t> </w:t>
      </w:r>
      <w:r>
        <w:br w:type="page"/>
      </w:r>
    </w:p>
    <w:p>
      <w:pPr>
        <w:pStyle w:val="TextBody"/>
        <w:bidi w:val="0"/>
        <w:spacing w:before="0" w:after="0"/>
        <w:jc w:val="right"/>
        <w:rPr>
          <w:rFonts w:ascii="Calibri;sans-serif" w:hAnsi="Calibri;sans-serif"/>
          <w:b/>
          <w:sz w:val="20"/>
        </w:rPr>
      </w:pPr>
      <w:r>
        <w:rPr>
          <w:rFonts w:ascii="Calibri;sans-serif" w:hAnsi="Calibri;sans-serif"/>
          <w:b/>
          <w:sz w:val="20"/>
        </w:rPr>
        <w:t>Exhibit 32.1</w:t>
      </w:r>
    </w:p>
    <w:p>
      <w:pPr>
        <w:pStyle w:val="TextBody"/>
        <w:bidi w:val="0"/>
        <w:spacing w:before="240" w:after="0"/>
        <w:jc w:val="center"/>
        <w:rPr>
          <w:rFonts w:ascii="Calibri;sans-serif" w:hAnsi="Calibri;sans-serif"/>
          <w:b/>
          <w:sz w:val="20"/>
        </w:rPr>
      </w:pPr>
      <w:r>
        <w:rPr>
          <w:rFonts w:ascii="Calibri;sans-serif" w:hAnsi="Calibri;sans-serif"/>
          <w:b/>
          <w:sz w:val="20"/>
        </w:rPr>
        <w:t>CERTIFICATION PURSUANT TO</w:t>
      </w:r>
    </w:p>
    <w:p>
      <w:pPr>
        <w:pStyle w:val="TextBody"/>
        <w:bidi w:val="0"/>
        <w:spacing w:before="0" w:after="0"/>
        <w:jc w:val="center"/>
        <w:rPr>
          <w:rFonts w:ascii="Calibri;sans-serif" w:hAnsi="Calibri;sans-serif"/>
          <w:b/>
          <w:sz w:val="20"/>
        </w:rPr>
      </w:pPr>
      <w:r>
        <w:rPr>
          <w:rFonts w:ascii="Calibri;sans-serif" w:hAnsi="Calibri;sans-serif"/>
          <w:b/>
          <w:sz w:val="20"/>
        </w:rPr>
        <w:t>18 U.S.C. SECTION 1350, AS ADOPTED PURSUANT TO</w:t>
      </w:r>
    </w:p>
    <w:p>
      <w:pPr>
        <w:pStyle w:val="TextBody"/>
        <w:bidi w:val="0"/>
        <w:spacing w:before="0" w:after="0"/>
        <w:jc w:val="center"/>
        <w:rPr>
          <w:rFonts w:ascii="Calibri;sans-serif" w:hAnsi="Calibri;sans-serif"/>
          <w:b/>
          <w:sz w:val="20"/>
        </w:rPr>
      </w:pPr>
      <w:r>
        <w:rPr>
          <w:rFonts w:ascii="Calibri;sans-serif" w:hAnsi="Calibri;sans-serif"/>
          <w:b/>
          <w:sz w:val="20"/>
        </w:rPr>
        <w:t>SECTION 906 OF THE SARBANES-OXLEY ACT OF 2002</w:t>
      </w:r>
    </w:p>
    <w:p>
      <w:pPr>
        <w:pStyle w:val="TextBody"/>
        <w:bidi w:val="0"/>
        <w:spacing w:before="240" w:after="0"/>
        <w:jc w:val="left"/>
        <w:rPr>
          <w:rFonts w:ascii="Calibri;sans-serif" w:hAnsi="Calibri;sans-serif"/>
          <w:b w:val="false"/>
          <w:sz w:val="20"/>
        </w:rPr>
      </w:pPr>
      <w:r>
        <w:rPr>
          <w:rFonts w:ascii="Calibri;sans-serif" w:hAnsi="Calibri;sans-serif"/>
          <w:b w:val="false"/>
          <w:sz w:val="20"/>
        </w:rPr>
        <w:t>In connection with the Quarterly Report on Form 10-Q of CarGurus, Inc. (the “Company”) for the period ending June 30, 2023 as filed with the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0"/>
        <w:jc w:val="left"/>
        <w:rPr>
          <w:rFonts w:ascii="Calibri" w:hAnsi="Calibri"/>
          <w:b w:val="false"/>
          <w:sz w:val="20"/>
        </w:rPr>
      </w:pPr>
      <w:r>
        <w:rPr>
          <w:rFonts w:ascii="Calibri" w:hAnsi="Calibri"/>
          <w:b w:val="false"/>
          <w:sz w:val="20"/>
        </w:rPr>
        <w:t>(1)</w:t>
      </w:r>
    </w:p>
    <w:p>
      <w:pPr>
        <w:pStyle w:val="TextBody"/>
        <w:bidi w:val="0"/>
        <w:spacing w:before="240" w:after="0"/>
        <w:jc w:val="left"/>
        <w:rPr>
          <w:rFonts w:ascii="Calibri;sans-serif" w:hAnsi="Calibri;sans-serif"/>
          <w:b w:val="false"/>
          <w:sz w:val="20"/>
        </w:rPr>
      </w:pPr>
      <w:r>
        <w:rPr>
          <w:rFonts w:ascii="Calibri;sans-serif" w:hAnsi="Calibri;sans-serif"/>
          <w:b w:val="false"/>
          <w:sz w:val="20"/>
        </w:rPr>
        <w:t>The Report fully complies with the requirements of Section 13(a) or 15(d) of the Securities Exchange Act of 1934; and</w:t>
      </w:r>
    </w:p>
    <w:p>
      <w:pPr>
        <w:pStyle w:val="TextBody"/>
        <w:bidi w:val="0"/>
        <w:spacing w:before="240" w:after="0"/>
        <w:jc w:val="left"/>
        <w:rPr>
          <w:rFonts w:ascii="Calibri" w:hAnsi="Calibri"/>
          <w:b w:val="false"/>
          <w:sz w:val="20"/>
        </w:rPr>
      </w:pPr>
      <w:r>
        <w:rPr>
          <w:rFonts w:ascii="Calibri" w:hAnsi="Calibri"/>
          <w:b w:val="false"/>
          <w:sz w:val="20"/>
        </w:rPr>
        <w:t>(2)</w:t>
      </w:r>
    </w:p>
    <w:p>
      <w:pPr>
        <w:pStyle w:val="TextBody"/>
        <w:bidi w:val="0"/>
        <w:spacing w:before="240" w:after="283"/>
        <w:jc w:val="left"/>
        <w:rPr>
          <w:rFonts w:ascii="Calibri;sans-serif" w:hAnsi="Calibri;sans-serif"/>
          <w:b w:val="false"/>
          <w:sz w:val="20"/>
        </w:rPr>
      </w:pPr>
      <w:r>
        <w:rPr>
          <w:rFonts w:ascii="Calibri;sans-serif" w:hAnsi="Calibri;sans-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937" w:type="dxa"/>
        <w:jc w:val="left"/>
        <w:tblInd w:w="0" w:type="dxa"/>
        <w:tblLayout w:type="fixed"/>
        <w:tblCellMar>
          <w:top w:w="28" w:type="dxa"/>
          <w:left w:w="28" w:type="dxa"/>
          <w:bottom w:w="28" w:type="dxa"/>
          <w:right w:w="28" w:type="dxa"/>
        </w:tblCellMar>
      </w:tblPr>
      <w:tblGrid>
        <w:gridCol w:w="1786"/>
        <w:gridCol w:w="109"/>
        <w:gridCol w:w="346"/>
        <w:gridCol w:w="469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4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/s/ Jason Trevisan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96" w:type="dxa"/>
            <w:tcBorders/>
            <w:tcMar>
              <w:top w:w="0" w:type="dxa"/>
              <w:left w:w="0" w:type="dxa"/>
              <w:bottom w:w="0" w:type="dxa"/>
              <w:right w:w="0" w:type="dxa"/>
            </w:tcMar>
            <w:vAlign w:val="center"/>
          </w:tcPr>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Jason Trevisan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6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20"/>
              </w:rPr>
              <w:t>Chief Executive Officer</w:t>
            </w:r>
            <w:r>
              <w:rPr>
                <w:rFonts w:ascii="Times New Roman" w:hAnsi="Times New Roman"/>
                <w:sz w:val="20"/>
              </w:rPr>
              <w:t xml:space="preserve"> </w:t>
            </w:r>
          </w:p>
          <w:p>
            <w:pPr>
              <w:pStyle w:val="TableContents"/>
              <w:bidi w:val="0"/>
              <w:spacing w:before="0" w:after="0"/>
              <w:ind w:left="0" w:right="0" w:hanging="0"/>
              <w:jc w:val="left"/>
              <w:rPr>
                <w:rFonts w:ascii="Calibri;sans-serif" w:hAnsi="Calibri;sans-serif"/>
                <w:b w:val="false"/>
                <w:sz w:val="20"/>
              </w:rPr>
            </w:pPr>
            <w:r>
              <w:rPr>
                <w:rFonts w:ascii="Calibri;sans-serif" w:hAnsi="Calibri;sans-serif"/>
                <w:b w:val="false"/>
                <w:sz w:val="20"/>
              </w:rPr>
              <w:t>(Principal Executive Officer and Principal Financial Officer)</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charset w:val="01"/>
    <w:family w:val="auto"/>
    <w:pitch w:val="default"/>
  </w:font>
  <w:font w:name="Times New Roman">
    <w:altName w:val="serif"/>
    <w:charset w:val="01"/>
    <w:family w:val="auto"/>
    <w:pitch w:val="default"/>
  </w:font>
  <w:font w:name="Calibri">
    <w:charset w:val="01"/>
    <w:family w:val="auto"/>
    <w:pitch w:val="default"/>
  </w:font>
  <w:font w:name="Arial">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94259/000119312523203851/d554650d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47673</Words>
  <Characters>263779</Characters>
  <CharactersWithSpaces>314030</CharactersWithSpaces>
  <Paragraphs>10428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