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 w:lineRule="exact"/>
        <w:rPr>
          <w:sz w:val="24"/>
          <w:szCs w:val="24"/>
          <w:color w:val="auto"/>
        </w:rPr>
      </w:pPr>
    </w:p>
    <w:p>
      <w:pPr>
        <w:ind w:left="520" w:right="38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For the transition period from _________________ to _________________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CARGURUS,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960" w:type="dxa"/>
            <w:vAlign w:val="bottom"/>
          </w:tcPr>
          <w:p>
            <w:pPr>
              <w:spacing w:after="0"/>
              <w:rPr>
                <w:sz w:val="18"/>
                <w:szCs w:val="18"/>
                <w:color w:val="auto"/>
              </w:rPr>
            </w:pPr>
          </w:p>
        </w:tc>
        <w:tc>
          <w:tcPr>
            <w:tcW w:w="2900" w:type="dxa"/>
            <w:vAlign w:val="bottom"/>
            <w:gridSpan w:val="2"/>
          </w:tcPr>
          <w:p>
            <w:pPr>
              <w:jc w:val="center"/>
              <w:ind w:right="459"/>
              <w:spacing w:after="0"/>
              <w:rPr>
                <w:sz w:val="20"/>
                <w:szCs w:val="20"/>
                <w:color w:val="auto"/>
              </w:rPr>
            </w:pPr>
            <w:r>
              <w:rPr>
                <w:rFonts w:ascii="Arial" w:cs="Arial" w:eastAsia="Arial" w:hAnsi="Arial"/>
                <w:sz w:val="18"/>
                <w:szCs w:val="18"/>
                <w:b w:val="1"/>
                <w:bCs w:val="1"/>
                <w:color w:val="auto"/>
                <w:w w:val="91"/>
              </w:rPr>
              <w:t>Delaware</w:t>
            </w: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0" w:type="dxa"/>
            <w:vAlign w:val="bottom"/>
            <w:gridSpan w:val="2"/>
          </w:tcPr>
          <w:p>
            <w:pPr>
              <w:jc w:val="right"/>
              <w:ind w:right="1387"/>
              <w:spacing w:after="0"/>
              <w:rPr>
                <w:sz w:val="20"/>
                <w:szCs w:val="20"/>
                <w:color w:val="auto"/>
              </w:rPr>
            </w:pPr>
            <w:r>
              <w:rPr>
                <w:rFonts w:ascii="Arial" w:cs="Arial" w:eastAsia="Arial" w:hAnsi="Arial"/>
                <w:sz w:val="18"/>
                <w:szCs w:val="18"/>
                <w:b w:val="1"/>
                <w:bCs w:val="1"/>
                <w:color w:val="auto"/>
              </w:rPr>
              <w:t>04-3843478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2900" w:type="dxa"/>
            <w:vAlign w:val="bottom"/>
            <w:gridSpan w:val="2"/>
          </w:tcPr>
          <w:p>
            <w:pPr>
              <w:jc w:val="center"/>
              <w:ind w:right="4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60" w:type="dxa"/>
            <w:vAlign w:val="bottom"/>
            <w:gridSpan w:val="2"/>
          </w:tcPr>
          <w:p>
            <w:pPr>
              <w:jc w:val="center"/>
              <w:ind w:right="1668"/>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2900" w:type="dxa"/>
            <w:vAlign w:val="bottom"/>
            <w:gridSpan w:val="2"/>
          </w:tcPr>
          <w:p>
            <w:pPr>
              <w:jc w:val="center"/>
              <w:ind w:right="459"/>
              <w:spacing w:after="0"/>
              <w:rPr>
                <w:sz w:val="20"/>
                <w:szCs w:val="20"/>
                <w:color w:val="auto"/>
              </w:rPr>
            </w:pPr>
            <w:r>
              <w:rPr>
                <w:rFonts w:ascii="Arial" w:cs="Arial" w:eastAsia="Arial" w:hAnsi="Arial"/>
                <w:sz w:val="14"/>
                <w:szCs w:val="14"/>
                <w:b w:val="1"/>
                <w:bCs w:val="1"/>
                <w:color w:val="auto"/>
                <w:w w:val="94"/>
              </w:rPr>
              <w:t>incorporation or organization)</w:t>
            </w: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60" w:type="dxa"/>
            <w:vAlign w:val="bottom"/>
            <w:gridSpan w:val="2"/>
          </w:tcPr>
          <w:p>
            <w:pPr>
              <w:jc w:val="center"/>
              <w:ind w:right="1688"/>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77"/>
        </w:trPr>
        <w:tc>
          <w:tcPr>
            <w:tcW w:w="960" w:type="dxa"/>
            <w:vAlign w:val="bottom"/>
          </w:tcPr>
          <w:p>
            <w:pPr>
              <w:spacing w:after="0"/>
              <w:rPr>
                <w:sz w:val="24"/>
                <w:szCs w:val="24"/>
                <w:color w:val="auto"/>
              </w:rPr>
            </w:pPr>
          </w:p>
        </w:tc>
        <w:tc>
          <w:tcPr>
            <w:tcW w:w="2900" w:type="dxa"/>
            <w:vAlign w:val="bottom"/>
            <w:gridSpan w:val="2"/>
          </w:tcPr>
          <w:p>
            <w:pPr>
              <w:jc w:val="center"/>
              <w:ind w:right="439"/>
              <w:spacing w:after="0"/>
              <w:rPr>
                <w:sz w:val="20"/>
                <w:szCs w:val="20"/>
                <w:color w:val="auto"/>
              </w:rPr>
            </w:pPr>
            <w:r>
              <w:rPr>
                <w:rFonts w:ascii="Arial" w:cs="Arial" w:eastAsia="Arial" w:hAnsi="Arial"/>
                <w:sz w:val="18"/>
                <w:szCs w:val="18"/>
                <w:b w:val="1"/>
                <w:bCs w:val="1"/>
                <w:color w:val="auto"/>
                <w:w w:val="93"/>
              </w:rPr>
              <w:t>2 Canal Park, 4th Floor</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2900" w:type="dxa"/>
            <w:vAlign w:val="bottom"/>
            <w:gridSpan w:val="2"/>
          </w:tcPr>
          <w:p>
            <w:pPr>
              <w:jc w:val="center"/>
              <w:ind w:right="459"/>
              <w:spacing w:after="0"/>
              <w:rPr>
                <w:sz w:val="20"/>
                <w:szCs w:val="20"/>
                <w:color w:val="auto"/>
              </w:rPr>
            </w:pPr>
            <w:r>
              <w:rPr>
                <w:rFonts w:ascii="Arial" w:cs="Arial" w:eastAsia="Arial" w:hAnsi="Arial"/>
                <w:sz w:val="18"/>
                <w:szCs w:val="18"/>
                <w:b w:val="1"/>
                <w:bCs w:val="1"/>
                <w:color w:val="auto"/>
                <w:w w:val="89"/>
              </w:rPr>
              <w:t>Cambridge, Massachusetts</w:t>
            </w: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0" w:type="dxa"/>
            <w:vAlign w:val="bottom"/>
            <w:gridSpan w:val="2"/>
          </w:tcPr>
          <w:p>
            <w:pPr>
              <w:jc w:val="right"/>
              <w:ind w:right="1587"/>
              <w:spacing w:after="0"/>
              <w:rPr>
                <w:sz w:val="20"/>
                <w:szCs w:val="20"/>
                <w:color w:val="auto"/>
              </w:rPr>
            </w:pPr>
            <w:r>
              <w:rPr>
                <w:rFonts w:ascii="Arial" w:cs="Arial" w:eastAsia="Arial" w:hAnsi="Arial"/>
                <w:sz w:val="18"/>
                <w:szCs w:val="18"/>
                <w:b w:val="1"/>
                <w:bCs w:val="1"/>
                <w:color w:val="auto"/>
              </w:rPr>
              <w:t>02141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860" w:type="dxa"/>
            <w:vAlign w:val="bottom"/>
            <w:gridSpan w:val="3"/>
          </w:tcPr>
          <w:p>
            <w:pPr>
              <w:jc w:val="center"/>
              <w:ind w:left="3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60" w:type="dxa"/>
            <w:vAlign w:val="bottom"/>
            <w:gridSpan w:val="2"/>
          </w:tcPr>
          <w:p>
            <w:pPr>
              <w:jc w:val="center"/>
              <w:ind w:right="168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07"/>
        </w:trPr>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180" w:type="dxa"/>
            <w:vAlign w:val="bottom"/>
            <w:gridSpan w:val="7"/>
          </w:tcPr>
          <w:p>
            <w:pPr>
              <w:jc w:val="center"/>
              <w:ind w:right="2468"/>
              <w:spacing w:after="0"/>
              <w:rPr>
                <w:sz w:val="20"/>
                <w:szCs w:val="20"/>
                <w:color w:val="auto"/>
              </w:rPr>
            </w:pPr>
            <w:r>
              <w:rPr>
                <w:rFonts w:ascii="Arial" w:cs="Arial" w:eastAsia="Arial" w:hAnsi="Arial"/>
                <w:sz w:val="15"/>
                <w:szCs w:val="15"/>
                <w:b w:val="1"/>
                <w:bCs w:val="1"/>
                <w:color w:val="auto"/>
                <w:w w:val="91"/>
              </w:rPr>
              <w:t>Registrant’s telephone number, including area code: (617) 354-0068</w:t>
            </w:r>
          </w:p>
        </w:tc>
        <w:tc>
          <w:tcPr>
            <w:tcW w:w="0" w:type="dxa"/>
            <w:vAlign w:val="bottom"/>
          </w:tcPr>
          <w:p>
            <w:pPr>
              <w:spacing w:after="0"/>
              <w:rPr>
                <w:sz w:val="1"/>
                <w:szCs w:val="1"/>
                <w:color w:val="auto"/>
              </w:rPr>
            </w:pPr>
          </w:p>
        </w:tc>
      </w:tr>
      <w:tr>
        <w:trPr>
          <w:trHeight w:val="22"/>
        </w:trPr>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2"/>
        </w:trPr>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180" w:type="dxa"/>
            <w:vAlign w:val="bottom"/>
            <w:gridSpan w:val="7"/>
          </w:tcPr>
          <w:p>
            <w:pPr>
              <w:ind w:left="1100"/>
              <w:spacing w:after="0"/>
              <w:rPr>
                <w:sz w:val="20"/>
                <w:szCs w:val="20"/>
                <w:color w:val="auto"/>
              </w:rPr>
            </w:pPr>
            <w:r>
              <w:rPr>
                <w:rFonts w:ascii="Arial" w:cs="Arial" w:eastAsia="Arial" w:hAnsi="Arial"/>
                <w:sz w:val="17"/>
                <w:szCs w:val="17"/>
                <w:color w:val="auto"/>
              </w:rPr>
              <w:t>Securities registered pursuant to Section 12(b) of the Act:</w:t>
            </w:r>
          </w:p>
        </w:tc>
        <w:tc>
          <w:tcPr>
            <w:tcW w:w="0" w:type="dxa"/>
            <w:vAlign w:val="bottom"/>
          </w:tcPr>
          <w:p>
            <w:pPr>
              <w:spacing w:after="0"/>
              <w:rPr>
                <w:sz w:val="1"/>
                <w:szCs w:val="1"/>
                <w:color w:val="auto"/>
              </w:rPr>
            </w:pPr>
          </w:p>
        </w:tc>
      </w:tr>
      <w:tr>
        <w:trPr>
          <w:trHeight w:val="301"/>
        </w:trPr>
        <w:tc>
          <w:tcPr>
            <w:tcW w:w="96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15"/>
                <w:szCs w:val="15"/>
                <w:b w:val="1"/>
                <w:bCs w:val="1"/>
                <w:color w:val="auto"/>
              </w:rPr>
              <w:t>Title of Each Class</w:t>
            </w:r>
          </w:p>
        </w:tc>
        <w:tc>
          <w:tcPr>
            <w:tcW w:w="2280" w:type="dxa"/>
            <w:vAlign w:val="bottom"/>
            <w:gridSpan w:val="3"/>
          </w:tcPr>
          <w:p>
            <w:pPr>
              <w:jc w:val="center"/>
              <w:ind w:right="20"/>
              <w:spacing w:after="0"/>
              <w:rPr>
                <w:sz w:val="20"/>
                <w:szCs w:val="20"/>
                <w:color w:val="auto"/>
              </w:rPr>
            </w:pPr>
            <w:r>
              <w:rPr>
                <w:rFonts w:ascii="Arial" w:cs="Arial" w:eastAsia="Arial" w:hAnsi="Arial"/>
                <w:sz w:val="15"/>
                <w:szCs w:val="15"/>
                <w:b w:val="1"/>
                <w:bCs w:val="1"/>
                <w:color w:val="auto"/>
                <w:w w:val="93"/>
              </w:rPr>
              <w:t>Trading Symbol</w:t>
            </w:r>
          </w:p>
        </w:tc>
        <w:tc>
          <w:tcPr>
            <w:tcW w:w="96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15"/>
                <w:szCs w:val="15"/>
                <w:b w:val="1"/>
                <w:bCs w:val="1"/>
                <w:color w:val="auto"/>
              </w:rPr>
              <w:t>Name of Exchange on Which Registered</w:t>
            </w: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81"/>
              </w:rPr>
              <w:t>Class A Common</w:t>
            </w:r>
          </w:p>
        </w:tc>
        <w:tc>
          <w:tcPr>
            <w:tcW w:w="12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96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75"/>
              </w:rPr>
              <w:t>The Nasdaq</w:t>
            </w:r>
          </w:p>
        </w:tc>
        <w:tc>
          <w:tcPr>
            <w:tcW w:w="2640" w:type="dxa"/>
            <w:vAlign w:val="bottom"/>
            <w:shd w:val="clear" w:color="auto" w:fill="000000"/>
          </w:tcPr>
          <w:p>
            <w:pPr>
              <w:spacing w:after="0" w:line="20" w:lineRule="exact"/>
              <w:rPr>
                <w:sz w:val="1"/>
                <w:szCs w:val="1"/>
                <w:color w:val="auto"/>
              </w:rPr>
            </w:pPr>
          </w:p>
        </w:tc>
        <w:tc>
          <w:tcPr>
            <w:tcW w:w="6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6"/>
              </w:rPr>
              <w:t>Market)</w:t>
            </w:r>
          </w:p>
        </w:tc>
        <w:tc>
          <w:tcPr>
            <w:tcW w:w="0" w:type="dxa"/>
            <w:vAlign w:val="bottom"/>
          </w:tcPr>
          <w:p>
            <w:pPr>
              <w:spacing w:after="0" w:line="20" w:lineRule="exact"/>
              <w:rPr>
                <w:sz w:val="1"/>
                <w:szCs w:val="1"/>
                <w:color w:val="auto"/>
              </w:rPr>
            </w:pPr>
          </w:p>
        </w:tc>
      </w:tr>
      <w:tr>
        <w:trPr>
          <w:trHeight w:val="180"/>
        </w:trPr>
        <w:tc>
          <w:tcPr>
            <w:tcW w:w="960" w:type="dxa"/>
            <w:vAlign w:val="bottom"/>
            <w:vMerge w:val="continue"/>
          </w:tcPr>
          <w:p>
            <w:pPr>
              <w:spacing w:after="0"/>
              <w:rPr>
                <w:sz w:val="15"/>
                <w:szCs w:val="15"/>
                <w:color w:val="auto"/>
              </w:rPr>
            </w:pPr>
          </w:p>
        </w:tc>
        <w:tc>
          <w:tcPr>
            <w:tcW w:w="2900" w:type="dxa"/>
            <w:vAlign w:val="bottom"/>
            <w:gridSpan w:val="2"/>
          </w:tcPr>
          <w:p>
            <w:pPr>
              <w:jc w:val="center"/>
              <w:ind w:right="499"/>
              <w:spacing w:after="0"/>
              <w:rPr>
                <w:sz w:val="20"/>
                <w:szCs w:val="20"/>
                <w:color w:val="auto"/>
              </w:rPr>
            </w:pPr>
            <w:r>
              <w:rPr>
                <w:rFonts w:ascii="Arial" w:cs="Arial" w:eastAsia="Arial" w:hAnsi="Arial"/>
                <w:sz w:val="14"/>
                <w:szCs w:val="14"/>
                <w:b w:val="1"/>
                <w:bCs w:val="1"/>
                <w:color w:val="auto"/>
                <w:w w:val="92"/>
              </w:rPr>
              <w:t>Stock, par value $0.001 per share</w:t>
            </w:r>
          </w:p>
        </w:tc>
        <w:tc>
          <w:tcPr>
            <w:tcW w:w="600" w:type="dxa"/>
            <w:vAlign w:val="bottom"/>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CARG</w:t>
            </w:r>
          </w:p>
        </w:tc>
        <w:tc>
          <w:tcPr>
            <w:tcW w:w="6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640" w:type="dxa"/>
            <w:vAlign w:val="bottom"/>
          </w:tcPr>
          <w:p>
            <w:pPr>
              <w:ind w:left="140"/>
              <w:spacing w:after="0"/>
              <w:rPr>
                <w:sz w:val="20"/>
                <w:szCs w:val="20"/>
                <w:color w:val="auto"/>
              </w:rPr>
            </w:pPr>
            <w:r>
              <w:rPr>
                <w:rFonts w:ascii="Arial" w:cs="Arial" w:eastAsia="Arial" w:hAnsi="Arial"/>
                <w:sz w:val="14"/>
                <w:szCs w:val="14"/>
                <w:b w:val="1"/>
                <w:bCs w:val="1"/>
                <w:color w:val="auto"/>
                <w:w w:val="91"/>
              </w:rPr>
              <w:t>Stock Market LLC (Nasdaq Global Select</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4"/>
          <w:szCs w:val="24"/>
          <w:color w:val="auto"/>
        </w:rPr>
      </w:pPr>
    </w:p>
    <w:p>
      <w:pPr>
        <w:ind w:firstLine="518"/>
        <w:spacing w:after="0" w:line="21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7" w:lineRule="exact"/>
        <w:rPr>
          <w:sz w:val="24"/>
          <w:szCs w:val="24"/>
          <w:color w:val="auto"/>
        </w:rPr>
      </w:pPr>
    </w:p>
    <w:p>
      <w:pPr>
        <w:ind w:right="540" w:firstLine="518"/>
        <w:spacing w:after="0" w:line="29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196" w:lineRule="exact"/>
        <w:tabs>
          <w:tab w:leader="none" w:pos="540" w:val="left"/>
          <w:tab w:leader="none" w:pos="1220" w:val="left"/>
        </w:tabs>
        <w:rPr>
          <w:sz w:val="20"/>
          <w:szCs w:val="20"/>
          <w:color w:val="auto"/>
        </w:rPr>
      </w:pPr>
      <w:r>
        <w:rPr>
          <w:rFonts w:ascii="Arial" w:cs="Arial" w:eastAsia="Arial" w:hAnsi="Arial"/>
          <w:sz w:val="17"/>
          <w:szCs w:val="17"/>
          <w:color w:val="auto"/>
        </w:rPr>
        <w:t>files).</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88" w:lineRule="exact"/>
        <w:rPr>
          <w:sz w:val="24"/>
          <w:szCs w:val="24"/>
          <w:color w:val="auto"/>
        </w:rPr>
      </w:pPr>
    </w:p>
    <w:p>
      <w:pPr>
        <w:ind w:right="60" w:firstLine="518"/>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2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320" w:type="dxa"/>
            <w:vAlign w:val="bottom"/>
          </w:tcPr>
          <w:p>
            <w:pPr>
              <w:ind w:left="2700"/>
              <w:spacing w:after="0"/>
              <w:rPr>
                <w:sz w:val="20"/>
                <w:szCs w:val="20"/>
                <w:color w:val="auto"/>
              </w:rPr>
            </w:pPr>
            <w:r>
              <w:rPr>
                <w:rFonts w:ascii="Arial" w:cs="Arial" w:eastAsia="Arial" w:hAnsi="Arial"/>
                <w:sz w:val="17"/>
                <w:szCs w:val="17"/>
                <w:color w:val="auto"/>
              </w:rPr>
              <w:t>Accelerated filer</w:t>
            </w:r>
          </w:p>
        </w:tc>
        <w:tc>
          <w:tcPr>
            <w:tcW w:w="900" w:type="dxa"/>
            <w:vAlign w:val="bottom"/>
          </w:tcPr>
          <w:p>
            <w:pPr>
              <w:ind w:left="7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1920" w:type="dxa"/>
            <w:vAlign w:val="bottom"/>
          </w:tcPr>
          <w:p>
            <w:pPr>
              <w:spacing w:after="0"/>
              <w:rPr>
                <w:sz w:val="20"/>
                <w:szCs w:val="20"/>
                <w:color w:val="auto"/>
              </w:rPr>
            </w:pPr>
            <w:r>
              <w:rPr>
                <w:rFonts w:ascii="Arial" w:cs="Arial" w:eastAsia="Arial" w:hAnsi="Arial"/>
                <w:sz w:val="17"/>
                <w:szCs w:val="17"/>
                <w:color w:val="auto"/>
              </w:rPr>
              <w:t>Non-accelerated filer</w:t>
            </w:r>
          </w:p>
        </w:tc>
        <w:tc>
          <w:tcPr>
            <w:tcW w:w="32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320" w:type="dxa"/>
            <w:vAlign w:val="bottom"/>
          </w:tcPr>
          <w:p>
            <w:pPr>
              <w:ind w:left="2700"/>
              <w:spacing w:after="0"/>
              <w:rPr>
                <w:sz w:val="20"/>
                <w:szCs w:val="20"/>
                <w:color w:val="auto"/>
              </w:rPr>
            </w:pPr>
            <w:r>
              <w:rPr>
                <w:rFonts w:ascii="Arial" w:cs="Arial" w:eastAsia="Arial" w:hAnsi="Arial"/>
                <w:sz w:val="17"/>
                <w:szCs w:val="17"/>
                <w:color w:val="auto"/>
              </w:rPr>
              <w:t>Small reporting company</w:t>
            </w:r>
          </w:p>
        </w:tc>
        <w:tc>
          <w:tcPr>
            <w:tcW w:w="900" w:type="dxa"/>
            <w:vAlign w:val="bottom"/>
          </w:tcPr>
          <w:p>
            <w:pPr>
              <w:ind w:left="7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192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5320" w:type="dxa"/>
            <w:vAlign w:val="bottom"/>
          </w:tcPr>
          <w:p>
            <w:pPr>
              <w:ind w:left="2700"/>
              <w:spacing w:after="0"/>
              <w:rPr>
                <w:sz w:val="20"/>
                <w:szCs w:val="20"/>
                <w:color w:val="auto"/>
              </w:rPr>
            </w:pPr>
            <w:r>
              <w:rPr>
                <w:rFonts w:ascii="Arial" w:cs="Arial" w:eastAsia="Arial" w:hAnsi="Arial"/>
                <w:sz w:val="17"/>
                <w:szCs w:val="17"/>
                <w:color w:val="auto"/>
              </w:rPr>
              <w:t>Emerging growth company</w:t>
            </w:r>
          </w:p>
        </w:tc>
        <w:tc>
          <w:tcPr>
            <w:tcW w:w="900" w:type="dxa"/>
            <w:vAlign w:val="bottom"/>
          </w:tcPr>
          <w:p>
            <w:pPr>
              <w:ind w:left="7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7" w:lineRule="exact"/>
        <w:rPr>
          <w:sz w:val="24"/>
          <w:szCs w:val="24"/>
          <w:color w:val="auto"/>
        </w:rPr>
      </w:pPr>
    </w:p>
    <w:p>
      <w:pPr>
        <w:ind w:right="180" w:firstLine="518"/>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 w:lineRule="exact"/>
        <w:rPr>
          <w:sz w:val="24"/>
          <w:szCs w:val="24"/>
          <w:color w:val="auto"/>
        </w:rPr>
      </w:pPr>
    </w:p>
    <w:p>
      <w:pPr>
        <w:ind w:left="520"/>
        <w:spacing w:after="0" w:line="196" w:lineRule="exact"/>
        <w:tabs>
          <w:tab w:leader="none" w:pos="8440" w:val="left"/>
          <w:tab w:leader="none" w:pos="91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ind w:right="200" w:firstLine="518"/>
        <w:spacing w:after="0" w:line="274" w:lineRule="auto"/>
        <w:rPr>
          <w:sz w:val="20"/>
          <w:szCs w:val="20"/>
          <w:color w:val="auto"/>
        </w:rPr>
      </w:pPr>
      <w:r>
        <w:rPr>
          <w:rFonts w:ascii="Arial" w:cs="Arial" w:eastAsia="Arial" w:hAnsi="Arial"/>
          <w:sz w:val="17"/>
          <w:szCs w:val="17"/>
          <w:color w:val="auto"/>
        </w:rPr>
        <w:t>As of July 31, 2019, the registrant had 111,581,300 shares of Class A common stock, $0.001 par value per share, and 20,702,084 shares of Class B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692785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7180" w:type="dxa"/>
            <w:vAlign w:val="bottom"/>
            <w:gridSpan w:val="9"/>
            <w:vMerge w:val="restart"/>
          </w:tcPr>
          <w:p>
            <w:pPr>
              <w:spacing w:after="0"/>
              <w:rPr>
                <w:sz w:val="14"/>
                <w:szCs w:val="14"/>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220" w:type="dxa"/>
            <w:vAlign w:val="bottom"/>
            <w:gridSpan w:val="2"/>
            <w:vMerge w:val="continue"/>
          </w:tcPr>
          <w:p>
            <w:pPr>
              <w:spacing w:after="0"/>
              <w:rPr>
                <w:sz w:val="15"/>
                <w:szCs w:val="15"/>
                <w:color w:val="auto"/>
              </w:rPr>
            </w:pPr>
          </w:p>
        </w:tc>
        <w:tc>
          <w:tcPr>
            <w:tcW w:w="2400" w:type="dxa"/>
            <w:vAlign w:val="bottom"/>
            <w:tcBorders>
              <w:bottom w:val="single" w:sz="8" w:color="0000EE"/>
            </w:tcBorders>
            <w:gridSpan w:val="7"/>
            <w:vMerge w:val="continue"/>
          </w:tcPr>
          <w:p>
            <w:pPr>
              <w:spacing w:after="0"/>
              <w:rPr>
                <w:sz w:val="15"/>
                <w:szCs w:val="15"/>
                <w:color w:val="auto"/>
              </w:rPr>
            </w:pPr>
          </w:p>
        </w:tc>
        <w:tc>
          <w:tcPr>
            <w:tcW w:w="7180" w:type="dxa"/>
            <w:vAlign w:val="bottom"/>
            <w:gridSpan w:val="9"/>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Consolidated Balance Sheets</w:t>
              </w:r>
            </w:hyperlink>
          </w:p>
        </w:tc>
        <w:tc>
          <w:tcPr>
            <w:tcW w:w="5840" w:type="dxa"/>
            <w:vAlign w:val="bottom"/>
            <w:gridSpan w:val="8"/>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Income Statements</w:t>
              </w:r>
            </w:hyperlink>
          </w:p>
        </w:tc>
        <w:tc>
          <w:tcPr>
            <w:tcW w:w="5560" w:type="dxa"/>
            <w:vAlign w:val="bottom"/>
            <w:gridSpan w:val="7"/>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Comprehensive Income</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Condensed Consolidated Statements of Stockholders’ Equity</w:t>
              </w:r>
            </w:hyperlink>
          </w:p>
        </w:tc>
        <w:tc>
          <w:tcPr>
            <w:tcW w:w="180" w:type="dxa"/>
            <w:vAlign w:val="bottom"/>
            <w:tcBorders>
              <w:top w:val="single" w:sz="8" w:color="0000EE"/>
            </w:tcBorders>
          </w:tcPr>
          <w:p>
            <w:pPr>
              <w:spacing w:after="0"/>
              <w:rPr>
                <w:sz w:val="18"/>
                <w:szCs w:val="18"/>
                <w:color w:val="auto"/>
              </w:rPr>
            </w:pPr>
          </w:p>
        </w:tc>
        <w:tc>
          <w:tcPr>
            <w:tcW w:w="420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Condensed Consolidated Statements of Cash Flows</w:t>
              </w:r>
            </w:hyperlink>
          </w:p>
        </w:tc>
        <w:tc>
          <w:tcPr>
            <w:tcW w:w="5060" w:type="dxa"/>
            <w:vAlign w:val="bottom"/>
            <w:gridSpan w:val="5"/>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Condensed Consolidated Financial Statements</w:t>
              </w:r>
            </w:hyperlink>
          </w:p>
        </w:tc>
        <w:tc>
          <w:tcPr>
            <w:tcW w:w="4780" w:type="dxa"/>
            <w:vAlign w:val="bottom"/>
            <w:gridSpan w:val="4"/>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1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3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5"/>
          </w:tcPr>
          <w:p>
            <w:pPr>
              <w:spacing w:after="0"/>
              <w:rPr>
                <w:sz w:val="18"/>
                <w:szCs w:val="18"/>
                <w:color w:val="auto"/>
              </w:rPr>
            </w:pPr>
          </w:p>
        </w:tc>
        <w:tc>
          <w:tcPr>
            <w:tcW w:w="5220" w:type="dxa"/>
            <w:vAlign w:val="bottom"/>
            <w:gridSpan w:val="6"/>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58"/>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580" w:type="dxa"/>
            <w:vAlign w:val="bottom"/>
            <w:gridSpan w:val="16"/>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18"/>
                <w:szCs w:val="18"/>
                <w:color w:val="auto"/>
              </w:rPr>
            </w:pPr>
          </w:p>
        </w:tc>
        <w:tc>
          <w:tcPr>
            <w:tcW w:w="7560" w:type="dxa"/>
            <w:vAlign w:val="bottom"/>
            <w:gridSpan w:val="10"/>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8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8680" w:type="dxa"/>
            <w:vAlign w:val="bottom"/>
            <w:gridSpan w:val="14"/>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line="207" w:lineRule="exact"/>
        <w:rPr>
          <w:sz w:val="20"/>
          <w:szCs w:val="20"/>
          <w:color w:val="auto"/>
        </w:rPr>
      </w:pPr>
      <w:r>
        <w:rPr>
          <w:rFonts w:ascii="Arial" w:cs="Arial" w:eastAsia="Arial" w:hAnsi="Arial"/>
          <w:sz w:val="18"/>
          <w:szCs w:val="18"/>
          <w:b w:val="1"/>
          <w:bCs w:val="1"/>
          <w:color w:val="auto"/>
        </w:rPr>
        <w:t>SPECIAL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21" w:lineRule="exact"/>
        <w:rPr>
          <w:sz w:val="20"/>
          <w:szCs w:val="20"/>
          <w:color w:val="auto"/>
        </w:rPr>
      </w:pPr>
    </w:p>
    <w:p>
      <w:pPr>
        <w:jc w:val="both"/>
        <w:ind w:firstLine="518"/>
        <w:spacing w:after="0" w:line="219" w:lineRule="exact"/>
        <w:rPr>
          <w:sz w:val="20"/>
          <w:szCs w:val="20"/>
          <w:color w:val="auto"/>
        </w:rPr>
      </w:pPr>
      <w:r>
        <w:rPr>
          <w:rFonts w:ascii="Arial" w:cs="Arial" w:eastAsia="Arial" w:hAnsi="Arial"/>
          <w:sz w:val="17"/>
          <w:szCs w:val="17"/>
          <w:color w:val="auto"/>
        </w:rPr>
        <w:t>This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federal securities laws, which statements involve substantial risks and uncertainties.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generally relate to future events or our future financial or operating performance. In some cases, you can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because they contain words such as “anticipates,” “believes,” “could,” “estimates,” “expects,” “intends,” “likely,” “may,” “might,” “plans,” “potential,” “predicts,” “projects,” “seeks,” “should,” “target,” “will,” “would,” or similar expressions and the negatives of those terms. Forward-looking statements contained in this report include, but are not limited to, statements about:</w:t>
      </w:r>
    </w:p>
    <w:p>
      <w:pPr>
        <w:spacing w:after="0" w:line="97" w:lineRule="exact"/>
        <w:rPr>
          <w:sz w:val="20"/>
          <w:szCs w:val="20"/>
          <w:color w:val="auto"/>
        </w:rPr>
      </w:pPr>
    </w:p>
    <w:p>
      <w:pPr>
        <w:ind w:left="900" w:right="2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and growth strategies and our ability to effectively manage that growth;</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build our brand;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expand internationally;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realize benefits from our acquisition of PistonHeads and successfully implement the integration strategies in connection therewith;</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accounting pronouncements;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necessary qualified employees to expand our operations;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migration of some of our data-hosting to a different third-party data-hosting facility;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w:t>
      </w:r>
    </w:p>
    <w:p>
      <w:pPr>
        <w:spacing w:after="0" w:line="117" w:lineRule="exact"/>
        <w:rPr>
          <w:rFonts w:ascii="Arial" w:cs="Arial" w:eastAsia="Arial" w:hAnsi="Arial"/>
          <w:sz w:val="18"/>
          <w:szCs w:val="18"/>
          <w:color w:val="auto"/>
        </w:rPr>
      </w:pPr>
    </w:p>
    <w:p>
      <w:pPr>
        <w:ind w:left="900" w:right="2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overcome challenges facing the automotive industry ecosystem, including global supply chain challenges, changes to trade policies and other macroeconomic issues;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an effective system of internal controls necessary to accurately report our financial results and prevent fraud;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cash generation and the sufficiency of our cash to fund our operations;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Class A common stock.</w:t>
      </w:r>
    </w:p>
    <w:p>
      <w:pPr>
        <w:spacing w:after="0" w:line="225" w:lineRule="exact"/>
        <w:rPr>
          <w:sz w:val="20"/>
          <w:szCs w:val="20"/>
          <w:color w:val="auto"/>
        </w:rPr>
      </w:pPr>
    </w:p>
    <w:p>
      <w:pPr>
        <w:jc w:val="both"/>
        <w:ind w:firstLine="518"/>
        <w:spacing w:after="0" w:line="218" w:lineRule="exact"/>
        <w:rPr>
          <w:sz w:val="20"/>
          <w:szCs w:val="20"/>
          <w:color w:val="auto"/>
        </w:rPr>
      </w:pPr>
      <w:r>
        <w:rPr>
          <w:rFonts w:ascii="Arial" w:cs="Arial" w:eastAsia="Arial" w:hAnsi="Arial"/>
          <w:sz w:val="17"/>
          <w:szCs w:val="17"/>
          <w:color w:val="auto"/>
        </w:rPr>
        <w:t>You should not rely upon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predictions of future events. We have based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Further, our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do not reflect the potential impact of any future acquisitions, mergers, dispositions or joint ventures in which we may be involved, or investments we may make. We cannot assure you that the results, events, and circumstances reflected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will be achieved or occur, and actual results, events, or circumstances could differ materially from those described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w:t>
      </w:r>
    </w:p>
    <w:p>
      <w:pPr>
        <w:spacing w:after="0" w:line="204" w:lineRule="exact"/>
        <w:rPr>
          <w:sz w:val="20"/>
          <w:szCs w:val="20"/>
          <w:color w:val="auto"/>
        </w:rPr>
      </w:pPr>
    </w:p>
    <w:p>
      <w:pPr>
        <w:jc w:val="both"/>
        <w:ind w:firstLine="518"/>
        <w:spacing w:after="0" w:line="221" w:lineRule="exact"/>
        <w:rPr>
          <w:sz w:val="20"/>
          <w:szCs w:val="20"/>
          <w:color w:val="auto"/>
        </w:rPr>
      </w:pPr>
      <w:r>
        <w:rPr>
          <w:rFonts w:ascii="Arial" w:cs="Arial" w:eastAsia="Arial" w:hAnsi="Arial"/>
          <w:sz w:val="18"/>
          <w:szCs w:val="18"/>
          <w:color w:val="auto"/>
        </w:rPr>
        <w:t>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to reflect events or circumstances after the date of this report or to reflect new information or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CarGurus,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center"/>
              <w:ind w:right="236"/>
              <w:spacing w:after="0"/>
              <w:rPr>
                <w:sz w:val="20"/>
                <w:szCs w:val="20"/>
                <w:color w:val="auto"/>
              </w:rPr>
            </w:pPr>
            <w:r>
              <w:rPr>
                <w:rFonts w:ascii="Arial" w:cs="Arial" w:eastAsia="Arial" w:hAnsi="Arial"/>
                <w:sz w:val="14"/>
                <w:szCs w:val="14"/>
                <w:b w:val="1"/>
                <w:bCs w:val="1"/>
                <w:color w:val="auto"/>
              </w:rPr>
              <w:t>At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At</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center"/>
              <w:ind w:right="236"/>
              <w:spacing w:after="0" w:line="149" w:lineRule="exact"/>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6500" w:type="dxa"/>
            <w:vAlign w:val="bottom"/>
            <w:tcBorders>
              <w:bottom w:val="single" w:sz="8" w:color="CFF0FC"/>
            </w:tcBorders>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7"/>
                <w:szCs w:val="17"/>
                <w:color w:val="auto"/>
              </w:rPr>
              <w:t>Current assets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and cash equivalents</w:t>
            </w:r>
          </w:p>
        </w:tc>
        <w:tc>
          <w:tcPr>
            <w:tcW w:w="1640" w:type="dxa"/>
            <w:vAlign w:val="bottom"/>
            <w:gridSpan w:val="2"/>
            <w:shd w:val="clear" w:color="auto" w:fill="CFF0FC"/>
          </w:tcPr>
          <w:p>
            <w:pPr>
              <w:jc w:val="right"/>
              <w:ind w:right="14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27,842</w:t>
            </w:r>
          </w:p>
        </w:tc>
        <w:tc>
          <w:tcPr>
            <w:tcW w:w="520" w:type="dxa"/>
            <w:vAlign w:val="bottom"/>
            <w:gridSpan w:val="2"/>
            <w:shd w:val="clear" w:color="auto" w:fill="CFF0FC"/>
          </w:tcPr>
          <w:p>
            <w:pPr>
              <w:jc w:val="right"/>
              <w:ind w:right="65"/>
              <w:spacing w:after="0"/>
              <w:rPr>
                <w:sz w:val="20"/>
                <w:szCs w:val="20"/>
                <w:color w:val="auto"/>
              </w:rPr>
            </w:pPr>
            <w:r>
              <w:rPr>
                <w:rFonts w:ascii="Arial" w:cs="Arial" w:eastAsia="Arial" w:hAnsi="Arial"/>
                <w:sz w:val="17"/>
                <w:szCs w:val="17"/>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34,887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60"/>
              <w:spacing w:after="0"/>
              <w:rPr>
                <w:sz w:val="20"/>
                <w:szCs w:val="20"/>
                <w:color w:val="auto"/>
              </w:rPr>
            </w:pPr>
            <w:r>
              <w:rPr>
                <w:rFonts w:ascii="Arial" w:cs="Arial" w:eastAsia="Arial" w:hAnsi="Arial"/>
                <w:sz w:val="17"/>
                <w:szCs w:val="17"/>
                <w:color w:val="auto"/>
              </w:rPr>
              <w:t>Investments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119,327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122,800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Accounts receivable, net of allowance for doubtful accounts of $303</w:t>
            </w: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5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and $479 at June 30, 2019 and December 31, 2018, respectively</w:t>
            </w: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17,081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60"/>
              <w:spacing w:after="0"/>
              <w:rPr>
                <w:sz w:val="20"/>
                <w:szCs w:val="20"/>
                <w:color w:val="auto"/>
              </w:rPr>
            </w:pPr>
            <w:r>
              <w:rPr>
                <w:rFonts w:ascii="Arial" w:cs="Arial" w:eastAsia="Arial" w:hAnsi="Arial"/>
                <w:sz w:val="17"/>
                <w:szCs w:val="17"/>
                <w:color w:val="auto"/>
              </w:rPr>
              <w:t>Prepaid expenses and prepaid income taxes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7,968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Deferred contract costs</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7,382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60"/>
              <w:spacing w:after="0"/>
              <w:rPr>
                <w:sz w:val="20"/>
                <w:szCs w:val="20"/>
                <w:color w:val="auto"/>
              </w:rPr>
            </w:pPr>
            <w:r>
              <w:rPr>
                <w:rFonts w:ascii="Arial" w:cs="Arial" w:eastAsia="Arial" w:hAnsi="Arial"/>
                <w:sz w:val="17"/>
                <w:szCs w:val="17"/>
                <w:color w:val="auto"/>
              </w:rPr>
              <w:t>Other current assets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8,991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Restricted cash</w:t>
            </w:r>
          </w:p>
        </w:tc>
        <w:tc>
          <w:tcPr>
            <w:tcW w:w="13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250</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7"/>
                <w:szCs w:val="17"/>
                <w:color w:val="auto"/>
              </w:rPr>
              <w:t>Total current assets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188,841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194,858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 net</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28,638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7"/>
                <w:szCs w:val="17"/>
                <w:color w:val="auto"/>
              </w:rPr>
              <w:t>Intangible assets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4,320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15,446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50,025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Restricted cash</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7"/>
                <w:szCs w:val="17"/>
                <w:color w:val="auto"/>
              </w:rPr>
              <w:t>Deferred tax assets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44,483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38,886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Deferred contract costs, net of current portion</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9,257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long–term assets</w:t>
            </w:r>
          </w:p>
        </w:tc>
        <w:tc>
          <w:tcPr>
            <w:tcW w:w="13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3,231</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assets</w:t>
            </w:r>
          </w:p>
        </w:tc>
        <w:tc>
          <w:tcPr>
            <w:tcW w:w="1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346,161</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268,290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50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164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39,370</w:t>
            </w:r>
          </w:p>
        </w:tc>
        <w:tc>
          <w:tcPr>
            <w:tcW w:w="52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34,345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Accrued expenses, accrued income taxes and other current liabilities</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14,805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60"/>
              <w:spacing w:after="0"/>
              <w:rPr>
                <w:sz w:val="20"/>
                <w:szCs w:val="20"/>
                <w:color w:val="auto"/>
              </w:rPr>
            </w:pPr>
            <w:r>
              <w:rPr>
                <w:rFonts w:ascii="Arial" w:cs="Arial" w:eastAsia="Arial" w:hAnsi="Arial"/>
                <w:sz w:val="17"/>
                <w:szCs w:val="17"/>
                <w:color w:val="auto"/>
              </w:rPr>
              <w:t>Deferred revenue</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8,479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Operating lease liabilities</w:t>
            </w:r>
          </w:p>
        </w:tc>
        <w:tc>
          <w:tcPr>
            <w:tcW w:w="13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7,738</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70,392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63,503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liability non-current</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51,494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281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liabilities</w:t>
            </w:r>
          </w:p>
        </w:tc>
        <w:tc>
          <w:tcPr>
            <w:tcW w:w="13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1,608</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7"/>
                <w:szCs w:val="17"/>
                <w:color w:val="auto"/>
              </w:rPr>
              <w:t>Total liabilities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123,775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74,179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8)</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7"/>
                <w:szCs w:val="17"/>
                <w:color w:val="auto"/>
              </w:rPr>
              <w:t>Stockholders’ equity:</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Class A common stock, $0.001 par value per share; 500,000,000 shares</w:t>
            </w: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authorized; 90,744,921 and 89,728,223 shares issued and outstanding</w:t>
            </w: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5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at June 30, 2019 and December 31, 2018, respectively</w:t>
            </w: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500" w:type="dxa"/>
            <w:vAlign w:val="bottom"/>
          </w:tcPr>
          <w:p>
            <w:pPr>
              <w:ind w:left="260"/>
              <w:spacing w:after="0"/>
              <w:rPr>
                <w:sz w:val="20"/>
                <w:szCs w:val="20"/>
                <w:color w:val="auto"/>
              </w:rPr>
            </w:pPr>
            <w:r>
              <w:rPr>
                <w:rFonts w:ascii="Arial" w:cs="Arial" w:eastAsia="Arial" w:hAnsi="Arial"/>
                <w:sz w:val="17"/>
                <w:szCs w:val="17"/>
                <w:color w:val="auto"/>
              </w:rPr>
              <w:t>Class B common stock, $0.001 par value per share; 100,000,000 shares</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380"/>
              <w:spacing w:after="0"/>
              <w:rPr>
                <w:sz w:val="20"/>
                <w:szCs w:val="20"/>
                <w:color w:val="auto"/>
              </w:rPr>
            </w:pPr>
            <w:r>
              <w:rPr>
                <w:rFonts w:ascii="Arial" w:cs="Arial" w:eastAsia="Arial" w:hAnsi="Arial"/>
                <w:sz w:val="17"/>
                <w:szCs w:val="17"/>
                <w:color w:val="auto"/>
              </w:rPr>
              <w:t>authorized; 20,702,084 and 20,702,084 shares issued and outstanding</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500" w:type="dxa"/>
            <w:vAlign w:val="bottom"/>
          </w:tcPr>
          <w:p>
            <w:pPr>
              <w:ind w:left="380"/>
              <w:spacing w:after="0"/>
              <w:rPr>
                <w:sz w:val="20"/>
                <w:szCs w:val="20"/>
                <w:color w:val="auto"/>
              </w:rPr>
            </w:pPr>
            <w:r>
              <w:rPr>
                <w:rFonts w:ascii="Arial" w:cs="Arial" w:eastAsia="Arial" w:hAnsi="Arial"/>
                <w:sz w:val="17"/>
                <w:szCs w:val="17"/>
                <w:color w:val="auto"/>
              </w:rPr>
              <w:t>at June 30, 2019 and December 31, 2018, respectively</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Additional paid-in capital</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193,967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184,216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60"/>
              <w:spacing w:after="0"/>
              <w:rPr>
                <w:sz w:val="20"/>
                <w:szCs w:val="20"/>
                <w:color w:val="auto"/>
              </w:rPr>
            </w:pPr>
            <w:r>
              <w:rPr>
                <w:rFonts w:ascii="Arial" w:cs="Arial" w:eastAsia="Arial" w:hAnsi="Arial"/>
                <w:sz w:val="17"/>
                <w:szCs w:val="17"/>
                <w:color w:val="auto"/>
              </w:rPr>
              <w:t>Retained earnings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28,304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Accumulated other comprehensive income</w:t>
            </w:r>
          </w:p>
        </w:tc>
        <w:tc>
          <w:tcPr>
            <w:tcW w:w="13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stockholders’ equity</w:t>
            </w:r>
          </w:p>
        </w:tc>
        <w:tc>
          <w:tcPr>
            <w:tcW w:w="13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222,386</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194,111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liabilities and stockholders’ equity</w:t>
            </w:r>
          </w:p>
        </w:tc>
        <w:tc>
          <w:tcPr>
            <w:tcW w:w="1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346,161</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268,290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Income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145,031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110,296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280,301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208,871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8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5,959</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136,403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104,337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101,789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78,395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60"/>
              <w:spacing w:after="0"/>
              <w:rPr>
                <w:sz w:val="20"/>
                <w:szCs w:val="20"/>
                <w:color w:val="auto"/>
              </w:rPr>
            </w:pPr>
            <w:r>
              <w:rPr>
                <w:rFonts w:ascii="Arial" w:cs="Arial" w:eastAsia="Arial" w:hAnsi="Arial"/>
                <w:sz w:val="18"/>
                <w:szCs w:val="18"/>
                <w:color w:val="auto"/>
              </w:rPr>
              <w:t>Product, technology, and development</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11,844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8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132,855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100,384</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252,970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8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500"/>
              <w:spacing w:after="0"/>
              <w:rPr>
                <w:sz w:val="20"/>
                <w:szCs w:val="20"/>
                <w:color w:val="auto"/>
              </w:rPr>
            </w:pPr>
            <w:r>
              <w:rPr>
                <w:rFonts w:ascii="Arial" w:cs="Arial" w:eastAsia="Arial" w:hAnsi="Arial"/>
                <w:sz w:val="18"/>
                <w:szCs w:val="18"/>
                <w:color w:val="auto"/>
              </w:rPr>
              <w:t>Total other income, net</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(1,610)</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(28,687)</w:t>
            </w: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(27,441)</w:t>
            </w: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Net income per share attributable to common stockholders:</w:t>
            </w: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(Note 10)</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0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Diluted</w:t>
            </w:r>
          </w:p>
        </w:tc>
        <w:tc>
          <w:tcPr>
            <w:tcW w:w="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FF0FC"/>
            </w:tcBorders>
            <w:vMerge w:val="continue"/>
          </w:tcPr>
          <w:p>
            <w:pPr>
              <w:spacing w:after="0"/>
              <w:rPr>
                <w:sz w:val="21"/>
                <w:szCs w:val="21"/>
                <w:color w:val="auto"/>
              </w:rPr>
            </w:pPr>
          </w:p>
        </w:tc>
        <w:tc>
          <w:tcPr>
            <w:tcW w:w="8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14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Weighted-average number of shares of common</w:t>
            </w: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used in computing net income per share</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attributable to common stockholders:</w:t>
            </w: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Basic</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111,299,345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108,500,802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111,051,070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107,726,105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113,388,509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113,081,209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113,398,793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113,215,564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hanging="372"/>
        <w:spacing w:after="0" w:line="309" w:lineRule="auto"/>
        <w:tabs>
          <w:tab w:leader="none" w:pos="38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depreciation and amortization expense for the three months ended June 30, 2019 and 2018 and for the six months ended June 30, 2019 and 2018 of $734, $616, $1,294 and $1,120, respectively.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8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9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6,007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18,591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38,838</w:t>
            </w:r>
          </w:p>
        </w:tc>
        <w:tc>
          <w:tcPr>
            <w:tcW w:w="120" w:type="dxa"/>
            <w:vAlign w:val="bottom"/>
            <w:shd w:val="clear" w:color="auto" w:fill="CFF0FC"/>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w:t>
            </w: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Comprehensive income</w:t>
            </w: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6,363</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33,191</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38,758</w:t>
            </w:r>
          </w:p>
        </w:tc>
        <w:tc>
          <w:tcPr>
            <w:tcW w:w="12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CarGurus,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Retained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Class A</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4"/>
          </w:tcPr>
          <w:p>
            <w:pPr>
              <w:jc w:val="right"/>
              <w:ind w:right="492"/>
              <w:spacing w:after="0" w:line="149" w:lineRule="exact"/>
              <w:rPr>
                <w:sz w:val="20"/>
                <w:szCs w:val="20"/>
                <w:color w:val="auto"/>
              </w:rPr>
            </w:pPr>
            <w:r>
              <w:rPr>
                <w:rFonts w:ascii="Arial" w:cs="Arial" w:eastAsia="Arial" w:hAnsi="Arial"/>
                <w:sz w:val="14"/>
                <w:szCs w:val="14"/>
                <w:b w:val="1"/>
                <w:bCs w:val="1"/>
                <w:color w:val="auto"/>
              </w:rPr>
              <w:t>Class B</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Earnings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68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Paid–in</w:t>
            </w: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w w:val="97"/>
              </w:rPr>
              <w:t>Comprehensive</w:t>
            </w: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w w:val="99"/>
              </w:rPr>
              <w:t>(Accumulated</w:t>
            </w: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56"/>
        </w:trPr>
        <w:tc>
          <w:tcPr>
            <w:tcW w:w="31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2"/>
              <w:spacing w:after="0" w:line="155" w:lineRule="exact"/>
              <w:rPr>
                <w:sz w:val="20"/>
                <w:szCs w:val="20"/>
                <w:color w:val="auto"/>
              </w:rPr>
            </w:pPr>
            <w:r>
              <w:rPr>
                <w:rFonts w:ascii="Arial" w:cs="Arial" w:eastAsia="Arial" w:hAnsi="Arial"/>
                <w:sz w:val="14"/>
                <w:szCs w:val="14"/>
                <w:b w:val="1"/>
                <w:bCs w:val="1"/>
                <w:color w:val="auto"/>
                <w:w w:val="89"/>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86"/>
              </w:rPr>
              <w:t>Income (Loss)</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52"/>
              <w:spacing w:after="0" w:line="155" w:lineRule="exact"/>
              <w:rPr>
                <w:sz w:val="20"/>
                <w:szCs w:val="20"/>
                <w:color w:val="auto"/>
              </w:rPr>
            </w:pPr>
            <w:r>
              <w:rPr>
                <w:rFonts w:ascii="Arial" w:cs="Arial" w:eastAsia="Arial" w:hAnsi="Arial"/>
                <w:sz w:val="14"/>
                <w:szCs w:val="14"/>
                <w:b w:val="1"/>
                <w:bCs w:val="1"/>
                <w:color w:val="auto"/>
                <w:w w:val="92"/>
              </w:rPr>
              <w:t>Deficit)</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Equity</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2018</w:t>
            </w: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89,728,223</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90</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20,702,084</w:t>
            </w: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512"/>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21</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184,216</w:t>
            </w:r>
          </w:p>
        </w:tc>
        <w:tc>
          <w:tcPr>
            <w:tcW w:w="140" w:type="dxa"/>
            <w:vAlign w:val="bottom"/>
            <w:shd w:val="clear" w:color="auto" w:fill="CFF0FC"/>
          </w:tcPr>
          <w:p>
            <w:pPr>
              <w:spacing w:after="0"/>
              <w:rPr>
                <w:sz w:val="13"/>
                <w:szCs w:val="13"/>
                <w:color w:val="auto"/>
              </w:rPr>
            </w:pPr>
          </w:p>
        </w:tc>
        <w:tc>
          <w:tcPr>
            <w:tcW w:w="26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71</w:t>
            </w:r>
          </w:p>
        </w:tc>
        <w:tc>
          <w:tcPr>
            <w:tcW w:w="140" w:type="dxa"/>
            <w:vAlign w:val="bottom"/>
            <w:shd w:val="clear" w:color="auto" w:fill="CFF0FC"/>
          </w:tcPr>
          <w:p>
            <w:pPr>
              <w:spacing w:after="0"/>
              <w:rPr>
                <w:sz w:val="13"/>
                <w:szCs w:val="13"/>
                <w:color w:val="auto"/>
              </w:rPr>
            </w:pPr>
          </w:p>
        </w:tc>
        <w:tc>
          <w:tcPr>
            <w:tcW w:w="18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9,713</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194,111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Net income</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12,584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7,995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7,995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w w:val="87"/>
              </w:rPr>
              <w:t>Issuance of common stock upon exercise of stock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447,210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16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Issuance of common stock upon vesting</w:t>
            </w: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60" w:type="dxa"/>
            <w:vAlign w:val="bottom"/>
            <w:shd w:val="clear" w:color="auto" w:fill="CFF0FC"/>
          </w:tcPr>
          <w:p>
            <w:pPr>
              <w:ind w:left="100"/>
              <w:spacing w:after="0" w:line="159" w:lineRule="exact"/>
              <w:rPr>
                <w:sz w:val="20"/>
                <w:szCs w:val="20"/>
                <w:color w:val="auto"/>
              </w:rPr>
            </w:pPr>
            <w:r>
              <w:rPr>
                <w:rFonts w:ascii="Arial" w:cs="Arial" w:eastAsia="Arial" w:hAnsi="Arial"/>
                <w:sz w:val="14"/>
                <w:szCs w:val="14"/>
                <w:color w:val="auto"/>
              </w:rPr>
              <w:t>of restricted stock units</w:t>
            </w:r>
          </w:p>
        </w:tc>
        <w:tc>
          <w:tcPr>
            <w:tcW w:w="8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297,374</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3160" w:type="dxa"/>
            <w:vAlign w:val="bottom"/>
          </w:tcPr>
          <w:p>
            <w:pPr>
              <w:spacing w:after="0" w:line="151" w:lineRule="exact"/>
              <w:rPr>
                <w:sz w:val="20"/>
                <w:szCs w:val="20"/>
                <w:color w:val="auto"/>
              </w:rPr>
            </w:pPr>
            <w:r>
              <w:rPr>
                <w:rFonts w:ascii="Arial" w:cs="Arial" w:eastAsia="Arial" w:hAnsi="Arial"/>
                <w:sz w:val="14"/>
                <w:szCs w:val="14"/>
                <w:color w:val="auto"/>
              </w:rPr>
              <w:t>Payment of withholding taxes on net share</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60" w:type="dxa"/>
            <w:vAlign w:val="bottom"/>
          </w:tcPr>
          <w:p>
            <w:pPr>
              <w:ind w:left="100"/>
              <w:spacing w:after="0" w:line="159" w:lineRule="exact"/>
              <w:rPr>
                <w:sz w:val="20"/>
                <w:szCs w:val="20"/>
                <w:color w:val="auto"/>
              </w:rPr>
            </w:pPr>
            <w:r>
              <w:rPr>
                <w:rFonts w:ascii="Arial" w:cs="Arial" w:eastAsia="Arial" w:hAnsi="Arial"/>
                <w:sz w:val="14"/>
                <w:szCs w:val="14"/>
                <w:color w:val="auto"/>
              </w:rPr>
              <w:t>settlements of equity awards</w:t>
            </w:r>
          </w:p>
        </w:tc>
        <w:tc>
          <w:tcPr>
            <w:tcW w:w="10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(102,034)</w:t>
            </w:r>
          </w:p>
        </w:tc>
        <w:tc>
          <w:tcPr>
            <w:tcW w:w="120" w:type="dxa"/>
            <w:vAlign w:val="bottom"/>
          </w:tcPr>
          <w:p>
            <w:pPr>
              <w:spacing w:after="0"/>
              <w:rPr>
                <w:sz w:val="13"/>
                <w:szCs w:val="13"/>
                <w:color w:val="auto"/>
              </w:rPr>
            </w:pP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(3,954)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(3,954)</w:t>
            </w:r>
          </w:p>
        </w:tc>
        <w:tc>
          <w:tcPr>
            <w:tcW w:w="0" w:type="dxa"/>
            <w:vAlign w:val="bottom"/>
          </w:tcPr>
          <w:p>
            <w:pPr>
              <w:spacing w:after="0"/>
              <w:rPr>
                <w:sz w:val="1"/>
                <w:szCs w:val="1"/>
                <w:color w:val="auto"/>
              </w:rPr>
            </w:pPr>
          </w:p>
        </w:tc>
      </w:tr>
      <w:tr>
        <w:trPr>
          <w:trHeight w:val="162"/>
        </w:trPr>
        <w:tc>
          <w:tcPr>
            <w:tcW w:w="316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(424)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4"/>
                <w:szCs w:val="14"/>
                <w:color w:val="auto"/>
              </w:rPr>
              <w:t>Balance at March 31, 2019</w:t>
            </w: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60" w:type="dxa"/>
            <w:vAlign w:val="bottom"/>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90,370,773</w:t>
            </w:r>
          </w:p>
        </w:tc>
        <w:tc>
          <w:tcPr>
            <w:tcW w:w="24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90</w:t>
            </w:r>
          </w:p>
        </w:tc>
        <w:tc>
          <w:tcPr>
            <w:tcW w:w="2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20,702,084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512"/>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w w:val="76"/>
              </w:rPr>
              <w:t>21</w:t>
            </w:r>
          </w:p>
        </w:tc>
        <w:tc>
          <w:tcPr>
            <w:tcW w:w="120" w:type="dxa"/>
            <w:vAlign w:val="bottom"/>
          </w:tcPr>
          <w:p>
            <w:pPr>
              <w:spacing w:after="0"/>
              <w:rPr>
                <w:sz w:val="13"/>
                <w:szCs w:val="13"/>
                <w:color w:val="auto"/>
              </w:rPr>
            </w:pPr>
          </w:p>
        </w:tc>
        <w:tc>
          <w:tcPr>
            <w:tcW w:w="1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188,954</w:t>
            </w:r>
          </w:p>
        </w:tc>
        <w:tc>
          <w:tcPr>
            <w:tcW w:w="140" w:type="dxa"/>
            <w:vAlign w:val="bottom"/>
          </w:tcPr>
          <w:p>
            <w:pPr>
              <w:spacing w:after="0"/>
              <w:rPr>
                <w:sz w:val="13"/>
                <w:szCs w:val="13"/>
                <w:color w:val="auto"/>
              </w:rPr>
            </w:pPr>
          </w:p>
        </w:tc>
        <w:tc>
          <w:tcPr>
            <w:tcW w:w="26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(353)</w:t>
            </w:r>
          </w:p>
        </w:tc>
        <w:tc>
          <w:tcPr>
            <w:tcW w:w="1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22,297</w:t>
            </w:r>
          </w:p>
        </w:tc>
        <w:tc>
          <w:tcPr>
            <w:tcW w:w="120" w:type="dxa"/>
            <w:vAlign w:val="bottom"/>
          </w:tcPr>
          <w:p>
            <w:pPr>
              <w:spacing w:after="0"/>
              <w:rPr>
                <w:sz w:val="13"/>
                <w:szCs w:val="13"/>
                <w:color w:val="auto"/>
              </w:rPr>
            </w:pPr>
          </w:p>
        </w:tc>
        <w:tc>
          <w:tcPr>
            <w:tcW w:w="2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211,009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9,260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9,260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FF0FC"/>
          </w:tcPr>
          <w:p>
            <w:pPr>
              <w:spacing w:after="0"/>
              <w:rPr>
                <w:sz w:val="20"/>
                <w:szCs w:val="20"/>
                <w:color w:val="auto"/>
              </w:rPr>
            </w:pPr>
            <w:r>
              <w:rPr>
                <w:rFonts w:ascii="Arial" w:cs="Arial" w:eastAsia="Arial" w:hAnsi="Arial"/>
                <w:sz w:val="14"/>
                <w:szCs w:val="14"/>
                <w:color w:val="auto"/>
                <w:w w:val="87"/>
              </w:rPr>
              <w:t>Issuance of common stock upon exercise of stock options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133,838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160" w:type="dxa"/>
            <w:vAlign w:val="bottom"/>
          </w:tcPr>
          <w:p>
            <w:pPr>
              <w:spacing w:after="0" w:line="151" w:lineRule="exact"/>
              <w:rPr>
                <w:sz w:val="20"/>
                <w:szCs w:val="20"/>
                <w:color w:val="auto"/>
              </w:rPr>
            </w:pPr>
            <w:r>
              <w:rPr>
                <w:rFonts w:ascii="Arial" w:cs="Arial" w:eastAsia="Arial" w:hAnsi="Arial"/>
                <w:sz w:val="14"/>
                <w:szCs w:val="14"/>
                <w:color w:val="auto"/>
              </w:rPr>
              <w:t>Issuance of common stock upon vesting</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60" w:type="dxa"/>
            <w:vAlign w:val="bottom"/>
          </w:tcPr>
          <w:p>
            <w:pPr>
              <w:ind w:left="100"/>
              <w:spacing w:after="0" w:line="159" w:lineRule="exact"/>
              <w:rPr>
                <w:sz w:val="20"/>
                <w:szCs w:val="20"/>
                <w:color w:val="auto"/>
              </w:rPr>
            </w:pPr>
            <w:r>
              <w:rPr>
                <w:rFonts w:ascii="Arial" w:cs="Arial" w:eastAsia="Arial" w:hAnsi="Arial"/>
                <w:sz w:val="14"/>
                <w:szCs w:val="14"/>
                <w:color w:val="auto"/>
              </w:rPr>
              <w:t>of restricted stock units</w:t>
            </w: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362,447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9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316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w w:val="94"/>
              </w:rPr>
              <w:t>Payment of withholding taxes and option costs on net</w:t>
            </w: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share</w:t>
            </w: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160" w:type="dxa"/>
            <w:vAlign w:val="bottom"/>
            <w:shd w:val="clear" w:color="auto" w:fill="CFF0FC"/>
          </w:tcPr>
          <w:p>
            <w:pPr>
              <w:ind w:left="100"/>
              <w:spacing w:after="0" w:line="159" w:lineRule="exact"/>
              <w:rPr>
                <w:sz w:val="20"/>
                <w:szCs w:val="20"/>
                <w:color w:val="auto"/>
              </w:rPr>
            </w:pPr>
            <w:r>
              <w:rPr>
                <w:rFonts w:ascii="Arial" w:cs="Arial" w:eastAsia="Arial" w:hAnsi="Arial"/>
                <w:sz w:val="14"/>
                <w:szCs w:val="14"/>
                <w:color w:val="auto"/>
                <w:w w:val="93"/>
              </w:rPr>
              <w:t>settlement of restricted stock units and stock options</w:t>
            </w:r>
          </w:p>
        </w:tc>
        <w:tc>
          <w:tcPr>
            <w:tcW w:w="1080" w:type="dxa"/>
            <w:vAlign w:val="bottom"/>
            <w:gridSpan w:val="2"/>
            <w:shd w:val="clear" w:color="auto" w:fill="CFF0FC"/>
          </w:tcPr>
          <w:p>
            <w:pPr>
              <w:jc w:val="right"/>
              <w:ind w:right="200"/>
              <w:spacing w:after="0" w:line="159" w:lineRule="exact"/>
              <w:rPr>
                <w:sz w:val="20"/>
                <w:szCs w:val="20"/>
                <w:color w:val="auto"/>
              </w:rPr>
            </w:pPr>
            <w:r>
              <w:rPr>
                <w:rFonts w:ascii="Arial" w:cs="Arial" w:eastAsia="Arial" w:hAnsi="Arial"/>
                <w:sz w:val="14"/>
                <w:szCs w:val="14"/>
                <w:color w:val="auto"/>
              </w:rPr>
              <w:t>(122,137)</w:t>
            </w: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(4,637)</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40"/>
              <w:spacing w:after="0" w:line="159" w:lineRule="exact"/>
              <w:rPr>
                <w:sz w:val="20"/>
                <w:szCs w:val="20"/>
                <w:color w:val="auto"/>
              </w:rPr>
            </w:pPr>
            <w:r>
              <w:rPr>
                <w:rFonts w:ascii="Arial" w:cs="Arial" w:eastAsia="Arial" w:hAnsi="Arial"/>
                <w:sz w:val="14"/>
                <w:szCs w:val="14"/>
                <w:color w:val="auto"/>
              </w:rPr>
              <w:t>(4,637)</w:t>
            </w:r>
          </w:p>
        </w:tc>
        <w:tc>
          <w:tcPr>
            <w:tcW w:w="0" w:type="dxa"/>
            <w:vAlign w:val="bottom"/>
          </w:tcPr>
          <w:p>
            <w:pPr>
              <w:spacing w:after="0"/>
              <w:rPr>
                <w:sz w:val="1"/>
                <w:szCs w:val="1"/>
                <w:color w:val="auto"/>
              </w:rPr>
            </w:pPr>
          </w:p>
        </w:tc>
      </w:tr>
      <w:tr>
        <w:trPr>
          <w:trHeight w:val="162"/>
        </w:trPr>
        <w:tc>
          <w:tcPr>
            <w:tcW w:w="31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Foreign currency translation adjustment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at June 30, 2019</w:t>
            </w: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90,744,921</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91</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20,702,084</w:t>
            </w: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512"/>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21</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193,967</w:t>
            </w:r>
          </w:p>
        </w:tc>
        <w:tc>
          <w:tcPr>
            <w:tcW w:w="140" w:type="dxa"/>
            <w:vAlign w:val="bottom"/>
            <w:shd w:val="clear" w:color="auto" w:fill="CFF0FC"/>
          </w:tcPr>
          <w:p>
            <w:pPr>
              <w:spacing w:after="0"/>
              <w:rPr>
                <w:sz w:val="13"/>
                <w:szCs w:val="13"/>
                <w:color w:val="auto"/>
              </w:rPr>
            </w:pPr>
          </w:p>
        </w:tc>
        <w:tc>
          <w:tcPr>
            <w:tcW w:w="26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w:t>
            </w:r>
          </w:p>
        </w:tc>
        <w:tc>
          <w:tcPr>
            <w:tcW w:w="140" w:type="dxa"/>
            <w:vAlign w:val="bottom"/>
            <w:shd w:val="clear" w:color="auto" w:fill="CFF0FC"/>
          </w:tcPr>
          <w:p>
            <w:pPr>
              <w:spacing w:after="0"/>
              <w:rPr>
                <w:sz w:val="13"/>
                <w:szCs w:val="13"/>
                <w:color w:val="auto"/>
              </w:rPr>
            </w:pPr>
          </w:p>
        </w:tc>
        <w:tc>
          <w:tcPr>
            <w:tcW w:w="18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28,304</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222,386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2017</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77,884,754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28,226,104</w:t>
            </w: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512"/>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28</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185,190</w:t>
            </w:r>
          </w:p>
        </w:tc>
        <w:tc>
          <w:tcPr>
            <w:tcW w:w="140" w:type="dxa"/>
            <w:vAlign w:val="bottom"/>
            <w:shd w:val="clear" w:color="auto" w:fill="CFF0FC"/>
          </w:tcPr>
          <w:p>
            <w:pPr>
              <w:spacing w:after="0"/>
              <w:rPr>
                <w:sz w:val="14"/>
                <w:szCs w:val="14"/>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(58,499)</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127,025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Net income</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5,495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3,967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3,967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w w:val="87"/>
              </w:rPr>
              <w:t>Issuance of common stock upon exercise of stock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6,574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10,690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16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Cumulative adjustment from adoption of</w:t>
            </w: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60" w:type="dxa"/>
            <w:vAlign w:val="bottom"/>
            <w:shd w:val="clear" w:color="auto" w:fill="CFF0FC"/>
          </w:tcPr>
          <w:p>
            <w:pPr>
              <w:ind w:left="100"/>
              <w:spacing w:after="0" w:line="159" w:lineRule="exact"/>
              <w:rPr>
                <w:sz w:val="20"/>
                <w:szCs w:val="20"/>
                <w:color w:val="auto"/>
              </w:rPr>
            </w:pPr>
            <w:r>
              <w:rPr>
                <w:rFonts w:ascii="Arial" w:cs="Arial" w:eastAsia="Arial" w:hAnsi="Arial"/>
                <w:sz w:val="14"/>
                <w:szCs w:val="14"/>
                <w:color w:val="auto"/>
              </w:rPr>
              <w:t>revenue recognition model</w:t>
            </w:r>
          </w:p>
        </w:tc>
        <w:tc>
          <w:tcPr>
            <w:tcW w:w="1080" w:type="dxa"/>
            <w:vAlign w:val="bottom"/>
            <w:gridSpan w:val="2"/>
            <w:shd w:val="clear" w:color="auto" w:fill="CFF0FC"/>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3,042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3,042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Conversion of common stock</w:t>
            </w:r>
          </w:p>
        </w:tc>
        <w:tc>
          <w:tcPr>
            <w:tcW w:w="840" w:type="dxa"/>
            <w:vAlign w:val="bottom"/>
          </w:tcPr>
          <w:p>
            <w:pPr>
              <w:jc w:val="right"/>
              <w:spacing w:after="0"/>
              <w:rPr>
                <w:sz w:val="20"/>
                <w:szCs w:val="20"/>
                <w:color w:val="auto"/>
              </w:rPr>
            </w:pPr>
            <w:r>
              <w:rPr>
                <w:rFonts w:ascii="Arial" w:cs="Arial" w:eastAsia="Arial" w:hAnsi="Arial"/>
                <w:sz w:val="14"/>
                <w:szCs w:val="14"/>
                <w:color w:val="auto"/>
              </w:rPr>
              <w:t>7,534,710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(7,534,710)</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6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60" w:type="dxa"/>
            <w:vAlign w:val="bottom"/>
          </w:tcPr>
          <w:p>
            <w:pPr>
              <w:spacing w:after="0" w:line="155" w:lineRule="exact"/>
              <w:rPr>
                <w:sz w:val="20"/>
                <w:szCs w:val="20"/>
                <w:color w:val="auto"/>
              </w:rPr>
            </w:pPr>
            <w:r>
              <w:rPr>
                <w:rFonts w:ascii="Arial" w:cs="Arial" w:eastAsia="Arial" w:hAnsi="Arial"/>
                <w:sz w:val="14"/>
                <w:szCs w:val="14"/>
                <w:color w:val="auto"/>
              </w:rPr>
              <w:t>Balance at March 31, 2018</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85,426,038</w:t>
            </w:r>
          </w:p>
        </w:tc>
        <w:tc>
          <w:tcPr>
            <w:tcW w:w="24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85</w:t>
            </w:r>
          </w:p>
        </w:tc>
        <w:tc>
          <w:tcPr>
            <w:tcW w:w="2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20,702,084</w:t>
            </w:r>
          </w:p>
        </w:tc>
        <w:tc>
          <w:tcPr>
            <w:tcW w:w="120" w:type="dxa"/>
            <w:vAlign w:val="bottom"/>
          </w:tcPr>
          <w:p>
            <w:pPr>
              <w:spacing w:after="0"/>
              <w:rPr>
                <w:sz w:val="13"/>
                <w:szCs w:val="13"/>
                <w:color w:val="auto"/>
              </w:rPr>
            </w:pPr>
          </w:p>
        </w:tc>
        <w:tc>
          <w:tcPr>
            <w:tcW w:w="740" w:type="dxa"/>
            <w:vAlign w:val="bottom"/>
            <w:gridSpan w:val="2"/>
          </w:tcPr>
          <w:p>
            <w:pPr>
              <w:jc w:val="right"/>
              <w:ind w:right="512"/>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w w:val="76"/>
              </w:rPr>
              <w:t>21</w:t>
            </w:r>
          </w:p>
        </w:tc>
        <w:tc>
          <w:tcPr>
            <w:tcW w:w="120" w:type="dxa"/>
            <w:vAlign w:val="bottom"/>
          </w:tcPr>
          <w:p>
            <w:pPr>
              <w:spacing w:after="0"/>
              <w:rPr>
                <w:sz w:val="13"/>
                <w:szCs w:val="13"/>
                <w:color w:val="auto"/>
              </w:rPr>
            </w:pPr>
          </w:p>
        </w:tc>
        <w:tc>
          <w:tcPr>
            <w:tcW w:w="1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189,237</w:t>
            </w:r>
          </w:p>
        </w:tc>
        <w:tc>
          <w:tcPr>
            <w:tcW w:w="140" w:type="dxa"/>
            <w:vAlign w:val="bottom"/>
          </w:tcPr>
          <w:p>
            <w:pPr>
              <w:spacing w:after="0"/>
              <w:rPr>
                <w:sz w:val="13"/>
                <w:szCs w:val="13"/>
                <w:color w:val="auto"/>
              </w:rPr>
            </w:pPr>
          </w:p>
        </w:tc>
        <w:tc>
          <w:tcPr>
            <w:tcW w:w="26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300</w:t>
            </w:r>
          </w:p>
        </w:tc>
        <w:tc>
          <w:tcPr>
            <w:tcW w:w="140" w:type="dxa"/>
            <w:vAlign w:val="bottom"/>
          </w:tcPr>
          <w:p>
            <w:pPr>
              <w:spacing w:after="0"/>
              <w:rPr>
                <w:sz w:val="13"/>
                <w:szCs w:val="13"/>
                <w:color w:val="auto"/>
              </w:rPr>
            </w:pPr>
          </w:p>
        </w:tc>
        <w:tc>
          <w:tcPr>
            <w:tcW w:w="1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(49,962)</w:t>
            </w:r>
          </w:p>
        </w:tc>
        <w:tc>
          <w:tcPr>
            <w:tcW w:w="2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139,681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33,343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33,343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5,666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FF0FC"/>
          </w:tcPr>
          <w:p>
            <w:pPr>
              <w:spacing w:after="0"/>
              <w:rPr>
                <w:sz w:val="20"/>
                <w:szCs w:val="20"/>
                <w:color w:val="auto"/>
              </w:rPr>
            </w:pPr>
            <w:r>
              <w:rPr>
                <w:rFonts w:ascii="Arial" w:cs="Arial" w:eastAsia="Arial" w:hAnsi="Arial"/>
                <w:sz w:val="14"/>
                <w:szCs w:val="14"/>
                <w:color w:val="auto"/>
                <w:w w:val="87"/>
              </w:rPr>
              <w:t>Issuance of common stock upon exercise of stock options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2,466,744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160" w:type="dxa"/>
            <w:vAlign w:val="bottom"/>
          </w:tcPr>
          <w:p>
            <w:pPr>
              <w:spacing w:after="0" w:line="151" w:lineRule="exact"/>
              <w:rPr>
                <w:sz w:val="20"/>
                <w:szCs w:val="20"/>
                <w:color w:val="auto"/>
              </w:rPr>
            </w:pPr>
            <w:r>
              <w:rPr>
                <w:rFonts w:ascii="Arial" w:cs="Arial" w:eastAsia="Arial" w:hAnsi="Arial"/>
                <w:sz w:val="14"/>
                <w:szCs w:val="14"/>
                <w:color w:val="auto"/>
                <w:w w:val="96"/>
              </w:rPr>
              <w:t>Issuance of common stock upon vesting of restricted</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60" w:type="dxa"/>
            <w:vAlign w:val="bottom"/>
          </w:tcPr>
          <w:p>
            <w:pPr>
              <w:ind w:left="100"/>
              <w:spacing w:after="0" w:line="159" w:lineRule="exact"/>
              <w:rPr>
                <w:sz w:val="20"/>
                <w:szCs w:val="20"/>
                <w:color w:val="auto"/>
              </w:rPr>
            </w:pPr>
            <w:r>
              <w:rPr>
                <w:rFonts w:ascii="Arial" w:cs="Arial" w:eastAsia="Arial" w:hAnsi="Arial"/>
                <w:sz w:val="14"/>
                <w:szCs w:val="14"/>
                <w:color w:val="auto"/>
              </w:rPr>
              <w:t>stock units</w:t>
            </w: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1,261,495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9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316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w w:val="88"/>
              </w:rPr>
              <w:t>Payment of withholding taxes on net share settlements of</w:t>
            </w: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60" w:type="dxa"/>
            <w:vAlign w:val="bottom"/>
            <w:shd w:val="clear" w:color="auto" w:fill="CFF0FC"/>
          </w:tcPr>
          <w:p>
            <w:pPr>
              <w:ind w:left="100"/>
              <w:spacing w:after="0" w:line="159" w:lineRule="exact"/>
              <w:rPr>
                <w:sz w:val="20"/>
                <w:szCs w:val="20"/>
                <w:color w:val="auto"/>
              </w:rPr>
            </w:pPr>
            <w:r>
              <w:rPr>
                <w:rFonts w:ascii="Arial" w:cs="Arial" w:eastAsia="Arial" w:hAnsi="Arial"/>
                <w:sz w:val="14"/>
                <w:szCs w:val="14"/>
                <w:color w:val="auto"/>
              </w:rPr>
              <w:t>equity awards</w:t>
            </w:r>
          </w:p>
        </w:tc>
        <w:tc>
          <w:tcPr>
            <w:tcW w:w="1080" w:type="dxa"/>
            <w:vAlign w:val="bottom"/>
            <w:gridSpan w:val="2"/>
            <w:shd w:val="clear" w:color="auto" w:fill="CFF0FC"/>
          </w:tcPr>
          <w:p>
            <w:pPr>
              <w:jc w:val="right"/>
              <w:ind w:right="200"/>
              <w:spacing w:after="0" w:line="159" w:lineRule="exact"/>
              <w:rPr>
                <w:sz w:val="20"/>
                <w:szCs w:val="20"/>
                <w:color w:val="auto"/>
              </w:rPr>
            </w:pPr>
            <w:r>
              <w:rPr>
                <w:rFonts w:ascii="Arial" w:cs="Arial" w:eastAsia="Arial" w:hAnsi="Arial"/>
                <w:sz w:val="14"/>
                <w:szCs w:val="14"/>
                <w:color w:val="auto"/>
              </w:rPr>
              <w:t>(471,470)</w:t>
            </w: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(17,488)</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40"/>
              <w:spacing w:after="0" w:line="159" w:lineRule="exact"/>
              <w:rPr>
                <w:sz w:val="20"/>
                <w:szCs w:val="20"/>
                <w:color w:val="auto"/>
              </w:rPr>
            </w:pPr>
            <w:r>
              <w:rPr>
                <w:rFonts w:ascii="Arial" w:cs="Arial" w:eastAsia="Arial" w:hAnsi="Arial"/>
                <w:sz w:val="14"/>
                <w:szCs w:val="14"/>
                <w:color w:val="auto"/>
              </w:rPr>
              <w:t>(17,488)</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Foreign currency translation adjustment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Balance at June 30, 2018</w:t>
            </w: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60" w:type="dxa"/>
            <w:vAlign w:val="bottom"/>
            <w:vMerge w:val="continue"/>
            <w:shd w:val="clear" w:color="auto" w:fill="CFF0FC"/>
          </w:tcPr>
          <w:p>
            <w:pPr>
              <w:spacing w:after="0"/>
              <w:rPr>
                <w:sz w:val="13"/>
                <w:szCs w:val="13"/>
                <w:color w:val="auto"/>
              </w:rPr>
            </w:pP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88,682,807</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89</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20,702,084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12"/>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21</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179,716</w:t>
            </w:r>
          </w:p>
        </w:tc>
        <w:tc>
          <w:tcPr>
            <w:tcW w:w="140" w:type="dxa"/>
            <w:vAlign w:val="bottom"/>
            <w:shd w:val="clear" w:color="auto" w:fill="CFF0FC"/>
          </w:tcPr>
          <w:p>
            <w:pPr>
              <w:spacing w:after="0"/>
              <w:rPr>
                <w:sz w:val="13"/>
                <w:szCs w:val="13"/>
                <w:color w:val="auto"/>
              </w:rPr>
            </w:pPr>
          </w:p>
        </w:tc>
        <w:tc>
          <w:tcPr>
            <w:tcW w:w="26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148</w:t>
            </w:r>
          </w:p>
        </w:tc>
        <w:tc>
          <w:tcPr>
            <w:tcW w:w="140" w:type="dxa"/>
            <w:vAlign w:val="bottom"/>
            <w:shd w:val="clear" w:color="auto" w:fill="CFF0FC"/>
          </w:tcPr>
          <w:p>
            <w:pPr>
              <w:spacing w:after="0"/>
              <w:rPr>
                <w:sz w:val="13"/>
                <w:szCs w:val="13"/>
                <w:color w:val="auto"/>
              </w:rPr>
            </w:pPr>
          </w:p>
        </w:tc>
        <w:tc>
          <w:tcPr>
            <w:tcW w:w="18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(16,619)</w:t>
            </w:r>
          </w:p>
        </w:tc>
        <w:tc>
          <w:tcPr>
            <w:tcW w:w="22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163,355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Six Months Ended</w:t>
      </w:r>
    </w:p>
    <w:p>
      <w:pPr>
        <w:jc w:val="center"/>
        <w:ind w:left="77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4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70"/>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Net income</w:t>
            </w:r>
          </w:p>
        </w:tc>
        <w:tc>
          <w:tcPr>
            <w:tcW w:w="1960" w:type="dxa"/>
            <w:vAlign w:val="bottom"/>
            <w:gridSpan w:val="2"/>
          </w:tcPr>
          <w:p>
            <w:pPr>
              <w:jc w:val="right"/>
              <w:ind w:right="77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18,591</w:t>
            </w:r>
          </w:p>
        </w:tc>
        <w:tc>
          <w:tcPr>
            <w:tcW w:w="30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3,541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Currency gain on foreign denominated transactions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(840)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Deferred taxes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(5,316)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(27,100)</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16,629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contract costs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(3,838)</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Prepaid expenses, prepaid income taxes, and other assets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(2,071)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contract costs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(7,768)</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(6,502)</w:t>
            </w: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6,032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accrued income taxes, and other current liabilities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(1,309)</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obligations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(1,880)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non-current liabilities</w:t>
            </w:r>
          </w:p>
        </w:tc>
        <w:tc>
          <w:tcPr>
            <w:tcW w:w="10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25,729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(8,584)</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Capitalization of website development costs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(1,527)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acquisition</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8"/>
              </w:rPr>
              <w:t>(19,139)</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Investments in certificates of deposit</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(96,527)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Maturities of certificates of deposit</w:t>
            </w:r>
          </w:p>
        </w:tc>
        <w:tc>
          <w:tcPr>
            <w:tcW w:w="10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100,000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(25,777)</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flows from finance leases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Payment of initial public offering costs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15"/>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Payment of withholding taxes and option costs on net share settlement of</w:t>
            </w:r>
          </w:p>
        </w:tc>
        <w:tc>
          <w:tcPr>
            <w:tcW w:w="10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units and stock options</w:t>
            </w:r>
          </w:p>
        </w:tc>
        <w:tc>
          <w:tcPr>
            <w:tcW w:w="10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(8,591)</w:t>
            </w: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(17,488)</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(7,546)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(54,186)</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37,558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00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30,012</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000" w:type="dxa"/>
            <w:vAlign w:val="bottom"/>
          </w:tcPr>
          <w:p>
            <w:pPr>
              <w:spacing w:after="0"/>
              <w:rPr>
                <w:sz w:val="23"/>
                <w:szCs w:val="23"/>
                <w:color w:val="auto"/>
              </w:rPr>
            </w:pP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23"/>
                <w:szCs w:val="23"/>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Unpaid purchases of property and equipment and internal-use software</w:t>
            </w:r>
          </w:p>
        </w:tc>
        <w:tc>
          <w:tcPr>
            <w:tcW w:w="19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3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8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Capitalized stock-based compensation expense in website development and</w:t>
            </w:r>
          </w:p>
        </w:tc>
        <w:tc>
          <w:tcPr>
            <w:tcW w:w="10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internal-use software costs</w:t>
            </w:r>
          </w:p>
        </w:tc>
        <w:tc>
          <w:tcPr>
            <w:tcW w:w="100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30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23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Cash paid for operating lease liabilities</w:t>
            </w:r>
          </w:p>
        </w:tc>
        <w:tc>
          <w:tcPr>
            <w:tcW w:w="10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 Description</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CarGurus, Inc. (the “Company”), is a global, online automotive marketplace connecting buyers and sellers of new and used cars. Using proprietary technology, search algorithms, and innovative data analytics, the Company provides information and analysis that create a differentiated automotive search experience for consumers. The Company’s marketplace empowers users worldwide with unbiased third-party validation on pricing and dealer reputation, as well as other useful information that aids them in finding “Great Deals from Top-Rated Dealers.”</w:t>
      </w:r>
    </w:p>
    <w:p>
      <w:pPr>
        <w:spacing w:after="0" w:line="18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The Company is headquartered in Cambridge, Massachusetts and was incorporated in the State of Delaware on June 26, 2015. The Company operates principally in the United States and has also launched online marketplaces in Canada, the United Kingdom, Germany, Italy, and Spain. The Company has subsidiaries in the United States, Canada, Ireland, and the United Kingdom.</w:t>
      </w:r>
    </w:p>
    <w:p>
      <w:pPr>
        <w:spacing w:after="0" w:line="24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patent litigation, and dependence on key individuals.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accompanying interim condensed consolidated financial statements (the “Unaudited Condensed Consolidated Financial Statements”) are unaudited. These Unaudited Condensed Consolidated Financial Statements should be read in conjunction with the Company’s audited consolidated financial statements and the notes thereto for the year ended December 31, 2018 included in the Company’s Annual Report on Form 10-K for the year ended December 31, 2018, filed with the Securities and Exchange Commission (“SEC”) on February 28, 2019 (the “2018 Annual Report”).</w:t>
      </w:r>
    </w:p>
    <w:p>
      <w:pPr>
        <w:spacing w:after="0" w:line="17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Unaudited Condensed Consolidated Financial Statements have been prepared pursuant to the rules and regulations of the SEC. Accordingly, certain information and footnote disclosures normally included in financial statements prepared in accordance with generally accepted accounting principles in the United States (“GAAP”) have been condensed or omitted pursuant to such rules and regulations. The Unaudited Condensed Consolidated Financial Statements reflect all adjustments, consisting of only normal recurring adjustments, necessary for the fair presentation of the Company’s financial position as of June 30, 2019 and December 31, 2018, results of operations, comprehensive income, and changes in shareholders’ equity for the three and six months ended June 30, 2019 and 2018 and cash flows for the six months ended June 30, 2019 and 2018. These interim period results are not necessarily indicative of the results to be expected for any other interim period or the full year.</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 xml:space="preserve">In the results of operations for the three and six months ended June 30, 2019 and 2018, the Company has separately presented interest income from other income, net due to the increase in amount during the three and six months ended June 30, 2019 as compared to the three and six months ended June 30, 2018. Additionally, the results of operations for the three and six months ended June 30, 2018 and statement of cash flows for the six months ended June 30, 2018, were adjusted due to the impact of the adoption of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w:t>
      </w:r>
    </w:p>
    <w:p>
      <w:pPr>
        <w:spacing w:after="0" w:line="188"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accompanying Unaudited Condensed Consolidated Financial Statements reflect the application of certain significant accounting policies as described below and elsewhere in these notes to the Unaudited Condensed Consolidated Financial Statements. As of June 30, 2019, there have been no material changes in the Company's significant accounting policies from those that were disclosed in the 2018 Annual Report, other than those resulting from the adoption of Accounting Standards Update (“ASU”) No. 2016-02, Leases (Topic 842) (as amended, “ASC 842”), which is described below.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subsidiaries. All intercompany balances and transactions have been eliminated in consolidation. The Company prepares its Unaudited Condensed Consolidated Financial Statements and related disclosures in conformity with GAAP.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Subsequent Event Considerations</w:t>
      </w:r>
    </w:p>
    <w:p>
      <w:pPr>
        <w:spacing w:after="0" w:line="11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The Company has evaluated all subsequent events and determined that there are no material recognized or unrecognized subsequent events requiring disclosure.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disclosures of contingent assets and liabilities at the date of the financial statements, and the reported amounts of revenue and expenses during the reporting period.</w:t>
      </w:r>
    </w:p>
    <w:p>
      <w:pPr>
        <w:spacing w:after="0" w:line="181" w:lineRule="exact"/>
        <w:rPr>
          <w:sz w:val="20"/>
          <w:szCs w:val="20"/>
          <w:color w:val="auto"/>
        </w:rPr>
      </w:pPr>
    </w:p>
    <w:p>
      <w:pPr>
        <w:jc w:val="both"/>
        <w:ind w:firstLine="518"/>
        <w:spacing w:after="0" w:line="221" w:lineRule="exact"/>
        <w:rPr>
          <w:sz w:val="20"/>
          <w:szCs w:val="20"/>
          <w:color w:val="auto"/>
        </w:rPr>
      </w:pPr>
      <w:r>
        <w:rPr>
          <w:rFonts w:ascii="Arial" w:cs="Arial" w:eastAsia="Arial" w:hAnsi="Arial"/>
          <w:sz w:val="16"/>
          <w:szCs w:val="16"/>
          <w:color w:val="auto"/>
        </w:rPr>
        <w:t>Significant estimates relied upon in preparing these Unaudited Condensed Consolidated Financial Statements include revenue recognition and revenue reserve, variable consideration, the valuation of goodwill and intangible assets, the capitalization of product, technology, and development costs for website development and internal</w:t>
      </w:r>
      <w:r>
        <w:rPr>
          <w:rFonts w:ascii="MS PGothic" w:cs="MS PGothic" w:eastAsia="MS PGothic" w:hAnsi="MS PGothic"/>
          <w:sz w:val="16"/>
          <w:szCs w:val="16"/>
          <w:color w:val="auto"/>
        </w:rPr>
        <w:t>‑</w:t>
      </w:r>
      <w:r>
        <w:rPr>
          <w:rFonts w:ascii="Arial" w:cs="Arial" w:eastAsia="Arial" w:hAnsi="Arial"/>
          <w:sz w:val="16"/>
          <w:szCs w:val="16"/>
          <w:color w:val="auto"/>
        </w:rPr>
        <w:t>use software, and the recoverability of the Company’s net deferred tax assets and related valuation allowance.</w:t>
      </w:r>
    </w:p>
    <w:p>
      <w:pPr>
        <w:spacing w:after="0" w:line="20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jc w:val="both"/>
        <w:ind w:firstLine="518"/>
        <w:spacing w:after="0" w:line="221" w:lineRule="exact"/>
        <w:rPr>
          <w:sz w:val="20"/>
          <w:szCs w:val="20"/>
          <w:color w:val="auto"/>
        </w:rPr>
      </w:pPr>
      <w:r>
        <w:rPr>
          <w:rFonts w:ascii="Arial" w:cs="Arial" w:eastAsia="Arial" w:hAnsi="Arial"/>
          <w:sz w:val="18"/>
          <w:szCs w:val="18"/>
          <w:color w:val="auto"/>
        </w:rPr>
        <w:t>The Company has no significant off</w:t>
      </w:r>
      <w:r>
        <w:rPr>
          <w:rFonts w:ascii="MS PGothic" w:cs="MS PGothic" w:eastAsia="MS PGothic" w:hAnsi="MS PGothic"/>
          <w:sz w:val="18"/>
          <w:szCs w:val="18"/>
          <w:color w:val="auto"/>
        </w:rPr>
        <w:t>‑</w:t>
      </w:r>
      <w:r>
        <w:rPr>
          <w:rFonts w:ascii="Arial" w:cs="Arial" w:eastAsia="Arial" w:hAnsi="Arial"/>
          <w:sz w:val="18"/>
          <w:szCs w:val="18"/>
          <w:color w:val="auto"/>
        </w:rPr>
        <w:t>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w:t>
      </w:r>
    </w:p>
    <w:p>
      <w:pPr>
        <w:spacing w:after="0" w:line="94"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The Company maintains its cash, cash equivalents, and investments principally with accredited financial institutions of high credit standing. Although the Company deposits its cash and investments with multiple financial institutions, its deposits, at times, may exceed federally insured limits.</w:t>
      </w:r>
    </w:p>
    <w:p>
      <w:pPr>
        <w:spacing w:after="0" w:line="14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Credit risk with respect to accounts receivable is dispersed due to the large number of customers. The Company routinely assesses the creditworthiness of its customers. The Company generally has not experienced any material losses related to receivables from individual customers, or groups of customers. The Company does not require collateral. Due to these factors, no additional credit risk beyond amounts provided for collection losses is believed by management to be probable in the Company’s accounts receivable.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six months ended June 30, 2019 and the year ended December 31, 2018, no individual customer accounted for more than 10% of total revenue.</w:t>
      </w:r>
    </w:p>
    <w:p>
      <w:pPr>
        <w:spacing w:after="0" w:line="24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June 30, 2019, two customers accounted for 25% and 12% of net accounts receivable, respectively. As of December 31, 2018, two customers accounted for 21% and 14% of net accounts receivable, respectively. No other individual customer accounted for more than 10% of net accounts receivable at June 30, 2019 or December 31, 2018.</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Included in net accounts receivable at June 30, 2019 and December 31, 2018, is $6,947 and $5,815, respectively, of unbilled accounts receivable primarily related to advertising customers billed within a quarter subsequent to services rendered.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revenue from contracts with customers by revenue source for the three and six months ended June 30, 2019 and 2018.</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2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Six Months Ended</w:t>
            </w:r>
          </w:p>
        </w:tc>
        <w:tc>
          <w:tcPr>
            <w:tcW w:w="172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72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29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172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Revenue by Revenue Stream</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940" w:type="dxa"/>
            <w:vAlign w:val="bottom"/>
          </w:tcPr>
          <w:p>
            <w:pPr>
              <w:ind w:left="380"/>
              <w:spacing w:after="0"/>
              <w:rPr>
                <w:sz w:val="20"/>
                <w:szCs w:val="20"/>
                <w:color w:val="auto"/>
              </w:rPr>
            </w:pPr>
            <w:r>
              <w:rPr>
                <w:rFonts w:ascii="Arial" w:cs="Arial" w:eastAsia="Arial" w:hAnsi="Arial"/>
                <w:sz w:val="18"/>
                <w:szCs w:val="18"/>
                <w:color w:val="auto"/>
                <w:w w:val="94"/>
              </w:rPr>
              <w:t>Marketplace subscription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129,096</w:t>
            </w:r>
          </w:p>
        </w:tc>
        <w:tc>
          <w:tcPr>
            <w:tcW w:w="18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97,725</w:t>
            </w:r>
          </w:p>
        </w:tc>
        <w:tc>
          <w:tcPr>
            <w:tcW w:w="1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249,939</w:t>
            </w:r>
          </w:p>
        </w:tc>
        <w:tc>
          <w:tcPr>
            <w:tcW w:w="16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186,882</w:t>
            </w:r>
          </w:p>
        </w:tc>
        <w:tc>
          <w:tcPr>
            <w:tcW w:w="172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Advertising and other revenue</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15,935</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12,571</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30,362</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21,989</w:t>
            </w:r>
          </w:p>
        </w:tc>
        <w:tc>
          <w:tcPr>
            <w:tcW w:w="1720" w:type="dxa"/>
            <w:vAlign w:val="bottom"/>
          </w:tcPr>
          <w:p>
            <w:pPr>
              <w:spacing w:after="0"/>
              <w:rPr>
                <w:sz w:val="19"/>
                <w:szCs w:val="19"/>
                <w:color w:val="auto"/>
              </w:rPr>
            </w:pPr>
          </w:p>
        </w:tc>
      </w:tr>
      <w:tr>
        <w:trPr>
          <w:trHeight w:val="223"/>
        </w:trPr>
        <w:tc>
          <w:tcPr>
            <w:tcW w:w="466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145,031</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110,296</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280,301</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208,871</w:t>
            </w:r>
          </w:p>
        </w:tc>
        <w:tc>
          <w:tcPr>
            <w:tcW w:w="172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jc w:val="both"/>
        <w:ind w:firstLine="518"/>
        <w:spacing w:after="0" w:line="264" w:lineRule="auto"/>
        <w:rPr>
          <w:sz w:val="20"/>
          <w:szCs w:val="20"/>
          <w:color w:val="auto"/>
        </w:rPr>
      </w:pPr>
      <w:r>
        <w:rPr>
          <w:rFonts w:ascii="Arial" w:cs="Arial" w:eastAsia="Arial" w:hAnsi="Arial"/>
          <w:sz w:val="18"/>
          <w:szCs w:val="18"/>
          <w:color w:val="auto"/>
        </w:rPr>
        <w:t>The Company provides disaggregation of revenue based on the marketplace subscription versus advertising and other revenue classification in the table above and based on geographic region (see Note 12) as it believes these categories best depict how the nature, amount, timing and uncertainty of revenue and cash flows are affected by economic factors.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From time to time, the Company may enter into contracts that include variable consideration, for which the Company estimates the value of the variable consideration in determining the transaction price and allocates it to the appropriate performance obligation(s). The Company reassesses any estimates of variable consideration at each reporting period.</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Topic 606 requires that the Company disclose the aggregate amount of transaction price that is allocated to performance obligations that have not yet been satisfied as of the relevant quarter end.</w:t>
      </w:r>
    </w:p>
    <w:p>
      <w:pPr>
        <w:spacing w:after="0" w:line="170"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For contracts with an original expected duration greater than one year, the aggregate amount of the transaction price allocated to the performance obligations that were unsatisfied as of June 30, 2019 was $3,613, which the Company expects to recognize over an average of twelve months.</w:t>
      </w:r>
    </w:p>
    <w:p>
      <w:pPr>
        <w:spacing w:after="0" w:line="12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For contracts with an original expected duration of one year or less, the Company has applied the practical expedient available under Topic 606 to not disclose the amount of transaction price allocated to unsatisfied performance obligations as of June 30, 2019. For performance obligations not satisfied as of June 30, 2019, and to which this expedient applies, the nature of the performance obligations, the variable consideration and any consideration from contracts with customers not included in the transaction price is consistent with performance obligations satisfied as of June 30, 2019. The remaining duration is less than one year.</w:t>
      </w:r>
    </w:p>
    <w:p>
      <w:pPr>
        <w:spacing w:after="0" w:line="18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Revenue recognized during the six months ended June 30, 2019 from amounts included in deferred revenue at the beginning of the period was approximately $8,811.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Adopted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February 2016, the Financial Accounting Standards Board (the “FASB”) issued ASC 842. ASC 842 requires a lessee to recognize most leases on the Unaudited Condensed Consolidated Balance Sheet but recognize expenses on the Unaudited Condensed Consolidated Income Statement in a manner similar to current practice. The update states that a lessee will recognize a lease liability for the obligation to make lease payments and a right-to-use asset for the right to use the underlying assets for the lease term. The Company adopted ASC 842 as of January 1, 2019, using the additional transition method offered through ASU No. 2018-11. This approach provides a method for recording existing leases at the adoption date and recognizing a cumulative-effect adjustment to the opening balance of retained earnings in the period of adoption.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Overview</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Company’s operating lease obligations consist of various leases for office space in: Cambridge, Massachusetts; Detroit, Michigan; Los Angeles, California; Dublin, Ireland; and London, United Kingdom. The Detroit, Los Angeles and London leases are immaterial to the Company. The Company also has an operating lease obligation for data center space in Needham, Massachusetts.</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June 19, 2018, the Company entered into an operating lease in Cambridge, Massachusetts at 121 First St. for the lease of 48,393 square feet of office space with a non-cancellable lease term through 2033 with an option to extend the lease term for two additional periods of five years each. The Company subleases the fifth floor and records the sublease income in other income, net within the Unaudited Condensed Consolidated Income Statement. The sublease income is immaterial.</w:t>
      </w:r>
    </w:p>
    <w:p>
      <w:pPr>
        <w:spacing w:after="0" w:line="187"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On March 11, 2016, the Company entered into an operating lease in Cambridge, Massachusetts at 55 Cambridge Parkway for the lease of 51,923 square feet of office space with a non-cancellable lease term through 2024 with an option to extend the lease term for one additional period of five years.</w:t>
      </w:r>
    </w:p>
    <w:p>
      <w:pPr>
        <w:spacing w:after="0" w:line="124"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On October 8, 2014, the Company entered into an operating lease in Cambridge, Massachusetts at 2 Canal Park for the lease of 48,059 square feet of office space with a non-cancellable lease term through 2022 with an option to extend the lease term for one additional period of five years.</w:t>
      </w:r>
    </w:p>
    <w:p>
      <w:pPr>
        <w:spacing w:after="0" w:line="147" w:lineRule="exact"/>
        <w:rPr>
          <w:sz w:val="20"/>
          <w:szCs w:val="20"/>
          <w:color w:val="auto"/>
        </w:rPr>
      </w:pPr>
    </w:p>
    <w:p>
      <w:pPr>
        <w:jc w:val="both"/>
        <w:ind w:firstLine="518"/>
        <w:spacing w:after="0" w:line="218" w:lineRule="exact"/>
        <w:rPr>
          <w:sz w:val="20"/>
          <w:szCs w:val="20"/>
          <w:color w:val="auto"/>
        </w:rPr>
      </w:pPr>
      <w:r>
        <w:rPr>
          <w:rFonts w:ascii="Arial" w:cs="Arial" w:eastAsia="Arial" w:hAnsi="Arial"/>
          <w:sz w:val="16"/>
          <w:szCs w:val="16"/>
          <w:color w:val="auto"/>
        </w:rPr>
        <w:t>Each of the three leases described above provides for leasehold improvement incentives and annual rent increases through the term of the lease. Each of the three leases above also has an associated letter of credit, which is recorded as restricted cash within the Unaudited Condensed Consolidated Balance Sheet. At June 30, 2019 and December 31, 2018, restricted cash was $2,170 and $2,671, respectively, and primarily related to cash held at a financial institution in an interest</w:t>
      </w:r>
      <w:r>
        <w:rPr>
          <w:rFonts w:ascii="MS PGothic" w:cs="MS PGothic" w:eastAsia="MS PGothic" w:hAnsi="MS PGothic"/>
          <w:sz w:val="16"/>
          <w:szCs w:val="16"/>
          <w:color w:val="auto"/>
        </w:rPr>
        <w:t>‑</w:t>
      </w:r>
      <w:r>
        <w:rPr>
          <w:rFonts w:ascii="Arial" w:cs="Arial" w:eastAsia="Arial" w:hAnsi="Arial"/>
          <w:sz w:val="16"/>
          <w:szCs w:val="16"/>
          <w:color w:val="auto"/>
        </w:rPr>
        <w:t>bearing cash account as collateral for the three letters of credit related to the contractual provisions for the Company’s building lease security deposits. At June 30, 2019 and December 31, 2018, portions of restricted cash were classified as a short-term asset and long</w:t>
      </w:r>
      <w:r>
        <w:rPr>
          <w:rFonts w:ascii="MS PGothic" w:cs="MS PGothic" w:eastAsia="MS PGothic" w:hAnsi="MS PGothic"/>
          <w:sz w:val="16"/>
          <w:szCs w:val="16"/>
          <w:color w:val="auto"/>
        </w:rPr>
        <w:t>‑</w:t>
      </w:r>
      <w:r>
        <w:rPr>
          <w:rFonts w:ascii="Arial" w:cs="Arial" w:eastAsia="Arial" w:hAnsi="Arial"/>
          <w:sz w:val="16"/>
          <w:szCs w:val="16"/>
          <w:color w:val="auto"/>
        </w:rPr>
        <w:t>term asset. Additionally, 121 First St. has an associated security deposit, which was recorded in other assets, net within the Unaudited Condensed Consolidated Balance Sheet.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both"/>
        <w:ind w:right="20" w:firstLine="518"/>
        <w:spacing w:after="0" w:line="264" w:lineRule="auto"/>
        <w:rPr>
          <w:sz w:val="20"/>
          <w:szCs w:val="20"/>
          <w:color w:val="auto"/>
        </w:rPr>
      </w:pPr>
      <w:r>
        <w:rPr>
          <w:rFonts w:ascii="Arial" w:cs="Arial" w:eastAsia="Arial" w:hAnsi="Arial"/>
          <w:sz w:val="18"/>
          <w:szCs w:val="18"/>
          <w:color w:val="auto"/>
        </w:rPr>
        <w:t>On September 26, 2017, the Company assumed an operating lease, which was entered into by the original lessee on August 12, 2013, in Dublin, Ireland at Styne House, Upper Hatch St. for the lease of 13,345 square feet of office space with a non-cancellable term through 2023. The lease provided for a rent increase at the end of year five of the original lease term.</w:t>
      </w:r>
    </w:p>
    <w:p>
      <w:pPr>
        <w:spacing w:after="0" w:line="181"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On May 1, 2019, the Company entered into an operating lease in Needham, Massachusetts for the lease of data center space with a non-cancellable term through 2022 with automatic renewal for one year thereafter if not terminated. The lease provides for annual rent increases through the term of the lease.</w:t>
      </w:r>
    </w:p>
    <w:p>
      <w:pPr>
        <w:spacing w:after="0" w:line="3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financing lease obligations consist of a lease for office equipment and are immaterial.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to adoption of ASC 842</w:t>
      </w:r>
    </w:p>
    <w:p>
      <w:pPr>
        <w:spacing w:after="0" w:line="117" w:lineRule="exact"/>
        <w:rPr>
          <w:sz w:val="20"/>
          <w:szCs w:val="20"/>
          <w:color w:val="auto"/>
        </w:rPr>
      </w:pPr>
    </w:p>
    <w:p>
      <w:pPr>
        <w:jc w:val="both"/>
        <w:ind w:firstLine="518"/>
        <w:spacing w:after="0" w:line="219" w:lineRule="exact"/>
        <w:rPr>
          <w:sz w:val="20"/>
          <w:szCs w:val="20"/>
          <w:color w:val="auto"/>
        </w:rPr>
      </w:pPr>
      <w:r>
        <w:rPr>
          <w:rFonts w:ascii="Arial" w:cs="Arial" w:eastAsia="Arial" w:hAnsi="Arial"/>
          <w:sz w:val="17"/>
          <w:szCs w:val="17"/>
          <w:color w:val="auto"/>
        </w:rPr>
        <w:t>The Company categorized leases at their inception as either operating or capital leases. On certain lease arrangements, the Company may have received rent holidays or other incentives. The Company recognized lease costs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once it achieved control of the space, without regard to deferred payment terms, such as rent holidays, that deferred the commencement date of required payments or escalating payment amounts. The Company recorded the difference between required lease payments and rent expense as deferred rent. Additionally, incentives received were treated as a reduction of costs over the term of the agreement, as they were considered an inseparable part of the lease agreement.</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 adoption of ASC 842</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Upon adoption, the Company elected the transition relief package, permitted within the standard, pursuant to which the Company did not reassess the classification of existing leases, whether any expired or existing contracts contain a lease, and whether existing leases have any initial direct costs. The Company also elected the practical expedient on not separating lease components from non-lease components for all leases.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reviews all material contacts for embedded leases to determine if they have a right-of-use asset.</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recognizes rent expense on a straight-line basis over the lease period. The depreciable life of assets and leasehold improvement are limited by the expected lease term, unless there is a transfer of title or purchase option reasonably certain of exercise.</w:t>
      </w:r>
    </w:p>
    <w:p>
      <w:pPr>
        <w:spacing w:after="0" w:line="170"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Company also made an accounting policy election to not recognize a lease liability or right-of-use asset on its Unaudited Condensed Consolidated Balance Sheet for leases with an initial term of twelve months or less, and instead recognize lease payments on the Unaudited Condensed Consolidated Income Statement on a straight-line basis over the lease term and variable lease payments that do not depend on an index or rate as expense in the period in which the achievement of the specified target that triggers the variable lease payments becomes probable.</w:t>
      </w:r>
    </w:p>
    <w:p>
      <w:pPr>
        <w:spacing w:after="0" w:line="17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Adoption of the new standard resulted in the recording of net lease assets and lease liabilities of approximately $52,334 and $63,280, respectively, as of January 1, 2019. The standard did not materially impact the Unaudited Condensed Consolidated Statement of Cash Flows and had no impact on the Unaudited Condensed Consolidated Income Statement.</w:t>
      </w:r>
    </w:p>
    <w:p>
      <w:pPr>
        <w:spacing w:after="0" w:line="181" w:lineRule="exact"/>
        <w:rPr>
          <w:sz w:val="20"/>
          <w:szCs w:val="20"/>
          <w:color w:val="auto"/>
        </w:rPr>
      </w:pPr>
    </w:p>
    <w:p>
      <w:pPr>
        <w:jc w:val="both"/>
        <w:ind w:firstLine="518"/>
        <w:spacing w:after="0" w:line="377" w:lineRule="auto"/>
        <w:rPr>
          <w:sz w:val="20"/>
          <w:szCs w:val="20"/>
          <w:color w:val="auto"/>
        </w:rPr>
      </w:pPr>
      <w:r>
        <w:rPr>
          <w:rFonts w:ascii="Arial" w:cs="Arial" w:eastAsia="Arial" w:hAnsi="Arial"/>
          <w:sz w:val="16"/>
          <w:szCs w:val="16"/>
          <w:color w:val="auto"/>
        </w:rPr>
        <w:t>During the three months ended June 30, 2019 and 2018 and six months ended June 30, 2019 and 2018, the Company recognized $2,442, $1,598, $4,890 and $3,186, respectively, of lease costs. The Company allocates lease costs across all departments based on headcount in the respective location.</w:t>
      </w:r>
    </w:p>
    <w:p>
      <w:pPr>
        <w:spacing w:after="0" w:line="9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As of June 30, 2019, the weighted average remaining lease term was 9.7 years and the weighted average discount rate was 5.9%. As most of the Company’s leases do not provide an implicit rate, the Company uses an estimated incremental borrowing rate based on the information available at lease commencement in determining the present value of lease payments. The Company estimated the incremental borrowing rate based on the rate of interest the Company would have to pay to borrow a similar amount on a collateralized basis over a similar term. The Company has no historical debt transactions and a collateralized rate is estimated based on a group of peer companies. The Company uses the incremental borrowing rate on January 1, 2019 for leases that commenced prior to that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Future minimum lease payments as of June 30, 2019 are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49"/>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71"/>
        </w:trPr>
        <w:tc>
          <w:tcPr>
            <w:tcW w:w="5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Commitments</w:t>
            </w:r>
          </w:p>
        </w:tc>
        <w:tc>
          <w:tcPr>
            <w:tcW w:w="0" w:type="dxa"/>
            <w:vAlign w:val="bottom"/>
          </w:tcPr>
          <w:p>
            <w:pPr>
              <w:spacing w:after="0"/>
              <w:rPr>
                <w:sz w:val="1"/>
                <w:szCs w:val="1"/>
                <w:color w:val="auto"/>
              </w:rPr>
            </w:pPr>
          </w:p>
        </w:tc>
      </w:tr>
      <w:tr>
        <w:trPr>
          <w:trHeight w:val="223"/>
        </w:trPr>
        <w:tc>
          <w:tcPr>
            <w:tcW w:w="5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 (excluding the six months ended June 30, 2019)</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11,252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11,146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(22,465)</w:t>
            </w:r>
          </w:p>
        </w:tc>
        <w:tc>
          <w:tcPr>
            <w:tcW w:w="0" w:type="dxa"/>
            <w:vAlign w:val="bottom"/>
          </w:tcPr>
          <w:p>
            <w:pPr>
              <w:spacing w:after="0"/>
              <w:rPr>
                <w:sz w:val="1"/>
                <w:szCs w:val="1"/>
                <w:color w:val="auto"/>
              </w:rPr>
            </w:pPr>
          </w:p>
        </w:tc>
      </w:tr>
      <w:tr>
        <w:trPr>
          <w:trHeight w:val="223"/>
        </w:trPr>
        <w:tc>
          <w:tcPr>
            <w:tcW w:w="59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Options to extend lease terms are not included in the chart above as they are not reasonably certain of being exercised.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In June 2018, the FASB issued ASU 2018-07</w:t>
      </w:r>
      <w:r>
        <w:rPr>
          <w:rFonts w:ascii="Arial" w:cs="Arial" w:eastAsia="Arial" w:hAnsi="Arial"/>
          <w:sz w:val="16"/>
          <w:szCs w:val="16"/>
          <w:i w:val="1"/>
          <w:iCs w:val="1"/>
          <w:color w:val="auto"/>
        </w:rPr>
        <w:t>, Compensation—Stock Compensation (Topic 718)</w:t>
      </w:r>
      <w:r>
        <w:rPr>
          <w:rFonts w:ascii="Arial" w:cs="Arial" w:eastAsia="Arial" w:hAnsi="Arial"/>
          <w:sz w:val="16"/>
          <w:szCs w:val="16"/>
          <w:color w:val="auto"/>
        </w:rPr>
        <w:t xml:space="preserve"> (“ASU 2018-07”). ASU 2018-07 expands the scope of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to include share-based payment transactions for acquiring goods and services from non-employees. The amendments in this update state that an entity should apply the requirements of Topic 718 to non-employee awards except for specific guidance on inputs to an option pricing model and the attribution of cost (that is, the period of time over which share-based payment awards vest and the pattern of cost recognition over that period). The amendments specify that Topic 718 applies to all share-based payment transactions in which a grantor acquires goods or services to be used or consumed in a grantor’s own operations by issuing share-based payment awards. The amendments also clarify that Topic 718 does not apply to share-based payments used to effectively provide (1) financing to the issuer or (2) awards granted in conjunction with selling goods or services to customers as part of a contract accounted for under Topic 606. The amendments in this update are effective for public business entities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 no earlier than an entity’s adoption date of Topic 606. The Company has assessed the impact of this guidance on its Unaudited Condensed Consolidated Financial Statements and does not deem it to be material. The Company adopted the guidance on January 1, 2019.</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Internal-Use Software</w:t>
      </w:r>
    </w:p>
    <w:p>
      <w:pPr>
        <w:spacing w:after="0" w:line="117"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(Subtopic 350-40) Customer’s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Implementation Costs Incurred in a Cloud Computing Arrangement That Is a Service Contract. </w:t>
      </w:r>
      <w:r>
        <w:rPr>
          <w:rFonts w:ascii="Arial" w:cs="Arial" w:eastAsia="Arial" w:hAnsi="Arial"/>
          <w:sz w:val="16"/>
          <w:szCs w:val="16"/>
          <w:color w:val="auto"/>
        </w:rPr>
        <w:t>This update aligns the requirements for capitalizing</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costs incurred in a hosting arrangement that is a service contract with the requirements for capitalizing implementation costs incurred to develop or obtain internal-use software. This new standard requires companies to expense the capitalized implementation costs over the term of the hosting arrangement. Amounts expensed would be presented through operating expense, rather than depreciation or amortization. Accounting for the service component of a hosting arrangement remains unchanged. The new standard is effective for fiscal years, and interim periods within those fiscal years, beginning after December 15, 2019. Early adoption is permitted and an entity can elect to apply the new guidance on a prospective or retrospective basis. The Company adopted this standard effective January 1, 2019 and applied the guidance using a prospective transition method for each period presented. In the first quarter of 2019, the Company launched an initiative designed to evaluate and enhance its enterprise applications. As a result, $1,832 of implementation costs associated with service contracts have been classified in other long-term assets in the Unaudited Condensed Balance Sheet as of June 30, 2019. The implementation costs relate to assets that had not been placed in service as of June 30, 2019.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81"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xml:space="preserve"> The new guidance simplifies the accounting for goodwill impairment by eliminating Step 2 of the goodwill impairment test. Under current guidance, Step 2 of the goodwill impairment test requires entities to calculate the implied fair value of goodwill in the same manner as the amount of goodwill recognized in a business combination by assigning the fair value of a reporting unit to all of the assets and liabilities of the reporting unit. The carrying value in excess of the implied fair value is recognized as goodwill impairment. Under the new standard, goodwill impairment is recognized based on Step 1 of the current guidance, which calculates the carrying value in excess of the reporting unit’s fair value. The new standard is effective beginning in January 2020, with early adoption permitted. The Company is currently assessing the impact that adopting this guidance will have on its Unaudited Condensed Consolidated Financial Statements.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35"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On January 8, 2019, the Company, through CarGurus UK Limited, a company incorporated in England &amp; Wales and a wholly owned subsidiary of CarGurus Ireland Limited, a company incorporated in Ireland and a wholly owned subsidiary of the Company (the “Purchaser”), completed its acquisition of PistonHeads, a UK-based automotive website (“PistonHeads”), by acquiring the entire issued share capital of Haymarket New4 Ltd., a company incorporated in England &amp; Wales and now known as PistonHeads Holdco Limited (“NewCo”), from Haymarket Media Group Ltd., a company incorporated in England &amp; Wales (the “Seller”), on the terms and subject to the conditions set forth in the Put and Call Option Agreement dated December 3, 2018, by and among the Purchaser, the Seller and Haymarket Group Limited, a company incorporated in England &amp; Wales. The PistonHeads website hosts used car classifieds, articles and forums. The Purchaser paid an aggregate of 15,000 GBP, or approximately $19,139, to acquire the business, inclusive of 1,000 GBP, or approximately $1,276, being held in escrow to secure post-closing claims, subject to the terms and conditions of an escrow agreement between the Purchaser and the Seller. Upon completion of the acquisition, NewCo became a wholly owned subsidiary of the Purchaser. The business combination is intended to expand the Company’s consumer audience in the UK. As of June 30, 2019, the Company has incurred total acquisition-related costs of $747 related to the transaction.</w:t>
      </w:r>
    </w:p>
    <w:p>
      <w:pPr>
        <w:spacing w:after="0" w:line="21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acquisition has been accounted for as a business combination under the acquisition method and, accordingly, the total purchase price is allocated to the intangible assets and goodwill. Acquired tangible assets and assumed liabilities are immaterial. The following table presents the preliminary purchase price allocation recorded in the Company's Unaudited Condensed Consolidated Balance Sheet as of the acquisition date:</w:t>
      </w:r>
    </w:p>
    <w:p>
      <w:pPr>
        <w:spacing w:after="0" w:line="15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Estimated Fair</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Fair</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Value at Date</w:t>
            </w:r>
          </w:p>
        </w:tc>
        <w:tc>
          <w:tcPr>
            <w:tcW w:w="160" w:type="dxa"/>
            <w:vAlign w:val="bottom"/>
          </w:tcPr>
          <w:p>
            <w:pPr>
              <w:spacing w:after="0"/>
              <w:rPr>
                <w:sz w:val="12"/>
                <w:szCs w:val="12"/>
                <w:color w:val="auto"/>
              </w:rPr>
            </w:pPr>
          </w:p>
        </w:tc>
        <w:tc>
          <w:tcPr>
            <w:tcW w:w="12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8"/>
              </w:rPr>
              <w:t>Adjustment</w:t>
            </w:r>
          </w:p>
        </w:tc>
        <w:tc>
          <w:tcPr>
            <w:tcW w:w="120" w:type="dxa"/>
            <w:vAlign w:val="bottom"/>
          </w:tcPr>
          <w:p>
            <w:pPr>
              <w:spacing w:after="0"/>
              <w:rPr>
                <w:sz w:val="12"/>
                <w:szCs w:val="12"/>
                <w:color w:val="auto"/>
              </w:rPr>
            </w:pPr>
          </w:p>
        </w:tc>
        <w:tc>
          <w:tcPr>
            <w:tcW w:w="11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Value at Date</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of Acquisition</w:t>
            </w: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of Acquisition</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5"/>
                <w:szCs w:val="15"/>
                <w:color w:val="auto"/>
              </w:rPr>
              <w:t>(1)</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tax liabilities </w:t>
            </w:r>
            <w:r>
              <w:rPr>
                <w:rFonts w:ascii="Arial" w:cs="Arial" w:eastAsia="Arial" w:hAnsi="Arial"/>
                <w:sz w:val="16"/>
                <w:szCs w:val="16"/>
                <w:color w:val="auto"/>
              </w:rPr>
              <w:t>(3)</w:t>
            </w: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(848)</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3980" w:type="dxa"/>
            <w:vAlign w:val="bottom"/>
          </w:tcPr>
          <w:p>
            <w:pPr>
              <w:ind w:left="380"/>
              <w:spacing w:after="0"/>
              <w:rPr>
                <w:sz w:val="20"/>
                <w:szCs w:val="20"/>
                <w:color w:val="auto"/>
              </w:rPr>
            </w:pPr>
            <w:r>
              <w:rPr>
                <w:rFonts w:ascii="Arial" w:cs="Arial" w:eastAsia="Arial" w:hAnsi="Arial"/>
                <w:sz w:val="18"/>
                <w:szCs w:val="18"/>
                <w:color w:val="auto"/>
              </w:rPr>
              <w:t>Total purchase price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19,139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760" w:hanging="374"/>
        <w:spacing w:after="0" w:line="308"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Identifiable definite-lived intangible assets were comprised of brand and customer relationships of $3,445 and $1,021, respectively, with estimated useful lives of 11 years and 3 years, respectively, which will be amortized on a straight-line basis over their estimated useful lives.</w:t>
      </w:r>
    </w:p>
    <w:p>
      <w:pPr>
        <w:spacing w:after="0" w:line="65" w:lineRule="exact"/>
        <w:rPr>
          <w:rFonts w:ascii="Arial" w:cs="Arial" w:eastAsia="Arial" w:hAnsi="Arial"/>
          <w:sz w:val="17"/>
          <w:szCs w:val="17"/>
          <w:color w:val="auto"/>
        </w:rPr>
      </w:pPr>
    </w:p>
    <w:p>
      <w:pPr>
        <w:jc w:val="both"/>
        <w:ind w:left="760" w:hanging="374"/>
        <w:spacing w:after="0" w:line="25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goodwill represents the excess value of the purchase price over intangible assets acquired. The goodwill in this transaction is primarily attributable to future customer growth in the UK market as a result of acquiring an established platform and applying the Company’s technology to help improve the website experience on such platform; thus, helping to drive additional traffic to the PistonHeads website in the future. All goodwill is assigned to the International segment. The acquisition of PistonHeads was a stock acquisition and goodwill is not deductible for tax purposes.</w:t>
      </w:r>
    </w:p>
    <w:p>
      <w:pPr>
        <w:spacing w:after="0" w:line="93"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deferred tax liability corresponds to the acquired intangible assets which do not have tax basis. As the Company continued to refine its purchasing price accounting, it determined to reduce the deferred tax liability which resulted in an adjustment to goodwill.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jc w:val="both"/>
        <w:ind w:firstLine="518"/>
        <w:spacing w:after="0" w:line="277" w:lineRule="auto"/>
        <w:rPr>
          <w:sz w:val="20"/>
          <w:szCs w:val="20"/>
          <w:color w:val="auto"/>
        </w:rPr>
      </w:pPr>
      <w:r>
        <w:rPr>
          <w:rFonts w:ascii="Arial" w:cs="Arial" w:eastAsia="Arial" w:hAnsi="Arial"/>
          <w:sz w:val="18"/>
          <w:szCs w:val="18"/>
          <w:color w:val="auto"/>
        </w:rPr>
        <w:t>Actual and pro forma results for these acquisitions have not been presented as the financial impact to the Company’s Unaudited Condensed Consolidated Financial Statements is not material.</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 Including Cash, Cash Equivalents and Investments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present, for each of the fair value levels, the Company’s assets that are measured at fair value on a recurring basis at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and at December 31, 2018:</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jc w:val="right"/>
              <w:ind w:right="721"/>
              <w:spacing w:after="0"/>
              <w:rPr>
                <w:sz w:val="20"/>
                <w:szCs w:val="20"/>
                <w:color w:val="auto"/>
              </w:rPr>
            </w:pPr>
            <w:r>
              <w:rPr>
                <w:rFonts w:ascii="Arial" w:cs="Arial" w:eastAsia="Arial" w:hAnsi="Arial"/>
                <w:sz w:val="14"/>
                <w:szCs w:val="14"/>
                <w:b w:val="1"/>
                <w:bCs w:val="1"/>
                <w:color w:val="auto"/>
              </w:rPr>
              <w:t>At June 30, 2019</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10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1200" w:type="dxa"/>
            <w:vAlign w:val="bottom"/>
            <w:vMerge w:val="restart"/>
          </w:tcPr>
          <w:p>
            <w:pPr>
              <w:jc w:val="center"/>
              <w:ind w:left="101"/>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(Level 1 Inputs)</w:t>
            </w:r>
          </w:p>
        </w:tc>
        <w:tc>
          <w:tcPr>
            <w:tcW w:w="10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(Level 2 Inputs)</w:t>
            </w:r>
          </w:p>
        </w:tc>
        <w:tc>
          <w:tcPr>
            <w:tcW w:w="120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(Level 3 Inputs)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6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5,037</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21"/>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119,327</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ind w:right="102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561"/>
              <w:spacing w:after="0"/>
              <w:rPr>
                <w:sz w:val="20"/>
                <w:szCs w:val="20"/>
                <w:color w:val="auto"/>
              </w:rPr>
            </w:pPr>
            <w:r>
              <w:rPr>
                <w:rFonts w:ascii="Arial" w:cs="Arial" w:eastAsia="Arial" w:hAnsi="Arial"/>
                <w:sz w:val="14"/>
                <w:szCs w:val="14"/>
                <w:b w:val="1"/>
                <w:bCs w:val="1"/>
                <w:color w:val="auto"/>
              </w:rPr>
              <w:t>At December 31, 2018</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4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10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1200" w:type="dxa"/>
            <w:vAlign w:val="bottom"/>
            <w:vMerge w:val="restart"/>
          </w:tcPr>
          <w:p>
            <w:pPr>
              <w:jc w:val="center"/>
              <w:ind w:left="101"/>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(Level 1 Inputs)</w:t>
            </w:r>
          </w:p>
        </w:tc>
        <w:tc>
          <w:tcPr>
            <w:tcW w:w="10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(Level 2 Inputs)</w:t>
            </w:r>
          </w:p>
        </w:tc>
        <w:tc>
          <w:tcPr>
            <w:tcW w:w="120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(Level 3 Inputs)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6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21"/>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122,800</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ind w:right="102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Certificates of deposit at June 30, 2019 and December 31, 2018 had maturity dates of one year or less.</w:t>
      </w:r>
    </w:p>
    <w:p>
      <w:pPr>
        <w:spacing w:after="0" w:line="26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Company measures eligible assets and liabilities at fair value with changes in value recognized in earnings. There were no liabilities that were measured at fair value as of June 30, 2019 and December 31, 2018. Fair value treatment may be elected either upon initial recognition of an eligible asset or liability or, for an existing asset or liability, if an event triggers a new basis of accounting. The Company did not elect to remeasure any of its existing financial assets and did not elect the fair value option for any financial assets transacted during the six months ended June 30, 2019 or the year ended December 31, 2018.</w:t>
      </w:r>
    </w:p>
    <w:p>
      <w:pPr>
        <w:spacing w:after="0" w:line="18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Company considers all highly liquid investments with an original maturity of 90 days or less at the date of purchase to be cash equivalents. Investments not classified as cash equivalents with maturities one year or less from the balance sheet date are classified as short-term investments, while investments with maturities in excess of one year from the balance sheet date are classified as long-term investments. Management determines the appropriate classification of investments at the time of purchase and re-evaluates such determination at each balance sheet date.</w:t>
      </w:r>
    </w:p>
    <w:p>
      <w:pPr>
        <w:spacing w:after="0" w:line="17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Cash and cash equivalents primarily consist of cash on deposit with banks, and amounts held in interest-bearing money market accounts. Cash equivalents are carried at cost, which approximates their fair market value.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cash equivalents, and investments as of June 30, 2019 and December 31,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At June 30, 2019</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40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180" w:type="dxa"/>
            <w:vAlign w:val="bottom"/>
          </w:tcPr>
          <w:p>
            <w:pPr>
              <w:jc w:val="center"/>
              <w:ind w:right="139"/>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1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due in 90 days or less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27,842</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Certificates of deposit due in one year or less</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119,327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Total cash, cash equivalents, and investments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147,169</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center"/>
              <w:ind w:right="176"/>
              <w:spacing w:after="0"/>
              <w:rPr>
                <w:sz w:val="20"/>
                <w:szCs w:val="20"/>
                <w:color w:val="auto"/>
              </w:rPr>
            </w:pPr>
            <w:r>
              <w:rPr>
                <w:rFonts w:ascii="Arial" w:cs="Arial" w:eastAsia="Arial" w:hAnsi="Arial"/>
                <w:sz w:val="18"/>
                <w:szCs w:val="18"/>
                <w:color w:val="auto"/>
                <w:w w:val="89"/>
              </w:rPr>
              <w:t>12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4"/>
                <w:szCs w:val="14"/>
                <w:b w:val="1"/>
                <w:bCs w:val="1"/>
                <w:color w:val="auto"/>
              </w:rPr>
              <w:t>At December 31, 2018</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3"/>
          </w:tcPr>
          <w:p>
            <w:pPr>
              <w:jc w:val="right"/>
              <w:ind w:right="670"/>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tcPr>
          <w:p>
            <w:pPr>
              <w:jc w:val="right"/>
              <w:ind w:right="510"/>
              <w:spacing w:after="0" w:line="14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jc w:val="right"/>
              <w:ind w:right="67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and cash equivalents due in 90 days or less</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34,887</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34,887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Certificates of deposit due in one year or less</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Total cash, cash equivalents, and investments</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157,687</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7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8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consists of the following:</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rPr>
              <w:t>At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0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16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FF0FC"/>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4,208</w:t>
            </w:r>
          </w:p>
        </w:tc>
        <w:tc>
          <w:tcPr>
            <w:tcW w:w="80" w:type="dxa"/>
            <w:vAlign w:val="bottom"/>
            <w:tcBorders>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Capitalized software</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w w:val="98"/>
              </w:rPr>
              <w:t>Capitalized website development costs</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9,019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6,907</w:t>
            </w:r>
          </w:p>
        </w:tc>
        <w:tc>
          <w:tcPr>
            <w:tcW w:w="80" w:type="dxa"/>
            <w:vAlign w:val="bottom"/>
            <w:tcBorders>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19,490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10,821</w:t>
            </w:r>
          </w:p>
        </w:tc>
        <w:tc>
          <w:tcPr>
            <w:tcW w:w="80" w:type="dxa"/>
            <w:vAlign w:val="bottom"/>
            <w:tcBorders>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43,247</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(14,609)</w:t>
            </w:r>
          </w:p>
        </w:tc>
        <w:tc>
          <w:tcPr>
            <w:tcW w:w="12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ind w:left="17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28,638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Depreciation and amortization expense, excluding amortization of intangible assets, was $1,750, $1,220, $3,222 and $2,457 for the three months ended June 30, 2019 and 2018 and for the six months ended June 30, 2019 and 2018, respectively. The increase of $8,669 in leasehold improvements and the decrease of $8,971 in construction in progress at June 30, 2019 were primarily due to costs incurred to build out the Company’s new leased facility. The facility became occupied subsequent to December 31, 2018 at which time the assets ceased to be classified as construction in progress and became classified as leasehold improvement.</w:t>
      </w:r>
    </w:p>
    <w:p>
      <w:pPr>
        <w:spacing w:after="0" w:line="373" w:lineRule="exact"/>
        <w:rPr>
          <w:sz w:val="20"/>
          <w:szCs w:val="20"/>
          <w:color w:val="auto"/>
        </w:rPr>
      </w:pPr>
    </w:p>
    <w:p>
      <w:pPr>
        <w:ind w:left="520" w:right="8440" w:hanging="512"/>
        <w:spacing w:after="0" w:line="393" w:lineRule="auto"/>
        <w:tabs>
          <w:tab w:leader="none" w:pos="18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i w:val="1"/>
          <w:iCs w:val="1"/>
          <w:color w:val="auto"/>
        </w:rPr>
        <w:t>Goodwill</w:t>
      </w:r>
    </w:p>
    <w:p>
      <w:pPr>
        <w:spacing w:after="0" w:line="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value of goodwill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6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340" w:type="dxa"/>
            <w:vAlign w:val="bottom"/>
          </w:tcPr>
          <w:p>
            <w:pPr>
              <w:ind w:left="40"/>
              <w:spacing w:after="0"/>
              <w:rPr>
                <w:sz w:val="20"/>
                <w:szCs w:val="20"/>
                <w:color w:val="auto"/>
              </w:rPr>
            </w:pPr>
            <w:r>
              <w:rPr>
                <w:rFonts w:ascii="Arial" w:cs="Arial" w:eastAsia="Arial" w:hAnsi="Arial"/>
                <w:sz w:val="18"/>
                <w:szCs w:val="18"/>
                <w:color w:val="auto"/>
              </w:rPr>
              <w:t>Initial value of PistonHeads acquisition</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15,521</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340" w:type="dxa"/>
            <w:vAlign w:val="bottom"/>
          </w:tcPr>
          <w:p>
            <w:pPr>
              <w:ind w:left="40"/>
              <w:spacing w:after="0"/>
              <w:rPr>
                <w:sz w:val="20"/>
                <w:szCs w:val="20"/>
                <w:color w:val="auto"/>
              </w:rPr>
            </w:pPr>
            <w:r>
              <w:rPr>
                <w:rFonts w:ascii="Arial" w:cs="Arial" w:eastAsia="Arial" w:hAnsi="Arial"/>
                <w:sz w:val="18"/>
                <w:szCs w:val="18"/>
                <w:color w:val="auto"/>
              </w:rPr>
              <w:t xml:space="preserve">Purchase price adjustment </w:t>
            </w:r>
            <w:r>
              <w:rPr>
                <w:rFonts w:ascii="Arial" w:cs="Arial" w:eastAsia="Arial" w:hAnsi="Arial"/>
                <w:sz w:val="15"/>
                <w:szCs w:val="15"/>
                <w:color w:val="auto"/>
              </w:rPr>
              <w:t>(1)</w:t>
            </w:r>
          </w:p>
        </w:tc>
        <w:tc>
          <w:tcPr>
            <w:tcW w:w="4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(655)</w:t>
            </w:r>
          </w:p>
        </w:tc>
      </w:tr>
      <w:tr>
        <w:trPr>
          <w:trHeight w:val="223"/>
        </w:trPr>
        <w:tc>
          <w:tcPr>
            <w:tcW w:w="1720" w:type="dxa"/>
            <w:vAlign w:val="bottom"/>
          </w:tcPr>
          <w:p>
            <w:pPr>
              <w:spacing w:after="0"/>
              <w:rPr>
                <w:sz w:val="19"/>
                <w:szCs w:val="19"/>
                <w:color w:val="auto"/>
              </w:rPr>
            </w:pPr>
          </w:p>
        </w:tc>
        <w:tc>
          <w:tcPr>
            <w:tcW w:w="6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June 30, 2019</w:t>
            </w:r>
          </w:p>
        </w:tc>
        <w:tc>
          <w:tcPr>
            <w:tcW w:w="480" w:type="dxa"/>
            <w:vAlign w:val="bottom"/>
            <w:tcBorders>
              <w:top w:val="single" w:sz="8" w:color="auto"/>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6"/>
        </w:trPr>
        <w:tc>
          <w:tcPr>
            <w:tcW w:w="17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6"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purchase price adjustment corresponds to an adjustment for the deferred tax liability as the Company continues to refine income tax treatment.</w:t>
      </w:r>
    </w:p>
    <w:p>
      <w:pPr>
        <w:spacing w:after="0" w:line="266"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The Company did not have a goodwill balance prior to the closing of the PistonHeads acquisition on January 8, 2019. The Company tests goodwill for impairment at least annually or whenever events or changes in circumstances indicate that the carrying value may not be recoverable.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i w:val="1"/>
          <w:iCs w:val="1"/>
          <w:color w:val="auto"/>
        </w:rPr>
        <w:t>Other Intangible Assets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as of June 30, 2019 consist of the following:</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5"/>
              </w:rPr>
              <w:t>Accumulated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Useful Life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(years)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77"/>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Brand</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Customer relationships</w:t>
            </w: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did not have intangible assets prior to the closing of the PistonHeads acquisition on January 8, 2019. The Company recorded amortization expense related to intangible assets of $164 and $319 for the three and six months ended June 30, 2019, respectively.</w:t>
      </w:r>
    </w:p>
    <w:p>
      <w:pPr>
        <w:spacing w:after="0" w:line="211"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The estimated useful life of brand and customer relationships is 11 years and 3 years, respectively. The Company evaluates the useful lives of these assets on an annual basis and tests for impairment whenever events or changes in circumstances occur that could impact the recoverability of these assets.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Estimated amortization expense of intangible assets for future periods as of June 30, 2019,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Year Ending December 31,</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71"/>
        </w:trPr>
        <w:tc>
          <w:tcPr>
            <w:tcW w:w="648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6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2020</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2022</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 and thereafter</w:t>
            </w:r>
          </w:p>
        </w:tc>
        <w:tc>
          <w:tcPr>
            <w:tcW w:w="6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7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4,320</w:t>
            </w:r>
          </w:p>
        </w:tc>
        <w:tc>
          <w:tcPr>
            <w:tcW w:w="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Accrued expenses, accrued income taxes and other current liabilities</w:t>
            </w: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48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60" w:type="dxa"/>
            <w:vAlign w:val="bottom"/>
            <w:gridSpan w:val="4"/>
          </w:tcPr>
          <w:p>
            <w:pPr>
              <w:jc w:val="right"/>
              <w:ind w:right="10"/>
              <w:spacing w:after="0"/>
              <w:rPr>
                <w:sz w:val="20"/>
                <w:szCs w:val="20"/>
                <w:color w:val="auto"/>
              </w:rPr>
            </w:pPr>
            <w:r>
              <w:rPr>
                <w:rFonts w:ascii="Arial" w:cs="Arial" w:eastAsia="Arial" w:hAnsi="Arial"/>
                <w:sz w:val="18"/>
                <w:szCs w:val="18"/>
                <w:color w:val="auto"/>
                <w:w w:val="97"/>
              </w:rPr>
              <w:t>Accrued expenses, accrued income taxes and other current liabilities consist of the following:</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476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6,057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8,266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accrued expenses, accrued income taxes and other</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7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current liabilities</w:t>
            </w:r>
          </w:p>
        </w:tc>
        <w:tc>
          <w:tcPr>
            <w:tcW w:w="6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8,748</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10,388</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7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14,805</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18,654</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7"/>
          <w:szCs w:val="17"/>
          <w:color w:val="auto"/>
        </w:rPr>
        <w:t>As of June 30, 2019, there were no material changes in the Company’s contractual obligations and commitments from those disclosed in the 2018 Annual Report, other than those discussed in Note 2 as a result of the adoption of ASC 842. All of the Company’s property, equipment, and software have been purchased with cash with the exception of $2,650 of unpaid property and equipment costs and $101 related to finance lease obligations as of June 30, 2019. The Company has no material long-term purchase obligations outstanding with any vendors or third parties.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From time to time the Company may become involved in legal proceedings or be subject to claims arising in the ordinary course of its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Guarantees and Indemnification Obligations</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8"/>
          <w:szCs w:val="18"/>
          <w:color w:val="auto"/>
        </w:rPr>
        <w:t>In the ordinary course of business, the Company enters into agreements with its customers that include commercial provisions with respect to licensing, infringement, indemnification, and other common provisions. The Company does not, in the ordinary course, agree to indemnification obligations for the Company under its contracts with customers. Based on historical experience and information known at June 30, 2019 and December 31, 2018, the Company has not incurred any costs for guarantees or indemnities.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Total stock-based compensation expense was $8,943, $5,605, $16,629 and $9,423 for the three months ended June 30, 2019 and 2018 and for the six months ended June 30, 2019 and 2018, respectively. The following two tables show stock compensation expense by award type and where the stock compensation expense is recorded in the Company’s Unaudited Condensed Consolidated Income Statements:</w:t>
      </w:r>
    </w:p>
    <w:p>
      <w:pPr>
        <w:spacing w:after="0" w:line="17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FF0FC"/>
          </w:tcPr>
          <w:p>
            <w:pPr>
              <w:spacing w:after="0"/>
              <w:rPr>
                <w:sz w:val="19"/>
                <w:szCs w:val="19"/>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RSUs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8,899</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5,541</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16,534</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w:t>
            </w:r>
          </w:p>
        </w:tc>
        <w:tc>
          <w:tcPr>
            <w:tcW w:w="60" w:type="dxa"/>
            <w:vAlign w:val="bottom"/>
            <w:tcBorders>
              <w:bottom w:val="single" w:sz="8" w:color="CFF0FC"/>
            </w:tcBorders>
          </w:tcPr>
          <w:p>
            <w:pPr>
              <w:spacing w:after="0"/>
              <w:rPr>
                <w:sz w:val="19"/>
                <w:szCs w:val="19"/>
                <w:color w:val="auto"/>
              </w:rPr>
            </w:pPr>
          </w:p>
        </w:tc>
      </w:tr>
      <w:tr>
        <w:trPr>
          <w:trHeight w:val="223"/>
        </w:trPr>
        <w:tc>
          <w:tcPr>
            <w:tcW w:w="4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8,943</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5,605</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16,629</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6"/>
        </w:trPr>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6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4,872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2,546</w:t>
            </w:r>
          </w:p>
        </w:tc>
        <w:tc>
          <w:tcPr>
            <w:tcW w:w="60" w:type="dxa"/>
            <w:vAlign w:val="bottom"/>
          </w:tcPr>
          <w:p>
            <w:pPr>
              <w:spacing w:after="0"/>
              <w:rPr>
                <w:sz w:val="19"/>
                <w:szCs w:val="19"/>
                <w:color w:val="auto"/>
              </w:rPr>
            </w:pPr>
          </w:p>
        </w:tc>
      </w:tr>
      <w:tr>
        <w:trPr>
          <w:trHeight w:val="215"/>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7,180</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4,319</w:t>
            </w:r>
          </w:p>
        </w:tc>
        <w:tc>
          <w:tcPr>
            <w:tcW w:w="60" w:type="dxa"/>
            <w:vAlign w:val="bottom"/>
            <w:shd w:val="clear" w:color="auto" w:fill="CFF0FC"/>
          </w:tcPr>
          <w:p>
            <w:pPr>
              <w:spacing w:after="0"/>
              <w:rPr>
                <w:sz w:val="20"/>
                <w:szCs w:val="20"/>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60" w:type="dxa"/>
            <w:vAlign w:val="bottom"/>
            <w:tcBorders>
              <w:bottom w:val="single" w:sz="8" w:color="CFF0FC"/>
            </w:tcBorders>
          </w:tcPr>
          <w:p>
            <w:pPr>
              <w:spacing w:after="0"/>
              <w:rPr>
                <w:sz w:val="19"/>
                <w:szCs w:val="19"/>
                <w:color w:val="auto"/>
              </w:rPr>
            </w:pPr>
          </w:p>
        </w:tc>
      </w:tr>
      <w:tr>
        <w:trPr>
          <w:trHeight w:val="223"/>
        </w:trPr>
        <w:tc>
          <w:tcPr>
            <w:tcW w:w="4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8,943</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5,605</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16,629</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Excluded from stock-based compensation expense is $317 and $626 of capitalized website development and internal-use software costs for the three and six months ended June 30, 2019, respectively. Stock-based compensation expense related to capitalized website development costs was immaterial for the three months ended June 30, 2018 and $210 for the six months ended June 30, 2018.</w:t>
      </w:r>
    </w:p>
    <w:p>
      <w:pPr>
        <w:spacing w:after="0" w:line="20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During the three months ended June 30, 2019 and 2018 and six months ended June 30, 2019 and 2018, the Company withheld 122,137, 471,470, 224,171, and 471,470 shares of Class A common stock, respectively, to satisfy employee tax withholding requirements and option costs due to net share settlement. The shares withheld remain in the authorized, but unissued pool under the Company’s Omnibus Equity Compensation Plan and can be reissued by the Company. Total payments for the employees’ tax obligations to the taxing authorities and for option costs due to net share settlements were $4,637, $17,488, $8,591, and $17,488 for the three months ended June 30, 2019 and 2018 and for the six months ended June 30, 2019 and 2018, respectively, and are reflected as a financing activity within the Unaudited Condensed Consolidated Statements of Cash Flows.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7"/>
          <w:szCs w:val="17"/>
          <w:color w:val="auto"/>
        </w:rPr>
        <w:t>Net income per share for the three and six months ended June 30, 2019 and 2018 is computed by dividing net income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end reporting period plus the weighted-average of any additional shares issued and outstanding during the reporting period.</w:t>
      </w:r>
    </w:p>
    <w:p>
      <w:pPr>
        <w:spacing w:after="0" w:line="163" w:lineRule="exact"/>
        <w:rPr>
          <w:sz w:val="20"/>
          <w:szCs w:val="20"/>
          <w:color w:val="auto"/>
        </w:rPr>
      </w:pPr>
    </w:p>
    <w:p>
      <w:pPr>
        <w:jc w:val="both"/>
        <w:ind w:firstLine="518"/>
        <w:spacing w:after="0" w:line="218" w:lineRule="exact"/>
        <w:rPr>
          <w:sz w:val="20"/>
          <w:szCs w:val="20"/>
          <w:color w:val="auto"/>
        </w:rPr>
      </w:pPr>
      <w:r>
        <w:rPr>
          <w:rFonts w:ascii="Arial" w:cs="Arial" w:eastAsia="Arial" w:hAnsi="Arial"/>
          <w:sz w:val="17"/>
          <w:szCs w:val="17"/>
          <w:color w:val="auto"/>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is convertible into one share of Class A common stock at the option of the holder at any time or automatically upon certain events described in the Company’s amended and restated certificate of incorporation, including on either the death or voluntary termination of the Company’s Chief Executive Officer. The Company allocates undistributed earnings attributable to common stock between the common stock classes on a one</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one basis when computing net income per share. As a result, basic and diluted net income per share of Class A common stock and per share of Class B common stock are equivalent.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jc w:val="both"/>
        <w:ind w:firstLine="518"/>
        <w:spacing w:after="0" w:line="264" w:lineRule="auto"/>
        <w:rPr>
          <w:sz w:val="20"/>
          <w:szCs w:val="20"/>
          <w:color w:val="auto"/>
        </w:rPr>
      </w:pPr>
      <w:r>
        <w:rPr>
          <w:rFonts w:ascii="Arial" w:cs="Arial" w:eastAsia="Arial" w:hAnsi="Arial"/>
          <w:sz w:val="18"/>
          <w:szCs w:val="18"/>
          <w:color w:val="auto"/>
        </w:rPr>
        <w:t>During the three and six months ended June 30, 2019, no holders of Class B common stock converted shares of Class B common stock to Class A common stock. During the three and six months ended June 30, 2018, holders of Class B common stock converted 7,534,710 shares of Class B common stock to Class A common stock.</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Diluted net income per share gives effect to all potentially dilutive securities. Potential dilutive securities for the three and six months ended June 30, 2019 and 2018 consist of shares of common stock issuable upon the exercise of stock options and shares of common stock issuable upon the vesting of restricted stock units (“RSUs”). The dilutive effect of these common stock equivalents is reflected in diluted earnings per share by application of the treasury stock method.</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For the three and six months ended June 30, 2019 and 2018, diluted net income per share was calculated by dividing net income by the weighted-average number of shares of common stock outstanding during the period plus the dilutive impact of stock options and shares of common stock issuable upon the vesting of RSUs.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following table presents a reconciliation of the numerator and denominator used in the calculation of basic and diluted net income per share: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520" w:type="dxa"/>
            <w:vAlign w:val="bottom"/>
            <w:gridSpan w:val="6"/>
          </w:tcPr>
          <w:p>
            <w:pPr>
              <w:ind w:lef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8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6,007</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33,343</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18,591</w:t>
            </w:r>
          </w:p>
        </w:tc>
        <w:tc>
          <w:tcPr>
            <w:tcW w:w="24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38,838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tcPr>
          <w:p>
            <w:pPr>
              <w:spacing w:after="0"/>
              <w:rPr>
                <w:sz w:val="20"/>
                <w:szCs w:val="20"/>
                <w:color w:val="auto"/>
              </w:rPr>
            </w:pPr>
            <w:r>
              <w:rPr>
                <w:rFonts w:ascii="Arial" w:cs="Arial" w:eastAsia="Arial" w:hAnsi="Arial"/>
                <w:sz w:val="18"/>
                <w:szCs w:val="18"/>
                <w:color w:val="auto"/>
              </w:rPr>
              <w:t>Weighted-average number of shares of common stock used in</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40"/>
              <w:spacing w:after="0"/>
              <w:rPr>
                <w:sz w:val="20"/>
                <w:szCs w:val="20"/>
                <w:color w:val="auto"/>
              </w:rPr>
            </w:pPr>
            <w:r>
              <w:rPr>
                <w:rFonts w:ascii="Arial" w:cs="Arial" w:eastAsia="Arial" w:hAnsi="Arial"/>
                <w:sz w:val="18"/>
                <w:szCs w:val="18"/>
                <w:color w:val="auto"/>
              </w:rPr>
              <w:t>computing net income per share attributable to common</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stockholders — basic</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111,299,345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108,500,802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111,051,070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107,726,105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Dilutive effect of share equivalents resulting from stock options</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1,195,429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3,159,031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1,322,752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3,965,593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tcPr>
          <w:p>
            <w:pPr>
              <w:ind w:left="260"/>
              <w:spacing w:after="0"/>
              <w:rPr>
                <w:sz w:val="20"/>
                <w:szCs w:val="20"/>
                <w:color w:val="auto"/>
              </w:rPr>
            </w:pPr>
            <w:r>
              <w:rPr>
                <w:rFonts w:ascii="Arial" w:cs="Arial" w:eastAsia="Arial" w:hAnsi="Arial"/>
                <w:sz w:val="18"/>
                <w:szCs w:val="18"/>
                <w:color w:val="auto"/>
              </w:rPr>
              <w:t>Dilutive effect of share equivalents resulting from unvested</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restricted stock units</w:t>
            </w:r>
          </w:p>
        </w:tc>
        <w:tc>
          <w:tcPr>
            <w:tcW w:w="5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893,735</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1,421,376</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1,024,971</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1,523,866</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Weighted-average number of shares of common stock used in</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computing net income per share — diluted</w:t>
            </w:r>
          </w:p>
        </w:tc>
        <w:tc>
          <w:tcPr>
            <w:tcW w:w="5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113,388,509</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113,081,209</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113,398,793</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113,215,564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Net income per share attributable to common stockholders: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Diluted</w:t>
            </w:r>
          </w:p>
        </w:tc>
        <w:tc>
          <w:tcPr>
            <w:tcW w:w="5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following potentially dilutive common stock equivalents have been excluded from the calculation of diluted weighted-average shares outstanding for the three and six months ended June 30, 2019 and 2018, as their effect would have been anti-dilutive for the period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8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27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590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804"/>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80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90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ind w:left="44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ind w:left="42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outstanding</w:t>
            </w:r>
          </w:p>
        </w:tc>
        <w:tc>
          <w:tcPr>
            <w:tcW w:w="1180" w:type="dxa"/>
            <w:vAlign w:val="bottom"/>
            <w:shd w:val="clear" w:color="auto" w:fill="CFF0FC"/>
          </w:tcPr>
          <w:p>
            <w:pPr>
              <w:ind w:left="440"/>
              <w:spacing w:after="0"/>
              <w:rPr>
                <w:sz w:val="20"/>
                <w:szCs w:val="20"/>
                <w:color w:val="auto"/>
              </w:rPr>
            </w:pPr>
            <w:r>
              <w:rPr>
                <w:rFonts w:ascii="Arial" w:cs="Arial" w:eastAsia="Arial" w:hAnsi="Arial"/>
                <w:sz w:val="18"/>
                <w:szCs w:val="18"/>
                <w:color w:val="auto"/>
                <w:w w:val="89"/>
              </w:rPr>
              <w:t>1,293,969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160,900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ind w:left="420"/>
              <w:spacing w:after="0"/>
              <w:rPr>
                <w:sz w:val="20"/>
                <w:szCs w:val="20"/>
                <w:color w:val="auto"/>
              </w:rPr>
            </w:pPr>
            <w:r>
              <w:rPr>
                <w:rFonts w:ascii="Arial" w:cs="Arial" w:eastAsia="Arial" w:hAnsi="Arial"/>
                <w:sz w:val="18"/>
                <w:szCs w:val="18"/>
                <w:color w:val="auto"/>
                <w:w w:val="89"/>
              </w:rPr>
              <w:t>1,076,193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80,450</w:t>
            </w:r>
          </w:p>
        </w:tc>
        <w:tc>
          <w:tcPr>
            <w:tcW w:w="120" w:type="dxa"/>
            <w:vAlign w:val="bottom"/>
            <w:shd w:val="clear" w:color="auto" w:fill="CFF0FC"/>
          </w:tcPr>
          <w:p>
            <w:pPr>
              <w:spacing w:after="0"/>
              <w:rPr>
                <w:sz w:val="19"/>
                <w:szCs w:val="19"/>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35"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During the six months ended June 30, 2019, the Company recorded an income tax benefit of $5,113, representing an effective tax rate of (37.9)%. The effective tax rate for the six months ended June 30, 2019 was lower than the statutory tax rate of 21% principally due to excess stock deductions from the taxable compensation of share-based awards and federal and state research and development tax credits, partially offset by state and local income taxes.</w:t>
      </w:r>
    </w:p>
    <w:p>
      <w:pPr>
        <w:spacing w:after="0" w:line="174"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During the six months ended June 30, 2018, the Company recorded an income tax benefit of $27,441, representing an effective tax rate of (240.8)%. The effective tax rate for the six months ended June 30, 2018 was lower than the statutory tax rate of 21% principally due to excess stock deductions from the taxable compensation of share-based awards and federal and state research and development tax credits, partially offset by state and local income taxes.</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2018, the Internal Revenue Service commenced a federal income tax audit with respect to the Company’s 2016 tax year. In 2019, the Internal Revenue Service commenced a federal employment tax audit with respect to the 2016, 2017 and 2018 calendar years.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Segment and Geographic Information</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Company has two reportable segments, United States and International. Segment information is presented in the same manner as the Company’s chief operating decision maker (the “CODM”) reviews the Company’s operating results in assessing performance and allocating resources. The CODM reviews revenue and operating income (loss) for each reportable segment as a proxy for the operating performance of the Company’s United States and International operations. The Company’s Chief Executive Officer is the CODM on behalf of both reportable segments.</w:t>
      </w:r>
    </w:p>
    <w:p>
      <w:pPr>
        <w:spacing w:after="0" w:line="171"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United States segment derives revenues from marketplace subscriptions, advertising services, and other revenues from customers within the United States. The International segment derives revenues from marketplace subscriptions, advertising services, and other revenues from customers outside of the United States. A majority of the Company’s operational overhead expenses, including technology and personnel costs, and other general and administrative costs associated with running the Company’s business, are incurred in the United States and not allocated to the International segment. Assets and costs discretely incurred by reportable segments, including depreciation and amortization, are included in the calculation of reportable segment income (loss) from operations. Segment operating income (loss) does not reflect the transfer pricing adjustments related to the Company’s foreign subsidiaries, which are recorded for statutory reporting purposes. Asset information is assessed and reviewed on a global basis.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the Company’s operations by segment and geographical area is presented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left="479"/>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479"/>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10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revenue:</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137,010</w:t>
            </w:r>
          </w:p>
        </w:tc>
        <w:tc>
          <w:tcPr>
            <w:tcW w:w="120" w:type="dxa"/>
            <w:vAlign w:val="bottom"/>
          </w:tcPr>
          <w:p>
            <w:pPr>
              <w:spacing w:after="0"/>
              <w:rPr>
                <w:sz w:val="19"/>
                <w:szCs w:val="19"/>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106,371</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265,413</w:t>
            </w:r>
          </w:p>
        </w:tc>
        <w:tc>
          <w:tcPr>
            <w:tcW w:w="200" w:type="dxa"/>
            <w:vAlign w:val="bottom"/>
          </w:tcPr>
          <w:p>
            <w:pPr>
              <w:spacing w:after="0"/>
              <w:rPr>
                <w:sz w:val="19"/>
                <w:szCs w:val="19"/>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201,431</w:t>
            </w:r>
          </w:p>
        </w:tc>
        <w:tc>
          <w:tcPr>
            <w:tcW w:w="120" w:type="dxa"/>
            <w:vAlign w:val="bottom"/>
          </w:tcPr>
          <w:p>
            <w:pPr>
              <w:spacing w:after="0"/>
              <w:rPr>
                <w:sz w:val="19"/>
                <w:szCs w:val="19"/>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1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7,440</w:t>
            </w:r>
          </w:p>
        </w:tc>
        <w:tc>
          <w:tcPr>
            <w:tcW w:w="120" w:type="dxa"/>
            <w:vAlign w:val="bottom"/>
            <w:shd w:val="clear" w:color="auto" w:fill="CFF0FC"/>
          </w:tcPr>
          <w:p>
            <w:pPr>
              <w:spacing w:after="0"/>
              <w:rPr>
                <w:sz w:val="19"/>
                <w:szCs w:val="19"/>
                <w:color w:val="auto"/>
              </w:rPr>
            </w:pPr>
          </w:p>
        </w:tc>
      </w:tr>
      <w:tr>
        <w:trPr>
          <w:trHeight w:val="223"/>
        </w:trPr>
        <w:tc>
          <w:tcPr>
            <w:tcW w:w="41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280,301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208,871</w:t>
            </w:r>
          </w:p>
        </w:tc>
        <w:tc>
          <w:tcPr>
            <w:tcW w:w="12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6"/>
        </w:trPr>
        <w:tc>
          <w:tcPr>
            <w:tcW w:w="4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left="479"/>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479"/>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10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income (loss) from operations: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14,119</w:t>
            </w:r>
          </w:p>
        </w:tc>
        <w:tc>
          <w:tcPr>
            <w:tcW w:w="120" w:type="dxa"/>
            <w:vAlign w:val="bottom"/>
          </w:tcPr>
          <w:p>
            <w:pPr>
              <w:spacing w:after="0"/>
              <w:rPr>
                <w:sz w:val="19"/>
                <w:szCs w:val="19"/>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11,995</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31,500</w:t>
            </w:r>
          </w:p>
        </w:tc>
        <w:tc>
          <w:tcPr>
            <w:tcW w:w="200" w:type="dxa"/>
            <w:vAlign w:val="bottom"/>
          </w:tcPr>
          <w:p>
            <w:pPr>
              <w:spacing w:after="0"/>
              <w:rPr>
                <w:sz w:val="19"/>
                <w:szCs w:val="19"/>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25,928</w:t>
            </w:r>
          </w:p>
        </w:tc>
        <w:tc>
          <w:tcPr>
            <w:tcW w:w="120" w:type="dxa"/>
            <w:vAlign w:val="bottom"/>
          </w:tcPr>
          <w:p>
            <w:pPr>
              <w:spacing w:after="0"/>
              <w:rPr>
                <w:sz w:val="19"/>
                <w:szCs w:val="19"/>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(10,571)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(8,042)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(20,517)</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(15,516)</w:t>
            </w:r>
          </w:p>
        </w:tc>
      </w:tr>
      <w:tr>
        <w:trPr>
          <w:trHeight w:val="223"/>
        </w:trPr>
        <w:tc>
          <w:tcPr>
            <w:tcW w:w="4100" w:type="dxa"/>
            <w:vAlign w:val="bottom"/>
          </w:tcPr>
          <w:p>
            <w:pPr>
              <w:ind w:left="500"/>
              <w:spacing w:after="0"/>
              <w:rPr>
                <w:sz w:val="20"/>
                <w:szCs w:val="20"/>
                <w:color w:val="auto"/>
              </w:rPr>
            </w:pPr>
            <w:r>
              <w:rPr>
                <w:rFonts w:ascii="Arial" w:cs="Arial" w:eastAsia="Arial" w:hAnsi="Arial"/>
                <w:sz w:val="18"/>
                <w:szCs w:val="18"/>
                <w:color w:val="auto"/>
              </w:rPr>
              <w:t>Total income from operations</w:t>
            </w:r>
          </w:p>
        </w:tc>
        <w:tc>
          <w:tcPr>
            <w:tcW w:w="1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10,412</w:t>
            </w:r>
          </w:p>
        </w:tc>
        <w:tc>
          <w:tcPr>
            <w:tcW w:w="12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of June 30, 2019, total assets held outside of the United States was $28.8 million, primarily attributable to $15.4 million of goodwill and $4.3 million of intangible assets. As of December 31, 2018, total assets held outside the United States was not material.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the related notes thereto, appearing elsewhere in this Quarterly Report on Form 10-Q, or Quarterly Report, and our consolidated financial statements and the related notes and other financial information included in our Annual Report on Form 10-K for the year ended December 31, 2018, filed with the Securities and Exchange Commission, or SEC, on February 28, 2019, or our 2018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You should review the “Risk Factors” section of this Quarterly Report for a discussion of important factors that could cause actual results to differ materially from the results described in or implied by the forward-looking statements contained in the following discussion and analysis. 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United States generally accepted accounting principles, or GAAP.</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ind w:firstLine="518"/>
        <w:spacing w:after="0" w:line="219" w:lineRule="exact"/>
        <w:rPr>
          <w:sz w:val="20"/>
          <w:szCs w:val="20"/>
          <w:color w:val="auto"/>
        </w:rPr>
      </w:pPr>
      <w:r>
        <w:rPr>
          <w:rFonts w:ascii="Arial" w:cs="Arial" w:eastAsia="Arial" w:hAnsi="Arial"/>
          <w:sz w:val="18"/>
          <w:szCs w:val="18"/>
          <w:color w:val="auto"/>
        </w:rPr>
        <w:t>CarGurus is a global, online automotive marketplace connecting buyers and sellers of new and used cars. Using proprietary technology, search algorithms, and innovative data analytics, we provide information and analysis that create a differentiated automotive search experience for consumers. Our trusted marketplace empowers users with unbiased third</w:t>
      </w:r>
      <w:r>
        <w:rPr>
          <w:rFonts w:ascii="MS PGothic" w:cs="MS PGothic" w:eastAsia="MS PGothic" w:hAnsi="MS PGothic"/>
          <w:sz w:val="18"/>
          <w:szCs w:val="18"/>
          <w:color w:val="auto"/>
        </w:rPr>
        <w:t>‑</w:t>
      </w:r>
      <w:r>
        <w:rPr>
          <w:rFonts w:ascii="Arial" w:cs="Arial" w:eastAsia="Arial" w:hAnsi="Arial"/>
          <w:sz w:val="18"/>
          <w:szCs w:val="18"/>
          <w:color w:val="auto"/>
        </w:rPr>
        <w:t>party validation on pricing and dealer reputation as well as other information that aids them in finding “Great Deals from Top-Rated Dealers.” In addition to the United States, we operate online marketplaces in Canada, the United Kingdom, Germany, Italy, and Spain.</w:t>
      </w:r>
    </w:p>
    <w:p>
      <w:pPr>
        <w:spacing w:after="0" w:line="206"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generate marketplace subscription revenue from dealers through Listing and Dealer Display subscriptions, and advertising revenue from automobile manufacturers and other auto-related brand advertisers. We generated revenue of $145.0 million in the three months ended June 30, 2019, a 31% increase from $110.3 million of revenue in the three months ended June 30, 2018. Our revenue for the six months ended June 30, 2019 was $280.3 million, a 34% increase from $208.9 million of revenue in the six months ended June 30, 2018.</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For the three months ended June 30, 2019, we generated net income of $6.0 million and our Adjusted EBITDA was $14.4 million, compared to net income of $33.3 million and Adjusted EBITDA of $10.8 million for the three months ended June 30, 2018. For the six months ended June 30, 2019, we generated net income of $18.6 million and our Adjusted EBITDA was $31.2 million, compared to net income of $38.8 million and Adjusted EBITDA of $22.3 million for the six months ended June 30, 2018. See “Adjusted EBITDA” below for more information regarding our use of Adjusted EBITDA, a non-GAAP financial measure, and a reconciliation of Adjusted EBITDA to net income.</w:t>
      </w:r>
    </w:p>
    <w:p>
      <w:pPr>
        <w:spacing w:after="0" w:line="18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have two reportable segments, United States and International, as further discussed in Note 12 of our Unaudited Condensed Consolidated Financial Statements included elsewhere in this Quarterly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segments. The International segment derives revenues from marketplace subscriptions, advertising services, and other revenues from customers outside of the United States. International markets perform differently from the United States market due to a variety of factors, including our operating history in the market, our rate of investment, market size, market maturity, and other dynamics unique to each country.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Monthly Unique Users</w:t>
      </w:r>
    </w:p>
    <w:p>
      <w:pPr>
        <w:spacing w:after="0" w:line="13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For each of our websites, we define a monthly unique user as an individual who has visited such website within a calendar month, based on data as measured by Google Analytics. We calculate average monthly unique users as the sum of the monthly unique users in a given period, divided by the number of months in that period. We count a unique user the first time a computer or mobile device with a unique device identifier accesses one of our websites during a calendar month. If an individual accesses a website using a different device within a given month, the first access by each such device is counted as a separate unique user. We view our average monthly unique users as a key indicator of the quality of our user experience, the effectiveness of our advertising and traffic acquisition, and the strength of our brand awareness. Measuring unique users is important to us because our marketplace subscription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spacing w:after="0" w:line="17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Unique Users</w:t>
            </w:r>
          </w:p>
        </w:tc>
        <w:tc>
          <w:tcPr>
            <w:tcW w:w="1800" w:type="dxa"/>
            <w:vAlign w:val="bottom"/>
            <w:tcBorders>
              <w:bottom w:val="single" w:sz="8" w:color="auto"/>
            </w:tcBorders>
            <w:gridSpan w:val="3"/>
          </w:tcPr>
          <w:p>
            <w:pPr>
              <w:jc w:val="center"/>
              <w:ind w:left="680"/>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60" w:type="dxa"/>
            <w:vAlign w:val="bottom"/>
            <w:gridSpan w:val="2"/>
            <w:vMerge w:val="continue"/>
          </w:tcPr>
          <w:p>
            <w:pPr>
              <w:spacing w:after="0"/>
              <w:rPr>
                <w:sz w:val="13"/>
                <w:szCs w:val="13"/>
                <w:color w:val="auto"/>
              </w:rPr>
            </w:pPr>
          </w:p>
        </w:tc>
        <w:tc>
          <w:tcPr>
            <w:tcW w:w="1080" w:type="dxa"/>
            <w:vAlign w:val="bottom"/>
          </w:tcPr>
          <w:p>
            <w:pPr>
              <w:jc w:val="right"/>
              <w:ind w:right="320"/>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Borders>
              <w:top w:val="single" w:sz="8" w:color="auto"/>
            </w:tcBorders>
            <w:gridSpan w:val="3"/>
          </w:tcPr>
          <w:p>
            <w:pPr>
              <w:jc w:val="center"/>
              <w:ind w:left="68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36,861</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9,750 </w:t>
            </w:r>
            <w:r>
              <w:rPr>
                <w:rFonts w:ascii="Arial" w:cs="Arial" w:eastAsia="Arial" w:hAnsi="Arial"/>
                <w:sz w:val="15"/>
                <w:szCs w:val="15"/>
                <w:color w:val="auto"/>
              </w:rPr>
              <w:t>(1)</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46,611</w:t>
            </w:r>
          </w:p>
        </w:tc>
        <w:tc>
          <w:tcPr>
            <w:tcW w:w="4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39,530</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090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760"/>
        <w:spacing w:after="0"/>
        <w:tabs>
          <w:tab w:leader="none" w:pos="11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users from the PistonHeads website.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Sessions</w:t>
      </w:r>
    </w:p>
    <w:p>
      <w:pPr>
        <w:spacing w:after="0" w:line="11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define monthly sessions as the number of distinct visits to our websites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computer or mobile device and ending at the earliest of when a user closes their browser window, after 30 minutes of inactivity, or each night at midnight (i) Eastern Time for our United States and Canada websites, (ii) Greenwich Mean Time for our UK websites and (iii) Central European Time (or Central European Summer Time when daylight savings is observed) for our Germany, Italy and Spain websites, as applicable. A session can be made up of multiple page views and visitor actions, such as performing a search, visiting vehicle detail pages, and connecting with a dealer. We believe the volume of sessions in a time period, when considered in conjunction with the number of unique users in that time period, is an indicator of consumer satisfaction and engagement with our marketplace.</w:t>
      </w:r>
    </w:p>
    <w:p>
      <w:pPr>
        <w:spacing w:after="0" w:line="17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Sessions</w:t>
            </w:r>
          </w:p>
        </w:tc>
        <w:tc>
          <w:tcPr>
            <w:tcW w:w="1780" w:type="dxa"/>
            <w:vAlign w:val="bottom"/>
            <w:tcBorders>
              <w:bottom w:val="single" w:sz="8" w:color="auto"/>
            </w:tcBorders>
            <w:gridSpan w:val="3"/>
          </w:tcPr>
          <w:p>
            <w:pPr>
              <w:jc w:val="center"/>
              <w:ind w:left="680"/>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60" w:type="dxa"/>
            <w:vAlign w:val="bottom"/>
            <w:gridSpan w:val="2"/>
            <w:vMerge w:val="continue"/>
          </w:tcPr>
          <w:p>
            <w:pPr>
              <w:spacing w:after="0"/>
              <w:rPr>
                <w:sz w:val="13"/>
                <w:szCs w:val="13"/>
                <w:color w:val="auto"/>
              </w:rPr>
            </w:pPr>
          </w:p>
        </w:tc>
        <w:tc>
          <w:tcPr>
            <w:tcW w:w="1060" w:type="dxa"/>
            <w:vAlign w:val="bottom"/>
          </w:tcPr>
          <w:p>
            <w:pPr>
              <w:jc w:val="right"/>
              <w:ind w:right="320"/>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tcBorders>
              <w:top w:val="single" w:sz="8" w:color="auto"/>
            </w:tcBorders>
            <w:gridSpan w:val="3"/>
          </w:tcPr>
          <w:p>
            <w:pPr>
              <w:jc w:val="center"/>
              <w:ind w:left="6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101,420</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93,324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24,055 </w:t>
            </w:r>
            <w:r>
              <w:rPr>
                <w:rFonts w:ascii="Arial" w:cs="Arial" w:eastAsia="Arial" w:hAnsi="Arial"/>
                <w:sz w:val="15"/>
                <w:szCs w:val="15"/>
                <w:color w:val="auto"/>
              </w:rPr>
              <w:t>(1)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125,475</w:t>
            </w:r>
          </w:p>
        </w:tc>
        <w:tc>
          <w:tcPr>
            <w:tcW w:w="4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101,302</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760"/>
        <w:spacing w:after="0"/>
        <w:tabs>
          <w:tab w:leader="none" w:pos="11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sessions from the PistonHeads website.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Paying Dealers</w:t>
      </w:r>
    </w:p>
    <w:p>
      <w:pPr>
        <w:spacing w:after="0" w:line="11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A paying dealer is a dealer, based on a distinct associated inventory feed, that subscribes to one of our paid listing or display products at the end of a defined period. We believe that the number of paying dealers is indicative of the value proposition of our marketplace products, and our sales and marketing success, including our ability to retain paying dealers and develop new dealer relationships.</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of Paying Dealers</w:t>
            </w:r>
          </w:p>
        </w:tc>
        <w:tc>
          <w:tcPr>
            <w:tcW w:w="178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At June 30,</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20" w:type="dxa"/>
            <w:vAlign w:val="bottom"/>
            <w:gridSpan w:val="2"/>
            <w:vMerge w:val="continue"/>
          </w:tcPr>
          <w:p>
            <w:pPr>
              <w:spacing w:after="0"/>
              <w:rPr>
                <w:sz w:val="13"/>
                <w:szCs w:val="13"/>
                <w:color w:val="auto"/>
              </w:rPr>
            </w:pPr>
          </w:p>
        </w:tc>
        <w:tc>
          <w:tcPr>
            <w:tcW w:w="108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28,431</w:t>
            </w:r>
          </w:p>
        </w:tc>
        <w:tc>
          <w:tcPr>
            <w:tcW w:w="4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26,871</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5,836</w:t>
            </w:r>
          </w:p>
        </w:tc>
        <w:tc>
          <w:tcPr>
            <w:tcW w:w="460" w:type="dxa"/>
            <w:vAlign w:val="bottom"/>
            <w:tcBorders>
              <w:bottom w:val="single" w:sz="8" w:color="CFF0FC"/>
            </w:tcBorders>
          </w:tcPr>
          <w:p>
            <w:pPr>
              <w:jc w:val="right"/>
              <w:ind w:right="143"/>
              <w:spacing w:after="0"/>
              <w:rPr>
                <w:sz w:val="20"/>
                <w:szCs w:val="20"/>
                <w:color w:val="auto"/>
              </w:rPr>
            </w:pPr>
            <w:r>
              <w:rPr>
                <w:rFonts w:ascii="Arial" w:cs="Arial" w:eastAsia="Arial" w:hAnsi="Arial"/>
                <w:sz w:val="15"/>
                <w:szCs w:val="15"/>
                <w:color w:val="auto"/>
              </w:rPr>
              <w:t>(1)</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34,267</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090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760"/>
        <w:spacing w:after="0"/>
        <w:tabs>
          <w:tab w:leader="none" w:pos="11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paying dealers from the PistonHeads website.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Average Annual Revenue per Subscribing Dealer (AARSD)</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measure the average annual revenue we receive from each paying dealer. We define AARSD, which is measured at the end of a defined period, as the total marketplace subscription revenue during the trailing 12 months divided by the average number of paying dealers during the same trailing 12-month period. We believe that our ability to grow AARSD is an indicator of the value proposition of our products and the return on investment, or ROI, our paying dealers realize from our products. Increases in AARSD, which we believe reflect the value of exposure to our engaged audience in relation to subscription cost, are driven by our ability to grow the volume of connections to our users and the quality of those connections, which result in increased opportunity to upsell package levels and cross-sell additional products to our paying dealers.</w:t>
      </w:r>
    </w:p>
    <w:p>
      <w:pPr>
        <w:spacing w:after="0" w:line="25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Annual Revenue per Subscribing Dealer (AARSD)</w:t>
            </w: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At June 30,</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16,188</w:t>
            </w:r>
          </w:p>
        </w:tc>
        <w:tc>
          <w:tcPr>
            <w:tcW w:w="4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13,130</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4,911</w:t>
            </w:r>
          </w:p>
        </w:tc>
        <w:tc>
          <w:tcPr>
            <w:tcW w:w="460" w:type="dxa"/>
            <w:vAlign w:val="bottom"/>
          </w:tcPr>
          <w:p>
            <w:pPr>
              <w:jc w:val="right"/>
              <w:ind w:right="143"/>
              <w:spacing w:after="0"/>
              <w:rPr>
                <w:sz w:val="20"/>
                <w:szCs w:val="20"/>
                <w:color w:val="auto"/>
              </w:rPr>
            </w:pPr>
            <w:r>
              <w:rPr>
                <w:rFonts w:ascii="Arial" w:cs="Arial" w:eastAsia="Arial" w:hAnsi="Arial"/>
                <w:sz w:val="15"/>
                <w:szCs w:val="15"/>
                <w:color w:val="auto"/>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14,715</w:t>
            </w:r>
          </w:p>
        </w:tc>
        <w:tc>
          <w:tcPr>
            <w:tcW w:w="46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rPr>
              <w:t>(1)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090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jc w:val="both"/>
        <w:ind w:left="1140" w:hanging="376"/>
        <w:spacing w:after="0" w:line="264"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AARSD from both the (i) PistonHeads website as it was acquired on January 8, 2019, and therefore, data for the trailing 12-month revenue calculation is not available and (ii) Italy website as it began earning marketplace subscription revenue during the three months ended June 30, 2019, and therefore, data for the trailing 12-month revenue calculation is not available.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ind w:firstLine="518"/>
        <w:spacing w:after="0" w:line="221" w:lineRule="exact"/>
        <w:rPr>
          <w:sz w:val="20"/>
          <w:szCs w:val="20"/>
          <w:color w:val="auto"/>
        </w:rPr>
      </w:pPr>
      <w:r>
        <w:rPr>
          <w:rFonts w:ascii="Arial" w:cs="Arial" w:eastAsia="Arial" w:hAnsi="Arial"/>
          <w:sz w:val="18"/>
          <w:szCs w:val="18"/>
          <w:color w:val="auto"/>
        </w:rPr>
        <w:t>To provide investors with additional information regarding our financial results, we monitor and have presented within this Quarterly Report, Adjusted EBITDA, which is a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This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is not based on any standardized methodology prescribed by GAAP and is not necessarily comparable to similarly titled measures presented by other companies.</w:t>
      </w:r>
    </w:p>
    <w:p>
      <w:pPr>
        <w:spacing w:after="0" w:line="202" w:lineRule="exact"/>
        <w:rPr>
          <w:sz w:val="20"/>
          <w:szCs w:val="20"/>
          <w:color w:val="auto"/>
        </w:rPr>
      </w:pPr>
    </w:p>
    <w:p>
      <w:pPr>
        <w:jc w:val="both"/>
        <w:ind w:firstLine="518"/>
        <w:spacing w:after="0" w:line="219" w:lineRule="exact"/>
        <w:rPr>
          <w:sz w:val="20"/>
          <w:szCs w:val="20"/>
          <w:color w:val="auto"/>
        </w:rPr>
      </w:pPr>
      <w:r>
        <w:rPr>
          <w:rFonts w:ascii="Arial" w:cs="Arial" w:eastAsia="Arial" w:hAnsi="Arial"/>
          <w:sz w:val="17"/>
          <w:szCs w:val="17"/>
          <w:color w:val="auto"/>
        </w:rPr>
        <w:t>We define Adjusted EBITDA as net income, adjusted to exclude: depreciation and amortization,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other income, net, the benefit from income taxes, and certain one</w:t>
      </w:r>
      <w:r>
        <w:rPr>
          <w:rFonts w:ascii="MS PGothic" w:cs="MS PGothic" w:eastAsia="MS PGothic" w:hAnsi="MS PGothic"/>
          <w:sz w:val="17"/>
          <w:szCs w:val="17"/>
          <w:color w:val="auto"/>
        </w:rPr>
        <w:t>‑</w:t>
      </w:r>
      <w:r>
        <w:rPr>
          <w:rFonts w:ascii="Arial" w:cs="Arial" w:eastAsia="Arial" w:hAnsi="Arial"/>
          <w:sz w:val="17"/>
          <w:szCs w:val="17"/>
          <w:color w:val="auto"/>
        </w:rPr>
        <w:t>time, non</w:t>
      </w:r>
      <w:r>
        <w:rPr>
          <w:rFonts w:ascii="MS PGothic" w:cs="MS PGothic" w:eastAsia="MS PGothic" w:hAnsi="MS PGothic"/>
          <w:sz w:val="17"/>
          <w:szCs w:val="17"/>
          <w:color w:val="auto"/>
        </w:rPr>
        <w:t>‑</w:t>
      </w:r>
      <w:r>
        <w:rPr>
          <w:rFonts w:ascii="Arial" w:cs="Arial" w:eastAsia="Arial" w:hAnsi="Arial"/>
          <w:sz w:val="17"/>
          <w:szCs w:val="17"/>
          <w:color w:val="auto"/>
        </w:rPr>
        <w:t>recurring items, if and when applicable. We have presented Adjusted EBITDA in this Quarterly Report because it is a key measure used by our management and board of directors to understand and evaluate our operating performance, generate future operating plans, and make strategic decisions regarding the allocation of capital. In particular, we believe that the exclusion of certain items in calculating Adjusted EBITDA can produce a useful measure for period</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period comparisons of our business.</w:t>
      </w:r>
    </w:p>
    <w:p>
      <w:pPr>
        <w:spacing w:after="0" w:line="205" w:lineRule="exact"/>
        <w:rPr>
          <w:sz w:val="20"/>
          <w:szCs w:val="20"/>
          <w:color w:val="auto"/>
        </w:rPr>
      </w:pPr>
    </w:p>
    <w:p>
      <w:pPr>
        <w:jc w:val="both"/>
        <w:ind w:firstLine="518"/>
        <w:spacing w:after="0" w:line="219" w:lineRule="exact"/>
        <w:rPr>
          <w:sz w:val="20"/>
          <w:szCs w:val="20"/>
          <w:color w:val="auto"/>
        </w:rPr>
      </w:pPr>
      <w:r>
        <w:rPr>
          <w:rFonts w:ascii="Arial" w:cs="Arial" w:eastAsia="Arial" w:hAnsi="Arial"/>
          <w:sz w:val="18"/>
          <w:szCs w:val="18"/>
          <w:color w:val="auto"/>
        </w:rPr>
        <w:t>We use Adjusted EBITDA to evaluate our operating performance and trends and make planning decisions. We believe Adjusted EBITDA helps identify underlying trends in our business that could otherwise be masked by the effect of the expenses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8"/>
          <w:szCs w:val="18"/>
          <w:color w:val="auto"/>
        </w:rPr>
        <w:t>‑</w:t>
      </w:r>
      <w:r>
        <w:rPr>
          <w:rFonts w:ascii="Arial" w:cs="Arial" w:eastAsia="Arial" w:hAnsi="Arial"/>
          <w:sz w:val="18"/>
          <w:szCs w:val="18"/>
          <w:color w:val="auto"/>
        </w:rPr>
        <w:t>making. In addition, we evaluate our Adjusted EBITDA in relation to our revenue. We refer to this as Adjusted EBITDA margin and define it as Adjusted EBITDA divided by total revenue.</w:t>
      </w:r>
    </w:p>
    <w:p>
      <w:pPr>
        <w:spacing w:after="0" w:line="20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Adjusted EBITDA is not prepared in accordance with GAAP, and should not be considered in isolation of, or as an alternative to, measures prepared in accordance with GAAP. There are a number of limitations related to the use of Adjusted EBITDA rather than net income, which is the most directly comparable GAAP equivalent. Some of these limitations are:</w:t>
      </w:r>
    </w:p>
    <w:p>
      <w:pPr>
        <w:spacing w:after="0" w:line="73" w:lineRule="exact"/>
        <w:rPr>
          <w:sz w:val="20"/>
          <w:szCs w:val="20"/>
          <w:color w:val="auto"/>
        </w:rPr>
      </w:pPr>
    </w:p>
    <w:p>
      <w:pPr>
        <w:ind w:left="900" w:hanging="379"/>
        <w:spacing w:after="0" w:line="223" w:lineRule="exact"/>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excludes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which will be, for the foreseeable future, a significant recurring expense for our business and an important part of our compensation strategy;</w:t>
      </w:r>
    </w:p>
    <w:p>
      <w:pPr>
        <w:spacing w:after="0" w:line="95" w:lineRule="exact"/>
        <w:rPr>
          <w:rFonts w:ascii="Arial" w:cs="Arial" w:eastAsia="Arial" w:hAnsi="Arial"/>
          <w:sz w:val="18"/>
          <w:szCs w:val="18"/>
          <w:color w:val="auto"/>
        </w:rPr>
      </w:pPr>
    </w:p>
    <w:p>
      <w:pPr>
        <w:ind w:left="900" w:hanging="379"/>
        <w:spacing w:after="0" w:line="223" w:lineRule="exact"/>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w:t>
      </w:r>
      <w:r>
        <w:rPr>
          <w:rFonts w:ascii="MS PGothic" w:cs="MS PGothic" w:eastAsia="MS PGothic" w:hAnsi="MS PGothic"/>
          <w:sz w:val="18"/>
          <w:szCs w:val="18"/>
          <w:color w:val="auto"/>
        </w:rPr>
        <w:t>‑</w:t>
      </w:r>
      <w:r>
        <w:rPr>
          <w:rFonts w:ascii="Arial" w:cs="Arial" w:eastAsia="Arial" w:hAnsi="Arial"/>
          <w:sz w:val="18"/>
          <w:szCs w:val="18"/>
          <w:color w:val="auto"/>
        </w:rPr>
        <w:t>cash expenses, the assets being depreciated may have to be replaced in the future;</w:t>
      </w:r>
    </w:p>
    <w:p>
      <w:pPr>
        <w:spacing w:after="0" w:line="95"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other income, net, which primarily includes interest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3" w:name="page24"/>
    <w:bookmarkEnd w:id="23"/>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does not reflect the benefit from income taxes; and</w:t>
      </w:r>
    </w:p>
    <w:p>
      <w:pPr>
        <w:spacing w:after="0" w:line="117" w:lineRule="exact"/>
        <w:rPr>
          <w:rFonts w:ascii="Arial" w:cs="Arial" w:eastAsia="Arial" w:hAnsi="Arial"/>
          <w:sz w:val="18"/>
          <w:szCs w:val="18"/>
          <w:color w:val="auto"/>
        </w:rPr>
      </w:pPr>
    </w:p>
    <w:p>
      <w:pPr>
        <w:ind w:left="900" w:right="20" w:hanging="379"/>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Because of these limitations, we consider, and you should consider, Adjusted EBITDA together with other operating and financial performance measures presented in accordance with GAAP.</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measure calculated in accordance with GAAP, for the periods presented.</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7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337"/>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2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6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2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9"/>
                <w:szCs w:val="19"/>
                <w:color w:val="auto"/>
              </w:rPr>
            </w:pPr>
          </w:p>
        </w:tc>
        <w:tc>
          <w:tcPr>
            <w:tcW w:w="17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18,591</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3,541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Other income, net</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2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(703)</w:t>
            </w: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(2,495)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(1,610)</w:t>
            </w: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8"/>
              </w:rPr>
              <w:t>(28,687)</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(5,113)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8"/>
              </w:rPr>
              <w:t>(27,441)</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Adjusted EBITDA</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14,405</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10,778</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31,153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Unaudited Condensed Consolidated Income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revenue is derived from two primary sources: (i) marketplace subscription revenue and (ii) advertising and other revenue, as described below.</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Subscription Revenue</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offer three types of marketplace Listing products to our dealers through the CarGurus websites: Basic Listing, which is free; and Enhanced or Featured Listing, which each require a paid subscription under a monthly, quarterly, semiannual, or annual subscription basis. Contractual subscriptions for customers generally auto-renew on a monthly basis and are cancellable by dealers with 30-days’ advance notice. We also offer Listing dealers on the CarGurus websites with access to our Dealer Dashboard, which includes a performance summary, Dealer Insights tool, user review management platform, Pricing Tool, and Market Analysis tool. The Pricing Tool and Market Analysis tool are available only to paying dealers.</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addition to listing inventory in the marketplace and providing access to the Dealer Dashboard, we offer Enhanced and Featured Listing dealers other subscription advertising and customer acquisition products, including display advertising that appears in our marketplace and on other sites on the internet. This advertising can be targeted by geography, search history, and a number of other factors, and dealer search engine marketing, which helps dealers more effectively acquire customers through paid search, social media, and retargeted advertising.</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paid listing and display products through the PistonHeads website.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Other Revenue</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Advertising and other revenue consists primarily of non-dealer display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 Advertising and other revenue also includes revenue from a partnership with a financial services company pursuant to which we enable eligible consumers on our United States website to pre-qualify for financing on cars from dealerships that already offer financing through such company.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Cost of revenue primarily consists of costs related to supporting and hosting our product offerings. These costs include salaries, benefits, incentive compensation, and stock-based compensation expense related to the customer support team and third-party service provider costs such as data center and networking expenses, allocated overhead, depreciation and amortization expense associated with our property and equipment, and amortization of capitalized website development and internal-use software costs. We allocate overhead costs, such as rent and facility costs, information technology costs, and employee benefit costs, to all departments based on headcount. As such, general overhead expenses are reflected in cost of revenue and each operating expense category. We expect these expenses to increase as we continue to scale our business and introduce new products.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Sales and marketing expenses consist primarily of personnel and related expenses for our sales and marketing staff, including salaries, benefits, incentive compensation, commissions, stock-based compensation, and travel costs; costs associated with consumer marketing, such as traffic acquisition, brand building, and public relations activities; costs associated with dealer marketing, such as content marketing, customer and promotional events, and industry events; and allocated overhead. We expect sales and marketing expenses to increase as we grow our audience and attempt to strengthen our brand awareness and, as informed by trends in our business and the competitive landscape of our market, fluctuate from quarter to quarter, which will impact our quarterly results of operations.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Product, Technology, and Development</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Product, technology, and development expenses, which include research and development costs, consist primarily of personnel costs of our development team, including payroll, benefits, stock-based compensation expense and allocated overhead costs. Other than website development and internal-use software costs as well as other costs that qualify for capitalization, research and development costs are expensed as incurred. We expect product, technology, and development expenses to increase as we develop new solutions and make improvements to our existing platform.</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General and administrative expenses consist of personnel costs and related expenses for executive, finance, legal, human resources, and administrative personnel, including salaries, benefits, incentive compensation, and stock-based compensation expenses, in addition to the costs associated with professional fees for external legal, accounting and other consulting services, insurance premiums, payment processing and billing costs, and allocated overhead costs. We expect general and administrative expenses to increase as we continue to incur the costs of compliance associated with being a publicly traded company, including legal, audit, and consulting fees.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Depreciation and amortization expenses consist of depreciation on property and equipment, which includes leasehold improvements, and amortization of capitalized website development and internal-use software costs as well as intangible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Other income, net consists primarily of interest income earned on our cash, cash equivalents, and investments, interest expense on lease obligations, and net foreign exchange gains and losses.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1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are subject to federal and state income taxes in the United States and taxes in foreign jurisdictions in which we operate. We have recognized a benefit from income taxes for the three months ended June 30, 2019 and 2018 as well as for the six months ended June 30, 2019 and 2018.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 Our valuation allowance against our net deferred tax assets as of June 30, 2019 was immaterial. We have not provided a valuation allowance against our net deferred tax assets at December 31, 2018.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table sets forth our selected consolidated statements of operations data for each of the periods indicated. The period-to-period comparison of financial results is not necessarily indicative of future results.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left="475"/>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475"/>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5"/>
          </w:tcPr>
          <w:p>
            <w:pPr>
              <w:jc w:val="center"/>
              <w:ind w:right="171"/>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5"/>
          </w:tcPr>
          <w:p>
            <w:pPr>
              <w:jc w:val="center"/>
              <w:ind w:right="151"/>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Marketplace subscription</w:t>
            </w:r>
          </w:p>
        </w:tc>
        <w:tc>
          <w:tcPr>
            <w:tcW w:w="1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129,096</w:t>
            </w:r>
          </w:p>
        </w:tc>
        <w:tc>
          <w:tcPr>
            <w:tcW w:w="100" w:type="dxa"/>
            <w:vAlign w:val="bottom"/>
          </w:tcPr>
          <w:p>
            <w:pPr>
              <w:spacing w:after="0"/>
              <w:rPr>
                <w:sz w:val="19"/>
                <w:szCs w:val="19"/>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97,725</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249,939</w:t>
            </w:r>
          </w:p>
        </w:tc>
        <w:tc>
          <w:tcPr>
            <w:tcW w:w="200" w:type="dxa"/>
            <w:vAlign w:val="bottom"/>
          </w:tcPr>
          <w:p>
            <w:pPr>
              <w:spacing w:after="0"/>
              <w:rPr>
                <w:sz w:val="19"/>
                <w:szCs w:val="19"/>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186,882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 and other</w:t>
            </w:r>
          </w:p>
        </w:tc>
        <w:tc>
          <w:tcPr>
            <w:tcW w:w="1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15,935</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21,989</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580"/>
              <w:spacing w:after="0"/>
              <w:rPr>
                <w:sz w:val="20"/>
                <w:szCs w:val="20"/>
                <w:color w:val="auto"/>
              </w:rPr>
            </w:pPr>
            <w:r>
              <w:rPr>
                <w:rFonts w:ascii="Arial" w:cs="Arial" w:eastAsia="Arial" w:hAnsi="Arial"/>
                <w:sz w:val="18"/>
                <w:szCs w:val="18"/>
                <w:color w:val="auto"/>
              </w:rPr>
              <w:t>Total revenue</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145,031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110,296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280,301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208,871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11,528</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580"/>
              <w:spacing w:after="0"/>
              <w:rPr>
                <w:sz w:val="20"/>
                <w:szCs w:val="20"/>
                <w:color w:val="auto"/>
              </w:rPr>
            </w:pPr>
            <w:r>
              <w:rPr>
                <w:rFonts w:ascii="Arial" w:cs="Arial" w:eastAsia="Arial" w:hAnsi="Arial"/>
                <w:sz w:val="18"/>
                <w:szCs w:val="18"/>
                <w:color w:val="auto"/>
              </w:rPr>
              <w:t>Gross profit</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136,403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104,337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263,953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197,343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101,789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78,395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193,105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147,240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technology, and development</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20,942</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17,412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580"/>
              <w:spacing w:after="0"/>
              <w:rPr>
                <w:sz w:val="20"/>
                <w:szCs w:val="20"/>
                <w:color w:val="auto"/>
              </w:rPr>
            </w:pPr>
            <w:r>
              <w:rPr>
                <w:rFonts w:ascii="Arial" w:cs="Arial" w:eastAsia="Arial" w:hAnsi="Arial"/>
                <w:sz w:val="18"/>
                <w:szCs w:val="18"/>
                <w:color w:val="auto"/>
              </w:rPr>
              <w:t>Total operating expenses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132,855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100,384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252,970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186,931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3,548</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10,412</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income, net:</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income, net</w:t>
            </w:r>
          </w:p>
        </w:tc>
        <w:tc>
          <w:tcPr>
            <w:tcW w:w="1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income, net</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13,478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11,397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(1,610)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(28,687)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(5,113)</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(27,441)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580"/>
              <w:spacing w:after="0"/>
              <w:rPr>
                <w:sz w:val="20"/>
                <w:szCs w:val="20"/>
                <w:color w:val="auto"/>
              </w:rPr>
            </w:pPr>
            <w:r>
              <w:rPr>
                <w:rFonts w:ascii="Arial" w:cs="Arial" w:eastAsia="Arial" w:hAnsi="Arial"/>
                <w:sz w:val="18"/>
                <w:szCs w:val="18"/>
                <w:color w:val="auto"/>
              </w:rPr>
              <w:t>Net income</w:t>
            </w:r>
          </w:p>
        </w:tc>
        <w:tc>
          <w:tcPr>
            <w:tcW w:w="1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38,838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left="475"/>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475"/>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5"/>
          </w:tcPr>
          <w:p>
            <w:pPr>
              <w:jc w:val="center"/>
              <w:ind w:right="171"/>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5"/>
          </w:tcPr>
          <w:p>
            <w:pPr>
              <w:jc w:val="center"/>
              <w:ind w:right="151"/>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137,010</w:t>
            </w:r>
          </w:p>
        </w:tc>
        <w:tc>
          <w:tcPr>
            <w:tcW w:w="1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106,371</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265,413</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201,431</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1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8,021</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14,888</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145,031</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110,296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280,301</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208,871</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Income (Loss) from Operations</w:t>
            </w: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14,119</w:t>
            </w:r>
          </w:p>
        </w:tc>
        <w:tc>
          <w:tcPr>
            <w:tcW w:w="1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31,500</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25,928</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International</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(10,571)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(8,042)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(20,517)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(15,516)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ind w:left="520"/>
        <w:spacing w:after="0"/>
        <w:rPr>
          <w:sz w:val="20"/>
          <w:szCs w:val="20"/>
          <w:color w:val="auto"/>
        </w:rPr>
      </w:pPr>
      <w:r>
        <w:rPr>
          <w:rFonts w:ascii="Arial" w:cs="Arial" w:eastAsia="Arial" w:hAnsi="Arial"/>
          <w:sz w:val="16"/>
          <w:szCs w:val="16"/>
          <w:color w:val="auto"/>
        </w:rPr>
        <w:t>The following table sets forth our selected consolidated statements of operations data as a percentage of revenue for each of the periods indicated.</w:t>
      </w:r>
    </w:p>
    <w:p>
      <w:pPr>
        <w:sectPr>
          <w:pgSz w:w="11900" w:h="16838" w:orient="portrait"/>
          <w:cols w:equalWidth="0" w:num="1">
            <w:col w:w="11420"/>
          </w:cols>
          <w:pgMar w:left="240" w:top="341" w:right="239" w:bottom="1440" w:gutter="0" w:footer="0" w:header="0"/>
        </w:sect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98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40" w:type="dxa"/>
            <w:vAlign w:val="bottom"/>
            <w:gridSpan w:val="2"/>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30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6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40" w:type="dxa"/>
            <w:vAlign w:val="bottom"/>
            <w:gridSpan w:val="2"/>
          </w:tcPr>
          <w:p>
            <w:pPr>
              <w:ind w:left="240"/>
              <w:spacing w:after="0"/>
              <w:rPr>
                <w:sz w:val="20"/>
                <w:szCs w:val="20"/>
                <w:color w:val="auto"/>
              </w:rPr>
            </w:pPr>
            <w:r>
              <w:rPr>
                <w:rFonts w:ascii="Arial" w:cs="Arial" w:eastAsia="Arial" w:hAnsi="Arial"/>
                <w:sz w:val="18"/>
                <w:szCs w:val="18"/>
                <w:color w:val="auto"/>
              </w:rPr>
              <w:t>Marketplace subscription</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6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 and other</w:t>
            </w:r>
          </w:p>
        </w:tc>
        <w:tc>
          <w:tcPr>
            <w:tcW w:w="6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ind w:left="580"/>
              <w:spacing w:after="0"/>
              <w:rPr>
                <w:sz w:val="20"/>
                <w:szCs w:val="20"/>
                <w:color w:val="auto"/>
              </w:rPr>
            </w:pPr>
            <w:r>
              <w:rPr>
                <w:rFonts w:ascii="Arial" w:cs="Arial" w:eastAsia="Arial" w:hAnsi="Arial"/>
                <w:sz w:val="18"/>
                <w:szCs w:val="18"/>
                <w:color w:val="auto"/>
              </w:rPr>
              <w:t>Total revenue</w:t>
            </w:r>
          </w:p>
        </w:tc>
        <w:tc>
          <w:tcPr>
            <w:tcW w:w="6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100%</w:t>
            </w:r>
          </w:p>
        </w:tc>
        <w:tc>
          <w:tcPr>
            <w:tcW w:w="6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ind w:left="580"/>
              <w:spacing w:after="0"/>
              <w:rPr>
                <w:sz w:val="20"/>
                <w:szCs w:val="20"/>
                <w:color w:val="auto"/>
              </w:rPr>
            </w:pPr>
            <w:r>
              <w:rPr>
                <w:rFonts w:ascii="Arial" w:cs="Arial" w:eastAsia="Arial" w:hAnsi="Arial"/>
                <w:sz w:val="18"/>
                <w:szCs w:val="18"/>
                <w:color w:val="auto"/>
              </w:rPr>
              <w:t>Gross profit</w:t>
            </w:r>
          </w:p>
        </w:tc>
        <w:tc>
          <w:tcPr>
            <w:tcW w:w="6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4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Product, technology, and development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4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ind w:left="580"/>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6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40" w:type="dxa"/>
            <w:vAlign w:val="bottom"/>
            <w:gridSpan w:val="2"/>
          </w:tcPr>
          <w:p>
            <w:pPr>
              <w:ind w:left="240"/>
              <w:spacing w:after="0"/>
              <w:rPr>
                <w:sz w:val="20"/>
                <w:szCs w:val="20"/>
                <w:color w:val="auto"/>
              </w:rPr>
            </w:pPr>
            <w:r>
              <w:rPr>
                <w:rFonts w:ascii="Arial" w:cs="Arial" w:eastAsia="Arial" w:hAnsi="Arial"/>
                <w:sz w:val="18"/>
                <w:szCs w:val="18"/>
                <w:color w:val="auto"/>
              </w:rPr>
              <w:t>Other income, net</w:t>
            </w:r>
          </w:p>
        </w:tc>
        <w:tc>
          <w:tcPr>
            <w:tcW w:w="32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net</w:t>
            </w: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ind w:left="580"/>
              <w:spacing w:after="0"/>
              <w:rPr>
                <w:sz w:val="20"/>
                <w:szCs w:val="20"/>
                <w:color w:val="auto"/>
              </w:rPr>
            </w:pPr>
            <w:r>
              <w:rPr>
                <w:rFonts w:ascii="Arial" w:cs="Arial" w:eastAsia="Arial" w:hAnsi="Arial"/>
                <w:sz w:val="18"/>
                <w:szCs w:val="18"/>
                <w:color w:val="auto"/>
              </w:rPr>
              <w:t>Income before income taxes</w:t>
            </w: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6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6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ind w:left="580"/>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98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40" w:type="dxa"/>
            <w:vAlign w:val="bottom"/>
            <w:gridSpan w:val="2"/>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30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6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94%</w:t>
            </w:r>
          </w:p>
        </w:tc>
        <w:tc>
          <w:tcPr>
            <w:tcW w:w="6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96%</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100%</w:t>
            </w:r>
          </w:p>
        </w:tc>
        <w:tc>
          <w:tcPr>
            <w:tcW w:w="6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100%</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tcPr>
          <w:p>
            <w:pPr>
              <w:ind w:left="580"/>
              <w:spacing w:after="0"/>
              <w:rPr>
                <w:sz w:val="20"/>
                <w:szCs w:val="20"/>
                <w:color w:val="auto"/>
              </w:rPr>
            </w:pPr>
            <w:r>
              <w:rPr>
                <w:rFonts w:ascii="Arial" w:cs="Arial" w:eastAsia="Arial" w:hAnsi="Arial"/>
                <w:sz w:val="18"/>
                <w:szCs w:val="18"/>
                <w:b w:val="1"/>
                <w:bCs w:val="1"/>
                <w:color w:val="auto"/>
              </w:rPr>
              <w:t>Income (Loss) from Operations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International</w:t>
            </w:r>
          </w:p>
        </w:tc>
        <w:tc>
          <w:tcPr>
            <w:tcW w:w="68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160" w:type="dxa"/>
            <w:vAlign w:val="bottom"/>
            <w:vMerge w:val="continue"/>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420" w:type="dxa"/>
            <w:vAlign w:val="bottom"/>
            <w:gridSpan w:val="3"/>
          </w:tcPr>
          <w:p>
            <w:pPr>
              <w:jc w:val="right"/>
              <w:ind w:right="548"/>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For the three months ended June 30,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Source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20" w:type="dxa"/>
            <w:vAlign w:val="bottom"/>
            <w:gridSpan w:val="7"/>
          </w:tcPr>
          <w:p>
            <w:pPr>
              <w:ind w:left="2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7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129,096</w:t>
            </w:r>
          </w:p>
        </w:tc>
        <w:tc>
          <w:tcPr>
            <w:tcW w:w="22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97,725</w:t>
            </w:r>
          </w:p>
        </w:tc>
        <w:tc>
          <w:tcPr>
            <w:tcW w:w="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31,371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32%</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89"/>
              </w:rPr>
              <w:t>27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145,031</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110,296</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34,735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10"/>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5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Overall revenue increased by $34.7 million, or 31%, in the three months ended June 30, 2019 compared to the three months ended June 30,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Marketplace subscription revenue increased by 32%, while advertising and other revenue grew by 27%.</w:t>
      </w:r>
    </w:p>
    <w:p>
      <w:pPr>
        <w:spacing w:after="0" w:line="21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Marketplace subscription revenue increased by $31.4 million in the three months ended June 30, 2019 compared to the three months ended June 30, 2018 and represented 89% of total revenue for both the three months ended June 30, 2019 and 2018. This increase in marketplace subscription revenue was attributable primarily to a 14% growth in the number of total paying dealers, to 34,267 as of June 30, 2019 from 29,969 as of June 30, 2018, and to a 23% growth in our AARSD for United States dealers to $16,188 as of June 30, 2019 from $13,130 as of June 30, 2018. The increase in paying dealers was driven by the efforts of our sales and marketing teams to subscribe dealers to our Enhanced and Featured Listing paid products. The increase in our AARSD for United States dealers was driven by new products, unit pricing and packaging as well as the investments made in building our brand and growing our audience which resulted in growth in volume of connections.</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Advertising and other revenue increased by $3.4 million in the three months ended June 30, 2019 compared to the three months ended June 30, 2018 and represented 11% of total revenue for both the three months ended June 30, 2019 and 2018. The increase in advertising and other revenue was driven by a 28% increase in the number of impressions delivered, which was partially offset by a 12% decline in the average price per thousand impressions in the three months ended June 30, 2019 compared to the three months ended June 30, 2018. The increase was also attributable to revenue earned from a partnership with a financial services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20" w:type="dxa"/>
            <w:vAlign w:val="bottom"/>
            <w:gridSpan w:val="7"/>
          </w:tcPr>
          <w:p>
            <w:pPr>
              <w:ind w:left="2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United States</w:t>
            </w:r>
          </w:p>
        </w:tc>
        <w:tc>
          <w:tcPr>
            <w:tcW w:w="17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137,010</w:t>
            </w:r>
          </w:p>
        </w:tc>
        <w:tc>
          <w:tcPr>
            <w:tcW w:w="2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106,371</w:t>
            </w:r>
          </w:p>
        </w:tc>
        <w:tc>
          <w:tcPr>
            <w:tcW w:w="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30,639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4,096</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145,031</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110,296</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34,735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4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United States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United States revenue increased $30.6 million, or 29%, in the three months ended June 30, 2019 compared to the three months ended June 30, 2018, due primarily to a 6% increase in the number of United States paying dealers and a 23% increase in AARSD for United States dealers.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8" w:name="page29"/>
    <w:bookmarkEnd w:id="28"/>
    <w:p>
      <w:pPr>
        <w:jc w:val="both"/>
        <w:ind w:firstLine="518"/>
        <w:spacing w:after="0" w:line="264" w:lineRule="auto"/>
        <w:rPr>
          <w:sz w:val="20"/>
          <w:szCs w:val="20"/>
          <w:color w:val="auto"/>
        </w:rPr>
      </w:pPr>
      <w:r>
        <w:rPr>
          <w:rFonts w:ascii="Arial" w:cs="Arial" w:eastAsia="Arial" w:hAnsi="Arial"/>
          <w:sz w:val="18"/>
          <w:szCs w:val="18"/>
          <w:color w:val="auto"/>
        </w:rPr>
        <w:t>International revenue increased $4.1 million, or 104%, in the three months ended June 30, 2019 compared to the three months ended June 30, 2018, due primarily to an 88% increase in the number of International paying dealers which was partially offset by a 3% decrease in AARSD for International dealers. The increase in International revenue was also partially attributable to PistonHeads revenue.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501"/>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4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8,628</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5,959</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2,669</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Cost of revenue increased $2.7 million, or 45%, in the three months ended June 30, 2019 compared to the three months ended June 30, 2018. The increase was due primarily to a $0.9 million increase in fees related to provisioning advertising campaigns on our websites, a $0.9 million increase in data center and hosting costs, a $0.6 million increase in costs related to connecting consumers with dealers through a variety of methods, including phone calls, email, and managed text and chat, and a $0.3 million increase in employee-related costs for our customer support team.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6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101,789</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78,395</w:t>
            </w: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23,394</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Sales and marketing expenses increased $23.4 million, or 30%, in the three months ended June 30, 2019 compared to the three months ended June 30, 2018. The increase was due primarily to an increase in advertising costs of $15.7 million as well as an increase of $2.8 million in salaries and employee-related costs, exclusive of commissions expense and stock-based compensation expense, which increased $1.1 million and $1.0 million, respectively. The increase in salaries and employee-related costs and stock-based compensation expense was due primarily to a 37% increase in headcount and the increase in commissions expense was due primarily to favorable sales. The increase for the three months ended June 30, 2019 was also due in part to an $0.8 million increase in consulting fees, a $0.5 million increase in lease costs due to a new office building in Cambridge, and a $0.4 million increase in software subscriptions.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2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17,346</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11,844</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5,502</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Product, technology, and development expenses increased $5.5 million, or 46%, in the three months ended June 30, 2019 compared to the three months ended June 30, 2018. The increase was due primarily to a $3.4 million increase in salaries and employee-related costs, exclusive of stock-based compensation expense, which increased $1.3 million. The increase in salaries and employee-related costs and stock-based compensation expense was due primarily to a 44% increase in headcount to support our growth and product innovations. The increase for the three months ended June 30, 2019 was also due in part to a $0.5 million increase in recruiting and consulting fees and a $0.4 million increase in lease costs due to a new office building in Cambridge.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12,540</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9,541</w:t>
            </w: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2,999</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General and administrative expenses increased $3.0 million, or 31%, in the three months ended June 30, 2019 compared to the three months ended June 30, 2018. The increase was due primarily to a $1.0 million increase in salaries and employee-related costs, exclusive of stock-based compensation expense, which increased $1.0 million. The increase in salaries and employee-related costs and stock-based compensation expense was due primarily to a 47% increase in headcount to support our expanded operations as we continue to grow our business. The increase for the three months ended June 30, 2019 was also due in part to a $0.5 million increase in payment processing and billing costs due to increased customer transactions driven by strong revenue growth, a $0.2 million increase in recruiting fees, and a $0.2 million increase in software subscriptions.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1,180</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576</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Depreciation and amortization expenses increased $0.6 million, or 95%, in the three months ended June 30, 2019 compared to the three months ended June 30, 2018, due primarily to an increase in depreciation related to the additional leasehold improvements required for the new office building in Cambridge.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20" w:type="dxa"/>
            <w:vAlign w:val="bottom"/>
            <w:gridSpan w:val="7"/>
          </w:tcPr>
          <w:p>
            <w:pPr>
              <w:ind w:left="2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net</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Interest income</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744</w:t>
            </w:r>
          </w:p>
        </w:tc>
        <w:tc>
          <w:tcPr>
            <w:tcW w:w="22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641</w:t>
            </w:r>
          </w:p>
        </w:tc>
        <w:tc>
          <w:tcPr>
            <w:tcW w:w="22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89"/>
              </w:rPr>
              <w:t>69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60" w:type="dxa"/>
            <w:vAlign w:val="bottom"/>
          </w:tcPr>
          <w:p>
            <w:pPr>
              <w:ind w:left="240"/>
              <w:spacing w:after="0"/>
              <w:rPr>
                <w:sz w:val="20"/>
                <w:szCs w:val="20"/>
                <w:color w:val="auto"/>
              </w:rPr>
            </w:pPr>
            <w:r>
              <w:rPr>
                <w:rFonts w:ascii="Arial" w:cs="Arial" w:eastAsia="Arial" w:hAnsi="Arial"/>
                <w:sz w:val="18"/>
                <w:szCs w:val="18"/>
                <w:color w:val="auto"/>
              </w:rPr>
              <w:t>Total other income, net</w:t>
            </w:r>
          </w:p>
        </w:tc>
        <w:tc>
          <w:tcPr>
            <w:tcW w:w="15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849</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703</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210"/>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5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Interest income</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240"/>
              <w:spacing w:after="0"/>
              <w:rPr>
                <w:sz w:val="20"/>
                <w:szCs w:val="20"/>
                <w:color w:val="auto"/>
              </w:rPr>
            </w:pPr>
            <w:r>
              <w:rPr>
                <w:rFonts w:ascii="Arial" w:cs="Arial" w:eastAsia="Arial" w:hAnsi="Arial"/>
                <w:sz w:val="18"/>
                <w:szCs w:val="18"/>
                <w:color w:val="auto"/>
              </w:rPr>
              <w:t>Total other income, net</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Total other income, net increased $0.1 million, or 21%, in the three months ended June 30, 2019 compared to the three months ended June 30, 2018. The $0.1 million increase in interest income was primarily due to the investment of cash in certificates of deposit and money market funds arising from our increased cash from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81"/>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980" w:type="dxa"/>
            <w:vAlign w:val="bottom"/>
            <w:tcBorders>
              <w:bottom w:val="single" w:sz="8" w:color="auto"/>
            </w:tcBorders>
          </w:tcPr>
          <w:p>
            <w:pPr>
              <w:jc w:val="right"/>
              <w:ind w:right="599"/>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60" w:type="dxa"/>
            <w:vAlign w:val="bottom"/>
            <w:gridSpan w:val="5"/>
          </w:tcPr>
          <w:p>
            <w:pPr>
              <w:jc w:val="right"/>
              <w:ind w:right="1022"/>
              <w:spacing w:after="0" w:line="155" w:lineRule="exact"/>
              <w:rPr>
                <w:sz w:val="20"/>
                <w:szCs w:val="20"/>
                <w:color w:val="auto"/>
              </w:rPr>
            </w:pPr>
            <w:r>
              <w:rPr>
                <w:rFonts w:ascii="Arial" w:cs="Arial" w:eastAsia="Arial" w:hAnsi="Arial"/>
                <w:sz w:val="14"/>
                <w:szCs w:val="14"/>
                <w:b w:val="1"/>
                <w:bCs w:val="1"/>
                <w:color w:val="auto"/>
              </w:rPr>
              <w:t>(dollars in thousands)</w:t>
            </w: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1820" w:type="dxa"/>
            <w:vAlign w:val="bottom"/>
            <w:gridSpan w:val="2"/>
            <w:shd w:val="clear" w:color="auto" w:fill="CFF0FC"/>
          </w:tcPr>
          <w:p>
            <w:pPr>
              <w:ind w:left="15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(1,610)</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(28,687)</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27,077</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20" w:type="dxa"/>
            <w:vAlign w:val="bottom"/>
            <w:gridSpan w:val="2"/>
          </w:tcPr>
          <w:p>
            <w:pPr>
              <w:ind w:left="1540"/>
              <w:spacing w:after="0"/>
              <w:rPr>
                <w:sz w:val="20"/>
                <w:szCs w:val="20"/>
                <w:color w:val="auto"/>
              </w:rPr>
            </w:pPr>
            <w:r>
              <w:rPr>
                <w:rFonts w:ascii="Arial" w:cs="Arial" w:eastAsia="Arial" w:hAnsi="Arial"/>
                <w:sz w:val="18"/>
                <w:szCs w:val="18"/>
                <w:color w:val="auto"/>
              </w:rPr>
              <w:t>27</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jc w:val="both"/>
        <w:ind w:right="20" w:firstLine="518"/>
        <w:spacing w:after="0" w:line="279" w:lineRule="auto"/>
        <w:rPr>
          <w:sz w:val="20"/>
          <w:szCs w:val="20"/>
          <w:color w:val="auto"/>
        </w:rPr>
      </w:pPr>
      <w:r>
        <w:rPr>
          <w:rFonts w:ascii="Arial" w:cs="Arial" w:eastAsia="Arial" w:hAnsi="Arial"/>
          <w:sz w:val="17"/>
          <w:szCs w:val="17"/>
          <w:color w:val="auto"/>
        </w:rPr>
        <w:t>The benefit from income taxes recorded during the three months ended June 30, 2019, as compared to the benefits from income taxes recorded during the three months ended June 30, 2018 was principally due to $2.4 million of tax benefits related to excess stock-based compensation deductions recorded during the three months ended June 30, 2019, compared to $28.9 million recorded during the three months ended June 30, 2018, as well as a decrease in federal and state research and development tax credits as compared to the three months ended June 30, 2018.</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40" w:type="dxa"/>
            <w:vAlign w:val="bottom"/>
            <w:gridSpan w:val="7"/>
          </w:tcPr>
          <w:p>
            <w:pPr>
              <w:ind w:left="2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14,119</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11,995</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International</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(10,571)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(8,042)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(2,529)</w:t>
            </w:r>
          </w:p>
        </w:tc>
        <w:tc>
          <w:tcPr>
            <w:tcW w:w="260" w:type="dxa"/>
            <w:vAlign w:val="bottom"/>
          </w:tcPr>
          <w:p>
            <w:pPr>
              <w:spacing w:after="0"/>
              <w:rPr>
                <w:sz w:val="19"/>
                <w:szCs w:val="19"/>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Percentage of segment revenue:</w:t>
            </w: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International</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2090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United States income from operations increased $2.1 million, or 18%, in the three months ended June 30, 2019 compared to the three months ended June 30, 2018. This increase was due to increases in revenue of $30.6 million, offset by increases in operating expenses of $26.1 million and cost of revenue of $2.4 million.</w:t>
      </w:r>
    </w:p>
    <w:p>
      <w:pPr>
        <w:spacing w:after="0" w:line="181"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International loss from operations increased $2.5 million, or 31%, in the three months ended June 30, 2019 compared to the three months ended June 30, 2018. The increase in International loss from operations reflects our continued investment in international markets and expansion into new countries.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six months ended June 30,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Source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3"/>
            <w:vMerge w:val="restart"/>
          </w:tcPr>
          <w:p>
            <w:pPr>
              <w:ind w:left="840"/>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120"/>
              <w:spacing w:after="0" w:line="155" w:lineRule="exact"/>
              <w:rPr>
                <w:sz w:val="20"/>
                <w:szCs w:val="20"/>
                <w:color w:val="auto"/>
              </w:rPr>
            </w:pPr>
            <w:r>
              <w:rPr>
                <w:rFonts w:ascii="Arial" w:cs="Arial" w:eastAsia="Arial" w:hAnsi="Arial"/>
                <w:sz w:val="14"/>
                <w:szCs w:val="14"/>
                <w:b w:val="1"/>
                <w:bCs w:val="1"/>
                <w:color w:val="auto"/>
              </w:rPr>
              <w:t>Amount</w:t>
            </w:r>
          </w:p>
        </w:tc>
        <w:tc>
          <w:tcPr>
            <w:tcW w:w="84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740" w:type="dxa"/>
            <w:vAlign w:val="bottom"/>
            <w:gridSpan w:val="7"/>
          </w:tcPr>
          <w:p>
            <w:pPr>
              <w:ind w:left="1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20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249,939</w:t>
            </w:r>
          </w:p>
        </w:tc>
        <w:tc>
          <w:tcPr>
            <w:tcW w:w="220" w:type="dxa"/>
            <w:vAlign w:val="bottom"/>
          </w:tcPr>
          <w:p>
            <w:pPr>
              <w:spacing w:after="0"/>
              <w:rPr>
                <w:sz w:val="19"/>
                <w:szCs w:val="19"/>
                <w:color w:val="auto"/>
              </w:rPr>
            </w:pP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186,882</w:t>
            </w:r>
          </w:p>
        </w:tc>
        <w:tc>
          <w:tcPr>
            <w:tcW w:w="22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63,057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w w:val="94"/>
              </w:rPr>
              <w:t>34%</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8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21,989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79"/>
              </w:rPr>
              <w:t>38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980" w:type="dxa"/>
            <w:vAlign w:val="bottom"/>
          </w:tcPr>
          <w:p>
            <w:pPr>
              <w:ind w:left="260"/>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280,301</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208,871</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71,430</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w w:val="94"/>
              </w:rPr>
              <w:t>34%</w:t>
            </w:r>
          </w:p>
        </w:tc>
        <w:tc>
          <w:tcPr>
            <w:tcW w:w="0" w:type="dxa"/>
            <w:vAlign w:val="bottom"/>
          </w:tcPr>
          <w:p>
            <w:pPr>
              <w:spacing w:after="0"/>
              <w:rPr>
                <w:sz w:val="1"/>
                <w:szCs w:val="1"/>
                <w:color w:val="auto"/>
              </w:rPr>
            </w:pPr>
          </w:p>
        </w:tc>
      </w:tr>
      <w:tr>
        <w:trPr>
          <w:trHeight w:val="210"/>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8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8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60"/>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Overall revenue increased by $71.4 million, or 34%, in the six months ended June 30, 2019 compared to the six months ended June 30,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Marketplace subscription revenue increased by 34%, while advertising and other revenue grew by 38%.</w:t>
      </w:r>
    </w:p>
    <w:p>
      <w:pPr>
        <w:spacing w:after="0" w:line="21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Marketplace subscription revenue increased by $63.1 million in the six months ended June 30, 2019 compared to the six months ended June 30, 2018 and represented 89% of total revenue for both the six months ended June 30, 2019 and 2018. This increase in marketplace subscription revenue was attributable primarily to a 14% growth in the number of total paying dealers, to 34,267 as of June 30, 2019 from 29,969 as of June 30, 2018, and to a 23% growth in our AARSD for United States dealers to $16,188 as of June 30, 2019 from $13,130 as of June 30, 2018. The increase in paying dealers was driven by the efforts of our sales and marketing teams to subscribe dealers to our Enhanced and Featured Listing paid products. The increase in our AARSD for United States dealers was driven by new products, unit pricing and packaging as well as the investments made in building our brand and growing our audience which resulted in growth in volume of connections.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jc w:val="both"/>
        <w:ind w:firstLine="518"/>
        <w:spacing w:after="0" w:line="257" w:lineRule="auto"/>
        <w:rPr>
          <w:sz w:val="20"/>
          <w:szCs w:val="20"/>
          <w:color w:val="auto"/>
        </w:rPr>
      </w:pPr>
      <w:r>
        <w:rPr>
          <w:rFonts w:ascii="Arial" w:cs="Arial" w:eastAsia="Arial" w:hAnsi="Arial"/>
          <w:sz w:val="18"/>
          <w:szCs w:val="18"/>
          <w:color w:val="auto"/>
        </w:rPr>
        <w:t>Advertising and other revenue increased by $8.4 million in the six months ended June 30, 2019 compared to the six months ended June 30, 2018 and represented 11% of total revenue for both the six months ended June 30, 2019 and 2018. The increase in advertising and other revenue was due primarily to a 34% increase in the number of impressions delivered, partially offset by a 6% decrease in the average price per thousand impressions, in the six months ended June 30, 2019 compared to the six months ended June 30, 2018. The increase was also attributable to revenue earned from a partnership with a financial services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3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20" w:type="dxa"/>
            <w:vAlign w:val="bottom"/>
            <w:gridSpan w:val="6"/>
          </w:tcPr>
          <w:p>
            <w:pPr>
              <w:ind w:left="2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265,413</w:t>
            </w:r>
          </w:p>
        </w:tc>
        <w:tc>
          <w:tcPr>
            <w:tcW w:w="30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201,431</w:t>
            </w:r>
          </w:p>
        </w:tc>
        <w:tc>
          <w:tcPr>
            <w:tcW w:w="3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63,982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14,888</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7,440</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7,448</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4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280,301</w:t>
            </w:r>
          </w:p>
        </w:tc>
        <w:tc>
          <w:tcPr>
            <w:tcW w:w="300" w:type="dxa"/>
            <w:vAlign w:val="bottom"/>
          </w:tcPr>
          <w:p>
            <w:pPr>
              <w:spacing w:after="0"/>
              <w:rPr>
                <w:sz w:val="22"/>
                <w:szCs w:val="22"/>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208,871</w:t>
            </w:r>
          </w:p>
        </w:tc>
        <w:tc>
          <w:tcPr>
            <w:tcW w:w="300" w:type="dxa"/>
            <w:vAlign w:val="bottom"/>
          </w:tcPr>
          <w:p>
            <w:pPr>
              <w:spacing w:after="0"/>
              <w:rPr>
                <w:sz w:val="22"/>
                <w:szCs w:val="22"/>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71,430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United States revenue increased $64.0 million, or 32%, in the six months ended June 30, 2019 compared to the six months ended June 30, 2018, due primarily to a 6% increase in the number of United States paying dealers and a 23% increase in AARSD for United States dealers.</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International revenue increased $7.4 million, or 100%, in the six months ended June 30, 2019 compared to the six months ended June 30, 2018, due primarily to an 88% increase in the number of International paying dealers, which was partially offset by a 3% decrease in AARSD for International dealers. The increase in International revenue was also partially attributable to PistonHeads revenue.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501"/>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6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16,348</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11,528</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4,820</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Cost of revenue increased $4.8 million, or 42%, in the six months ended June 30, 2019 compared to the six months ended June 30, 2018. The increase was due primarily to a $1.6 million increase in data center and hosting costs, a $1.5 million increase in fees related to provisioning advertising campaigns on our websites, a $1.3 million increase in costs related to connecting consumers with dealers through a variety of methods, including phone calls, email, and managed text and chat, a $0.6 million increase in employee-related costs for our customer support team to support the growth in customers, and a $0.3 million increase in increase in amortization and depreciation. These increases were partially offset by a $0.6 million increase in vendor rebates during the six months ended June 30, 2019.</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501"/>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6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193,105</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147,240</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45,865</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6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jc w:val="both"/>
        <w:ind w:firstLine="518"/>
        <w:spacing w:after="0" w:line="291" w:lineRule="auto"/>
        <w:rPr>
          <w:sz w:val="20"/>
          <w:szCs w:val="20"/>
          <w:color w:val="auto"/>
        </w:rPr>
      </w:pPr>
      <w:r>
        <w:rPr>
          <w:rFonts w:ascii="Arial" w:cs="Arial" w:eastAsia="Arial" w:hAnsi="Arial"/>
          <w:sz w:val="16"/>
          <w:szCs w:val="16"/>
          <w:color w:val="auto"/>
        </w:rPr>
        <w:t>Sales and marketing expenses increased $45.9 million, or 31%, in the six months ended June 30, 2019 compared to the six months ended June 30, 2018. This increase was due primarily to an increase in advertising costs of $29.5 million as well as an increase of $6.0 million in salaries and employee-related costs, exclusive of commissions expense and stock-based compensation expense, which increased $3.0 million and $2.3 million, respectively. The increase in salaries and employee-related costs and stock-based compensation expense was due primarily to a 37% increase in headcount. The increase in commissions expense was due primarily to favorable sales. The increase for the six months ended June 30, 2019 was also due in part to a $1.2 million increase in recruiting and consulting fees, a $0.9 million increase in lease costs due to a new office building in Cambridge, a $0.9 million increase in marketing events and market research due to efforts to increase brand awareness, and a $0.6 million increase in software subscriptions.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20" w:type="dxa"/>
            <w:vAlign w:val="bottom"/>
            <w:gridSpan w:val="4"/>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33,318</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12,376</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Product, technology, and development expenses increased $12.4 million, or 59%, in the six months ended June 30, 2019 compared to the six months ended June 30, 2018. The increase was due primarily to a $7.8 million increase in salaries and employee-related costs, exclusive of stock-based compensation expense, which increased $2.9 million. The increase in salaries and employee-related costs and stock-based compensation expense was due primarily to a 44% increase in headcount to support our growth and product innovations. The increase for the six months ended June 30, 2019 was also due in part to an $0.8 million increase in lease costs due to a new office building in Cambridge, and a $0.7 million increase in recruiting and consulting fees.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20" w:type="dxa"/>
            <w:vAlign w:val="bottom"/>
            <w:gridSpan w:val="4"/>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24,300</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6,888</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General and administrative expenses increased $6.9 million, or 40%, in the six months ended June 30, 2019 compared to the six months ended June 30, 2018. The increase was due to a $2.5 million increase of salaries and employee-related costs, exclusive of stock-based compensation expense, which increased $2.0 million. The increase in salaries and employee-related costs and stock-based compensation expense was due primarily to a 47% increase in headcount to support our expanded operations as we continue to grow our business. The increase for the six months ended June 30, 2019 was also due in part to a $0.9 million increase in payment processing and billing costs due to increased customer transactions driven by strong revenue growth, an $0.8 million increase in recruiting, consulting, audit and tax services fees, a $0.4 million increase in lease costs due to a new office building in Cambridge, and a $0.4 million increase in software subscriptions.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1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501"/>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0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80" w:type="dxa"/>
            <w:vAlign w:val="bottom"/>
            <w:gridSpan w:val="5"/>
          </w:tcPr>
          <w:p>
            <w:pPr>
              <w:jc w:val="right"/>
              <w:ind w:right="102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2,247</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442"/>
              <w:spacing w:after="0"/>
              <w:rPr>
                <w:sz w:val="20"/>
                <w:szCs w:val="20"/>
                <w:color w:val="auto"/>
              </w:rPr>
            </w:pPr>
            <w:r>
              <w:rPr>
                <w:rFonts w:ascii="Arial" w:cs="Arial" w:eastAsia="Arial" w:hAnsi="Arial"/>
                <w:sz w:val="18"/>
                <w:szCs w:val="18"/>
                <w:color w:val="auto"/>
              </w:rPr>
              <w:t>910</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Depreciation and amortization expenses increased $0.9 million, or 68%, in the six months ended June 30, 2019 compared to the six months ended June 30, 2018, due primarily to an increase in depreciation related to the additional leasehold improvements required for the new office building in Cambridge.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20" w:type="dxa"/>
            <w:vAlign w:val="bottom"/>
            <w:gridSpan w:val="7"/>
          </w:tcPr>
          <w:p>
            <w:pPr>
              <w:ind w:left="2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net</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Interest income</w:t>
            </w:r>
          </w:p>
        </w:tc>
        <w:tc>
          <w:tcPr>
            <w:tcW w:w="17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1,488</w:t>
            </w:r>
          </w:p>
        </w:tc>
        <w:tc>
          <w:tcPr>
            <w:tcW w:w="22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932</w:t>
            </w:r>
          </w:p>
        </w:tc>
        <w:tc>
          <w:tcPr>
            <w:tcW w:w="22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40" w:type="dxa"/>
            <w:vAlign w:val="bottom"/>
          </w:tcPr>
          <w:p>
            <w:pPr>
              <w:ind w:left="240"/>
              <w:spacing w:after="0"/>
              <w:rPr>
                <w:sz w:val="20"/>
                <w:szCs w:val="20"/>
                <w:color w:val="auto"/>
              </w:rPr>
            </w:pPr>
            <w:r>
              <w:rPr>
                <w:rFonts w:ascii="Arial" w:cs="Arial" w:eastAsia="Arial" w:hAnsi="Arial"/>
                <w:sz w:val="18"/>
                <w:szCs w:val="18"/>
                <w:color w:val="auto"/>
              </w:rPr>
              <w:t>Total other income, net</w:t>
            </w:r>
          </w:p>
        </w:tc>
        <w:tc>
          <w:tcPr>
            <w:tcW w:w="152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2,495</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985</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0"/>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5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Interest income</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40"/>
              <w:spacing w:after="0"/>
              <w:rPr>
                <w:sz w:val="20"/>
                <w:szCs w:val="20"/>
                <w:color w:val="auto"/>
              </w:rPr>
            </w:pPr>
            <w:r>
              <w:rPr>
                <w:rFonts w:ascii="Arial" w:cs="Arial" w:eastAsia="Arial" w:hAnsi="Arial"/>
                <w:sz w:val="18"/>
                <w:szCs w:val="18"/>
                <w:color w:val="auto"/>
              </w:rPr>
              <w:t>Total other income, net</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Total other income, net increased $1.5 million, or 153%, in the six months ended June 30, 2019 compared to the six months ended June 30, 2018. The $0.6 million increase in interest income was primarily due to the investment of cash in certificates of deposit and money market funds arising from our increased cash from operations. The $1.0 million increase in other income was primarily due to an $0.8 million realized foreign currency gain due to the settlement of an intercompany note payable in connection with the PistonHeads acquisition during the six months ended June 30, 2019.</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left="501"/>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81"/>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980" w:type="dxa"/>
            <w:vAlign w:val="bottom"/>
            <w:tcBorders>
              <w:bottom w:val="single" w:sz="8" w:color="auto"/>
            </w:tcBorders>
          </w:tcPr>
          <w:p>
            <w:pPr>
              <w:jc w:val="right"/>
              <w:ind w:right="59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60" w:type="dxa"/>
            <w:vAlign w:val="bottom"/>
            <w:gridSpan w:val="5"/>
          </w:tcPr>
          <w:p>
            <w:pPr>
              <w:jc w:val="right"/>
              <w:ind w:right="1022"/>
              <w:spacing w:after="0" w:line="155" w:lineRule="exact"/>
              <w:rPr>
                <w:sz w:val="20"/>
                <w:szCs w:val="20"/>
                <w:color w:val="auto"/>
              </w:rPr>
            </w:pPr>
            <w:r>
              <w:rPr>
                <w:rFonts w:ascii="Arial" w:cs="Arial" w:eastAsia="Arial" w:hAnsi="Arial"/>
                <w:sz w:val="14"/>
                <w:szCs w:val="14"/>
                <w:b w:val="1"/>
                <w:bCs w:val="1"/>
                <w:color w:val="auto"/>
              </w:rPr>
              <w:t>(dollars in thousands)</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(5,113)</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(27,441)</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22,328</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benefit from income taxes recorded during the six months ended June 30, 2019, as compared to the benefit from income taxes recorded during the six months ended June 30, 2018, was principally due to $7.7 million of tax benefits related to excess stock-based compensation deductions recording during the six months ended June 30, 2019, compared to $28.9 million recorded during the six months ended June 30, 2018, as well as a decrease in federal and state research and development tax credits as compared to the six months ended June 30, 2018.</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3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20" w:type="dxa"/>
            <w:vAlign w:val="bottom"/>
            <w:gridSpan w:val="6"/>
          </w:tcPr>
          <w:p>
            <w:pPr>
              <w:ind w:left="2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31,500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(20,517)</w:t>
            </w:r>
          </w:p>
        </w:tc>
        <w:tc>
          <w:tcPr>
            <w:tcW w:w="2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(15,516)</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(5,001)</w:t>
            </w:r>
          </w:p>
        </w:tc>
        <w:tc>
          <w:tcPr>
            <w:tcW w:w="2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Percentage of segment revenue: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2090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NM — Not Meaningful</w:t>
      </w:r>
    </w:p>
    <w:p>
      <w:pPr>
        <w:spacing w:after="0" w:line="26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United States income from operations increased $5.6 million or 21%, in the six months ended June 30, 2019 compared to the six months ended June 30, 2018. This increase was due to an increase in revenue of $64.0 million, offset by increases in operating expenses of $54.2 million and cost of revenue of $4.2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jc w:val="both"/>
        <w:ind w:firstLine="518"/>
        <w:spacing w:after="0" w:line="342" w:lineRule="auto"/>
        <w:rPr>
          <w:sz w:val="20"/>
          <w:szCs w:val="20"/>
          <w:color w:val="auto"/>
        </w:rPr>
      </w:pPr>
      <w:r>
        <w:rPr>
          <w:rFonts w:ascii="Arial" w:cs="Arial" w:eastAsia="Arial" w:hAnsi="Arial"/>
          <w:sz w:val="16"/>
          <w:szCs w:val="16"/>
          <w:color w:val="auto"/>
        </w:rPr>
        <w:t>International loss from operations increased $5.0 million, or 32%, in the six months ended June 30, 2019 compared to the six months ended June 30, 2018. The increase in International loss from operations reflects our continued investment in international markets and expansion into new countries.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13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At June 30, 2019 and December 31, 2018, our principal sources of liquidity were cash and cash equivalents of $27.8 million and $34.9 million, respectively, and investments in certificates of deposit with terms of greater than 90 days but less than one year of $119.3 million and $122.8 million at June 30, 2019 and December 31, 2018, respectively.</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Unaudited Condensed Consolidated Statements of Cash Flows, are summarized in the following table:</w:t>
      </w:r>
    </w:p>
    <w:p>
      <w:pPr>
        <w:spacing w:after="0" w:line="176"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Six Months Ended</w:t>
      </w:r>
    </w:p>
    <w:p>
      <w:pPr>
        <w:jc w:val="center"/>
        <w:ind w:left="53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4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23,848</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(25,777)</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(61,706)</w:t>
            </w: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(7,515)</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(16,245)</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Impact of foreign currency on cash</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r>
        <w:trPr>
          <w:trHeight w:val="223"/>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(54,186)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operations have been financed primarily from operating activities, sales of preferred stock and our initial public offering, or IPO. We generated cash from operating activities of $25.7 million during the six months ended June 30, 2019, and $23.8 million during the six months ended June 30, 2018, and we expect to generate cash from operations for the foreseeable future.</w:t>
      </w:r>
    </w:p>
    <w:p>
      <w:pPr>
        <w:spacing w:after="0" w:line="18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We believe that our existing sources of liquidity will be sufficient to fund our operations for at least the next 12 months from the date of the filing of this Quarterly Report. However, our future capital requirements will depend on many factors, including our rate of revenue growth, the expansion of our sales and marketing activities, the support of our product, technology, and development efforts, and the timing and extent of our investment in international markets. To the extent that existing cash, cash equivalents, and investments and cash from operations are insufficient to fund our future activities, we may need to raise additional funds through public or private equity or debt financing. Additional funds may not be available on terms favorable to us, or at all.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Cash provided by operating activities of $25.7 million during the six months ended June 30, 2019 was due primarily to net income of $18.6 million, adjusted for $16.6 million of stock-based compensation expense, $3.6 million of amortization of deferred contract costs and $3.5 million of depreciation and amortization, partially offset by $5.3 million of deferred taxes. Cash provided by operating activities was also attributable to a $6.0 million increase in accounts payable, partially offset by a $7.8 million decrease in deferred contract costs, a $3.8 million decrease in accounts receivable, a $2.0 decrease in prepaid expenses, prepaid income taxes, and other assets, a $1.9 million decrease in lease obligations, and a $1.3 million decrease in accrued expenses, accrued income taxes, and other current liabilities.</w:t>
      </w:r>
    </w:p>
    <w:p>
      <w:pPr>
        <w:spacing w:after="0" w:line="193"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Cash provided by operating activities of $23.8 million during the six months ended June 30, 2018 was due primarily to net income of $38.8 million, adjusted for $9.4 million of stock-based compensation expense, $2.5 million of depreciation and amortization and $1.3 million of amortization of deferred contract costs, partially offset by $27.1 million of deferred taxes. Cash provided by operating activities was also attributable to a $7.3 million increase in accounts payable and a $3.3 million increase in deferred revenue, partially offset by a $6.5 million decrease in deferred contract costs, a $4.3 million decrease in prepaid expenses, prepaid income taxes, and other assets, and a $2.0 decrease in accrued expenses, accrued income taxes, and other current liabilities.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Cash used in investing activities of $25.8 million during the six months ended June 30, 2019 was due $19.1 million of acquisition cash payments, $8.7 million of purchases of property and equipment and $1.5 million related to the capitalization of website development costs. This was offset by $100.0 million of maturities of certificates of deposit, net of investments in certificates of deposit of $96.5 million.</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Cash used in investing activities of $61.7 million during the six months ended June 30, 2018 was due to $130.0 million of investments in certificates of deposit, net of maturities of certificates of deposit of $70.0 million, $1.0 million related to investments in furniture, computer equipment, and leasehold improvements and $0.7 million related to the capitalization of website development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Cash used in financing activities of $7.5 million during the six months ended June 30, 2019 was due primarily to the payment of withholding taxes and option costs on net share settlements of restricted stock units and stock options of $8.6 million, partially offset by $1.1 million related to the proceeds from the issuance of common stock related to the exercise of vested stock options.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Cash used in financing activities of $16.2 million during the six months ended June 30, 2018 was due to payment of withholding taxes on net share settlements of equity awards of $17.5 million and payment of IPO costs of $1.1 million, partially offset by $2.4 million related to the proceeds from the issuance of common stock related to the exercise of vested stock options.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June 30, 2019, there were no material changes in our contractual obligations and commitments from those disclosed in our 2018 Annual Report, other than those appearing in the notes to the Unaudited Condensed Consolidated Financial Statements appearing elsewhere in this Quarterly Report, which are hereby incorporated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June 30, 2019 and December 31, 2018, we did not have any off-balance sheet arrangements entered into in the normal course of business, that have or are reasonably likely to have a current or future material effect on our financial condition, changes in financial condition, revenues or expenses, results of operations, liquidity, capital expenditures, or capital resources.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121"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In preparing our Unaudited Condensed Consolidated Financial Statements in accordance with GAAP, we are required to make estimates and assumptions that affect the amounts of assets, liabilities, revenue, costs and expenses, and disclosure of contingent assets and liabilities that are reported in the Unaudited Condensed Consolidated Financial Statements and accompanying disclosures. The accounting estimates that require the most difficult and subjective judgments include revenue recognition and revenue reserve, variable consideration, the valuation of goodwill and intangible assets, the capitalization of product, technology, and development costs for website development and internal-use software, and the recoverability of our net deferred tax assets and related valuation allowance. Therefore, we consider these to be our critical accounting policies. We evaluate our estimates and assumptions on an ongoing basis. Our actual results may differ from these estimates and assumptions. For a detailed explanation of the judgments made in these areas, refer to “Management’s Discussion and Analysis of Financial Condition and Results of Operations” in our 2018 Annual Report.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Information concerning recently issued accounting pronouncements may be found in Note 2 to our Unaudited Condensed Consolidated Financial Statements appearing elsewhere in this Quarterly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Market risk represents the risk of loss that may affect our financial position due to adverse changes in financial market prices and rates. We are exposed to market risks as described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long-term borrowings at June 30, 2019 or at December 31,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jc w:val="both"/>
        <w:ind w:firstLine="518"/>
        <w:spacing w:after="0" w:line="264" w:lineRule="auto"/>
        <w:rPr>
          <w:sz w:val="20"/>
          <w:szCs w:val="20"/>
          <w:color w:val="auto"/>
        </w:rPr>
      </w:pPr>
      <w:r>
        <w:rPr>
          <w:rFonts w:ascii="Arial" w:cs="Arial" w:eastAsia="Arial" w:hAnsi="Arial"/>
          <w:sz w:val="18"/>
          <w:szCs w:val="18"/>
          <w:color w:val="auto"/>
        </w:rPr>
        <w:t>We had cash, cash equivalents, and investments of $147.2 million and $157.7 million at June 30, 2019 and December 31, 2018, respectively, which consist of bank deposits, money market funds, and certificates of deposit with maturity dates ranging from six to nine months. Such interest-earning instruments carry a degree of interest rate risk. To date, fluctuations in interest income have not been significant.</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Historically, because our operations and sales have been primarily in the United States, we have not faced any significant foreign currency risk. As of June 30, 2019 and December 31, 2018, we have foreign currency exposures in the British pound, the Euro and the Canadian dollar, although such exposure is not significant. During the six months ended June 30, 2019, our foreign currency exposure increased due to an intercompany note payable in connection with the PistonHeads acquisition. The intercompany note payable was settled during the six months ended June 30, 2019.</w:t>
      </w:r>
    </w:p>
    <w:p>
      <w:pPr>
        <w:spacing w:after="0" w:line="17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foreign subsidiaries have intercompany accounts that are eliminated upon consolidation, and these accounts expose us to foreign currency exchange rate fluctuations. Exchange rate fluctuations on short-term intercompany accounts are recorded in our Unaudited Condensed Consolidated Income Statements under the heading, other income, net.</w:t>
      </w:r>
    </w:p>
    <w:p>
      <w:pPr>
        <w:spacing w:after="0" w:line="1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As we expand internationally, our risks associated with fluctuation in currency rates will become greater, and we will continue to reassess our approach to managing these risks.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or the Exchange Act), as of the end of the period covered by this Quarterly Report. Based on such evaluation, our principal executive officer and principal financial officer have concluded that as of such date, our disclosure controls and procedures were effective.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8"/>
        <w:spacing w:after="0" w:line="219" w:lineRule="exact"/>
        <w:rPr>
          <w:sz w:val="20"/>
          <w:szCs w:val="20"/>
          <w:color w:val="auto"/>
        </w:rPr>
      </w:pPr>
      <w:r>
        <w:rPr>
          <w:rFonts w:ascii="Arial" w:cs="Arial" w:eastAsia="Arial" w:hAnsi="Arial"/>
          <w:sz w:val="17"/>
          <w:szCs w:val="17"/>
          <w:i w:val="1"/>
          <w:iCs w:val="1"/>
          <w:color w:val="auto"/>
        </w:rPr>
        <w:t>Investing in our Class A common stock involves a high degree of risk. You should consider carefully the risks and uncertainties described below, together with all of the other information contained in this Quarterly Report, including “Management’s Discussion and Analysis of Financial Condition and Results of Operations” and our consolidated financial statements and related notes,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is substantially dependent on our relationships with dealers, and our subscription agreements with these dealers do not contain long-term contractual commitments. If a significant number of dealers terminate their subscription agreements with us, our business and financial results would be materially and adversely affected.</w:t>
      </w:r>
    </w:p>
    <w:p>
      <w:pPr>
        <w:spacing w:after="0" w:line="73"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Our primary source of revenue consists of subscription fees paid to us by dealers for access to enhanced features on our automotive marketplace. Our subscription agreements with dealers generally may be terminated by us with 30 days’ notice and by dealers with 30 days’ notice at the end of the committed term. While we are transitioning many of these dealers to contracts with one-year committed terms, the majority of our contracts with dealers currently provide for one-month committed terms. The contracts do not contain contractual obligations requiring a dealer to maintain its relationship with us beyond the committed term. Accordingly, these dealers may cancel their subscriptions with us in accordance with the terms of their subscription agreements. If a significant number of our paying dealers terminate their subscriptions with us, our business and financial results would be materially and adversely affected.</w:t>
      </w: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or increase the number of dealers that pay subscription fees to us, or fail to maintain or increase the fees paid to us for subscriptions, our business and financial results would be materially and adversely affected.</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If paying dealers do not experience the volume of consumer connections that they expect during their subscription period, or do not experience the level of car sales they expect from those connections, they may terminate their subscriptions at the conclusion of the committed term or may only be willing to renew their subscriptions at a lower level of fees. Even if dealers do experience increased consumer connections or sales, they may not attribute such increases to our marketplace. If we fail to expand our base of paying dealers or fail to maintain or increase the level of fees that we receive from them, our business and financial results would be materially and adversely affected.</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allow dealers to list their inventory in our marketplace for free; however, dealer identity and contact information are not permitted in such free listings and these dealers do not receive access to the paid features of our marketplace. Many dealers start with us on a non-paying basis and then become paying customers in order to take advantage of the features of our Enhanced or Featured Listing products. If dealers do not subscribe to our paid offerings at the rates we expect, or if a greater than expected number of our paying dealers elect to terminate their subscriptions, our business and financial results would be materially and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dealers or other advertisers reduce their advertising spend with us and we are unable to attract new advertisers, our business would be harmed.</w:t>
      </w:r>
    </w:p>
    <w:p>
      <w:pPr>
        <w:spacing w:after="0" w:line="14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 significant amount of our revenue is derived from advertising revenues generated primarily through advertising sales, including for display advertising and retargeting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w:t>
      </w:r>
    </w:p>
    <w:p>
      <w:pPr>
        <w:spacing w:after="0" w:line="79" w:lineRule="exact"/>
        <w:rPr>
          <w:sz w:val="20"/>
          <w:szCs w:val="20"/>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increase the number of consumers using our marketplace;</w:t>
      </w:r>
    </w:p>
    <w:p>
      <w:pPr>
        <w:spacing w:after="0" w:line="23"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compete effectively for advertising spending with other online automotive marketplaces;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develop our advertising products;</w:t>
      </w:r>
    </w:p>
    <w:p>
      <w:pPr>
        <w:spacing w:after="0" w:line="23"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keep pace with changes in technology and the practices and offerings of our competitors; and</w:t>
      </w:r>
    </w:p>
    <w:p>
      <w:pPr>
        <w:spacing w:after="0" w:line="9"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offer an attractive ROI to our advertisers for their advertising spend with us.</w:t>
      </w:r>
    </w:p>
    <w:p>
      <w:pPr>
        <w:spacing w:after="0" w:line="25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Our agreements with dealers for display advertising generally include terms ranging from one month to one year and may be terminated by us with 30 days’ notice and by dealers with 30 days’ notice at the end of the committed term. The contracts do not contain contractual obligations requiring an advertiser to maintain its relationship with us beyond the committed term. Our other advertising contracts, including those with auto manufacturers, are typically for a defined period of time and do not have ongoing commitments to advertise on our websites beyond the committed term. We may not succeed in capturing a greater share of our advertisers’ spending if we are unable to convince advertisers of the effectiveness or superiority of our advertising services as compared to alternative channels. If current advertisers reduce or end their advertising spending with us and we are unable to attract new advertisers, our advertising revenue and business and financial results would be harmed.</w:t>
      </w:r>
    </w:p>
    <w:p>
      <w:pPr>
        <w:spacing w:after="0" w:line="28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are unable to provide a compelling vehicle search experience to consumers through our platform, the number of connections between consumers and dealers using our marketplace may decline and our business and financial results would be materially and adversely affected.</w:t>
      </w:r>
    </w:p>
    <w:p>
      <w:pPr>
        <w:spacing w:after="0" w:line="16"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If we fail to continue to provide a compelling vehicle search experience to consumers, the number of connections between consumers and dealers through our marketplace could decline, which in turn could lead dealers to stop listing their inventory in our marketplace, cancel their subscriptions, or reduce their advertising spend with us. If dealers stop listing their inventory in our marketplace, we may not be able to maintain and grow our consumer traffic, which may cause other dealers to stop using our marketplace. This reduction in the number of dealers using our marketplace would likely materially and adversely affect our marketplace and our business and financial results. As consumers increasingly use their mobile devices to access the internet and our marketplace, our success will depend, in part, on our ability to provide consumers with a robust and user-friendly experience through their mobile devices. We believe that our ability to provide a compelling vehicle search experience, both on the web and through mobile devices, is subject to a number of factors, including:</w:t>
      </w:r>
    </w:p>
    <w:p>
      <w:pPr>
        <w:spacing w:after="0" w:line="84" w:lineRule="exact"/>
        <w:rPr>
          <w:sz w:val="20"/>
          <w:szCs w:val="20"/>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an attractive marketplace for consumers and dealers, including on mobile platforms;</w:t>
      </w:r>
    </w:p>
    <w:p>
      <w:pPr>
        <w:spacing w:after="0" w:line="23"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continue to innovate and introduce products for our marketplace on mobile platforms;</w:t>
      </w:r>
    </w:p>
    <w:p>
      <w:pPr>
        <w:spacing w:after="0" w:line="9"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launch new products that are effective and have a high degree of consumer engagement;</w:t>
      </w:r>
    </w:p>
    <w:p>
      <w:pPr>
        <w:spacing w:after="0" w:line="9" w:lineRule="exact"/>
        <w:rPr>
          <w:rFonts w:ascii="Arial" w:cs="Arial" w:eastAsia="Arial" w:hAnsi="Arial"/>
          <w:sz w:val="18"/>
          <w:szCs w:val="18"/>
          <w:color w:val="auto"/>
        </w:rPr>
      </w:pPr>
    </w:p>
    <w:p>
      <w:pPr>
        <w:ind w:left="900" w:hanging="379"/>
        <w:spacing w:after="0" w:line="25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the compatibility of our mobile applications with operating systems, such as iOS and Android, and with popular mobile devices running such operating systems; and</w:t>
      </w:r>
    </w:p>
    <w:p>
      <w:pPr>
        <w:ind w:left="900" w:right="20" w:hanging="379"/>
        <w:spacing w:after="0" w:line="261"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access and analyze a sufficient amount of data to enable us to provide relevant information to consumers, including pricing information and accurate vehicle details.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If the use of our marketplace, particularly on mobile devices, does not continue to grow, our business and operating results would be harmed.</w:t>
      </w:r>
    </w:p>
    <w:p>
      <w:pPr>
        <w:spacing w:after="0" w:line="3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internet search engines to drive traffic to our websites, and if we fail to appear prominently in the search results, our traffic would decline and our business would be adversely affected.</w:t>
      </w:r>
    </w:p>
    <w:p>
      <w:pPr>
        <w:spacing w:after="0" w:line="6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depend, in part, on internet search engines such as Google, Bing, and Yahoo! to drive traffic to our websites. The number of consumers we attract to our marketplace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in a way that would adversely affect our search result rankings. If internet search engines modify their search algorithms in ways that are detrimental to us, or if our competitors’ efforts are more successful than ours, overall growth in our traffic could slow or our traffic could decline. In addition, internet search engine providers could provide dealer and pricing information directly in search results, align with our competitors, or choose to develop competing products. Search engines may also adopt a more aggressive auction-pricing system for keywords that would cause us to incur higher advertising costs or reduce our market visibility to prospective users. Our websites have experienced fluctuations in search result rankings in the past, and we anticipate fluctuations in the future. Any reduction in the number of consumers directed to our websites through internet search engines could harm our business and operating results.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b w:val="1"/>
          <w:bCs w:val="1"/>
          <w:i w:val="1"/>
          <w:iCs w:val="1"/>
          <w:color w:val="auto"/>
        </w:rPr>
        <w:t>Any inability by us to develop new products, or achieve widespread consumer and dealer adoption of those products, could negatively impact our business and financial results.</w:t>
      </w:r>
    </w:p>
    <w:p>
      <w:pPr>
        <w:spacing w:after="0" w:line="6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Our success depends on our continued innovation to provide products and services that make our marketplace, websites, and mobile applications useful for consumers and dealers or that otherwise provide value to consumers and dealers. These new products must be widely adopted by consumers and dealers in order for us to continue to attract consumers to our marketplace and dealers to our products and services. Accordingly, we must continually invest resources in product, technology, and development in order to improve the attractiveness and comprehensiveness of our marketplace and its related products and effectively incorporate new internet and mobile technologies into them. These product, technology, and development expenses may include costs of hiring additional personnel, engaging third-party service providers and other research and development activities. In addition, revenue relating to new products is typically unpredictable and our new products may have lower gross margins and higher marketing and sales costs than our existing products. We may also change our pricing models for both existing and new products so that our prices for our offerings reflect the value those offerings are providing to consumers and dealers. Our pricing models may not effectively reflect the value of products to consumers and dealers, and, if we are unable to provide a marketplace and products that consumers and dealers want to use, they may become dissatisfied and instead use our competitors’ websites and mobile applications. Without an innovative marketplace and related products, we may be unable to attract additional, unique consumers or retain current consumers, which could affect the number of dealers that become paying dealers and the number of advertisers that want to advertise in our marketplace, which could, in turn, negatively impact our business and financial results.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62"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 For example, our success in international markets is dependent in part upon our ability to obtain and maintain inventory data and other vehicle information for those markets. The large amount of inventory and vehicle information available in our marketplace is critical to the value we provide for consumers. The loss or interruption of such inventory data or other vehicle information could decrease the number of consumers using our marketplace. We could experience interruptions in our data access for a number of reasons, including difficulties in renewing our agreements with data providers, changes to the software used by data providers, efforts by industry participants to restrict access to data, and increased fees we may be charged by data providers. Our marketplace could be negatively affected if any current provider terminates its relationship with us or our service from any provider is interrupted. If there is a material disruption in the data provided to us, the information that we provide to consumers and dealers using our marketplace may be limited. In addition, the quality, accuracy, and timeliness of this information may suffer, which may lead to a less valuable and less transparent shopping experience for consumers using our marketplace and could materially and adversely affect our business and financial results.</w:t>
      </w: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failure to build and maintain our brand would harm our ability to grow our audience and to expand the use of our marketplace by consumers and dealers.</w:t>
      </w:r>
    </w:p>
    <w:p>
      <w:pPr>
        <w:spacing w:after="0" w:line="62"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While we are focused on building our brand recognition, maintaining and enhancing our brand will depend largely on the success of our efforts to maintain the trust of consumers and dealers and to deliver value to each consumer and dealer using our marketplace. If consumers were to believe that we are not focused on providing them with a better automobile shopping experience, our reputation and the strength of our brand may be adversely affected.</w:t>
      </w:r>
    </w:p>
    <w:p>
      <w:pPr>
        <w:spacing w:after="0" w:line="14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Complaints or negative publicity about our business practices, our management team and employees, our marketing and advertising campaigns, our compliance with applicable laws and regulations, the integrity of the data that we provide to consumers, data privacy and security issues, and other aspects of our business, irrespective of their validity, could diminish consumers’ and dealers’ confidence and participation in our marketplace and could adversely affect our brand. There can be no assurance that we will be able to maintain or enhance our brand, and failure to do so would harm our business growth prospects and operating results.</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Portions of our websites enable consumers and dealers using our sites to communicate with one another and other persons seeking information or advice on the internet. Claims of defamation or other injury could be made against us for content posted on our websites. In addition, negative publicity and user sentiment generated as a result of fraudulent or deceptive conduct by users of our marketplace could damage our reputation, reduce our ability to attract new users or retain our current users, and diminish the value of our brand.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b w:val="1"/>
          <w:bCs w:val="1"/>
          <w:i w:val="1"/>
          <w:iCs w:val="1"/>
          <w:color w:val="auto"/>
        </w:rPr>
        <w:t>While we historically focused our marketing efforts on internet and mobile channels, we have implemented brand-focused campaigns using television, social media and online video and these efforts may not be successful.</w:t>
      </w:r>
    </w:p>
    <w:p>
      <w:pPr>
        <w:spacing w:after="0" w:line="6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As a consumer brand, it is important for us to increase the visibility of our brand with potential users of our marketplace. While we historically focused our marketing efforts on internet and mobile channels, we now advertise through television, social media, online video, and other channels, with the goal of driving greater brand recognition, trust, and loyalty from a broader consumer audience. If our brand-focused campaigns are not successful and we are unable to recover our marketing costs through increases in user traffic and increased subscription and advertising revenue, or if we discontinue our brand marketing campaigns, it could have a material adverse effect on our business and financial results.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rapid growth is not indicative of our future growth, and our revenue growth rate will continue to decline in the future.</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revenue increased to $454.1 million for the year ended December 31, 2018 from $316.9 million for the year ended December 31, 2017, representing a 43% increase between such periods, and increased to $280.3 million for the six months ended June 30, 2019 from $208.9 million for the six months ended June 30, 2018, representing a 34% increase between such periods. In the future, our revenue growth rates will continue to decline as we achieve higher market penetration rates, as our revenue increases to higher levels, and as we experience increased competition. As our revenue growth rates decline, investors’ perceptions of our business may be adversely affected and the market price of our Class A common stock could decline. In addition, we will not be able to grow as expected, or at all, if we do not accomplish the following:</w:t>
      </w:r>
    </w:p>
    <w:p>
      <w:pPr>
        <w:spacing w:after="0" w:line="85" w:lineRule="exact"/>
        <w:rPr>
          <w:sz w:val="20"/>
          <w:szCs w:val="20"/>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the number of consumers using our marketplace;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maintain and expand the number of dealers that subscribe to our marketplace and maintain and increase the fees that they are paying;</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advertisers placing advertisements in our marketplace;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improve the quality of our marketplace, and introduce high quality new products;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the number of connections between consumers and dealers using our marketplace.</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expand effectively into new markets, both domestically and abroad, our revenue, business, and financial results will be harmed.</w:t>
      </w:r>
    </w:p>
    <w:p>
      <w:pPr>
        <w:spacing w:after="0" w:line="129"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We intend to continue to expand our operations to target new markets, both domestically and abroad, and there can be no assurance that our expansion into these new markets will be successful. Our expansion into new markets places us in unfamiliar competitive environments and involves various risks, including the need to invest significant resources and the likelihood that returns on such investments will not be achieved for several years, or possibly at all. In attempting to establish a presence in new markets, we expect, as we have in the past, to incur significant losses in those markets and face various other challenges, such as obtaining and maintaining access to inventory data, competition for consumers and dealers using our marketplace, monetizing dealers, new regulatory environments and laws, different consumer shopping habits than those we are familiar with, and our ability to expand the number of our account managers to cover those new markets. Our current and any future expansion plans will require significant resources and management attention. Furthermore, expansion into international markets may not yield results similar to those we have achieved in the United States.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international operations involve risks that are different from, or in addition to, the risks we may experience as a result of our domestic operations, and our exposure to these risks will increase as we continue to expand internationally.</w:t>
      </w:r>
    </w:p>
    <w:p>
      <w:pPr>
        <w:spacing w:after="0" w:line="6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expect to expand our international operations significantly by continuing to enter new markets and expanding our offerings in new languages. In most international markets, we would not be the first entrant, and our competitors may be more established or otherwise better positioned than we are to succeed. Our competitors may offer services to dealers that make dealers dependent on them, such as hosting dealers’ websites and providing inventory feeds for dealers, which would make it difficult to attract dealers to our marketplace. Dealers may also be parties to agreements with other dealers and syndicates that prevent them from being able to access our marketplace. In addition, we may also face litigation from competitors in new markets. Any of these barriers could impede our expansion into additional international markets, which could affect our business and potential growth.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jc w:val="both"/>
        <w:ind w:firstLine="518"/>
        <w:spacing w:after="0" w:line="255" w:lineRule="auto"/>
        <w:rPr>
          <w:sz w:val="20"/>
          <w:szCs w:val="20"/>
          <w:color w:val="auto"/>
        </w:rPr>
      </w:pPr>
      <w:r>
        <w:rPr>
          <w:rFonts w:ascii="Arial" w:cs="Arial" w:eastAsia="Arial" w:hAnsi="Arial"/>
          <w:sz w:val="18"/>
          <w:szCs w:val="18"/>
          <w:color w:val="auto"/>
        </w:rPr>
        <w:t>In addition to English, we have made portions of our platform available in French, German, Italian, and Spanish, and we will need to make all or portions of our platform available in additional languages as we launch in new countries. We may have difficulty modifying our technology and content for use in non-English speaking markets or fostering new communities in non-English speaking markets.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resolution systems, and commercial infrastructures. Expanding internationally may subject us to new risks or increase our exposure in connection with current risks, including risks associated with:</w:t>
      </w:r>
    </w:p>
    <w:p>
      <w:pPr>
        <w:spacing w:after="0" w:line="81" w:lineRule="exact"/>
        <w:rPr>
          <w:sz w:val="20"/>
          <w:szCs w:val="20"/>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recruiting and retaining qualified, multilingual employees, including sales personnel;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adapting our websites to conform to local automobile shopping expectations;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from local websites and periodicals and potential preferences by local populations for local providers;</w:t>
      </w:r>
    </w:p>
    <w:p>
      <w:pPr>
        <w:spacing w:after="0" w:line="117"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applicable foreign laws and regulations, including different privacy, censorship, and liability standards and regulations, and different intellectual property laws;</w:t>
      </w:r>
    </w:p>
    <w:p>
      <w:pPr>
        <w:spacing w:after="0" w:line="62"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solutions in different languages and for different cultures, which may require that we modify our solutions and features so they are culturally relevant in different countries;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enforceability of our intellectual property rights;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credit risk and higher levels of payment fraud;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anti-bribery laws, including compliance with the Foreign Corrupt Practices Act and the U.K. Bribery Act;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exchange controls that might prevent us from repatriating cash earned outside the United States;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and economic instability in some countries;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changes in trade relationships among foreign countries and/or between the United States and such countries;</w:t>
      </w:r>
    </w:p>
    <w:p>
      <w:pPr>
        <w:spacing w:after="0" w:line="117"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tax laws of the United States or the foreign jurisdictions in which we operate; and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costs of doing business internationally.</w:t>
      </w: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participate in a highly competitive market, and pressure from existing and new companies may adversely affect our business and operating results.</w:t>
      </w:r>
    </w:p>
    <w:p>
      <w:pPr>
        <w:spacing w:after="0" w:line="15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face significant competition from companies that provide listings, information, lead generation, and car-buying services designed to help consumers shop for cars and to enable dealers to reach these consumers. Our competitors offer various marketplaces, products, and services that compete with us. Some of these competitors include:</w:t>
      </w:r>
    </w:p>
    <w:p>
      <w:pPr>
        <w:spacing w:after="0" w:line="73" w:lineRule="exact"/>
        <w:rPr>
          <w:sz w:val="20"/>
          <w:szCs w:val="20"/>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major United States online automotive marketplaces: AutoTrader.com, Cars.com, and TrueCar.com;</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United States automotive websites, such as Edmunds.com, KBB.com, and Carfax.com;</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online automotive marketplaces and websites in international markets;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internet search engines;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digital marketing providers;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peer to peer marketplaces;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sites operated by individual automobile dealers.</w:t>
      </w:r>
    </w:p>
    <w:p>
      <w:pPr>
        <w:spacing w:after="0" w:line="25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We compete with these and other companies for a share of dealers’ overall marketing budget for online and offline media marketing spend. To the extent that dealers view alternative marketing and media strategies to be superior to our marketplace, we may not be able to maintain or grow the number of dealers subscribing to, and advertising on, our marketplace, and our business and financial results may be harmed.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jc w:val="both"/>
        <w:ind w:firstLine="518"/>
        <w:spacing w:after="0" w:line="277" w:lineRule="auto"/>
        <w:rPr>
          <w:sz w:val="20"/>
          <w:szCs w:val="20"/>
          <w:color w:val="auto"/>
        </w:rPr>
      </w:pPr>
      <w:r>
        <w:rPr>
          <w:rFonts w:ascii="Arial" w:cs="Arial" w:eastAsia="Arial" w:hAnsi="Arial"/>
          <w:sz w:val="18"/>
          <w:szCs w:val="18"/>
          <w:color w:val="auto"/>
        </w:rPr>
        <w:t>We also expect that new competitors will continue to enter the online automotive retail industry with competing marketplaces, products, and services, which could have an adverse effect on our business and financial results.</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competitors could significantly impede our ability to expand the number of dealers using our marketplace. Our competitors may also develop and market new technologies that render our existing or future marketplace and associated products less competitive, unmarketable, or obsolete. In addition, if our competitors develop marketplaces with similar or superior functionality to ours, and our web traffic declines, we may need to decrease our subscription and advertising fees. If we are unable to maintain our current pricing structure due to competitive pressures, our revenue would likely be reduced and our financial results would be negatively affected.</w:t>
      </w:r>
    </w:p>
    <w:p>
      <w:pPr>
        <w:spacing w:after="0" w:line="18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existing and potential competitors may have significantly more financial, technical, marketing, and other resources than we have, and the ability to devote greater resources to the development, promotion, and support of their marketplaces, products, and services. They may also have more extensive automotive industry relationships than we have, longer operating histories, and greater name recognition. As a result, these competitors may be able to respond more quickly with new technologies and to undertake more extensive marketing or promotional campaigns than we can. Additionally,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 and related products and services could substantially decline.</w:t>
      </w:r>
    </w:p>
    <w:p>
      <w:pPr>
        <w:spacing w:after="0" w:line="18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the change in the competitive landscape could adversely affect our ability to compete effectively. Our competitors may also establish or strengthen cooperative relationships with our existing or future data providers, technology partners, or other parties with whom we have relationships, thereby limiting our ability to develop, improve, and promote our solutions. We may not be able to compete successfully against current or future competitors, and competitive pressures may harm our business and financial results.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dealer associations or auto manufacturers were to discourage or otherwise deter dealers from subscribing to our marketplace.</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Although the dealership industry is highly fragmented, a small number of interested parties have significant influence over the industry. These parties include state and national dealership associations, state regulators, automotive manufacturers, consumer groups, independent dealers, and consolidated dealer groups. If and to the extent these parties believe that dealerships should not enter into or maintain subscription agreements with us, this belief could become shared by dealerships and we may lose a number of our paying dealers.</w:t>
      </w:r>
    </w:p>
    <w:p>
      <w:pPr>
        <w:spacing w:after="0" w:line="187"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Furthermore, auto manufacturers may provide their franchise dealers with financial or other marketing support conditioned upon such dealers’ adherence to certain marketing guidelines. Auto manufacturers may determine that the manner in which certain of their franchise dealers use our marketplace is inconsistent with the terms of such marketing guidelines, which determination could result in potential or actual loss of the manufacturers’ financial or other marketing support to the dealers whose use of our marketplace is deemed objectionable. The potential or actual loss of such marketing support may cause such dealers to cease paying for our paid features, which may adversely affect our ability to maintain or grow the number of our paying dealers.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Dealer closures or consolidations could reduce demand for our products, which may decrease our revenue.</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the past, the number of United States dealers has declined due to dealership closures and consolidations as a result of factors such as global economic downturns.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financial position and results of operations could be materially and adversely affected.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service providers and strategic partners for many aspects of our business, and any failure to maintain these relationships or to successfully integrate certain third-party platforms could harm our business.</w:t>
      </w:r>
    </w:p>
    <w:p>
      <w:pPr>
        <w:spacing w:after="0" w:line="6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Our success will depend upon our relationships with third parties, including our payment processor, our data center hosts, our information technology providers, our data providers for dealer inventory and vehicle information, our human resources information system provider, our billing subscription software provider, our customer relationship management software provider, our financial planning and analysis software provider, our information integration platform providers, our marketing platform providers, our business intelligence and data analytics providers, our search engine and social media advertising providers, our invoice and expense provider, our equity administrator provider, and our general ledger provider, as well as our other strategic partners, including consumer and commercial lenders. If these third parties experience difficulty meeting our requirements or standards, have adverse audit results, violate the terms of our relationship or applicable law, fail to obtain or maintain applicable licenses, or if the relationships we have established with such third parties expire or otherwise terminate, it could make it difficult for us to operate some aspects of our business, which could damage our business and reputation. In addition, if such third-party service providers or strategic partners were to cease operations, temporarily or permanently, face financial distress or other business disruptions, increase their fees, or if our relationships with these providers or partners deteriorate or terminate, we could suffer increased costs and we may be unable to provide consumers with content or provide similar services until an equivalent provider could be found or we could develop replacement technology or operations. In addition,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17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enterprise systems require that we integrate the platforms hosted by certain third-party service providers. We are responsible for integrating these platforms and updating them to maintain proper functionality. Issues with these integrations, our failure to properly update third-party platforms or any interruptions to our internal enterprise systems could harm our business by causing delays in our ability to quote, activate service and bill new and existing customers on our platforms.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continue to grow rapidly, we may not be able to manage our growth effectively.</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have experienced rapid growth in our headcount and operations, which places substantial demand on management and our operational infrastructure. In addition, with further growth and expansion, our employee base will continue to spread outside of our headquarters in Cambridge, Massachusetts. As we continue to grow, we must effectively integrate, develop, and motivate a large number of new employees, while maintaining the beneficial aspects of our company culture. If we do not manage the growth of our business and operations effectively, the quality of our services and efficiency of our operations could suffer, which could harm our brand, results of operations, and overall business.</w:t>
      </w:r>
    </w:p>
    <w:p>
      <w:pPr>
        <w:spacing w:after="0" w:line="2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key personnel to operate our business, and if we are unable to retain, attract and integrate qualified personnel, our ability to develop and successfully grow our business could be harmed.</w:t>
      </w:r>
    </w:p>
    <w:p>
      <w:pPr>
        <w:spacing w:after="0" w:line="62"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believe our success has depended, and continues to depend, on the efforts and talents of our executives and employees. Our future success depends on our continuing ability to attract, develop, motivate, and retain highly qualified and skilled employees. Qualified individuals are in high demand, and we may incur significant costs to attract and retain them. In addition, the loss of any of our executive officers or key employees could materially adversely affect our ability to execute our business plan and strategy, and we may not be able to find adequate replacements on a timely basis, or at all. Our executive officers and other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respond to changes in the market, our business could be harmed.</w:t>
      </w:r>
    </w:p>
    <w:p>
      <w:pPr>
        <w:spacing w:after="0" w:line="11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While our business has grown rapidly as consumers and dealers have increasingly accessed our marketplace, we expect that our business will evolve in ways which may be difficult to predict. For example, we anticipate that over time we may reach a point when investments in new user traffic are less productive and the continued growth of our revenue will require more focus on developing new products for consumers and dealers, expanding our marketplaces into new international markets to attract new consumers and dealers, and increasing our fees for our products. It is also possible that consumers and dealers could broadly determine that they no longer believe in the value of our marketplace. Our continued success will depend on our ability to successfully adjust our strategy to meet the changing market dynamics. If we are unable to do so, our business could be harmed and our results of operations and financial condition could be materially and adversely affected.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disputes regarding the accuracy of Instant Market Value, Deal Rating, Dealer Rating, New Car Price Guidance and other features of our marketplace.</w:t>
      </w:r>
    </w:p>
    <w:p>
      <w:pPr>
        <w:spacing w:after="0" w:line="62"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provide consumers using our marketplace with our proprietary Instant Market Value, or IMV, Deal Rating, and Dealer Rating, as well as other features to help them evaluate vehicle listings, including price guidance for new car listings, or New Car Price Guidance. Revisions to our automated valuation models, or the algorithms that underlie them, may cause the IMV, the Deal Rating, New Car Price Guidance, or other features to vary from our expectations regarding the accuracy of these tools. In addition, from time to time, regulators, consumers, dealers and other industry participants may question or disagree with our IMV, Deal Rating, Dealer Rating or New Car Price Guidance. Any such questions or disagreements could result in distraction from our business or potentially harm our reputation, could result in a decline in consumers’ use of our marketplace and could result in legal disputes.</w:t>
      </w: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we acquire other companies or technologies, such activities could divert our management’s attention, result in additional dilution to our stockholders, and otherwise disrupt our operations and harm our operating results.</w:t>
      </w:r>
    </w:p>
    <w:p>
      <w:pPr>
        <w:spacing w:after="0" w:line="62"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success will depend, in part, on our ability to grow our business in response to the demands of consumers, dealers, and other constituents within the automotive industry as well as competitive pressures. In some circumstances, we will do so through the acquisition of complementary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46" w:lineRule="exact"/>
        <w:rPr>
          <w:sz w:val="20"/>
          <w:szCs w:val="20"/>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coordination of technology, product, research, and development, and sales and marketing functions;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transition of the acquired company’s consumers and data to our marketplace and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117"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effective controls, procedures, and policies;</w:t>
      </w:r>
    </w:p>
    <w:p>
      <w:pPr>
        <w:spacing w:after="0" w:line="62"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write-offs of intangibles or other assets acquired in such transactions that may have an adverse effect on our operating results in a given period;</w:t>
      </w:r>
    </w:p>
    <w:p>
      <w:pPr>
        <w:spacing w:after="0" w:line="62"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liabilities for activities of the acquired company before the acquisition, including patent and trademark infringement claims, violations of laws, commercial disputes, tax liabilities, and other known and unknown liabilities; and</w:t>
      </w:r>
    </w:p>
    <w:p>
      <w:pPr>
        <w:spacing w:after="0" w:line="62"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consumers, former stockholders, and other third parties.</w:t>
      </w:r>
    </w:p>
    <w:p>
      <w:pPr>
        <w:spacing w:after="0" w:line="19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failure to address these risks or other problems encountered in connection with future acquisitions and investments could cause us to fail to realize the anticipated benefits of these acquisitions or investments, cause us to incur unanticipated liabilities, cause us to be reluctant to engage in future transactions, and harm our business generally. Acquisitions could result in dilutive issuances of our equity securities, the incurrence of debt, contingent liabilities, amortization expense, and impairment charges associated with acquired intangible assets or goodwill, any of which could harm our financial condition. Also, the anticipated benefits of any acquisitions may not materialize.</w:t>
      </w:r>
    </w:p>
    <w:p>
      <w:pPr>
        <w:spacing w:after="0" w:line="29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subject to a complex framework of federal, state, and foreign laws and regulations, many of which are unsettled, still developing and contradictory, which have in the past, and could in the future, subject us to claims, challenge our business model, or otherwise harm our business.</w:t>
      </w:r>
    </w:p>
    <w:p>
      <w:pPr>
        <w:spacing w:after="0" w:line="1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Various aspects of our business are, may become, or may be viewed by regulators from time to time as subject, directly or indirectly, to United States federal, state and local laws and regulations, and to foreign laws and regulations. Failure to comply with such laws or regulations may result in the suspension or termination of our ability to do business in affected jurisdictions, the imposition of significant civil and criminal penalties, including fines or the award of significant damages against us and dealers in class action or other civil litigation, or orders or settlements requiring us to make adjustments to our marketplace and related products and services.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State Motor Vehicle Sales, Advertising and Brokering, and Consumer Protection Laws</w:t>
      </w:r>
    </w:p>
    <w:p>
      <w:pPr>
        <w:spacing w:after="0" w:line="117"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The advertising and sale of new and used motor vehicles is highly regulated by the states in which we do business. Although we do not sell motor vehicles, and although we believe that vehicle listings on our site are not themselves advertisements, state regulatory authorities or third parties could take the position that some of the laws or regulations applicable to dealers or to the manner in which motor vehicles are advertised and sold generally are directly applicable to our business. These advertising laws and regulations are frequently subject to multiple interpretations and are not uniform from state to state, sometimes imposing inconsistent requirements with respect to new or used motor vehicles. If our marketplace and related products are determined to not comply with relevant regulatory requirements, we or dealers could be subject to significant civil and criminal penalties, including fines, or the award of significant damages in class actions or other civil litigation, as well as orders interfering with our ability to continue providing our marketplace and related products and services in certain states. In addition, even absent such a determination, to the extent dealers are uncertain about the applicability of such laws and regulations to our business, we may lose, or have difficulty increasing the number of paying dealers, which would affect our future growth.</w:t>
      </w:r>
    </w:p>
    <w:p>
      <w:pPr>
        <w:spacing w:after="0" w:line="16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If state regulators or other third parties take the position in the future that our marketplace or related products violate applicable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 and related products in certain states, or could require us to make adjustments to our marketplace and related products or the manner in which we derive revenue from dealers using our marketplace, any or all of which could result in substantial adverse publicity, termination of subscriptions by dealers, decreased revenues, distraction for our employees, increased expenses, and decreased profitability.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Laws and Regulations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 and related products and services, any or all of which could result in substantial adverse publicity, distraction for our employees, loss of participating dealers, lost revenues, increased expenses, and decreased profitability.</w:t>
      </w:r>
    </w:p>
    <w:p>
      <w:pPr>
        <w:spacing w:after="0" w:line="193"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Our platform enables us, dealers, and users to send and receive text messages and other mobile phone communications. The Telephone Consumer Protection Act, or the TCPA, as interpreted and implemented by the Federal Communications Commission, or the FCC, and federal and state courts, imposes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Statutory penalties for TCPA violations range from $500 to $1,500 per violation, which is often interpreted to mean per phone call or text message. Furthermore, several provisions of the TCPA, as well as applicable rules and orders, are open to multiple interpretations, and compliance may involve fact-specific analyses.</w:t>
      </w:r>
    </w:p>
    <w:p>
      <w:pPr>
        <w:spacing w:after="0" w:line="178"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the TCPA or its interpretation that further restricts the way consumers and dealers interact through our platform, or any governmental or private enforcement actions related thereto, could adversely affect our ability to attract customers and could harm our business, financial condition, results of operations, and cash flows.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Antitrust Laws</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United States federal antitrust laws prohibit, among other things, any joint conduct among competitors that would lessen competition in the marketplace. We believe that we are in compliance with the legal requirements imposed by such antitrust laws. However, a governmental or private civil action alleging the improper exchange of information, or unlawful participation in price maintenance or other unlawful or anticompetitive activity, even if unfounded, could be costly to defend and could harm our business, results of operations, financial condition, and cash flows.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Claims could be made against us under both United States and foreign laws, including claims for defamation, libel, invasion of privacy, copyright or trademark infringement, or claims based on other theories related to the nature and content of the materials disseminated by users of our marketplace and portions of our websites. In addition, domestic and foreign legislation has been proposed that could prohibit or impose liability for the transmission over the internet of certain types of information. Our defense against any of these actions could be costly and involve significant time and attention of our management and other resources. If we become liable for information provided by our users and transmitted in our marketplace in any jurisdiction in which we operate, we could be directly harmed and we may be forced to implement new measures to reduce our exposure to this liability.</w:t>
      </w:r>
    </w:p>
    <w:p>
      <w:pPr>
        <w:spacing w:after="0" w:line="17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 foregoing description of laws and regulations to which we are or may be subject is not exhaustive, and the regulatory framework governing our operations is subject to continuous change. As we expand our operations internationally, we are, and we will continue to be, exposed to legal and regulatory risks including with respect to privacy, tax, law enforcement, content, intellectual property, competition, and other matters. The enactment of new laws and regulations or the interpretation of existing laws and regulations, both domestically and internationally, in an unfavorable way may affect the operation of our business, directly or indirectly, which could result in substantial regulatory compliance costs, civil or criminal penalties, including fines, adverse publicity, loss of participating dealers, lost revenues, increased expenses, and decreased profitability. Further, investigations by governmental agencies, including the FTC, into allegedly anticompetitive, unfair, deceptive or other business practices by us or dealers using our marketplace, could cause us to incur additional expenses and, if adversely concluded, could result in substantial civil or criminal penalties and significant legal liability, or orders requiring us to make adjustments to our marketplace and related products and services.</w:t>
      </w:r>
    </w:p>
    <w:p>
      <w:pPr>
        <w:spacing w:after="0" w:line="2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risks related to the larger automotive industry ecosystem, including consumer demand, global supply chain challenges, and other macroeconomic issues.</w:t>
      </w:r>
    </w:p>
    <w:p>
      <w:pPr>
        <w:spacing w:after="0" w:line="6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Purchases of new and used automobiles are typically discretionary for consumers and have been, and may continue to be, affected by negative trends in the economy, including: the cost of energy and gasoline; the availability and cost of credit; rising interest rates, which may reduce the demand for consumer credit due to the higher cost of borrowing; reductions in business and consumer confidence; stock market volatility; increased unemployment; and changing trade barriers, including increased tariff rates or custom duties.</w:t>
      </w:r>
    </w:p>
    <w:p>
      <w:pPr>
        <w:spacing w:after="0" w:line="17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 adversely affect dealers and car manufacturers and lead to a reduction in other spending by these groups, including targeted incentive programs.</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addition, our business may be negatively affected by challenges to the larger automotive industry ecosystem, including global supply chain challenges, changes to trade policies, and other macroeconomic issues. For example, the United Kingdom’s referendum to exit the European Union, or the EU, commonly referred to as “Brexit”, could adversely affect European and global economic or market conditions, contribute to instability in global financial markets, and cause disruptions to and create uncertainty surrounding our business and operations in the United Kingdom. These factors could have a material adverse effect on our business, results of operations, and financial condition.</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Making decisions that we believe are in the best interests of our marketplace may cause us to forgo short-term gains in pursuit of potential but uncertain long-term growth.</w:t>
      </w:r>
    </w:p>
    <w:p>
      <w:pPr>
        <w:spacing w:after="0" w:line="6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In the past, we have forgone, and we will in the future continue to forgo, certain expansion or short-term revenue opportunities that we do not believe are in the long-term best interests of our marketplace, even if such decisions negatively impact our results of operations in the short term. For example, we manage the text-chat feature of our websites where consumers can message paying dealers. Our management of this feature has helped improve dealer response times to consumers, which in turn improves the consumer experience. While our management of this feature provides value to both consumers and paying dealers and could be a potential source of short-term revenue for us, we are not currently charging for this feature and are instead focusing on the potential long-term value of this feature to our marketplace and its users. However, this strategy may not result in the long-term benefits that we expect, in which case our user traffic and engagement, business, and financial results could be harmed.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significant disruption in service on our websites could damage our reputation and result in a loss of consumers, which could harm our business, brand, operating results, and financial condition.</w:t>
      </w:r>
    </w:p>
    <w:p>
      <w:pPr>
        <w:spacing w:after="0" w:line="62"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Our brand, reputation, and ability to attract consumers, dealers, and advertisers depend on the reliable performance of our technology infrastructure and content delivery. We may experience significant interruptions with our systems in the future. Interruptions in these systems, whether due to system failures, computer viruses, ransomware, or physical or electronic break-ins, could affect the security or availability of our marketplace on our websites, and prevent or inhibit the ability of dealers and consumers to access our marketplace. For example, past disruptions have impacted our ability to activate customer accounts and manage our billing activities in a timely manner. Such interruptions could also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spacing w:after="0" w:line="167"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Substantially all of the communications, network, and computer hardware used to operate our platform is located in the United States near Boston, Massachusetts, and in Europe near London, England. Although we have two locations in the United States and we believe our systems are redundant, there may be exceptions for certain hardware or software. In addition, we do not own or control the operation of these facilities. We also use third-party hosting services to back up some data. We are planning a migration of our primary data center to a different third-party data center. We do not maintain redundant systems or facilities for some of the services hosted at our current facility. In the event the migration results in disruption to one or more of these systems, we may experience an extended period of system unavailability, which could negatively impact our relationship with consumers, customers and advertisers. Our systems and operations are vulnerable to damage or interruption from fire, flood, power loss, telecommunications failure, terrorist attacks, acts of war, electronic and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16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Problems faced by our third-party web hosting providers could adversely affect the experience consumers have while using our marketplace. Our third-party web hosting providers could close their facilities without adequate notice. Any financial difficulties, up to and including bankruptcy, faced by our third-party web hosting providers or any of the service providers whose services they use may have negative effects on our business, the nature and extent of which are difficult to predict. If our third-party web hosting providers are unable to keep up with our growing capacity needs, our business could be harmed.</w:t>
      </w:r>
    </w:p>
    <w:p>
      <w:pPr>
        <w:spacing w:after="0" w:line="15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Any errors, defects, disruptions, or other performance or reliability problems with our network operations could cause interruptions in access to our marketplace as well as delays and additional expense in arranging new facilities and services and could harm our reputation, business, operating results, and financial condition.</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Although we carry business interruption insurance, it may not be sufficient to compensate us for the potentially significant losses, including the potential harm to the future growth of our business, that may result from interruptions in our service as a result of system failures.</w:t>
      </w:r>
    </w:p>
    <w:p>
      <w:pPr>
        <w:spacing w:after="0" w:line="2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collect, process, store, transfer, share, disclose, and use consumer information and other data, and our actual or perceived failure to protect such information and data or respect users’ privacy could damage our reputation and brand and harm our business and operating results.</w:t>
      </w:r>
    </w:p>
    <w:p>
      <w:pPr>
        <w:spacing w:after="0" w:line="16"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Use of some functions of our marketplace involves the storage and transmission of consumers’ information, such as IP addresses and contact information of users who connect with dealers and profile information of users who create accounts on our marketplace, and dealers’ information. We also process and store personal and confidential information of our vendors, partners and employees. Some of this information may be private, and security breaches could expose us to a risk of loss or exposure of this information, which could result in potential liability, litigation, and remediation costs. For example, hackers could steal our users’ profile passwords, names, email addresses, phone numbers, and zip codes. We rely on encryption and authentication technology licensed from third parties to effect secure transmission of such information. Like all information systems and technology, our websites, mobile applications, and information systems are subject to computer viruses, break-ins, phishing attacks, attempts to overload the systems with denial-of-service or other attacks, ransomware, and similar incidents or disruptions from unauthorized use of our computer systems, any of which could lead to interruptions, delays, or website shutdowns, and could cause loss of critical data and the unauthorized disclosure, access, acquisition, alteration, and use of personal or other confidential information. If we experience compromises to our security that result in website or mobile application performance or availability problems, the complete shutdown of our websites or mobile applications, or the loss or unauthorized disclosure, access, acquisition, alteration, or use of confidential information, consumers, customers, advertisers, partners, vendors and employees may lose trust and confidence in us, and consumers may decrease the use of our websites or stop using our websites entirely, dealers may stop or decrease their subscriptions with us, and advertisers may decrease or stop advertising on our websites.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jc w:val="both"/>
        <w:ind w:firstLine="518"/>
        <w:spacing w:after="0" w:line="273" w:lineRule="auto"/>
        <w:rPr>
          <w:sz w:val="20"/>
          <w:szCs w:val="20"/>
          <w:color w:val="auto"/>
        </w:rPr>
      </w:pPr>
      <w:r>
        <w:rPr>
          <w:rFonts w:ascii="Arial" w:cs="Arial" w:eastAsia="Arial" w:hAnsi="Arial"/>
          <w:sz w:val="17"/>
          <w:szCs w:val="17"/>
          <w:color w:val="auto"/>
        </w:rPr>
        <w:t>Further, outside parties have attempted and will continue to attempt to fraudulently induce employees, consumers, or advertisers to disclose sensitive information in order to gain access to our information or our consumers’, dealers’, advertisers’ and employees’ information. As cyber-attacks increase in frequency and sophistication, our cyber-security and business continuity plans may not be effective in anticipating, preventing and effectively responding to all potential cyber-risk exposures. In addition, because the techniques used to obtain unauthorized access, disable or degrade service, or sabotage systems change frequently, often are not recognized until after being launched against a target, and may originate from less regulated and remote areas around the world, we may be unable to proactively address these techniques or to implement adequate preventative measures.</w:t>
      </w:r>
    </w:p>
    <w:p>
      <w:pPr>
        <w:spacing w:after="0" w:line="178"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Any or all of the issues above could negatively impact our ability to attract new consumers and increase engagement by existing consumers, cause existing consumers to curtail or stop use of our marketplace or close their accounts, cause existing dealers and advertisers to cancel their contracts, cause employees to terminate their employment, cause employment candidates to be unwilling to accept employment offers, and or subject us to governmental or third-party lawsuits, investigations, regulatory fines, or other actions or liability, thereby harming our business, results of operations, and financial condition.</w:t>
      </w:r>
    </w:p>
    <w:p>
      <w:pPr>
        <w:spacing w:after="0" w:line="154"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There are numerous federal, national, state, and local laws and regulations in the United States and around the world regarding privacy and the collection, processing, storage, sharing, disclosure, use, cross-border transfer, and protection of personal information and other data. These laws and regulations are evolving, are subject to differing interpretations, may be costly to comply with, may result in regulatory fines or penalties, may subject us to third-party lawsuits, may be inconsistent between countries and jurisdictions, and may conflict with other requirements.</w:t>
      </w:r>
    </w:p>
    <w:p>
      <w:pPr>
        <w:spacing w:after="0" w:line="17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We seek to comply with industry standards and are subject to the terms of our privacy policies and privacy-related obligations to third parties. We strive to comply with all applicable laws, policies, legal obligations, and industry codes of conduct relating to privacy and data protection. However,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including the General Data Protection Regulation in the EU, or the GDPR, which went into effect on May 25, 2018, and the new California Consumer Privacy Act, which is expected to become effective in January 2020. The GDPR in particular has already required, and may further require, us to change our policies and procedures and, if we are not in compliance, may seriously harm our business. Similarly, Brexit may further require us to change our policies and procedures and, if we are not in compliance, may seriously harm our business. Any failure or perceived failure by us to comply with our privacy policies, our privacy-related obligations to consumers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or public statements against us by consumer advocacy groups or others, and could cause consumers and dealers to lose trust in us, which could have an adverse effect on our business. Additionally, if any third party that we share information with experiences a security breach or fails to comply with its privacy-related legal obligations or commitments to us, such matters may put consumer or dealer information at risk and could in turn expose us to claims for damages or regulatory fines or penalties and harm our reputation, business, and operating results.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 the future be subject to intellectual property disputes, which are costly to defend and could harm our business and operating results.</w:t>
      </w:r>
    </w:p>
    <w:p>
      <w:pPr>
        <w:spacing w:after="0" w:line="140"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We may from time to time face allegations that we have infringed the trademarks, copyrights, patents, and other intellectual property rights of third parties, including from our competitors or non-practicing entities, or may learn of possible infringement to our trademarks, copyrights, patents, and other intellectual property. We could also be subject to lawsuits where consumers and dealers posting content on our websites disseminate materials that infringe the intellectual property rights of third parties. We have encountered lawsuits in the past containing allegations of intellectual property infringement.</w:t>
      </w:r>
    </w:p>
    <w:p>
      <w:pPr>
        <w:spacing w:after="0" w:line="15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Patent and other intellectual property litigation may be protracted and expensive, and the results are difficult to predict and may require us to stop offering some features, purchase licenses, or modify our marketplace and features while we develop non-infringing substitutes or may result in significant settlement costs.</w:t>
      </w:r>
    </w:p>
    <w:p>
      <w:pPr>
        <w:spacing w:after="0" w:line="18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In addition, we use open source software in our platform and will use open source software in the future. From time to time, we may face claims from companies that incorporate open source software into their products, claiming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 or services, any of which would have a negative effect on our business and operating results.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jc w:val="both"/>
        <w:ind w:firstLine="518"/>
        <w:spacing w:after="0" w:line="277" w:lineRule="auto"/>
        <w:rPr>
          <w:sz w:val="20"/>
          <w:szCs w:val="20"/>
          <w:color w:val="auto"/>
        </w:rPr>
      </w:pPr>
      <w:r>
        <w:rPr>
          <w:rFonts w:ascii="Arial" w:cs="Arial" w:eastAsia="Arial" w:hAnsi="Arial"/>
          <w:sz w:val="18"/>
          <w:szCs w:val="18"/>
          <w:color w:val="auto"/>
        </w:rPr>
        <w:t>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our intellectual property could harm our business and operating results.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websites features, software, and functionality or obtain and use information that we consider proprietary.</w:t>
      </w:r>
    </w:p>
    <w:p>
      <w:pPr>
        <w:spacing w:after="0" w:line="19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Competitors may adopt service names similar to ours, thereby harming our ability to build brand identity and possibly leading to user confusion. In addition, there could be potential trade name or trademark infringement claims brought by owners of other registered trademarks, or trademarks that incorporate variations of the term “CarGurus.” If we are restricted in any way in registering our CARGURUS mark in international markets, it could impact our ability to establish and grow our business in Europe and other countries. Also, while we have registered the CARGURUS and CG logos in the EU and the United Kingdom, as well as the word-mark CARGURUS in France, Spain, the United Kingdom and (for a subset of services) Ireland, we are not able to register the word-mark CARGURUS in the EU and Germany as the mark was deemed to be non-distinctive, and thus unregisterable. We may be unable to register CARGURUS, the word-mark, in certain other countries in the EU. If we are unable to register the CARGURUS word-mark in any country, it may limit our ability to challenge unauthorized users of marks that are the same as or similar to CARGURUS.</w:t>
      </w:r>
    </w:p>
    <w:p>
      <w:pPr>
        <w:spacing w:after="0" w:line="17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currently hold the “CarGurus.com” internet domain name and various other related domain names.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 CarGurus. In addition, third parties may create copycat or squatter domains to deceive consumers, which could harm our brand, interfere with our ability to register domain names, and result in additional costs.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other proprietary information.</w:t>
      </w:r>
    </w:p>
    <w:p>
      <w:pPr>
        <w:spacing w:after="0" w:line="14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In order to protect our technologies and processes, we rely in part on confidentiality agreements with our employees, independent contractors, and other advisors. These agreements may not effectively prevent disclosure of confidential information, including trade secrets, and may not provide an adequate remedy in the event of unauthorized disclosure of confidential information. Others may also independently discover our trade secrets and proprietary information, and in such cases we may not be able to assert our trade secret rights against such parties. To the extent that our employees, contractors, or other third parties with whom we do business use intellectual property owned by others in their work for us, disputes may arise as to the rights to related or resulting know-how and inventions. The loss of confidential information or intellectual property rights, including trade secret protection, could make it easier for third parties to compete with our products.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reputation, and competitive position.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halt the operations of websites that aggregate or misappropriate our data.</w:t>
      </w:r>
    </w:p>
    <w:p>
      <w:pPr>
        <w:spacing w:after="0" w:line="117"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From time to time, third parties may misappropriate our data through website scraping, robots, or other means and aggregate this data on their websites with data from other companies. In addition, copycat websites may misappropriate data in our marketplace and attempt to imitate our brand or the functionality of our websites. If we become aware of such activities, we intend to employ technological or legal measures in an attempt to halt their operations. However, we may be unable to detect all such activities in a timely manner and, even if we could, technological and legal measures may be insufficient to halt their operations. In some cases, particularly in the case of entities operating outside of the United States, our available remedies may not be adequate to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 and business could be harmed.</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We have incurred operating losses in the past and we may generate losses in the future.</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have incurred net operating losses in the past. Although we have experienced significant growth in revenue, our revenue growth rate is likely to continue to decline in the future as a result of a variety of factors. Our international expansion and new product launches may cause our costs to increase in future periods as we continue to expend substantial financial resources to enter into those markets and promote the new products, as applicable. Our costs may also increase due to general administrative expenses, such as legal and accounting expenses related to being a public company. If we fail to increase our revenue or manage these additional costs, we may incur losses in the future.</w:t>
      </w: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Complying with the laws and regulations affecting public companies has increased and will continue to increase our costs and the demands on management and could harm our operating results.</w:t>
      </w:r>
    </w:p>
    <w:p>
      <w:pPr>
        <w:spacing w:after="0" w:line="62"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As a public company, we are incurring significant legal, accounting, and other expenses that we did not incur as a private company and these expenses are increasing as we ceased being an “emerging growth company,” as defined in the Jumpstart Our Business Startups Act of 2012, or the JOBS Act, as of December 31, 2018. In addition, the Sarbanes-Oxley Act of 2002, or the Sarbanes-Oxley Act, and rules subsequently implemented by the SEC and the Nasdaq Stock Market, or Nasdaq, impose various requirements on public companies, including requiring certain corporate governance practices. Our management and other personnel devote and expect to continue to devote a substantial amount of time to these compliance initiatives. Moreover, these rules and regulations have increased and will continue to increase our legal, accounting, and financial compliance costs and have made and will continue to make some activities more time consuming and costly. These rules and regulations could also make it more difficult for us to attract and retain qualified persons to serve on our board of directors or our board committees or as executive officers.</w:t>
      </w:r>
    </w:p>
    <w:p>
      <w:pPr>
        <w:spacing w:after="0" w:line="17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addition, the Sarbanes-Oxley Act requires, among other things, that we assess the effectiveness of our internal control over financial reporting annually and the effectiveness of our disclosure controls and procedures quarterly. In particular, as we are now a large accelerated filer, our independent registered public accounting firm is required to attest to the effectiveness of our internal control over financial reporting, pursuant to Section 404 of the Sarbanes-Oxley Act, or Section 404, and the cost of our compliance with Section 404 has correspondingly increased. Our compliance with applicable provisions of Section 404 requires that we incur substantial accounting expense and expend significant management time on compliance-related issues as we implement additional corporate governance practices and comply with reporting requirements.</w:t>
      </w:r>
    </w:p>
    <w:p>
      <w:pPr>
        <w:spacing w:after="0" w:line="2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must maintain proper and effective internal controls over financial reporting and any failure to maintain the adequacy of these internal controls may adversely affect investor confidence in our company and, as a result, the value of our Class A common stock could decline.</w:t>
      </w:r>
    </w:p>
    <w:p>
      <w:pPr>
        <w:spacing w:after="0" w:line="38"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We are required, pursuant to Section 404 and the related rules adopted by the SEC,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During the evaluation and testing process, if we identify and fail to remediate one or more material weaknesses in our internal control over financial reporting, we will be unable to assert that our internal controls are effective.</w:t>
      </w:r>
    </w:p>
    <w:p>
      <w:pPr>
        <w:spacing w:after="0" w:line="154"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In addition, our independent registered public accounting firm must attest to the effectiveness of our internal control over financial reporting under Section 404. Our independent registered public accounting firm may issue a report that is adverse to us in the event it is not satisfied with the level at which our controls are documented, designed or operating. We may not be able to remediate any future material weaknesses, or to complete our evaluation, testing and any required remediation in a timely fashion. We are also required to disclose significant changes made to our internal control procedures on a quarterly basis. Our compliance with Section 404 will require that we incur substantial accounting expense and expend significant management efforts.</w:t>
      </w:r>
    </w:p>
    <w:p>
      <w:pPr>
        <w:spacing w:after="0" w:line="15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Any failure to maintain internal control over financial reporting could severely inhibit our ability to accurately report our financial condition or results of operations. If we are unable to assert that our internal control over financial reporting is effective or our independent registered public accounting firm is unable to express an opinion on the effectiveness of our internal control over financial reporting when it is required to issue such opinion, we could lose investor confidence in the accuracy and completeness of our financial reports, the market price of our Class A common stock could decline, and we could be subject to sanctions or investigations by Nasdaq, the SEC or other regulatory authorities.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Seasonality may cause fluctuations in our operating results.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Across the retail automotive industry, consumer purchases typically increase through the first three quarters of each year, due in part to the introduction of new vehicle models from manufacturers, and our consumer-marketing spend generally grows accordingly. As consumer purchases slow in the fourth quarter, our rate of marketing spend typically also slows. This seasonality has not been immediately apparent historically due to the overall growth of other operating expenses. As our growth rates begin to moderate, the impact of these seasonality trends on our results of operations could become more pronounced.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results of operations to fluctuate on a quarterly and annual basis.</w:t>
      </w:r>
    </w:p>
    <w:p>
      <w:pPr>
        <w:spacing w:after="0" w:line="117"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Our revenue and results of operations could vary significantly from period to period and may fail to match expectations as a result of a variety of factors, some of which are outside of our control. Our results may vary as a result of fluctuations in the number of dealers subscribing to our marketplace and the size and seasonal variability of our advertisers’ marketing budgets.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public market analysts who follow us, which may adversely affect our stock price.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17" w:lineRule="exact"/>
        <w:rPr>
          <w:sz w:val="20"/>
          <w:szCs w:val="20"/>
          <w:color w:val="auto"/>
        </w:rPr>
      </w:pPr>
    </w:p>
    <w:p>
      <w:pPr>
        <w:jc w:val="both"/>
        <w:ind w:firstLine="518"/>
        <w:spacing w:after="0" w:line="219" w:lineRule="exact"/>
        <w:rPr>
          <w:sz w:val="20"/>
          <w:szCs w:val="20"/>
          <w:color w:val="auto"/>
        </w:rPr>
      </w:pPr>
      <w:r>
        <w:rPr>
          <w:rFonts w:ascii="Arial" w:cs="Arial" w:eastAsia="Arial" w:hAnsi="Arial"/>
          <w:sz w:val="17"/>
          <w:szCs w:val="17"/>
          <w:color w:val="auto"/>
        </w:rPr>
        <w:t>Members of our management team have limited experience managing a publicly traded company, interacting with public company investors, and complying with the increasingly complex laws pertaining to public companies. Our management team may not successfully or efficiently manage a public company that is subject to significant regulatory oversight and reporting obligations under the federal securities laws and the scrutiny of securities analysts and investors. These obligations and constituents require significant attention from our management team and may divert their attention away from the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management of our business, which could materially adversely affect our business, financial condition and operating results.</w:t>
      </w:r>
    </w:p>
    <w:p>
      <w:pPr>
        <w:spacing w:after="0" w:line="31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require additional capital to pursue our business objectives and respond to business opportunities, challenges, or unforeseen circumstances. If capital is not available to us, our business, operating results, financial condition, and prospects could be adversely affected.</w:t>
      </w:r>
    </w:p>
    <w:p>
      <w:pPr>
        <w:spacing w:after="0" w:line="16"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intend to continue to make investments to support our growth and may require additional capital to pursue our business objectives and respond to business opportunities, challenges, or unforeseen circumstances, including to increase our marketing expenditures to improve our brand awareness, develop new products, further improve our marketplace and existing products, enhance our operating infrastructure, expand internationally and acquire complementary businesses and technologies. Accordingly, we may need to engage in equity or debt financings to secure additional funds. However, additional funds may not be available when we need them on terms that are acceptable to us or at all. Volatility in the credit markets may also have an adverse effect on our ability to obtain debt financing.</w:t>
      </w:r>
    </w:p>
    <w:p>
      <w:pPr>
        <w:spacing w:after="0" w:line="19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subject to adverse changes in applicable tax laws, regulations and interpretations, as well as challenges to our tax positions.</w:t>
      </w:r>
    </w:p>
    <w:p>
      <w:pPr>
        <w:spacing w:after="0" w:line="14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are subject to taxation in the United States and certain other jurisdictions in which we operate. Changes in applicable tax laws or regulations may be proposed or enacted that could materially and adversely affect our effective tax rate, tax payments, results of operations, financial condition and cash flows.</w:t>
      </w:r>
    </w:p>
    <w:p>
      <w:pPr>
        <w:spacing w:after="0" w:line="18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 xml:space="preserve">In addition, tax laws and regulations are complex and subject to varying interpretations. On June 21, 2018, the United States Supreme Court issued its decision in </w:t>
      </w:r>
      <w:r>
        <w:rPr>
          <w:rFonts w:ascii="Arial" w:cs="Arial" w:eastAsia="Arial" w:hAnsi="Arial"/>
          <w:sz w:val="18"/>
          <w:szCs w:val="18"/>
          <w:i w:val="1"/>
          <w:iCs w:val="1"/>
          <w:color w:val="auto"/>
        </w:rPr>
        <w:t>South Dakota v. Wayfair, Inc.</w:t>
      </w:r>
      <w:r>
        <w:rPr>
          <w:rFonts w:ascii="Arial" w:cs="Arial" w:eastAsia="Arial" w:hAnsi="Arial"/>
          <w:sz w:val="18"/>
          <w:szCs w:val="18"/>
          <w:color w:val="auto"/>
        </w:rPr>
        <w:t>, the Wayfair Decision, which overturned prior case law that held that out-of-state merchants were not required to collect sales taxes unless they had a physical presence in the buyer’s state. Although we currently believe that the Wayfair Decision is unlikely to have a material effect on our business, it has created uncertainty over sales tax liability, and could precipitate reactions by legislators, regulators and courts that could adversely increase our tax administrative costs and tax risk, and negatively affect our overall business, results of operations, financial condition and cash flows.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jc w:val="both"/>
        <w:ind w:firstLine="518"/>
        <w:spacing w:after="0" w:line="270" w:lineRule="auto"/>
        <w:rPr>
          <w:sz w:val="20"/>
          <w:szCs w:val="20"/>
          <w:color w:val="auto"/>
        </w:rPr>
      </w:pPr>
      <w:r>
        <w:rPr>
          <w:rFonts w:ascii="Arial" w:cs="Arial" w:eastAsia="Arial" w:hAnsi="Arial"/>
          <w:sz w:val="18"/>
          <w:szCs w:val="18"/>
          <w:color w:val="auto"/>
        </w:rPr>
        <w:t>We are also regularly subject to audits by tax authorities. For example, we are currently under audit by the Internal Revenue Service with respect to our 2016 federal income taxes and 2016, 2017 and 2018 federal employment taxes. Any adverse development or outcome in connection with these tax audits, and any other audits or litigation, could materially and adversely impact our effective tax rate, tax payments, results of operations, financial condition and cash flows.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62"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Primarily by virtue of his holdings in shares of our Class B common stock, which has a ten-to-one voting ratio compared to our Class A common stock, Langley Steinert, our founder, Chief Executive Officer and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has limited voting power relative to the Class B common stock, and might harm the trading price of our Class A common stock. In addition, Mr. Steinert has the ability to control the management and major strategic investments of our company as a result of his positions as our Chief Executive Officer and Chairman, and his ability to control the election or replacement of our directors. As a board member and officer, Mr. Steinert owes a fiduciary duty to our stockholders and must act in good faith in a manner he reasonably believes to be in the best interests of our stockholders. If Mr. Steinert’s status as an officer and director is terminated, his fiduciary duties to our stockholders will also terminate, but his voting power as a stockholder will not be reduced as a result of such termination unless such termination is either made voluntarily by Mr. Steinert, due to Mr. Steinert’s death, or if the sum of the number of shares of our capital stock held by Mr. Steinert, by any Family Member of Mr. Steinert, and by any Permitted Entity of Mr. Steinert (as such terms are defined in our amended and restated certificate of incorporation),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spacing w:after="0" w:line="17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multiple class structure of our common stock has the effect of concentrating voting control with our founder and certain other holders of our Class B common stock, which will limit or preclude the ability of our stockholders to influence corporate matters.</w:t>
      </w:r>
    </w:p>
    <w:p>
      <w:pPr>
        <w:spacing w:after="0" w:line="62"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Our Class B common stock has ten votes per share and our Class A common stock has one vote per share. Stockholders who hold shares of Class B common stock, including certain of our executive officers, employees, and directors and their affiliates, together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the ability of our stockholders to influence corporate matters for the foreseeable future.</w:t>
      </w:r>
    </w:p>
    <w:p>
      <w:pPr>
        <w:spacing w:after="0" w:line="16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Transfers by holders of Class B common stock will generally result in those shares converting into Class A common stock, subject to limited exceptions, such as certain transfers effected for estate planning or charitable purposes. The conversion of Class B common stock into Class A common stock will have the effect, over time, of increasing the relative voting power of those holders of Class B common stock who retain their shares in the long term. If, for example, Mr. Steinert retains a significant portion of his holdings of Class B common stock for an extended period of time, he could, in the future, continue to control a majority of the combined voting power of our outstanding capital stock.</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spacing w:after="0"/>
        <w:rPr>
          <w:sz w:val="20"/>
          <w:szCs w:val="20"/>
          <w:color w:val="auto"/>
        </w:rPr>
      </w:pPr>
      <w:r>
        <w:rPr>
          <w:rFonts w:ascii="Arial" w:cs="Arial" w:eastAsia="Arial" w:hAnsi="Arial"/>
          <w:sz w:val="15"/>
          <w:szCs w:val="15"/>
          <w:b w:val="1"/>
          <w:bCs w:val="1"/>
          <w:i w:val="1"/>
          <w:iCs w:val="1"/>
          <w:color w:val="auto"/>
        </w:rPr>
        <w:t>The price of our Class A common stock has been and may continue to be volatile and the value of our stockholders’ investment in our stock could decline.</w:t>
      </w:r>
    </w:p>
    <w:p>
      <w:pPr>
        <w:spacing w:after="0" w:line="152"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trading price of our Class A common stock has been and may continue to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w:t>
      </w:r>
    </w:p>
    <w:p>
      <w:pPr>
        <w:spacing w:after="0" w:line="39" w:lineRule="exact"/>
        <w:rPr>
          <w:sz w:val="20"/>
          <w:szCs w:val="20"/>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17"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any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changes in our operating results or fluctuations in our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significant change in our management;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conditions in the automobile industry;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In addition, the stock market in general, and the market for technology companies in particular, have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litigations have often been instituted against these companies. Litigation of this type, if instituted against us, could result in substantial costs and a diversion of our management’s attention and resources.</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exclusion of our Class A common stock from major stock indexes could adversely affect the trading market and price of our Class A common stock.</w:t>
      </w:r>
    </w:p>
    <w:p>
      <w:pPr>
        <w:spacing w:after="0" w:line="15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Several major stock index providers have announced they will begin to exclude, or are considering plans to exclude, from their indexes the securities of companies with unequal voting rights such as ours. Exclusion from stock indexes could make it more difficult, or impossible, for some fund managers to buy the excluded securities, particularly in the case of index tracking mutual funds and exchange traded funds. The exclusion of our Class A common stock from major stock indexes could adversely affect the trading market and price of our Class A common stock.</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provisions of our amended and restated certificate of incorporation and amended and restated bylaws, and provisions of Delaware law, may have the effect of rendering more difficult, delaying, or preventing an acquisition deemed undesirable by our board of directors. Our corporate governance documents include provisions:</w:t>
      </w:r>
    </w:p>
    <w:p>
      <w:pPr>
        <w:spacing w:after="0" w:line="73" w:lineRule="exact"/>
        <w:rPr>
          <w:sz w:val="20"/>
          <w:szCs w:val="20"/>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117" w:lineRule="exact"/>
        <w:rPr>
          <w:rFonts w:ascii="Arial" w:cs="Arial" w:eastAsia="Arial" w:hAnsi="Arial"/>
          <w:sz w:val="18"/>
          <w:szCs w:val="18"/>
          <w:color w:val="auto"/>
        </w:rPr>
      </w:pPr>
    </w:p>
    <w:p>
      <w:pPr>
        <w:jc w:val="both"/>
        <w:ind w:left="900" w:hanging="379"/>
        <w:spacing w:after="0" w:line="279"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authorizing “blank check” preferred stock, which may contain voting, liquidation, dividend, and other rights superior to our Class A common stock and which, from and after the date, referred to as the threshold date, on which the votes applicable to the Class A common stock and Class B common stock controlled by Mr. Steinert represent less than a majority of the aggregate votes applicable to all shares of the outstanding Class A common stock and Class B common stock, could be issued by our board of directors without stockholder approval;</w:t>
      </w:r>
    </w:p>
    <w:p>
      <w:pPr>
        <w:spacing w:after="0" w:line="63" w:lineRule="exact"/>
        <w:rPr>
          <w:rFonts w:ascii="Arial" w:cs="Arial" w:eastAsia="Arial" w:hAnsi="Arial"/>
          <w:sz w:val="17"/>
          <w:szCs w:val="17"/>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17"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ability, from and after the threshold date, of stockholders to amend our amended and restated certificate of incorporation;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ability, from and after the threshold date, of stockholders to fill vacant directorships and remove directors;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prohibiting cumulative voting by stockholders.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includes a forum selection clause, which could limit our stockholders’ ability to obtain a favorable judicial forum for disputes with us.</w:t>
      </w:r>
    </w:p>
    <w:p>
      <w:pPr>
        <w:spacing w:after="0" w:line="6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behalf of us; (ii) any action asserting a claim of breach of a fiduciary duty owed by any of our directors, officers or other employees or agents to us or to our stockholders; (iii) any action asserting a claim against us arising pursuant to any provision of the Delaware General Corporation Law or our amended and restated certificate of incorporation or amended and restated bylaws; (iv) any action to interpret, apply, enforce or determine the validity of our amended and restated certificate of incorporation or our amended and restated bylaws; or (v) any action asserting a claim against us or any of our directors, officers, or other employees or agents governed by the internal affairs doctrine. Any person or entity purchasing or otherwise acquiring any interest in shares of our capital stock is deemed to have notice of and have consented to the foregoing provisions. This forum selection provision in our amended and restated certificate of incorporation may limit our stockholders’ ability to obtain a favorable judicial forum for disputes with us. It is also possible that, notwithstanding the forum selection clause included in our amended and restated certificate of incorporation, a court could rule that such a provision is inapplicable or unenforceable.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may publish about us, our business, our market, and our competitors. If any of the analysts that covers us changes its recommendation regarding our stock adversely, or provides more favorable relative recommendations about our competitors, our stock price would likely decline. If any analyst that covers us were to cease coverage of our company or fail to regularly publish reports on us, we could lose visibility in the financial markets, which in turn could cause our stock price or trading volume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expansion of our business, and we do not expect to declare or pay any cash dividends in the foreseeable future. As a result, our stockholders may only receive a return on their investment in our Class A common stock if the trading price of their shares increases.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status as a “controlled company” could make our Class A common stock less attractive to some investors or otherwise harm our stock price.</w:t>
      </w:r>
    </w:p>
    <w:p>
      <w:pPr>
        <w:spacing w:after="0" w:line="14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More than 50% of our voting power is held by Mr. Steinert. As a result, we are a “controlled company” under the corporate governance rules for Nasdaq-listed companies. Under these rules, a company of which more than 50% of the voting power is held by an individual, a group or another company is a controlled company and may elect not to comply with certain Nasdaq corporate governance requirements, including:</w:t>
      </w:r>
    </w:p>
    <w:p>
      <w:pPr>
        <w:spacing w:after="0" w:line="73" w:lineRule="exact"/>
        <w:rPr>
          <w:sz w:val="20"/>
          <w:szCs w:val="20"/>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as defined under the rules of Nasdaq;</w:t>
      </w:r>
    </w:p>
    <w:p>
      <w:pPr>
        <w:spacing w:after="0" w:line="117" w:lineRule="exact"/>
        <w:rPr>
          <w:rFonts w:ascii="Arial" w:cs="Arial" w:eastAsia="Arial" w:hAnsi="Arial"/>
          <w:sz w:val="18"/>
          <w:szCs w:val="18"/>
          <w:color w:val="auto"/>
        </w:rPr>
      </w:pPr>
    </w:p>
    <w:p>
      <w:pPr>
        <w:ind w:left="900" w:right="20" w:hanging="379"/>
        <w:spacing w:after="0" w:line="30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requirement that we have a compensation committee that is composed entirely of directors meeting Nasdaq independence standards applicable to compensation committee members with a written charter addressing the committee’s purpose and responsibilities;</w:t>
      </w:r>
    </w:p>
    <w:p>
      <w:pPr>
        <w:spacing w:after="0" w:line="38" w:lineRule="exact"/>
        <w:rPr>
          <w:rFonts w:ascii="Arial" w:cs="Arial" w:eastAsia="Arial" w:hAnsi="Arial"/>
          <w:sz w:val="17"/>
          <w:szCs w:val="17"/>
          <w:color w:val="auto"/>
        </w:rPr>
      </w:pPr>
    </w:p>
    <w:p>
      <w:pPr>
        <w:ind w:left="900" w:hanging="379"/>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responsible for the hiring and overseeing of persons acting as compensation consultants and be required to consider certain independence factors when engaging such persons; and</w:t>
      </w:r>
    </w:p>
    <w:p>
      <w:pPr>
        <w:spacing w:after="0" w:line="62" w:lineRule="exact"/>
        <w:rPr>
          <w:rFonts w:ascii="Arial" w:cs="Arial" w:eastAsia="Arial" w:hAnsi="Arial"/>
          <w:sz w:val="18"/>
          <w:szCs w:val="18"/>
          <w:color w:val="auto"/>
        </w:rPr>
      </w:pPr>
    </w:p>
    <w:p>
      <w:pPr>
        <w:jc w:val="both"/>
        <w:ind w:left="900" w:hanging="379"/>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that director nominees either be selected, or recommended for board of directors’ selection, either by “independent directors” as defined under the rules of Nasdaq constituting a majority of the board of director’s independent directors in a vote in which only independent directors participate, or by a nominations committee comprised solely of independent directors.</w:t>
      </w:r>
    </w:p>
    <w:p>
      <w:pPr>
        <w:spacing w:after="0" w:line="22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have relied on certain or all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2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As of December 31, 2018, we ceased being an emerging growth company and, as a result, we have incurred and expect to continue to incur significant additional legal and financial compliance costs by complying with increased disclosure and governance requirements.</w:t>
      </w:r>
    </w:p>
    <w:p>
      <w:pPr>
        <w:spacing w:after="0" w:line="3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of December 31, 2018, as a result of our market capitalization as of June 29, 2018 (and our having been public for at least 12 months as of December 31, 2018 and our having filed our 2017 Annual Report with the SEC), we became a large accelerated filer and ceased being an emerging growth company. Therefore, we are subject to certain requirements that apply to other public companies but did not previously apply to us due to our status as an emerging growth company. These requirements include:</w:t>
      </w:r>
    </w:p>
    <w:p>
      <w:pPr>
        <w:spacing w:after="0" w:line="79" w:lineRule="exact"/>
        <w:rPr>
          <w:sz w:val="20"/>
          <w:szCs w:val="20"/>
          <w:color w:val="auto"/>
        </w:rPr>
      </w:pPr>
    </w:p>
    <w:p>
      <w:pPr>
        <w:ind w:left="900" w:hanging="379"/>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provisions of Section 404 requiring that our independent registered public accounting firm provide an attestation report on the effectiveness of our internal control over financial reporting;</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Exchange Act; and</w:t>
      </w:r>
    </w:p>
    <w:p>
      <w:pPr>
        <w:spacing w:after="0" w:line="140" w:lineRule="exact"/>
        <w:rPr>
          <w:rFonts w:ascii="Arial" w:cs="Arial" w:eastAsia="Arial" w:hAnsi="Arial"/>
          <w:sz w:val="16"/>
          <w:szCs w:val="16"/>
          <w:color w:val="auto"/>
        </w:rPr>
      </w:pPr>
    </w:p>
    <w:p>
      <w:pPr>
        <w:jc w:val="both"/>
        <w:ind w:left="900" w:hanging="379"/>
        <w:spacing w:after="0" w:line="30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Wall Street Reform and Consumer Protection Act, or the Dodd-Frank Act, and some of the disclosure requirements of the Dodd-Frank Act relating to compensation of our Chief Executive Officer.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jc w:val="both"/>
        <w:ind w:right="20" w:firstLine="518"/>
        <w:spacing w:after="0" w:line="264" w:lineRule="auto"/>
        <w:rPr>
          <w:sz w:val="20"/>
          <w:szCs w:val="20"/>
          <w:color w:val="auto"/>
        </w:rPr>
      </w:pPr>
      <w:r>
        <w:rPr>
          <w:rFonts w:ascii="Arial" w:cs="Arial" w:eastAsia="Arial" w:hAnsi="Arial"/>
          <w:sz w:val="18"/>
          <w:szCs w:val="18"/>
          <w:color w:val="auto"/>
        </w:rPr>
        <w:t>We have already incurred significant additional legal and financial compliance costs in connection with our loss of emerging growth company status. We expect that our compliance with these additional requirements, including the provisions of Section 404, will continue to substantially increase our legal and financial compliance costs and make some activities more time consuming and costly.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or incorporated by reference into this Quarterly Report.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20" w:type="dxa"/>
            <w:vAlign w:val="bottom"/>
            <w:gridSpan w:val="4"/>
          </w:tcPr>
          <w:p>
            <w:pPr>
              <w:jc w:val="center"/>
              <w:ind w:left="48"/>
              <w:spacing w:after="0"/>
              <w:rPr>
                <w:sz w:val="20"/>
                <w:szCs w:val="20"/>
                <w:color w:val="auto"/>
              </w:rPr>
            </w:pPr>
            <w:r>
              <w:rPr>
                <w:rFonts w:ascii="Arial" w:cs="Arial" w:eastAsia="Arial" w:hAnsi="Arial"/>
                <w:sz w:val="14"/>
                <w:szCs w:val="14"/>
                <w:b w:val="1"/>
                <w:bCs w:val="1"/>
                <w:color w:val="auto"/>
                <w:w w:val="93"/>
              </w:rPr>
              <w:t>Incorporated by Reference</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3"/>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960" w:type="dxa"/>
            <w:vAlign w:val="bottom"/>
            <w:gridSpan w:val="3"/>
            <w:vMerge w:val="continue"/>
          </w:tcPr>
          <w:p>
            <w:pPr>
              <w:spacing w:after="0"/>
              <w:rPr>
                <w:sz w:val="11"/>
                <w:szCs w:val="11"/>
                <w:color w:val="auto"/>
              </w:rPr>
            </w:pPr>
          </w:p>
        </w:tc>
        <w:tc>
          <w:tcPr>
            <w:tcW w:w="4700" w:type="dxa"/>
            <w:vAlign w:val="bottom"/>
            <w:gridSpan w:val="19"/>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Form</w:t>
            </w:r>
          </w:p>
        </w:tc>
        <w:tc>
          <w:tcPr>
            <w:tcW w:w="76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File</w:t>
            </w:r>
          </w:p>
        </w:tc>
        <w:tc>
          <w:tcPr>
            <w:tcW w:w="500" w:type="dxa"/>
            <w:vAlign w:val="bottom"/>
          </w:tcPr>
          <w:p>
            <w:pPr>
              <w:spacing w:after="0"/>
              <w:rPr>
                <w:sz w:val="11"/>
                <w:szCs w:val="11"/>
                <w:color w:val="auto"/>
              </w:rPr>
            </w:pPr>
          </w:p>
        </w:tc>
        <w:tc>
          <w:tcPr>
            <w:tcW w:w="132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4"/>
              </w:rPr>
              <w:t>Filing Date</w:t>
            </w:r>
          </w:p>
        </w:tc>
        <w:tc>
          <w:tcPr>
            <w:tcW w:w="128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Exhibit</w:t>
            </w:r>
          </w:p>
        </w:tc>
        <w:tc>
          <w:tcPr>
            <w:tcW w:w="760" w:type="dxa"/>
            <w:vAlign w:val="bottom"/>
          </w:tcPr>
          <w:p>
            <w:pPr>
              <w:spacing w:after="0" w:line="133"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71"/>
        </w:trPr>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4700" w:type="dxa"/>
            <w:vAlign w:val="bottom"/>
            <w:gridSpan w:val="19"/>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Number</w:t>
            </w:r>
          </w:p>
        </w:tc>
        <w:tc>
          <w:tcPr>
            <w:tcW w:w="760" w:type="dxa"/>
            <w:vAlign w:val="bottom"/>
          </w:tcPr>
          <w:p>
            <w:pP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auto"/>
            </w:tcBorders>
          </w:tcPr>
          <w:p>
            <w:pPr>
              <w:ind w:left="80"/>
              <w:spacing w:after="0" w:line="170"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4"/>
                <w:szCs w:val="14"/>
                <w:color w:val="auto"/>
              </w:rPr>
            </w:pPr>
          </w:p>
        </w:tc>
        <w:tc>
          <w:tcPr>
            <w:tcW w:w="4360" w:type="dxa"/>
            <w:vAlign w:val="bottom"/>
            <w:tcBorders>
              <w:top w:val="single" w:sz="8" w:color="auto"/>
              <w:bottom w:val="single" w:sz="8" w:color="0000EE"/>
            </w:tcBorders>
            <w:gridSpan w:val="13"/>
          </w:tcPr>
          <w:p>
            <w:pPr>
              <w:spacing w:after="0" w:line="170"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Consulting Agreement, dated April 1, 2019, by and between</w:t>
              </w:r>
            </w:hyperlink>
          </w:p>
        </w:tc>
        <w:tc>
          <w:tcPr>
            <w:tcW w:w="220" w:type="dxa"/>
            <w:vAlign w:val="bottom"/>
            <w:tcBorders>
              <w:top w:val="single" w:sz="8" w:color="auto"/>
            </w:tcBorders>
            <w:gridSpan w:val="5"/>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the Registrant and Oliver Chrzan.</w:t>
              </w:r>
            </w:hyperlink>
          </w:p>
        </w:tc>
        <w:tc>
          <w:tcPr>
            <w:tcW w:w="2260" w:type="dxa"/>
            <w:vAlign w:val="bottom"/>
            <w:gridSpan w:val="15"/>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color w:val="0000EE"/>
                <w:w w:val="97"/>
              </w:rPr>
            </w:pPr>
            <w:hyperlink w:anchor="page60">
              <w:r>
                <w:rPr>
                  <w:rFonts w:ascii="Arial" w:cs="Arial" w:eastAsia="Arial" w:hAnsi="Arial"/>
                  <w:sz w:val="18"/>
                  <w:szCs w:val="18"/>
                  <w:color w:val="0000EE"/>
                  <w:w w:val="97"/>
                </w:rPr>
                <w:t>Certification of Principal Executive Officer Pursuant to Rules</w:t>
              </w:r>
            </w:hyperlink>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13a-14(a) and 15d-14(a) under the Securities Exchange Act of</w:t>
              </w:r>
            </w:hyperlink>
          </w:p>
        </w:tc>
        <w:tc>
          <w:tcPr>
            <w:tcW w:w="200" w:type="dxa"/>
            <w:vAlign w:val="bottom"/>
            <w:gridSpan w:val="4"/>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color w:val="0000EE"/>
                <w:w w:val="98"/>
              </w:rPr>
            </w:pPr>
            <w:hyperlink w:anchor="page60">
              <w:r>
                <w:rPr>
                  <w:rFonts w:ascii="Arial" w:cs="Arial" w:eastAsia="Arial" w:hAnsi="Arial"/>
                  <w:sz w:val="18"/>
                  <w:szCs w:val="18"/>
                  <w:color w:val="0000EE"/>
                  <w:w w:val="98"/>
                </w:rPr>
                <w:t>1934, as Adopted Pursuant to Section 302 of the Sarbanes-</w:t>
              </w:r>
            </w:hyperlink>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60">
              <w:r>
                <w:rPr>
                  <w:rFonts w:ascii="Arial" w:cs="Arial" w:eastAsia="Arial" w:hAnsi="Arial"/>
                  <w:sz w:val="18"/>
                  <w:szCs w:val="18"/>
                  <w:color w:val="0000EE"/>
                  <w:w w:val="93"/>
                </w:rPr>
                <w:t>Oxley Act of 2002.</w:t>
              </w:r>
            </w:hyperlink>
          </w:p>
        </w:tc>
        <w:tc>
          <w:tcPr>
            <w:tcW w:w="2840" w:type="dxa"/>
            <w:vAlign w:val="bottom"/>
            <w:tcBorders>
              <w:top w:val="single" w:sz="8" w:color="0000EE"/>
            </w:tcBorders>
            <w:gridSpan w:val="7"/>
          </w:tcPr>
          <w:p>
            <w:pPr>
              <w:spacing w:after="0"/>
              <w:rPr>
                <w:sz w:val="17"/>
                <w:szCs w:val="17"/>
                <w:color w:val="auto"/>
              </w:rPr>
            </w:pPr>
          </w:p>
        </w:tc>
        <w:tc>
          <w:tcPr>
            <w:tcW w:w="460" w:type="dxa"/>
            <w:vAlign w:val="bottom"/>
            <w:gridSpan w:val="10"/>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410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61">
              <w:r>
                <w:rPr>
                  <w:rFonts w:ascii="Arial" w:cs="Arial" w:eastAsia="Arial" w:hAnsi="Arial"/>
                  <w:sz w:val="18"/>
                  <w:szCs w:val="18"/>
                  <w:color w:val="0000EE"/>
                  <w:w w:val="94"/>
                </w:rPr>
                <w:t>Certification of Principal Financial Officer and Principal</w:t>
              </w:r>
            </w:hyperlink>
          </w:p>
        </w:tc>
        <w:tc>
          <w:tcPr>
            <w:tcW w:w="600" w:type="dxa"/>
            <w:vAlign w:val="bottom"/>
            <w:gridSpan w:val="12"/>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color w:val="0000EE"/>
                <w:w w:val="94"/>
              </w:rPr>
            </w:pPr>
            <w:hyperlink w:anchor="page61">
              <w:r>
                <w:rPr>
                  <w:rFonts w:ascii="Arial" w:cs="Arial" w:eastAsia="Arial" w:hAnsi="Arial"/>
                  <w:sz w:val="18"/>
                  <w:szCs w:val="18"/>
                  <w:color w:val="0000EE"/>
                  <w:w w:val="94"/>
                </w:rPr>
                <w:t>Accounting Officer Pursuant to Rules 13a-14(a) and 15d-14(a)</w:t>
              </w:r>
            </w:hyperlink>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under the Securities Exchange Act of 1934, as Adopted</w:t>
              </w:r>
            </w:hyperlink>
          </w:p>
        </w:tc>
        <w:tc>
          <w:tcPr>
            <w:tcW w:w="180" w:type="dxa"/>
            <w:vAlign w:val="bottom"/>
            <w:gridSpan w:val="3"/>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color w:val="0000EE"/>
                <w:w w:val="98"/>
              </w:rPr>
            </w:pPr>
            <w:hyperlink w:anchor="page61">
              <w:r>
                <w:rPr>
                  <w:rFonts w:ascii="Arial" w:cs="Arial" w:eastAsia="Arial" w:hAnsi="Arial"/>
                  <w:sz w:val="18"/>
                  <w:szCs w:val="18"/>
                  <w:color w:val="0000EE"/>
                  <w:w w:val="98"/>
                </w:rPr>
                <w:t>Pursuant to Section 302 of the Sarbanes-Oxley Act of 2002.</w:t>
              </w:r>
            </w:hyperlink>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2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Certification of Principal Executive Officer Pursuant to 18</w:t>
              </w:r>
            </w:hyperlink>
          </w:p>
        </w:tc>
        <w:tc>
          <w:tcPr>
            <w:tcW w:w="100" w:type="dxa"/>
            <w:vAlign w:val="bottom"/>
            <w:tcBorders>
              <w:top w:val="single" w:sz="8" w:color="0000EE"/>
            </w:tcBorders>
            <w:gridSpan w:val="3"/>
          </w:tcPr>
          <w:p>
            <w:pPr>
              <w:spacing w:after="0"/>
              <w:rPr>
                <w:sz w:val="24"/>
                <w:szCs w:val="24"/>
                <w:color w:val="auto"/>
              </w:rPr>
            </w:pPr>
          </w:p>
        </w:tc>
        <w:tc>
          <w:tcPr>
            <w:tcW w:w="380" w:type="dxa"/>
            <w:vAlign w:val="bottom"/>
            <w:gridSpan w:val="8"/>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U.S.C. Section 1350, as Adopted Pursuant to Section 906 of</w:t>
              </w:r>
            </w:hyperlink>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the Sarbanes-Oxley Act of 2002.</w:t>
              </w:r>
            </w:hyperlink>
          </w:p>
        </w:tc>
        <w:tc>
          <w:tcPr>
            <w:tcW w:w="1960" w:type="dxa"/>
            <w:vAlign w:val="bottom"/>
            <w:tcBorders>
              <w:top w:val="single" w:sz="8" w:color="0000EE"/>
            </w:tcBorders>
            <w:gridSpan w:val="9"/>
          </w:tcPr>
          <w:p>
            <w:pPr>
              <w:spacing w:after="0"/>
              <w:rPr>
                <w:sz w:val="17"/>
                <w:szCs w:val="17"/>
                <w:color w:val="auto"/>
              </w:rPr>
            </w:pPr>
          </w:p>
        </w:tc>
        <w:tc>
          <w:tcPr>
            <w:tcW w:w="360" w:type="dxa"/>
            <w:vAlign w:val="bottom"/>
            <w:gridSpan w:val="7"/>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Certification of Principal Financial Officer and Principal</w:t>
              </w:r>
            </w:hyperlink>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60" w:type="dxa"/>
            <w:vAlign w:val="bottom"/>
            <w:gridSpan w:val="5"/>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Accounting Officer Pursuant to 18 U.S.C. Section 1350, as</w:t>
              </w:r>
            </w:hyperlink>
          </w:p>
        </w:tc>
        <w:tc>
          <w:tcPr>
            <w:tcW w:w="440" w:type="dxa"/>
            <w:vAlign w:val="bottom"/>
            <w:gridSpan w:val="9"/>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color w:val="0000EE"/>
                <w:w w:val="93"/>
              </w:rPr>
            </w:pPr>
            <w:hyperlink w:anchor="page63">
              <w:r>
                <w:rPr>
                  <w:rFonts w:ascii="Arial" w:cs="Arial" w:eastAsia="Arial" w:hAnsi="Arial"/>
                  <w:sz w:val="18"/>
                  <w:szCs w:val="18"/>
                  <w:color w:val="0000EE"/>
                  <w:w w:val="93"/>
                </w:rPr>
                <w:t>Adopted Pursuant to Section 906 of the Sarbanes-Oxley Act of</w:t>
              </w:r>
            </w:hyperlink>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2002.</w:t>
              </w:r>
            </w:hyperlink>
          </w:p>
        </w:tc>
        <w:tc>
          <w:tcPr>
            <w:tcW w:w="98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700" w:type="dxa"/>
            <w:vAlign w:val="bottom"/>
            <w:gridSpan w:val="19"/>
          </w:tcPr>
          <w:p>
            <w:pPr>
              <w:spacing w:after="0"/>
              <w:rPr>
                <w:sz w:val="20"/>
                <w:szCs w:val="20"/>
                <w:color w:val="auto"/>
              </w:rPr>
            </w:pPr>
            <w:r>
              <w:rPr>
                <w:rFonts w:ascii="Arial" w:cs="Arial" w:eastAsia="Arial" w:hAnsi="Arial"/>
                <w:sz w:val="18"/>
                <w:szCs w:val="18"/>
                <w:color w:val="auto"/>
                <w:w w:val="97"/>
              </w:rPr>
              <w:t>XBRL Instance Document – the instance document does not</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gridSpan w:val="19"/>
          </w:tcPr>
          <w:p>
            <w:pPr>
              <w:spacing w:after="0"/>
              <w:rPr>
                <w:sz w:val="20"/>
                <w:szCs w:val="20"/>
                <w:color w:val="auto"/>
              </w:rPr>
            </w:pPr>
            <w:r>
              <w:rPr>
                <w:rFonts w:ascii="Arial" w:cs="Arial" w:eastAsia="Arial" w:hAnsi="Arial"/>
                <w:sz w:val="18"/>
                <w:szCs w:val="18"/>
                <w:color w:val="auto"/>
                <w:w w:val="95"/>
              </w:rPr>
              <w:t>appear in the Interactive Data File because its XBRL tags are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00" w:type="dxa"/>
            <w:vAlign w:val="bottom"/>
            <w:gridSpan w:val="19"/>
          </w:tcPr>
          <w:p>
            <w:pPr>
              <w:spacing w:after="0"/>
              <w:rPr>
                <w:sz w:val="20"/>
                <w:szCs w:val="20"/>
                <w:color w:val="auto"/>
              </w:rPr>
            </w:pPr>
            <w:r>
              <w:rPr>
                <w:rFonts w:ascii="Arial" w:cs="Arial" w:eastAsia="Arial" w:hAnsi="Arial"/>
                <w:sz w:val="18"/>
                <w:szCs w:val="18"/>
                <w:color w:val="auto"/>
              </w:rPr>
              <w:t>embedded with the Inline XBRL document.</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9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4700" w:type="dxa"/>
            <w:vAlign w:val="bottom"/>
            <w:gridSpan w:val="19"/>
          </w:tcPr>
          <w:p>
            <w:pPr>
              <w:spacing w:after="0"/>
              <w:rPr>
                <w:sz w:val="20"/>
                <w:szCs w:val="20"/>
                <w:color w:val="auto"/>
              </w:rPr>
            </w:pPr>
            <w:r>
              <w:rPr>
                <w:rFonts w:ascii="Arial" w:cs="Arial" w:eastAsia="Arial" w:hAnsi="Arial"/>
                <w:sz w:val="18"/>
                <w:szCs w:val="18"/>
                <w:color w:val="auto"/>
              </w:rPr>
              <w:t>XBRL Taxonomy Extension Schema Document.</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4700" w:type="dxa"/>
            <w:vAlign w:val="bottom"/>
            <w:gridSpan w:val="19"/>
          </w:tcPr>
          <w:p>
            <w:pPr>
              <w:spacing w:after="0"/>
              <w:rPr>
                <w:sz w:val="20"/>
                <w:szCs w:val="20"/>
                <w:color w:val="auto"/>
              </w:rPr>
            </w:pPr>
            <w:r>
              <w:rPr>
                <w:rFonts w:ascii="Arial" w:cs="Arial" w:eastAsia="Arial" w:hAnsi="Arial"/>
                <w:sz w:val="18"/>
                <w:szCs w:val="18"/>
                <w:color w:val="auto"/>
                <w:w w:val="96"/>
              </w:rPr>
              <w:t>XBRL Taxonomy Extension Calculation Linkbase Document.</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05"/>
        </w:trPr>
        <w:tc>
          <w:tcPr>
            <w:tcW w:w="9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4700" w:type="dxa"/>
            <w:vAlign w:val="bottom"/>
            <w:gridSpan w:val="19"/>
          </w:tcPr>
          <w:p>
            <w:pPr>
              <w:spacing w:after="0"/>
              <w:rPr>
                <w:sz w:val="20"/>
                <w:szCs w:val="20"/>
                <w:color w:val="auto"/>
              </w:rPr>
            </w:pPr>
            <w:r>
              <w:rPr>
                <w:rFonts w:ascii="Arial" w:cs="Arial" w:eastAsia="Arial" w:hAnsi="Arial"/>
                <w:sz w:val="18"/>
                <w:szCs w:val="18"/>
                <w:color w:val="auto"/>
                <w:w w:val="99"/>
              </w:rPr>
              <w:t>XBRL Taxonomy Extension Definition Linkbase Document.</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05"/>
        </w:trPr>
        <w:tc>
          <w:tcPr>
            <w:tcW w:w="9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4700" w:type="dxa"/>
            <w:vAlign w:val="bottom"/>
            <w:gridSpan w:val="19"/>
          </w:tcPr>
          <w:p>
            <w:pPr>
              <w:spacing w:after="0"/>
              <w:rPr>
                <w:sz w:val="20"/>
                <w:szCs w:val="20"/>
                <w:color w:val="auto"/>
              </w:rPr>
            </w:pPr>
            <w:r>
              <w:rPr>
                <w:rFonts w:ascii="Arial" w:cs="Arial" w:eastAsia="Arial" w:hAnsi="Arial"/>
                <w:sz w:val="18"/>
                <w:szCs w:val="18"/>
                <w:color w:val="auto"/>
              </w:rPr>
              <w:t>XBRL Taxonomy Extension Label Linkbase Document.</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91"/>
        </w:trPr>
        <w:tc>
          <w:tcPr>
            <w:tcW w:w="9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4700" w:type="dxa"/>
            <w:vAlign w:val="bottom"/>
            <w:gridSpan w:val="19"/>
          </w:tcPr>
          <w:p>
            <w:pPr>
              <w:spacing w:after="0"/>
              <w:rPr>
                <w:sz w:val="20"/>
                <w:szCs w:val="20"/>
                <w:color w:val="auto"/>
              </w:rPr>
            </w:pPr>
            <w:r>
              <w:rPr>
                <w:rFonts w:ascii="Arial" w:cs="Arial" w:eastAsia="Arial" w:hAnsi="Arial"/>
                <w:sz w:val="18"/>
                <w:szCs w:val="18"/>
                <w:color w:val="auto"/>
                <w:w w:val="94"/>
              </w:rPr>
              <w:t>XBRL Taxonomy Extension Presentation Linkbase Document.</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gridSpan w:val="19"/>
          </w:tcPr>
          <w:p>
            <w:pPr>
              <w:spacing w:after="0"/>
              <w:rPr>
                <w:sz w:val="20"/>
                <w:szCs w:val="20"/>
                <w:color w:val="auto"/>
              </w:rPr>
            </w:pPr>
            <w:r>
              <w:rPr>
                <w:rFonts w:ascii="Arial" w:cs="Arial" w:eastAsia="Arial" w:hAnsi="Arial"/>
                <w:sz w:val="18"/>
                <w:szCs w:val="18"/>
                <w:color w:val="auto"/>
              </w:rPr>
              <w:t>The cover page from the Registrant’s Quarterly Report on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4700" w:type="dxa"/>
            <w:vAlign w:val="bottom"/>
            <w:gridSpan w:val="19"/>
          </w:tcPr>
          <w:p>
            <w:pPr>
              <w:spacing w:after="0"/>
              <w:rPr>
                <w:sz w:val="20"/>
                <w:szCs w:val="20"/>
                <w:color w:val="auto"/>
              </w:rPr>
            </w:pPr>
            <w:r>
              <w:rPr>
                <w:rFonts w:ascii="Arial" w:cs="Arial" w:eastAsia="Arial" w:hAnsi="Arial"/>
                <w:sz w:val="18"/>
                <w:szCs w:val="18"/>
                <w:color w:val="auto"/>
                <w:w w:val="96"/>
              </w:rPr>
              <w:t>Form 10-Q for the quarter ended June 30, 2019, formatted in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00" w:type="dxa"/>
            <w:vAlign w:val="bottom"/>
            <w:gridSpan w:val="19"/>
          </w:tcPr>
          <w:p>
            <w:pPr>
              <w:spacing w:after="0"/>
              <w:rPr>
                <w:sz w:val="20"/>
                <w:szCs w:val="20"/>
                <w:color w:val="auto"/>
              </w:rPr>
            </w:pPr>
            <w:r>
              <w:rPr>
                <w:rFonts w:ascii="Arial" w:cs="Arial" w:eastAsia="Arial" w:hAnsi="Arial"/>
                <w:sz w:val="18"/>
                <w:szCs w:val="18"/>
                <w:color w:val="auto"/>
              </w:rPr>
              <w:t>Inline XBRL.</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12090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117" w:lineRule="exact"/>
        <w:rPr>
          <w:sz w:val="20"/>
          <w:szCs w:val="20"/>
          <w:color w:val="auto"/>
        </w:rPr>
      </w:pPr>
    </w:p>
    <w:p>
      <w:pPr>
        <w:jc w:val="both"/>
        <w:ind w:left="380" w:right="20" w:hanging="372"/>
        <w:spacing w:after="0" w:line="26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accompany this Quarterly Report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2"/>
          </w:tcPr>
          <w:p>
            <w:pPr>
              <w:ind w:left="2200"/>
              <w:spacing w:after="0"/>
              <w:rPr>
                <w:sz w:val="20"/>
                <w:szCs w:val="20"/>
                <w:color w:val="auto"/>
              </w:rPr>
            </w:pPr>
            <w:r>
              <w:rPr>
                <w:rFonts w:ascii="Arial" w:cs="Arial" w:eastAsia="Arial" w:hAnsi="Arial"/>
                <w:sz w:val="18"/>
                <w:szCs w:val="18"/>
                <w:b w:val="1"/>
                <w:bCs w:val="1"/>
                <w:color w:val="auto"/>
              </w:rPr>
              <w:t>CarGurus, Inc.</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Date: August 6, 2019</w:t>
            </w:r>
          </w:p>
        </w:tc>
        <w:tc>
          <w:tcPr>
            <w:tcW w:w="7840" w:type="dxa"/>
            <w:vAlign w:val="bottom"/>
            <w:gridSpan w:val="2"/>
          </w:tcPr>
          <w:p>
            <w:pPr>
              <w:ind w:left="2200"/>
              <w:spacing w:after="0"/>
              <w:rPr>
                <w:sz w:val="20"/>
                <w:szCs w:val="20"/>
                <w:color w:val="auto"/>
              </w:rPr>
            </w:pPr>
            <w:r>
              <w:rPr>
                <w:rFonts w:ascii="Arial" w:cs="Arial" w:eastAsia="Arial" w:hAnsi="Arial"/>
                <w:sz w:val="18"/>
                <w:szCs w:val="18"/>
                <w:color w:val="auto"/>
              </w:rPr>
              <w:t>By: /s/ Langley Steinert</w:t>
            </w:r>
          </w:p>
        </w:tc>
      </w:tr>
      <w:tr>
        <w:trPr>
          <w:trHeight w:val="222"/>
        </w:trPr>
        <w:tc>
          <w:tcPr>
            <w:tcW w:w="35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Date: August 6, 2019</w:t>
            </w:r>
          </w:p>
        </w:tc>
        <w:tc>
          <w:tcPr>
            <w:tcW w:w="7840" w:type="dxa"/>
            <w:vAlign w:val="bottom"/>
            <w:gridSpan w:val="2"/>
          </w:tcPr>
          <w:p>
            <w:pPr>
              <w:ind w:left="2200"/>
              <w:spacing w:after="0"/>
              <w:rPr>
                <w:sz w:val="20"/>
                <w:szCs w:val="20"/>
                <w:color w:val="auto"/>
              </w:rPr>
            </w:pPr>
            <w:r>
              <w:rPr>
                <w:rFonts w:ascii="Arial" w:cs="Arial" w:eastAsia="Arial" w:hAnsi="Arial"/>
                <w:sz w:val="18"/>
                <w:szCs w:val="18"/>
                <w:color w:val="auto"/>
              </w:rPr>
              <w:t>By: /s/ Jason Trevisan</w:t>
            </w:r>
          </w:p>
        </w:tc>
      </w:tr>
      <w:tr>
        <w:trPr>
          <w:trHeight w:val="222"/>
        </w:trPr>
        <w:tc>
          <w:tcPr>
            <w:tcW w:w="35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648"/>
        </w:trPr>
        <w:tc>
          <w:tcPr>
            <w:tcW w:w="3580" w:type="dxa"/>
            <w:vAlign w:val="bottom"/>
          </w:tcPr>
          <w:p>
            <w:pPr>
              <w:spacing w:after="0"/>
              <w:rPr>
                <w:sz w:val="24"/>
                <w:szCs w:val="24"/>
                <w:color w:val="auto"/>
              </w:rPr>
            </w:pPr>
          </w:p>
        </w:tc>
        <w:tc>
          <w:tcPr>
            <w:tcW w:w="2540" w:type="dxa"/>
            <w:vAlign w:val="bottom"/>
          </w:tcPr>
          <w:p>
            <w:pPr>
              <w:jc w:val="right"/>
              <w:ind w:right="230"/>
              <w:spacing w:after="0"/>
              <w:rPr>
                <w:sz w:val="20"/>
                <w:szCs w:val="20"/>
                <w:color w:val="auto"/>
              </w:rPr>
            </w:pPr>
            <w:r>
              <w:rPr>
                <w:rFonts w:ascii="Arial" w:cs="Arial" w:eastAsia="Arial" w:hAnsi="Arial"/>
                <w:sz w:val="18"/>
                <w:szCs w:val="18"/>
                <w:color w:val="auto"/>
              </w:rPr>
              <w:t>55</w:t>
            </w:r>
          </w:p>
        </w:tc>
        <w:tc>
          <w:tcPr>
            <w:tcW w:w="53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10.1</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0"/>
          <w:szCs w:val="20"/>
          <w:b w:val="1"/>
          <w:bCs w:val="1"/>
          <w:color w:val="auto"/>
        </w:rPr>
        <w:t>Consulting Agreement</w:t>
      </w:r>
    </w:p>
    <w:p>
      <w:pPr>
        <w:spacing w:after="0" w:line="249" w:lineRule="exact"/>
        <w:rPr>
          <w:sz w:val="20"/>
          <w:szCs w:val="20"/>
          <w:color w:val="auto"/>
        </w:rPr>
      </w:pPr>
    </w:p>
    <w:p>
      <w:pPr>
        <w:ind w:right="820" w:firstLine="439"/>
        <w:spacing w:after="0" w:line="260" w:lineRule="auto"/>
        <w:rPr>
          <w:sz w:val="20"/>
          <w:szCs w:val="20"/>
          <w:color w:val="auto"/>
        </w:rPr>
      </w:pPr>
      <w:r>
        <w:rPr>
          <w:rFonts w:ascii="Arial" w:cs="Arial" w:eastAsia="Arial" w:hAnsi="Arial"/>
          <w:sz w:val="20"/>
          <w:szCs w:val="20"/>
          <w:color w:val="auto"/>
        </w:rPr>
        <w:t>This Consulting Agreement is entered into as of April 1, 2019 (the “Effective Date”) by and between Oliver Chrzan (“you”) and CarGurus, Inc. (“CarGurus”).</w:t>
      </w:r>
    </w:p>
    <w:p>
      <w:pPr>
        <w:spacing w:after="0" w:line="204" w:lineRule="exact"/>
        <w:rPr>
          <w:sz w:val="20"/>
          <w:szCs w:val="20"/>
          <w:color w:val="auto"/>
        </w:rPr>
      </w:pPr>
    </w:p>
    <w:p>
      <w:pPr>
        <w:jc w:val="both"/>
        <w:ind w:left="880" w:hanging="440"/>
        <w:spacing w:after="0" w:line="244"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20"/>
          <w:szCs w:val="20"/>
          <w:u w:val="single" w:color="auto"/>
          <w:color w:val="auto"/>
        </w:rPr>
        <w:t>Services</w:t>
      </w:r>
      <w:r>
        <w:rPr>
          <w:rFonts w:ascii="Arial" w:cs="Arial" w:eastAsia="Arial" w:hAnsi="Arial"/>
          <w:sz w:val="20"/>
          <w:szCs w:val="20"/>
          <w:color w:val="auto"/>
        </w:rPr>
        <w:t>. From the Effective Date until September 30, 2019 (the “Consulting Period”), you will provide training, advisory and consulting services to CarGurus (the “Services”) on an as-needed basis in a manner consistent with the standards you maintained when employed by CarGurus. Your points of contact for the Services are Langley Steinert and Kyle Lomeli. We do not expect that you will need or have access to any material, non-public information in connection with the Services. CarGurus may terminate the Consulting Period early at its election.</w:t>
      </w:r>
    </w:p>
    <w:p>
      <w:pPr>
        <w:spacing w:after="0" w:line="194" w:lineRule="exact"/>
        <w:rPr>
          <w:rFonts w:ascii="Arial" w:cs="Arial" w:eastAsia="Arial" w:hAnsi="Arial"/>
          <w:sz w:val="18"/>
          <w:szCs w:val="18"/>
          <w:color w:val="auto"/>
        </w:rPr>
      </w:pPr>
    </w:p>
    <w:p>
      <w:pPr>
        <w:ind w:left="880" w:hanging="440"/>
        <w:spacing w:after="0" w:line="260"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20"/>
          <w:szCs w:val="20"/>
          <w:u w:val="single" w:color="auto"/>
          <w:color w:val="auto"/>
        </w:rPr>
        <w:t>Fees</w:t>
      </w:r>
      <w:r>
        <w:rPr>
          <w:rFonts w:ascii="Arial" w:cs="Arial" w:eastAsia="Arial" w:hAnsi="Arial"/>
          <w:sz w:val="20"/>
          <w:szCs w:val="20"/>
          <w:color w:val="auto"/>
        </w:rPr>
        <w:t>. In consideration for the Services, you will be paid a fee of two hundred dollars ($200) for each Services hour, with a minimum of ten Services hours per full calendar month.</w:t>
      </w:r>
    </w:p>
    <w:p>
      <w:pPr>
        <w:spacing w:after="0" w:line="176" w:lineRule="exact"/>
        <w:rPr>
          <w:rFonts w:ascii="Arial" w:cs="Arial" w:eastAsia="Arial" w:hAnsi="Arial"/>
          <w:sz w:val="18"/>
          <w:szCs w:val="18"/>
          <w:color w:val="auto"/>
        </w:rPr>
      </w:pPr>
    </w:p>
    <w:p>
      <w:pPr>
        <w:jc w:val="both"/>
        <w:ind w:left="880" w:hanging="440"/>
        <w:spacing w:after="0" w:line="250"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20"/>
          <w:szCs w:val="20"/>
          <w:u w:val="single" w:color="auto"/>
          <w:color w:val="auto"/>
        </w:rPr>
        <w:t>Confidentiality and Non-Disclosure</w:t>
      </w:r>
      <w:r>
        <w:rPr>
          <w:rFonts w:ascii="Arial" w:cs="Arial" w:eastAsia="Arial" w:hAnsi="Arial"/>
          <w:sz w:val="20"/>
          <w:szCs w:val="20"/>
          <w:color w:val="auto"/>
        </w:rPr>
        <w:t>. You agree that the Nondisclosure, Developments and Non-Competition Agreement, dated March 12, 2008, between you and CarGurus (as successor in interest to CarGurus LLC) (the “NDA”) will remain in effect during the Consulting Period.</w:t>
      </w:r>
    </w:p>
    <w:p>
      <w:pPr>
        <w:spacing w:after="0" w:line="186" w:lineRule="exact"/>
        <w:rPr>
          <w:rFonts w:ascii="Arial" w:cs="Arial" w:eastAsia="Arial" w:hAnsi="Arial"/>
          <w:sz w:val="18"/>
          <w:szCs w:val="18"/>
          <w:color w:val="auto"/>
        </w:rPr>
      </w:pPr>
    </w:p>
    <w:p>
      <w:pPr>
        <w:jc w:val="both"/>
        <w:ind w:left="880" w:hanging="440"/>
        <w:spacing w:after="0" w:line="271" w:lineRule="auto"/>
        <w:tabs>
          <w:tab w:leader="none" w:pos="880" w:val="left"/>
        </w:tabs>
        <w:numPr>
          <w:ilvl w:val="0"/>
          <w:numId w:val="23"/>
        </w:numPr>
        <w:rPr>
          <w:rFonts w:ascii="Arial" w:cs="Arial" w:eastAsia="Arial" w:hAnsi="Arial"/>
          <w:sz w:val="16"/>
          <w:szCs w:val="16"/>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You agree that it is your responsibility to pay all related and applicable federal and state income tax withholding, social security taxes, and unemployment or disability insurance. You acknowledge that you are an independent contractor and nothing in this Consulting Agreement shall be construed as a contract of employment between you and CarGurus. If any court of competent jurisdiction declares or determines any provision of this Consulting Agreement to be illegal or invalid, then the validity of the remaining parts, terms or provisions will not be affected. This Consulting Agreement, together with the NDA, constitutes the entire understanding between you and CarGurus with respect to its subject matter. This Consulting Agreement may be amended, modified or waived only in writing signed by both you and CarGurus. This Consulting Agreement shall be governed and interpreted in accordance with, and the rights of the parties shall be determined by, the laws of the Commonwealth of Massachusetts, without application of conflict of law principles. The state or federal courts located within the Commonwealth of Massachusetts shall have exclusive jurisdiction over any dispute arising out of this Consulting Agreement.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300" w:type="dxa"/>
            <w:vAlign w:val="bottom"/>
            <w:gridSpan w:val="3"/>
          </w:tcPr>
          <w:p>
            <w:pPr>
              <w:spacing w:after="0"/>
              <w:rPr>
                <w:sz w:val="20"/>
                <w:szCs w:val="20"/>
                <w:color w:val="auto"/>
              </w:rPr>
            </w:pPr>
            <w:r>
              <w:rPr>
                <w:rFonts w:ascii="Arial" w:cs="Arial" w:eastAsia="Arial" w:hAnsi="Arial"/>
                <w:sz w:val="20"/>
                <w:szCs w:val="20"/>
                <w:b w:val="1"/>
                <w:bCs w:val="1"/>
                <w:color w:val="auto"/>
              </w:rPr>
              <w:t>CARGURUS, INC.</w:t>
            </w:r>
          </w:p>
        </w:tc>
        <w:tc>
          <w:tcPr>
            <w:tcW w:w="19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401"/>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3400" w:type="dxa"/>
            <w:vAlign w:val="bottom"/>
            <w:gridSpan w:val="2"/>
          </w:tcPr>
          <w:p>
            <w:pPr>
              <w:spacing w:after="0"/>
              <w:rPr>
                <w:sz w:val="20"/>
                <w:szCs w:val="20"/>
                <w:color w:val="auto"/>
              </w:rPr>
            </w:pPr>
            <w:r>
              <w:rPr>
                <w:rFonts w:ascii="Arial" w:cs="Arial" w:eastAsia="Arial" w:hAnsi="Arial"/>
                <w:sz w:val="20"/>
                <w:szCs w:val="20"/>
                <w:color w:val="auto"/>
              </w:rPr>
              <w:t>/s/ Langley Steinert</w:t>
            </w:r>
          </w:p>
        </w:tc>
        <w:tc>
          <w:tcPr>
            <w:tcW w:w="3360" w:type="dxa"/>
            <w:vAlign w:val="bottom"/>
            <w:gridSpan w:val="2"/>
          </w:tcPr>
          <w:p>
            <w:pPr>
              <w:ind w:left="1480"/>
              <w:spacing w:after="0"/>
              <w:rPr>
                <w:sz w:val="20"/>
                <w:szCs w:val="20"/>
                <w:color w:val="auto"/>
              </w:rPr>
            </w:pPr>
            <w:r>
              <w:rPr>
                <w:rFonts w:ascii="Arial" w:cs="Arial" w:eastAsia="Arial" w:hAnsi="Arial"/>
                <w:sz w:val="20"/>
                <w:szCs w:val="20"/>
                <w:color w:val="auto"/>
                <w:w w:val="98"/>
              </w:rPr>
              <w:t>By:  /s/ Oliver Chrzan</w:t>
            </w:r>
          </w:p>
        </w:tc>
      </w:tr>
      <w:tr>
        <w:trPr>
          <w:trHeight w:val="233"/>
        </w:trPr>
        <w:tc>
          <w:tcPr>
            <w:tcW w:w="900" w:type="dxa"/>
            <w:vAlign w:val="bottom"/>
          </w:tcPr>
          <w:p>
            <w:pPr>
              <w:spacing w:after="0"/>
              <w:rPr>
                <w:sz w:val="20"/>
                <w:szCs w:val="20"/>
                <w:color w:val="auto"/>
              </w:rPr>
            </w:pPr>
            <w:r>
              <w:rPr>
                <w:rFonts w:ascii="Arial" w:cs="Arial" w:eastAsia="Arial" w:hAnsi="Arial"/>
                <w:sz w:val="20"/>
                <w:szCs w:val="20"/>
                <w:color w:val="auto"/>
              </w:rPr>
              <w:t>Name:</w:t>
            </w:r>
          </w:p>
        </w:tc>
        <w:tc>
          <w:tcPr>
            <w:tcW w:w="15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Langley Steinert</w:t>
            </w:r>
          </w:p>
        </w:tc>
        <w:tc>
          <w:tcPr>
            <w:tcW w:w="1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Oliver Chrzan</w:t>
            </w:r>
          </w:p>
        </w:tc>
      </w:tr>
      <w:tr>
        <w:trPr>
          <w:trHeight w:val="250"/>
        </w:trPr>
        <w:tc>
          <w:tcPr>
            <w:tcW w:w="900" w:type="dxa"/>
            <w:vAlign w:val="bottom"/>
          </w:tcPr>
          <w:p>
            <w:pPr>
              <w:spacing w:after="0"/>
              <w:rPr>
                <w:sz w:val="20"/>
                <w:szCs w:val="20"/>
                <w:color w:val="auto"/>
              </w:rPr>
            </w:pPr>
            <w:r>
              <w:rPr>
                <w:rFonts w:ascii="Arial" w:cs="Arial" w:eastAsia="Arial" w:hAnsi="Arial"/>
                <w:sz w:val="20"/>
                <w:szCs w:val="20"/>
                <w:color w:val="auto"/>
              </w:rPr>
              <w:t>Title:</w:t>
            </w:r>
          </w:p>
        </w:tc>
        <w:tc>
          <w:tcPr>
            <w:tcW w:w="3400" w:type="dxa"/>
            <w:vAlign w:val="bottom"/>
            <w:gridSpan w:val="2"/>
          </w:tcPr>
          <w:p>
            <w:pPr>
              <w:spacing w:after="0"/>
              <w:rPr>
                <w:sz w:val="20"/>
                <w:szCs w:val="20"/>
                <w:color w:val="auto"/>
              </w:rPr>
            </w:pPr>
            <w:r>
              <w:rPr>
                <w:rFonts w:ascii="Arial" w:cs="Arial" w:eastAsia="Arial" w:hAnsi="Arial"/>
                <w:sz w:val="20"/>
                <w:szCs w:val="20"/>
                <w:color w:val="auto"/>
              </w:rPr>
              <w:t>Chief Executive Officer</w:t>
            </w:r>
          </w:p>
        </w:tc>
        <w:tc>
          <w:tcPr>
            <w:tcW w:w="198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ectPr>
          <w:pgSz w:w="11900" w:h="16838" w:orient="portrait"/>
          <w:cols w:equalWidth="0" w:num="1">
            <w:col w:w="11420"/>
          </w:cols>
          <w:pgMar w:left="240" w:top="118"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Langley Steinert, certify that:</w:t>
      </w:r>
    </w:p>
    <w:p>
      <w:pPr>
        <w:spacing w:after="0" w:line="225"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6, 2019</w:t>
            </w:r>
          </w:p>
        </w:tc>
        <w:tc>
          <w:tcPr>
            <w:tcW w:w="7760" w:type="dxa"/>
            <w:vAlign w:val="bottom"/>
            <w:gridSpan w:val="2"/>
          </w:tcPr>
          <w:p>
            <w:pPr>
              <w:ind w:left="2120"/>
              <w:spacing w:after="0"/>
              <w:rPr>
                <w:sz w:val="20"/>
                <w:szCs w:val="20"/>
                <w:color w:val="auto"/>
              </w:rPr>
            </w:pPr>
            <w:r>
              <w:rPr>
                <w:rFonts w:ascii="Arial" w:cs="Arial" w:eastAsia="Arial" w:hAnsi="Arial"/>
                <w:sz w:val="18"/>
                <w:szCs w:val="18"/>
                <w:color w:val="auto"/>
              </w:rPr>
              <w:t>By: /s/ Langley Steinert</w:t>
            </w:r>
          </w:p>
        </w:tc>
      </w:tr>
      <w:tr>
        <w:trPr>
          <w:trHeight w:val="222"/>
        </w:trPr>
        <w:tc>
          <w:tcPr>
            <w:tcW w:w="3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Trevisan, certify that:</w:t>
      </w:r>
    </w:p>
    <w:p>
      <w:pPr>
        <w:spacing w:after="0" w:line="225"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6, 2019</w:t>
            </w:r>
          </w:p>
        </w:tc>
        <w:tc>
          <w:tcPr>
            <w:tcW w:w="7760" w:type="dxa"/>
            <w:vAlign w:val="bottom"/>
            <w:gridSpan w:val="2"/>
          </w:tcPr>
          <w:p>
            <w:pPr>
              <w:ind w:left="2120"/>
              <w:spacing w:after="0"/>
              <w:rPr>
                <w:sz w:val="20"/>
                <w:szCs w:val="20"/>
                <w:color w:val="auto"/>
              </w:rPr>
            </w:pPr>
            <w:r>
              <w:rPr>
                <w:rFonts w:ascii="Arial" w:cs="Arial" w:eastAsia="Arial" w:hAnsi="Arial"/>
                <w:sz w:val="18"/>
                <w:szCs w:val="18"/>
                <w:color w:val="auto"/>
              </w:rPr>
              <w:t>By: /s/ Jason Trevisan</w:t>
            </w:r>
          </w:p>
        </w:tc>
      </w:tr>
      <w:tr>
        <w:trPr>
          <w:trHeight w:val="222"/>
        </w:trPr>
        <w:tc>
          <w:tcPr>
            <w:tcW w:w="3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In connection with the Quarterly Report on Form 10-Q of CarGurus, Inc. (the “Company”) for the period ending June 30, 2019 as filed with the Securities and Exchange Commission on the date hereof (the “Report”), I, Langley Steinert, Chief Executive Officer of the Company, certify, pursuant to 18 U.S.C. § 1350, as adopted pursuant to § 906 of the Sarbanes-Oxley Act of 2002, that, based on my knowledge:</w:t>
      </w:r>
    </w:p>
    <w:p>
      <w:pPr>
        <w:spacing w:after="0" w:line="181"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6, 2019</w:t>
            </w:r>
          </w:p>
        </w:tc>
        <w:tc>
          <w:tcPr>
            <w:tcW w:w="7760" w:type="dxa"/>
            <w:vAlign w:val="bottom"/>
            <w:gridSpan w:val="2"/>
          </w:tcPr>
          <w:p>
            <w:pPr>
              <w:ind w:left="2120"/>
              <w:spacing w:after="0"/>
              <w:rPr>
                <w:sz w:val="20"/>
                <w:szCs w:val="20"/>
                <w:color w:val="auto"/>
              </w:rPr>
            </w:pPr>
            <w:r>
              <w:rPr>
                <w:rFonts w:ascii="Arial" w:cs="Arial" w:eastAsia="Arial" w:hAnsi="Arial"/>
                <w:sz w:val="18"/>
                <w:szCs w:val="18"/>
                <w:color w:val="auto"/>
              </w:rPr>
              <w:t>By: /s/ Langley Steinert</w:t>
            </w:r>
          </w:p>
        </w:tc>
      </w:tr>
      <w:tr>
        <w:trPr>
          <w:trHeight w:val="222"/>
        </w:trPr>
        <w:tc>
          <w:tcPr>
            <w:tcW w:w="3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40" w:firstLine="518"/>
        <w:spacing w:after="0" w:line="286" w:lineRule="auto"/>
        <w:rPr>
          <w:sz w:val="20"/>
          <w:szCs w:val="20"/>
          <w:color w:val="auto"/>
        </w:rPr>
      </w:pPr>
      <w:r>
        <w:rPr>
          <w:rFonts w:ascii="Arial" w:cs="Arial" w:eastAsia="Arial" w:hAnsi="Arial"/>
          <w:sz w:val="17"/>
          <w:szCs w:val="17"/>
          <w:color w:val="auto"/>
        </w:rPr>
        <w:t>In connection with the Quarterly Report on Form 10-Q of CarGurus, Inc. (the “Company”) for the period ending June 30, 2019 as filed with the Securities and Exchange Commission on the date hereof (the “Report”), I, Jason Trevisan, Chief Financial Officer of the Company, certify, pursuant to 18 U.S.C. § 1350, as adopted pursuant to § 906 of the Sarbanes-Oxley Act of 2002, that, based on my knowledge:</w:t>
      </w:r>
    </w:p>
    <w:p>
      <w:pPr>
        <w:spacing w:after="0" w:line="166"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6, 2019</w:t>
            </w:r>
          </w:p>
        </w:tc>
        <w:tc>
          <w:tcPr>
            <w:tcW w:w="7760" w:type="dxa"/>
            <w:vAlign w:val="bottom"/>
            <w:gridSpan w:val="2"/>
          </w:tcPr>
          <w:p>
            <w:pPr>
              <w:ind w:left="2120"/>
              <w:spacing w:after="0"/>
              <w:rPr>
                <w:sz w:val="20"/>
                <w:szCs w:val="20"/>
                <w:color w:val="auto"/>
              </w:rPr>
            </w:pPr>
            <w:r>
              <w:rPr>
                <w:rFonts w:ascii="Arial" w:cs="Arial" w:eastAsia="Arial" w:hAnsi="Arial"/>
                <w:sz w:val="18"/>
                <w:szCs w:val="18"/>
                <w:color w:val="auto"/>
              </w:rPr>
              <w:t>By: /s/ Jason Trevisan</w:t>
            </w:r>
          </w:p>
        </w:tc>
      </w:tr>
      <w:tr>
        <w:trPr>
          <w:trHeight w:val="222"/>
        </w:trPr>
        <w:tc>
          <w:tcPr>
            <w:tcW w:w="3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6"/>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2019-12-28T08:10:57Z</dcterms:created>
  <dcterms:modified xsi:type="dcterms:W3CDTF">2019-12-28T08:10:57Z</dcterms:modified>
</cp:coreProperties>
</file>