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arg-20260630.htm"/>
        <w:bookmarkStart w:id="1" w:name="kscarg20260630"/>
        <w:bookmarkEnd w:id="0"/>
        <w:bookmarkEnd w:id="1"/>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28"/>
        </w:rPr>
      </w:pPr>
      <w:r>
        <w:rPr>
          <w:rFonts w:ascii="Outfit;sans-serif" w:hAnsi="Outfit;sans-serif"/>
          <w:b/>
          <w:color w:val="00002D"/>
          <w:sz w:val="28"/>
        </w:rPr>
        <w:t>UNITED STATES</w:t>
      </w:r>
    </w:p>
    <w:p>
      <w:pPr>
        <w:pStyle w:val="TextBody"/>
        <w:bidi w:val="0"/>
        <w:jc w:val="center"/>
        <w:rPr>
          <w:rFonts w:ascii="Outfit;sans-serif" w:hAnsi="Outfit;sans-serif"/>
          <w:b/>
          <w:color w:val="00002D"/>
          <w:sz w:val="28"/>
        </w:rPr>
      </w:pPr>
      <w:r>
        <w:rPr>
          <w:rFonts w:ascii="Outfit;sans-serif" w:hAnsi="Outfit;sans-serif"/>
          <w:b/>
          <w:color w:val="00002D"/>
          <w:sz w:val="28"/>
        </w:rPr>
        <w:t>SECURITIES AND EXCHANGE COMMISSION</w:t>
      </w:r>
    </w:p>
    <w:p>
      <w:pPr>
        <w:pStyle w:val="TextBody"/>
        <w:bidi w:val="0"/>
        <w:jc w:val="center"/>
        <w:rPr>
          <w:rFonts w:ascii="Outfit;sans-serif" w:hAnsi="Outfit;sans-serif"/>
          <w:b/>
          <w:color w:val="00002D"/>
          <w:sz w:val="24"/>
        </w:rPr>
      </w:pPr>
      <w:r>
        <w:rPr>
          <w:rFonts w:ascii="Outfit;sans-serif" w:hAnsi="Outfit;sans-serif"/>
          <w:b/>
          <w:color w:val="00002D"/>
          <w:sz w:val="24"/>
        </w:rPr>
        <w:t>WASHINGTON, D.C. 20549</w:t>
      </w:r>
    </w:p>
    <w:p>
      <w:pPr>
        <w:pStyle w:val="TextBody"/>
        <w:bidi w:val="0"/>
        <w:spacing w:before="80" w:after="283"/>
        <w:jc w:val="center"/>
        <w:rPr>
          <w:rFonts w:ascii="Outfit;sans-serif" w:hAnsi="Outfit;sans-serif"/>
          <w:b/>
          <w:color w:val="00002D"/>
          <w:sz w:val="24"/>
        </w:rPr>
      </w:pPr>
      <w:r>
        <w:rPr>
          <w:rFonts w:ascii="Outfit;sans-serif" w:hAnsi="Outfit;sans-serif"/>
          <w:b/>
          <w:color w:val="00002D"/>
          <w:sz w:val="24"/>
        </w:rPr>
        <w:t>FORM 10-Q</w:t>
      </w:r>
    </w:p>
    <w:p>
      <w:pPr>
        <w:pStyle w:val="TextBody"/>
        <w:bidi w:val="0"/>
        <w:jc w:val="center"/>
        <w:rPr>
          <w:rFonts w:ascii="Outfit;sans-serif" w:hAnsi="Outfit;sans-serif"/>
          <w:b/>
          <w:color w:val="00002D"/>
          <w:sz w:val="18"/>
        </w:rPr>
      </w:pPr>
      <w:r>
        <w:rPr>
          <w:rFonts w:ascii="Outfit;sans-serif" w:hAnsi="Outfit;sans-serif"/>
          <w:b/>
          <w:color w:val="00002D"/>
          <w:sz w:val="18"/>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2D"/>
              </w:rPr>
            </w:pPr>
            <w:r>
              <w:rPr>
                <w:color w:val="00002D"/>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Outfit;sans-serif" w:hAnsi="Outfit;sans-serif"/>
          <w:b/>
          <w:color w:val="00002D"/>
          <w:sz w:val="20"/>
        </w:rPr>
        <w:t>For the quarterly period ended June 30, 2026</w:t>
      </w:r>
      <w:r>
        <w:rPr>
          <w:rFonts w:ascii="Times New Roman" w:hAnsi="Times New Roman"/>
          <w:color w:val="00002D"/>
          <w:sz w:val="20"/>
        </w:rPr>
        <w:t xml:space="preserve"> </w:t>
      </w:r>
    </w:p>
    <w:p>
      <w:pPr>
        <w:pStyle w:val="TextBody"/>
        <w:bidi w:val="0"/>
        <w:spacing w:before="80" w:after="120"/>
        <w:jc w:val="center"/>
        <w:rPr>
          <w:rFonts w:ascii="Outfit;sans-serif" w:hAnsi="Outfit;sans-serif"/>
          <w:b/>
          <w:color w:val="00002D"/>
          <w:sz w:val="20"/>
        </w:rPr>
      </w:pPr>
      <w:r>
        <w:rPr>
          <w:rFonts w:ascii="Outfit;sans-serif" w:hAnsi="Outfit;sans-serif"/>
          <w:b/>
          <w:color w:val="00002D"/>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2D"/>
              </w:rPr>
            </w:pPr>
            <w:r>
              <w:rPr>
                <w:color w:val="00002D"/>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Outfit;sans-serif" w:hAnsi="Outfit;sans-serif"/>
          <w:b/>
          <w:color w:val="00002D"/>
          <w:sz w:val="20"/>
        </w:rPr>
      </w:pPr>
      <w:r>
        <w:rPr>
          <w:rFonts w:ascii="Outfit;sans-serif" w:hAnsi="Outfit;sans-serif"/>
          <w:b/>
          <w:color w:val="00002D"/>
          <w:sz w:val="20"/>
        </w:rPr>
        <w:t>For the transition period from _________________ to _________________</w:t>
      </w:r>
    </w:p>
    <w:p>
      <w:pPr>
        <w:pStyle w:val="TextBody"/>
        <w:bidi w:val="0"/>
        <w:spacing w:before="80" w:after="283"/>
        <w:jc w:val="center"/>
        <w:rPr>
          <w:rFonts w:ascii="Outfit;sans-serif" w:hAnsi="Outfit;sans-serif"/>
          <w:b/>
          <w:color w:val="00002D"/>
          <w:sz w:val="18"/>
        </w:rPr>
      </w:pPr>
      <w:r>
        <w:rPr>
          <w:rFonts w:ascii="Outfit;sans-serif" w:hAnsi="Outfit;sans-serif"/>
          <w:b/>
          <w:color w:val="00002D"/>
          <w:sz w:val="18"/>
        </w:rPr>
        <w:t>Commission File Number: 001-38233</w:t>
      </w:r>
    </w:p>
    <w:p>
      <w:pPr>
        <w:pStyle w:val="TextBody"/>
        <w:bidi w:val="0"/>
        <w:jc w:val="center"/>
        <w:rPr/>
      </w:pPr>
      <w:r>
        <w:rPr/>
        <w:t> </w:t>
      </w:r>
    </w:p>
    <w:p>
      <w:pPr>
        <w:pStyle w:val="TextBody"/>
        <w:bidi w:val="0"/>
        <w:jc w:val="center"/>
        <w:rPr/>
      </w:pPr>
      <w:r>
        <w:rPr/>
        <w:drawing>
          <wp:inline distT="0" distB="0" distL="0" distR="0">
            <wp:extent cx="180975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9750" cy="295275"/>
                    </a:xfrm>
                    <a:prstGeom prst="rect">
                      <a:avLst/>
                    </a:prstGeom>
                  </pic:spPr>
                </pic:pic>
              </a:graphicData>
            </a:graphic>
          </wp:inline>
        </w:drawing>
      </w:r>
    </w:p>
    <w:p>
      <w:pPr>
        <w:pStyle w:val="TextBody"/>
        <w:bidi w:val="0"/>
        <w:jc w:val="center"/>
        <w:rPr/>
      </w:pPr>
      <w:r>
        <w:rPr/>
        <w:t> </w:t>
      </w:r>
    </w:p>
    <w:p>
      <w:pPr>
        <w:pStyle w:val="TextBody"/>
        <w:bidi w:val="0"/>
        <w:jc w:val="center"/>
        <w:rPr>
          <w:rFonts w:ascii="Outfit;sans-serif" w:hAnsi="Outfit;sans-serif"/>
          <w:b/>
          <w:color w:val="00002D"/>
          <w:sz w:val="38"/>
        </w:rPr>
      </w:pPr>
      <w:r>
        <w:rPr>
          <w:rFonts w:ascii="Outfit;sans-serif" w:hAnsi="Outfit;sans-serif"/>
          <w:b/>
          <w:color w:val="00002D"/>
          <w:sz w:val="38"/>
        </w:rPr>
        <w:t>CarGurus, Inc.</w:t>
      </w:r>
    </w:p>
    <w:p>
      <w:pPr>
        <w:pStyle w:val="TextBody"/>
        <w:bidi w:val="0"/>
        <w:jc w:val="center"/>
        <w:rPr>
          <w:rFonts w:ascii="Outfit;sans-serif" w:hAnsi="Outfit;sans-serif"/>
          <w:b/>
          <w:color w:val="00002D"/>
          <w:sz w:val="18"/>
        </w:rPr>
      </w:pPr>
      <w:r>
        <w:rPr>
          <w:rFonts w:ascii="Outfit;sans-serif" w:hAnsi="Outfit;sans-serif"/>
          <w:b/>
          <w:color w:val="00002D"/>
          <w:sz w:val="18"/>
        </w:rPr>
        <w:t>(Exact Name of Registrant as Specified in its Charter)</w:t>
      </w:r>
    </w:p>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5056"/>
        <w:gridCol w:w="2971"/>
      </w:tblGrid>
      <w:tr>
        <w:trPr/>
        <w:tc>
          <w:tcPr>
            <w:tcW w:w="505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20"/>
              </w:rPr>
            </w:pPr>
            <w:r>
              <w:rPr>
                <w:rFonts w:ascii="Outfit;sans-serif" w:hAnsi="Outfit;sans-serif"/>
                <w:b/>
                <w:color w:val="00002D"/>
                <w:sz w:val="20"/>
              </w:rPr>
              <w:t>Delaware</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20"/>
              </w:rPr>
            </w:pPr>
            <w:r>
              <w:rPr>
                <w:rFonts w:ascii="Outfit;sans-serif" w:hAnsi="Outfit;sans-serif"/>
                <w:b/>
                <w:color w:val="00002D"/>
                <w:sz w:val="20"/>
              </w:rPr>
              <w:t>04-3843478</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(State or other jurisdiction of incorporation or organization)</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(I.R.S. Employer Identification No.)</w:t>
            </w:r>
          </w:p>
        </w:tc>
      </w:tr>
    </w:tbl>
    <w:p>
      <w:pPr>
        <w:pStyle w:val="TextBody"/>
        <w:bidi w:val="0"/>
        <w:spacing w:before="40" w:after="283"/>
        <w:jc w:val="center"/>
        <w:rPr>
          <w:rFonts w:ascii="Times New Roman" w:hAnsi="Times New Roman"/>
          <w:sz w:val="20"/>
        </w:rPr>
      </w:pPr>
      <w:r>
        <w:rPr>
          <w:rFonts w:ascii="Outfit;sans-serif" w:hAnsi="Outfit;sans-serif"/>
          <w:b/>
          <w:color w:val="00002D"/>
          <w:sz w:val="20"/>
        </w:rPr>
        <w:t>1001 Boylston Street, 16</w:t>
      </w:r>
      <w:r>
        <w:rPr>
          <w:rFonts w:ascii="Outfit;sans-serif" w:hAnsi="Outfit;sans-serif"/>
          <w:b/>
          <w:color w:val="00002D"/>
          <w:sz w:val="13"/>
        </w:rPr>
        <w:t>th</w:t>
      </w:r>
      <w:r>
        <w:rPr>
          <w:rFonts w:ascii="Outfit;sans-serif" w:hAnsi="Outfit;sans-serif"/>
          <w:color w:val="00002D"/>
          <w:sz w:val="20"/>
        </w:rPr>
        <w:t xml:space="preserve"> </w:t>
      </w:r>
      <w:r>
        <w:rPr>
          <w:rFonts w:ascii="Outfit;sans-serif" w:hAnsi="Outfit;sans-serif"/>
          <w:b/>
          <w:color w:val="00002D"/>
          <w:sz w:val="20"/>
        </w:rPr>
        <w:t>Floor</w:t>
      </w:r>
      <w:r>
        <w:rPr>
          <w:rFonts w:ascii="Times New Roman" w:hAnsi="Times New Roman"/>
          <w:color w:val="00002D"/>
          <w:sz w:val="20"/>
        </w:rPr>
        <w:t xml:space="preserve"> </w:t>
      </w:r>
      <w:r>
        <w:rPr>
          <w:rFonts w:ascii="Outfit;sans-serif" w:hAnsi="Outfit;sans-serif"/>
          <w:b/>
          <w:color w:val="00002D"/>
          <w:sz w:val="20"/>
        </w:rPr>
        <w:t>Boston, Massachusetts</w:t>
      </w:r>
      <w:r>
        <w:rPr>
          <w:rFonts w:ascii="Times New Roman" w:hAnsi="Times New Roman"/>
          <w:color w:val="00002D"/>
          <w:sz w:val="20"/>
        </w:rPr>
        <w:t xml:space="preserve"> </w:t>
      </w:r>
      <w:r>
        <w:rPr>
          <w:rFonts w:ascii="Outfit;sans-serif" w:hAnsi="Outfit;sans-serif"/>
          <w:b/>
          <w:color w:val="00002D"/>
          <w:sz w:val="20"/>
        </w:rPr>
        <w:t>02115</w:t>
      </w:r>
    </w:p>
    <w:p>
      <w:pPr>
        <w:pStyle w:val="TextBody"/>
        <w:bidi w:val="0"/>
        <w:jc w:val="center"/>
        <w:rPr>
          <w:rFonts w:ascii="Outfit;sans-serif" w:hAnsi="Outfit;sans-serif"/>
          <w:i/>
          <w:color w:val="00002D"/>
          <w:sz w:val="16"/>
        </w:rPr>
      </w:pPr>
      <w:r>
        <w:rPr>
          <w:rFonts w:ascii="Outfit;sans-serif" w:hAnsi="Outfit;sans-serif"/>
          <w:i/>
          <w:color w:val="00002D"/>
          <w:sz w:val="16"/>
        </w:rPr>
        <w:t>(Address of principal executive offices Zip Code)</w:t>
      </w:r>
    </w:p>
    <w:p>
      <w:pPr>
        <w:pStyle w:val="TextBody"/>
        <w:bidi w:val="0"/>
        <w:jc w:val="center"/>
        <w:rPr>
          <w:rFonts w:ascii="Outfit;sans-serif" w:hAnsi="Outfit;sans-serif"/>
          <w:b/>
          <w:color w:val="00002D"/>
          <w:sz w:val="18"/>
        </w:rPr>
      </w:pPr>
      <w:r>
        <w:rPr>
          <w:rFonts w:ascii="Outfit;sans-serif" w:hAnsi="Outfit;sans-serif"/>
          <w:b/>
          <w:color w:val="00002D"/>
          <w:sz w:val="18"/>
        </w:rPr>
        <w:t>(617) 354-0068</w:t>
      </w:r>
    </w:p>
    <w:p>
      <w:pPr>
        <w:pStyle w:val="TextBody"/>
        <w:bidi w:val="0"/>
        <w:spacing w:before="40" w:after="283"/>
        <w:jc w:val="center"/>
        <w:rPr>
          <w:rFonts w:ascii="Outfit;sans-serif" w:hAnsi="Outfit;sans-serif"/>
          <w:i/>
          <w:color w:val="00002D"/>
          <w:sz w:val="16"/>
        </w:rPr>
      </w:pPr>
      <w:r>
        <w:rPr>
          <w:rFonts w:ascii="Outfit;sans-serif" w:hAnsi="Outfit;sans-serif"/>
          <w:i/>
          <w:color w:val="00002D"/>
          <w:sz w:val="16"/>
        </w:rPr>
        <w:t>(Registrant’s telephone number, including area code)</w:t>
      </w:r>
    </w:p>
    <w:p>
      <w:pPr>
        <w:pStyle w:val="TextBody"/>
        <w:bidi w:val="0"/>
        <w:spacing w:before="40" w:after="283"/>
        <w:jc w:val="center"/>
        <w:rPr>
          <w:rFonts w:ascii="Outfit;sans-serif" w:hAnsi="Outfit;sans-serif"/>
          <w:color w:val="00002D"/>
          <w:sz w:val="18"/>
        </w:rPr>
      </w:pPr>
      <w:r>
        <w:rPr>
          <w:rFonts w:ascii="Outfit;sans-serif" w:hAnsi="Outfit;sans-serif"/>
          <w:color w:val="00002D"/>
          <w:sz w:val="18"/>
        </w:rPr>
        <w:t>Securities registered pursuant to Section 12(b) of the Act: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71"/>
        <w:gridCol w:w="1286"/>
        <w:gridCol w:w="4848"/>
      </w:tblGrid>
      <w:tr>
        <w:trPr/>
        <w:tc>
          <w:tcPr>
            <w:tcW w:w="407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4848" w:type="dxa"/>
            <w:tcBorders/>
            <w:vAlign w:val="center"/>
          </w:tcPr>
          <w:p>
            <w:pPr>
              <w:pStyle w:val="TableContents"/>
              <w:bidi w:val="0"/>
              <w:spacing w:before="0" w:after="283"/>
              <w:jc w:val="left"/>
              <w:rPr>
                <w:sz w:val="4"/>
                <w:szCs w:val="4"/>
              </w:rPr>
            </w:pPr>
            <w:r>
              <w:rPr>
                <w:sz w:val="4"/>
                <w:szCs w:val="4"/>
              </w:rPr>
            </w:r>
          </w:p>
        </w:tc>
      </w:tr>
      <w:tr>
        <w:trPr/>
        <w:tc>
          <w:tcPr>
            <w:tcW w:w="40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7"/>
              </w:rPr>
            </w:pPr>
            <w:r>
              <w:rPr>
                <w:rFonts w:ascii="Outfit;sans-serif" w:hAnsi="Outfit;sans-serif"/>
                <w:b/>
                <w:color w:val="00002D"/>
                <w:sz w:val="17"/>
              </w:rPr>
              <w:t>Class A Common Stock, par value $0.001 per share</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7"/>
              </w:rPr>
            </w:pPr>
            <w:r>
              <w:rPr>
                <w:rFonts w:ascii="Outfit;sans-serif" w:hAnsi="Outfit;sans-serif"/>
                <w:b/>
                <w:color w:val="00002D"/>
                <w:sz w:val="17"/>
              </w:rPr>
              <w:t>CARG</w:t>
            </w:r>
          </w:p>
        </w:tc>
        <w:tc>
          <w:tcPr>
            <w:tcW w:w="4848"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2D"/>
                <w:sz w:val="17"/>
              </w:rPr>
              <w:t>The Nasdaq Stock Market LLC</w:t>
            </w:r>
            <w:r>
              <w:rPr>
                <w:rFonts w:ascii="Times New Roman" w:hAnsi="Times New Roman"/>
                <w:color w:val="00002D"/>
                <w:sz w:val="20"/>
              </w:rPr>
              <w:t> </w:t>
            </w:r>
            <w:r>
              <w:rPr>
                <w:rFonts w:ascii="Outfit;sans-serif" w:hAnsi="Outfit;sans-serif"/>
                <w:b/>
                <w:color w:val="00002D"/>
                <w:sz w:val="17"/>
              </w:rPr>
              <w:t>(Nasdaq Global Select Market)</w:t>
            </w:r>
          </w:p>
          <w:p>
            <w:pPr>
              <w:pStyle w:val="TableContents"/>
              <w:bidi w:val="0"/>
              <w:spacing w:before="0" w:after="283"/>
              <w:jc w:val="center"/>
              <w:rPr/>
            </w:pPr>
            <w:r>
              <w:rPr/>
              <w:t> </w:t>
            </w:r>
          </w:p>
        </w:tc>
      </w:tr>
      <w:tr>
        <w:trPr/>
        <w:tc>
          <w:tcPr>
            <w:tcW w:w="40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Title of Each Class</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Trading Symbol</w:t>
            </w:r>
          </w:p>
        </w:tc>
        <w:tc>
          <w:tcPr>
            <w:tcW w:w="4848"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Name of Exchange on Which Registered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0"/>
        <w:gridCol w:w="109"/>
        <w:gridCol w:w="496"/>
        <w:gridCol w:w="109"/>
        <w:gridCol w:w="406"/>
        <w:gridCol w:w="275"/>
      </w:tblGrid>
      <w:tr>
        <w:trPr/>
        <w:tc>
          <w:tcPr>
            <w:tcW w:w="8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810" w:type="dxa"/>
            <w:tcBorders>
              <w:bottom w:val="single" w:sz="12" w:space="0" w:color="3465B0"/>
            </w:tcBorders>
            <w:tcMar>
              <w:top w:w="0" w:type="dxa"/>
              <w:left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Indicate by check mark:</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3465B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Yes</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8" w:space="0" w:color="3465B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No</w:t>
            </w:r>
          </w:p>
        </w:tc>
        <w:tc>
          <w:tcPr>
            <w:tcW w:w="275" w:type="dxa"/>
            <w:tcBorders>
              <w:bottom w:val="single" w:sz="8" w:space="0" w:color="3465B0"/>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1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6"/>
              </w:rPr>
            </w:pPr>
            <w:r>
              <w:rPr>
                <w:rFonts w:ascii="Outfit;sans-serif" w:hAnsi="Outfit;sans-serif"/>
                <w:color w:val="00002D"/>
                <w:sz w:val="16"/>
              </w:rPr>
              <w:t>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275" w:type="dxa"/>
            <w:tcBorders>
              <w:bottom w:val="single" w:sz="4" w:space="0" w:color="DAE1EB"/>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1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6"/>
              </w:rPr>
            </w:pPr>
            <w:r>
              <w:rPr>
                <w:rFonts w:ascii="Outfit;sans-serif" w:hAnsi="Outfit;sans-serif"/>
                <w:color w:val="00002D"/>
                <w:sz w:val="16"/>
              </w:rPr>
              <w:t>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275" w:type="dxa"/>
            <w:tcBorders>
              <w:bottom w:val="single" w:sz="4" w:space="0" w:color="DAE1EB"/>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10" w:type="dxa"/>
            <w:tcBorders>
              <w:bottom w:val="single" w:sz="4" w:space="0" w:color="DAE1EB"/>
            </w:tcBorders>
            <w:tcMar>
              <w:top w:w="0" w:type="dxa"/>
              <w:left w:w="0" w:type="dxa"/>
              <w:right w:w="0" w:type="dxa"/>
            </w:tcMar>
            <w:vAlign w:val="center"/>
          </w:tcPr>
          <w:p>
            <w:pPr>
              <w:pStyle w:val="TableContents"/>
              <w:bidi w:val="0"/>
              <w:spacing w:before="0" w:after="0"/>
              <w:jc w:val="left"/>
              <w:rPr>
                <w:color w:val="3465B0"/>
              </w:rPr>
            </w:pPr>
            <w:r>
              <w:rPr>
                <w:color w:val="3465B0"/>
              </w:rPr>
              <w:t>•</w:t>
            </w:r>
          </w:p>
          <w:p>
            <w:pPr>
              <w:pStyle w:val="TableContents"/>
              <w:bidi w:val="0"/>
              <w:spacing w:before="0" w:after="0"/>
              <w:jc w:val="left"/>
              <w:rPr>
                <w:rFonts w:ascii="Outfit;sans-serif" w:hAnsi="Outfit;sans-serif"/>
                <w:color w:val="00002D"/>
                <w:sz w:val="16"/>
              </w:rPr>
            </w:pPr>
            <w:r>
              <w:rPr>
                <w:rFonts w:ascii="Outfit;sans-serif" w:hAnsi="Outfit;sans-serif"/>
                <w:color w:val="00002D"/>
                <w:sz w:val="16"/>
              </w:rPr>
              <w:t>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DAE1EB"/>
            </w:tcBorders>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DAE1EB"/>
            </w:tcBorders>
            <w:tcMar>
              <w:top w:w="0" w:type="dxa"/>
              <w:left w:w="0" w:type="dxa"/>
              <w:right w:w="0" w:type="dxa"/>
            </w:tcMar>
            <w:vAlign w:val="center"/>
          </w:tcPr>
          <w:p>
            <w:pPr>
              <w:pStyle w:val="TableContents"/>
              <w:bidi w:val="0"/>
              <w:spacing w:before="0" w:after="283"/>
              <w:jc w:val="center"/>
              <w:rPr/>
            </w:pPr>
            <w:r>
              <w:rPr/>
              <w:t> </w:t>
            </w:r>
          </w:p>
        </w:tc>
        <w:tc>
          <w:tcPr>
            <w:tcW w:w="275"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3"/>
        <w:gridCol w:w="316"/>
        <w:gridCol w:w="1370"/>
        <w:gridCol w:w="316"/>
        <w:gridCol w:w="1745"/>
        <w:gridCol w:w="316"/>
        <w:gridCol w:w="1809"/>
        <w:gridCol w:w="316"/>
        <w:gridCol w:w="1922"/>
        <w:gridCol w:w="362"/>
      </w:tblGrid>
      <w:tr>
        <w:trPr/>
        <w:tc>
          <w:tcPr>
            <w:tcW w:w="17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73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37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745"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80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Small reporting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922"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Emerging growth company</w:t>
            </w:r>
          </w:p>
        </w:tc>
        <w:tc>
          <w:tcPr>
            <w:tcW w:w="362"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0"/>
        <w:gridCol w:w="109"/>
        <w:gridCol w:w="316"/>
        <w:gridCol w:w="109"/>
        <w:gridCol w:w="316"/>
        <w:gridCol w:w="275"/>
      </w:tblGrid>
      <w:tr>
        <w:trPr/>
        <w:tc>
          <w:tcPr>
            <w:tcW w:w="9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9080" w:type="dxa"/>
            <w:tcBorders>
              <w:top w:val="single" w:sz="4" w:space="0" w:color="DAE1EB"/>
              <w:bottom w:val="single" w:sz="12" w:space="0" w:color="DAE1EB"/>
            </w:tcBorders>
            <w:tcMar>
              <w:left w:w="0" w:type="dxa"/>
              <w:right w:w="0" w:type="dxa"/>
            </w:tcMar>
            <w:vAlign w:val="center"/>
          </w:tcPr>
          <w:p>
            <w:pPr>
              <w:pStyle w:val="TableContents"/>
              <w:bidi w:val="0"/>
              <w:spacing w:before="0" w:after="0"/>
              <w:jc w:val="left"/>
              <w:rPr>
                <w:color w:val="3465B0"/>
              </w:rPr>
            </w:pPr>
            <w:r>
              <w:rPr>
                <w:color w:val="3465B0"/>
              </w:rPr>
              <w:t>•</w:t>
            </w:r>
          </w:p>
          <w:p>
            <w:pPr>
              <w:pStyle w:val="TableContents"/>
              <w:bidi w:val="0"/>
              <w:spacing w:before="0" w:after="0"/>
              <w:jc w:val="left"/>
              <w:rPr>
                <w:rFonts w:ascii="Outfit;sans-serif" w:hAnsi="Outfit;sans-serif"/>
                <w:color w:val="00002D"/>
                <w:sz w:val="16"/>
              </w:rPr>
            </w:pPr>
            <w:r>
              <w:rPr>
                <w:rFonts w:ascii="Outfit;sans-serif" w:hAnsi="Outfit;sans-serif"/>
                <w:color w:val="00002D"/>
                <w:sz w:val="16"/>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109" w:type="dxa"/>
            <w:tcBorders>
              <w:top w:val="single" w:sz="4" w:space="0" w:color="DAE1EB"/>
              <w:bottom w:val="single" w:sz="8" w:space="0" w:color="DAE1EB"/>
            </w:tcBorders>
            <w:tcMar>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4"/>
            <w:tcBorders>
              <w:top w:val="single" w:sz="4" w:space="0" w:color="DAE1EB"/>
              <w:bottom w:val="single" w:sz="8" w:space="0" w:color="DAE1EB"/>
            </w:tcBorders>
            <w:tcMar>
              <w:left w:w="0" w:type="dxa"/>
              <w:right w:w="0" w:type="dxa"/>
            </w:tcMar>
            <w:vAlign w:val="center"/>
          </w:tcPr>
          <w:p>
            <w:pPr>
              <w:pStyle w:val="TableContents"/>
              <w:bidi w:val="0"/>
              <w:spacing w:before="0" w:after="283"/>
              <w:ind w:left="0" w:right="0" w:firstLine="144"/>
              <w:jc w:val="center"/>
              <w:rPr>
                <w:color w:val="00002D"/>
              </w:rPr>
            </w:pPr>
            <w:r>
              <w:rPr>
                <w:color w:val="00002D"/>
              </w:rPr>
              <w:t>☐</w:t>
            </w:r>
          </w:p>
        </w:tc>
      </w:tr>
      <w:tr>
        <w:trPr/>
        <w:tc>
          <w:tcPr>
            <w:tcW w:w="9080" w:type="dxa"/>
            <w:tcBorders>
              <w:bottom w:val="single" w:sz="12" w:space="0" w:color="3465B0"/>
            </w:tcBorders>
            <w:tcMar>
              <w:top w:w="0" w:type="dxa"/>
              <w:left w:w="0" w:type="dxa"/>
              <w:right w:w="0" w:type="dxa"/>
            </w:tcMar>
            <w:vAlign w:val="center"/>
          </w:tcPr>
          <w:p>
            <w:pPr>
              <w:pStyle w:val="TableContents"/>
              <w:bidi w:val="0"/>
              <w:spacing w:before="0" w:after="0"/>
              <w:jc w:val="left"/>
              <w:rPr>
                <w:color w:val="3465B0"/>
              </w:rPr>
            </w:pPr>
            <w:r>
              <w:rPr>
                <w:color w:val="3465B0"/>
              </w:rPr>
              <w:t>•</w:t>
            </w:r>
          </w:p>
          <w:p>
            <w:pPr>
              <w:pStyle w:val="TableContents"/>
              <w:bidi w:val="0"/>
              <w:spacing w:before="0" w:after="0"/>
              <w:jc w:val="left"/>
              <w:rPr>
                <w:rFonts w:ascii="Outfit;sans-serif" w:hAnsi="Outfit;sans-serif"/>
                <w:color w:val="00002D"/>
                <w:sz w:val="16"/>
              </w:rPr>
            </w:pPr>
            <w:r>
              <w:rPr>
                <w:rFonts w:ascii="Outfit;sans-serif" w:hAnsi="Outfit;sans-serif"/>
                <w:color w:val="00002D"/>
                <w:sz w:val="16"/>
              </w:rPr>
              <w:t>whether the registrant is a shell company (as defined in Rule 12b-2 of the Exchange Act).</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8" w:space="0" w:color="3465B0"/>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8" w:space="0" w:color="3465B0"/>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275"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sz w:val="20"/>
        </w:rPr>
      </w:pPr>
      <w:r>
        <w:rPr>
          <w:rFonts w:ascii="Outfit;sans-serif" w:hAnsi="Outfit;sans-serif"/>
          <w:color w:val="00002D"/>
          <w:sz w:val="16"/>
        </w:rPr>
        <w:t>As of July 31, 2026, the registrant had 75,309,865</w:t>
      </w:r>
      <w:r>
        <w:rPr>
          <w:rFonts w:ascii="Times New Roman" w:hAnsi="Times New Roman"/>
          <w:color w:val="00002D"/>
          <w:sz w:val="20"/>
        </w:rPr>
        <w:t xml:space="preserve"> </w:t>
      </w:r>
      <w:r>
        <w:rPr>
          <w:rFonts w:ascii="Outfit;sans-serif" w:hAnsi="Outfit;sans-serif"/>
          <w:color w:val="00002D"/>
          <w:sz w:val="16"/>
        </w:rPr>
        <w:t>shares of Class A common stock, $0.001 par value per share, and 13,763,613</w:t>
      </w:r>
      <w:r>
        <w:rPr>
          <w:rFonts w:ascii="Times New Roman" w:hAnsi="Times New Roman"/>
          <w:color w:val="00002D"/>
          <w:sz w:val="20"/>
        </w:rPr>
        <w:t xml:space="preserve"> </w:t>
      </w:r>
      <w:r>
        <w:rPr>
          <w:rFonts w:ascii="Outfit;sans-serif" w:hAnsi="Outfit;sans-serif"/>
          <w:color w:val="00002D"/>
          <w:sz w:val="16"/>
        </w:rPr>
        <w:t>shares of Class B common stock, par value $0.001 per share, outstanding.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left"/>
        <w:rPr>
          <w:rFonts w:ascii="Outfit;sans-serif" w:hAnsi="Outfit;sans-serif"/>
          <w:b/>
          <w:color w:val="3465B0"/>
          <w:sz w:val="40"/>
        </w:rPr>
      </w:pPr>
      <w:bookmarkStart w:id="2" w:name="toc_page"/>
      <w:bookmarkEnd w:id="2"/>
      <w:r>
        <w:rPr>
          <w:rFonts w:ascii="Outfit;sans-serif" w:hAnsi="Outfit;sans-serif"/>
          <w:b/>
          <w:color w:val="3465B0"/>
          <w:sz w:val="4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8575"/>
        <w:gridCol w:w="452"/>
      </w:tblGrid>
      <w:tr>
        <w:trPr/>
        <w:tc>
          <w:tcPr>
            <w:tcW w:w="1178" w:type="dxa"/>
            <w:tcBorders/>
            <w:vAlign w:val="center"/>
          </w:tcPr>
          <w:p>
            <w:pPr>
              <w:pStyle w:val="TableContents"/>
              <w:bidi w:val="0"/>
              <w:spacing w:before="0" w:after="283"/>
              <w:jc w:val="left"/>
              <w:rPr>
                <w:sz w:val="4"/>
                <w:szCs w:val="4"/>
              </w:rPr>
            </w:pPr>
            <w:r>
              <w:rPr>
                <w:sz w:val="4"/>
                <w:szCs w:val="4"/>
              </w:rPr>
            </w:r>
          </w:p>
        </w:tc>
        <w:tc>
          <w:tcPr>
            <w:tcW w:w="857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3465B0"/>
                <w:sz w:val="24"/>
              </w:rPr>
            </w:pPr>
            <w:r>
              <w:rPr>
                <w:rFonts w:ascii="Outfit;sans-serif" w:hAnsi="Outfit;sans-serif"/>
                <w:b/>
                <w:color w:val="3465B0"/>
                <w:sz w:val="24"/>
              </w:rPr>
              <w:t>PART I.</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Outfit;sans-serif" w:hAnsi="Outfit;sans-serif"/>
                  <w:b/>
                  <w:color w:val="3465B0"/>
                  <w:sz w:val="24"/>
                </w:rPr>
                <w:t>FINANCIAL INFORMATION</w:t>
              </w:r>
            </w:hyperlink>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3465B0"/>
                <w:sz w:val="24"/>
              </w:rPr>
            </w:pPr>
            <w:r>
              <w:rPr>
                <w:rFonts w:ascii="Outfit;sans-serif" w:hAnsi="Outfit;sans-serif"/>
                <w:color w:val="3465B0"/>
                <w:sz w:val="24"/>
              </w:rPr>
              <w:t>3</w:t>
            </w:r>
          </w:p>
        </w:tc>
      </w:tr>
      <w:tr>
        <w:trPr/>
        <w:tc>
          <w:tcPr>
            <w:tcW w:w="1178"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8575"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1.</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1_financial_statements">
              <w:r>
                <w:rPr>
                  <w:rStyle w:val="InternetLink"/>
                  <w:rFonts w:ascii="Outfit;sans-serif" w:hAnsi="Outfit;sans-serif"/>
                  <w:color w:val="00002D"/>
                  <w:sz w:val="20"/>
                </w:rPr>
                <w:t>Financial Statements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3</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unaudited_condensed_consolidated_balance">
              <w:r>
                <w:rPr>
                  <w:rStyle w:val="InternetLink"/>
                  <w:rFonts w:ascii="Outfit;sans-serif" w:hAnsi="Outfit;sans-serif"/>
                  <w:color w:val="00002D"/>
                  <w:sz w:val="20"/>
                </w:rPr>
                <w:t>Unaudited Condensed Consolidated Balance Sheets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3</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consolidated_statements_operations">
              <w:r>
                <w:rPr>
                  <w:rStyle w:val="InternetLink"/>
                  <w:rFonts w:ascii="Outfit;sans-serif" w:hAnsi="Outfit;sans-serif"/>
                  <w:color w:val="00002D"/>
                  <w:sz w:val="20"/>
                </w:rPr>
                <w:t>Unaudited Condensed Consolidated Income Statements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consolidated_statements_comprehensive_lo">
              <w:r>
                <w:rPr>
                  <w:rStyle w:val="InternetLink"/>
                  <w:rFonts w:ascii="Outfit;sans-serif" w:hAnsi="Outfit;sans-serif"/>
                  <w:color w:val="00002D"/>
                  <w:sz w:val="20"/>
                </w:rPr>
                <w:t>Unaudited Condensed Consolidated Statements of Comprehensive Income</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5</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stockholders_equity">
              <w:r>
                <w:rPr>
                  <w:rStyle w:val="InternetLink"/>
                  <w:rFonts w:ascii="Outfit;sans-serif" w:hAnsi="Outfit;sans-serif"/>
                  <w:color w:val="00002D"/>
                  <w:sz w:val="20"/>
                </w:rPr>
                <w:t>Unaudited Condensed Consolidated Statements of Stockholders’ Equity</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consolidatedstatementsofcashflows">
              <w:r>
                <w:rPr>
                  <w:rStyle w:val="InternetLink"/>
                  <w:rFonts w:ascii="Outfit;sans-serif" w:hAnsi="Outfit;sans-serif"/>
                  <w:color w:val="00002D"/>
                  <w:sz w:val="20"/>
                </w:rPr>
                <w:t>Unaudited Condensed Consolidated Statements of Cash Flows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7</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notes_to_consolidated_financial_statemen">
              <w:r>
                <w:rPr>
                  <w:rStyle w:val="InternetLink"/>
                  <w:rFonts w:ascii="Outfit;sans-serif" w:hAnsi="Outfit;sans-serif"/>
                  <w:color w:val="00002D"/>
                  <w:sz w:val="20"/>
                </w:rPr>
                <w:t>Notes to Unaudited Condensed Consolidated Financial Statements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8</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2.</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2_managements_discussion_analysis_f">
              <w:r>
                <w:rPr>
                  <w:rStyle w:val="InternetLink"/>
                  <w:rFonts w:ascii="Outfit;sans-serif" w:hAnsi="Outfit;sans-serif"/>
                  <w:color w:val="00002D"/>
                  <w:sz w:val="20"/>
                </w:rPr>
                <w:t>Management’s Discussion and Analysis of Financial Condition and Results of Operations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22</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3.</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3_quantitative_qualitative_disclosu">
              <w:r>
                <w:rPr>
                  <w:rStyle w:val="InternetLink"/>
                  <w:rFonts w:ascii="Outfit;sans-serif" w:hAnsi="Outfit;sans-serif"/>
                  <w:color w:val="00002D"/>
                  <w:sz w:val="20"/>
                </w:rPr>
                <w:t>Quantitative and Qualitative Disclosures About Market Risk</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44</w:t>
            </w:r>
          </w:p>
        </w:tc>
      </w:tr>
      <w:tr>
        <w:trPr/>
        <w:tc>
          <w:tcPr>
            <w:tcW w:w="1178" w:type="dxa"/>
            <w:tcBorders/>
            <w:shd w:fill="FFFFFF" w:val="clear"/>
            <w:tcMar>
              <w:top w:w="0" w:type="dxa"/>
              <w:left w:w="0" w:type="dxa"/>
              <w:bottom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4.</w:t>
            </w:r>
          </w:p>
        </w:tc>
        <w:tc>
          <w:tcPr>
            <w:tcW w:w="8575" w:type="dxa"/>
            <w:tcBorders/>
            <w:shd w:fill="FFFFFF" w:val="clear"/>
            <w:tcMar>
              <w:top w:w="0" w:type="dxa"/>
              <w:left w:w="0" w:type="dxa"/>
              <w:bottom w:w="0" w:type="dxa"/>
              <w:right w:w="0" w:type="dxa"/>
            </w:tcMar>
            <w:vAlign w:val="center"/>
          </w:tcPr>
          <w:p>
            <w:pPr>
              <w:pStyle w:val="TableContents"/>
              <w:bidi w:val="0"/>
              <w:spacing w:before="20" w:after="20"/>
              <w:jc w:val="left"/>
              <w:rPr/>
            </w:pPr>
            <w:hyperlink w:anchor="item_4_controls_procedures">
              <w:r>
                <w:rPr>
                  <w:rStyle w:val="InternetLink"/>
                  <w:rFonts w:ascii="Outfit;sans-serif" w:hAnsi="Outfit;sans-serif"/>
                  <w:color w:val="00002D"/>
                  <w:sz w:val="20"/>
                </w:rPr>
                <w:t>Controls and Procedures</w:t>
              </w:r>
            </w:hyperlink>
          </w:p>
        </w:tc>
        <w:tc>
          <w:tcPr>
            <w:tcW w:w="452" w:type="dxa"/>
            <w:tcBorders/>
            <w:shd w:fill="FFFFFF" w:val="clear"/>
            <w:tcMar>
              <w:top w:w="0" w:type="dxa"/>
              <w:left w:w="0" w:type="dxa"/>
              <w:bottom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45</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3465B0"/>
                <w:sz w:val="24"/>
              </w:rPr>
            </w:pPr>
            <w:r>
              <w:rPr>
                <w:rFonts w:ascii="Outfit;sans-serif" w:hAnsi="Outfit;sans-serif"/>
                <w:b/>
                <w:color w:val="3465B0"/>
                <w:sz w:val="24"/>
              </w:rPr>
              <w:t>PART II.</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Outfit;sans-serif" w:hAnsi="Outfit;sans-serif"/>
                  <w:b/>
                  <w:color w:val="3465B0"/>
                  <w:sz w:val="24"/>
                </w:rPr>
                <w:t>OTHER INFORMATION</w:t>
              </w:r>
            </w:hyperlink>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3465B0"/>
                <w:sz w:val="24"/>
              </w:rPr>
            </w:pPr>
            <w:r>
              <w:rPr>
                <w:rFonts w:ascii="Outfit;sans-serif" w:hAnsi="Outfit;sans-serif"/>
                <w:color w:val="3465B0"/>
                <w:sz w:val="24"/>
              </w:rPr>
              <w:t>46</w:t>
            </w:r>
          </w:p>
        </w:tc>
      </w:tr>
      <w:tr>
        <w:trPr/>
        <w:tc>
          <w:tcPr>
            <w:tcW w:w="1178"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8575"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1_legal_proceedings">
              <w:r>
                <w:rPr>
                  <w:rStyle w:val="InternetLink"/>
                  <w:rFonts w:ascii="Outfit;sans-serif" w:hAnsi="Outfit;sans-serif"/>
                  <w:color w:val="00002D"/>
                  <w:sz w:val="20"/>
                </w:rPr>
                <w:t>Legal Proceedings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46</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1A.</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1a_risk_factors">
              <w:r>
                <w:rPr>
                  <w:rStyle w:val="InternetLink"/>
                  <w:rFonts w:ascii="Outfit;sans-serif" w:hAnsi="Outfit;sans-serif"/>
                  <w:color w:val="00002D"/>
                  <w:sz w:val="20"/>
                </w:rPr>
                <w:t>Risk Factors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46</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2.</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2_unreg_sale_securities">
              <w:r>
                <w:rPr>
                  <w:rStyle w:val="InternetLink"/>
                  <w:rFonts w:ascii="Outfit;sans-serif" w:hAnsi="Outfit;sans-serif"/>
                  <w:color w:val="00002D"/>
                  <w:sz w:val="20"/>
                </w:rPr>
                <w:t>Unregistered Sales of Equity Securities and Use of Proceeds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47</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5.</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5_other_information">
              <w:r>
                <w:rPr>
                  <w:rStyle w:val="InternetLink"/>
                  <w:rFonts w:ascii="Outfit;sans-serif" w:hAnsi="Outfit;sans-serif"/>
                  <w:color w:val="00002D"/>
                  <w:sz w:val="20"/>
                </w:rPr>
                <w:t>Other Information</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48</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6.</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6_exhibits">
              <w:r>
                <w:rPr>
                  <w:rStyle w:val="InternetLink"/>
                  <w:rFonts w:ascii="Outfit;sans-serif" w:hAnsi="Outfit;sans-serif"/>
                  <w:color w:val="00002D"/>
                  <w:sz w:val="20"/>
                </w:rPr>
                <w:t>Exhibits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49</w:t>
            </w:r>
          </w:p>
        </w:tc>
      </w:tr>
      <w:tr>
        <w:trPr/>
        <w:tc>
          <w:tcPr>
            <w:tcW w:w="9753" w:type="dxa"/>
            <w:gridSpan w:val="2"/>
            <w:tcBorders/>
            <w:shd w:fill="FFFFFF" w:val="clear"/>
            <w:tcMar>
              <w:top w:w="0" w:type="dxa"/>
              <w:left w:w="0" w:type="dxa"/>
              <w:bottom w:w="0" w:type="dxa"/>
              <w:right w:w="0" w:type="dxa"/>
            </w:tcMar>
            <w:vAlign w:val="center"/>
          </w:tcPr>
          <w:p>
            <w:pPr>
              <w:pStyle w:val="TableContents"/>
              <w:bidi w:val="0"/>
              <w:spacing w:before="20" w:after="20"/>
              <w:jc w:val="left"/>
              <w:rPr/>
            </w:pPr>
            <w:hyperlink w:anchor="signatures">
              <w:r>
                <w:rPr>
                  <w:rStyle w:val="InternetLink"/>
                  <w:rFonts w:ascii="Outfit;sans-serif" w:hAnsi="Outfit;sans-serif"/>
                  <w:color w:val="00002D"/>
                  <w:sz w:val="20"/>
                </w:rPr>
                <w:t>Signatures</w:t>
              </w:r>
            </w:hyperlink>
          </w:p>
        </w:tc>
        <w:tc>
          <w:tcPr>
            <w:tcW w:w="452" w:type="dxa"/>
            <w:tcBorders/>
            <w:shd w:fill="FFFFFF" w:val="clear"/>
            <w:tcMar>
              <w:top w:w="0" w:type="dxa"/>
              <w:left w:w="0" w:type="dxa"/>
              <w:bottom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50</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left"/>
        <w:rPr>
          <w:rFonts w:ascii="Outfit;sans-serif" w:hAnsi="Outfit;sans-serif"/>
          <w:b/>
          <w:color w:val="3465B0"/>
          <w:sz w:val="40"/>
        </w:rPr>
      </w:pPr>
      <w:r>
        <w:rPr>
          <w:rFonts w:ascii="Outfit;sans-serif" w:hAnsi="Outfit;sans-serif"/>
          <w:b/>
          <w:color w:val="3465B0"/>
          <w:sz w:val="40"/>
        </w:rPr>
        <w:t>SPECIAL NOTE REGARDING FORWARD</w:t>
        <w:noBreakHyphen/>
        <w:t>LOOKING STATEMENTS</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This Quarterly Report on Form 10-Q, or Quarterly Report, contains forward</w:t>
        <w:noBreakHyphen/>
        <w:t>looking statements within the meaning of the federal securities laws, which statements involve substantial risks and uncertainties. Forward</w:t>
        <w:noBreakHyphen/>
        <w:t>looking statements generally relate to future events or our future financial or operating performance. In some cases, you can identify forward</w:t>
        <w:noBreakHyphen/>
        <w:t>looking statements because they contain words such as “aim,” “anticipates,” “believes,” “could,” “estimates,” “expects,” “goal,” “intends,” “may,” “might,” “plans,” “potential,” “predicts,” “projects,” “seeks,” “should,” “target,” “will,” “would,” or similar expressions and the negatives of those terms. Forward-looking statements contained in this Quarterly Report include statements about: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future financial performance, including our expectations regarding our revenue, cost of revenue, gross profit or gross margin, operating expenses, ability to generate cash flow, and ability to achieve and maintain future profitability;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growth strategies and our ability to effectively manage any growth;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value proposition of our product offerings for dealers and consumers;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ability of our platform and offerings to increase a dealer’s return on investment, create dealer efficiencies, maintain our marketplace scale, and reduce consumer friction;</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evolution into a data- and intelligence-driven platform that supports dealers across their workflows and empowers consumers throughout their shopping journey;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deliver quality leads at a high volume for our dealer customers and to provide the highest return on a dealer’s investment;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for our digital retailing offerings and continued investments;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maintain and acquire new customers;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maintain and build our brand;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belief that our partnerships with automotive lending companies provide more transparency to car shoppers and deliver highly qualified car shopper leads to participating dealers;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the impact of competition in our industry and innovation by our competitors;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adapt to technological change and effectively enhance, innovate, and scale our platform and offerings;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overcome challenges facing the automotive industry ecosystem, including inventory supply problems, global supply chain challenges, including disruptions to pre-existing supply chains and vendor relations, changes to trade policies or tariff regulations, financial market volatility and disruption, increased interest rates, inflationary concerns, and other macroeconomic issues, including uncertain or volatile economic conditions in the U.S. and abroad;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cash generation and the sufficiency of our cash to fund our operations;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the funding of our share repurchase program;</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expected returns on investments;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our deferred tax assets;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changes in tax law and related guidance and regulations that may be implemented that could impact tax rates, our business, and our financial results;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new or improved technologies, including artificial intelligence, on our business, operations, and strategy;</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our expenses generally, including general and administrative, product, technology, and development, and sales and marketing expenses;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effects of any significant disruption to, or other performance or reliability issues with, our marketplace and offerings, including as a result of network outages, cybersecurity incidents, or other security breaches, technical difficulties, system failures, or other interruptions to our systems or those of our third-party providers;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adequately protect our intellectual property;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ability to attract, hire, and retain necessary qualified employees to expand our operations;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the impact of litigation and the potential impact of unasserted claims;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realize benefits from our acquisitions and successfully implement the integration strategies in connection therewith;</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domestic and global economic conditions affecting us, our customers, or our dealers;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revolving credit facility;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accounting pronouncements;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stay abreast of, and effectively comply with, new or modified laws and regulations that currently apply or become applicable to our business and our beliefs regarding our compliance therewith;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future trading prices of our Class A common stock.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You should not rely upon forward</w:t>
        <w:noBreakHyphen/>
        <w:t>looking statements as predictions of future events. We have based the forward</w:t>
        <w:noBreakHyphen/>
        <w:t>looking statements contained in this Quarterly Report primarily on our current expectations and projections about future events and trends that we reasonably believe may affect our business, financial condition, operating results, and growth prospects. The outcome of the events described in these forward</w:t>
        <w:noBreakHyphen/>
        <w:t>looking statements is subject to risks, uncertainties, and other factors that are described in this Quarterly Report. We have included important risk factors in the cautionary statements included in our Annual Report on Form 10-K for the fiscal year ended December 31, 2025, filed with the U.S. Securities and Exchange Commission, or SEC, on February 19, 2026, or Annual Report, particularly those discussed in Part I, Item 1A, “Risk Factors,” in our Annual Report, that could cause actual results or events to differ materially from the forward-looking statements that we make. Should one or more of these risks or other uncertainties materialize, or if underlying assumptions prove incorrect, actual outcomes may vary materially from those described or implied in the forward-looking statements. We operate in a very competitive and rapidly changing environment. New risks and uncertainties emerge from time to time, and it is not possible for us to predict all risks and uncertainties that could have an impact on the forward</w:t>
        <w:noBreakHyphen/>
        <w:t>looking statements contained in this Quarterly Report. Further, our forward</w:t>
        <w:noBreakHyphen/>
        <w:t>looking statements do not reflect the potential impact of any future acquisitions, mergers, dispositions, or joint ventures in which we may be involved, or investments we may make.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forward</w:t>
        <w:noBreakHyphen/>
        <w:t>looking statements made in this Quarterly Report speak only as of the date of this Quarterly Report. We undertake no obligation to update any forward</w:t>
        <w:noBreakHyphen/>
        <w:t>looking statement made in this Quarterly Report to reflect events or circumstances after the date of this Quarterly Report or to reflect new information or the occurrence of unanticipated events, except as required by law.</w:t>
      </w:r>
    </w:p>
    <w:p>
      <w:pPr>
        <w:pStyle w:val="TextBody"/>
        <w:bidi w:val="0"/>
        <w:spacing w:before="240" w:after="283"/>
        <w:jc w:val="both"/>
        <w:rPr>
          <w:rFonts w:ascii="Outfit;sans-serif" w:hAnsi="Outfit;sans-serif"/>
          <w:b/>
          <w:color w:val="3465B0"/>
          <w:sz w:val="40"/>
        </w:rPr>
      </w:pPr>
      <w:r>
        <w:rPr>
          <w:rFonts w:ascii="Outfit;sans-serif" w:hAnsi="Outfit;sans-serif"/>
          <w:b/>
          <w:color w:val="3465B0"/>
          <w:sz w:val="40"/>
        </w:rPr>
        <w:t>NOTE REGARDING TRADEMARKS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CarGurus® and Autolist® are each a registered trademark of CarGurus, Inc. and PistonHeads® is a registered trademark of CarGurus Ireland Limited in the U.K. and the European Union. All other product names, trademarks, and registered trademarks are property of their respective owners. We have omitted the ® and  designations, as applicable, for the trademarks used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center"/>
        <w:rPr>
          <w:rFonts w:ascii="Outfit;sans-serif" w:hAnsi="Outfit;sans-serif"/>
          <w:b/>
          <w:color w:val="3465B0"/>
          <w:sz w:val="34"/>
        </w:rPr>
      </w:pPr>
      <w:bookmarkStart w:id="3" w:name="part_ifinancial_information"/>
      <w:bookmarkEnd w:id="3"/>
      <w:r>
        <w:rPr>
          <w:rFonts w:ascii="Outfit;sans-serif" w:hAnsi="Outfit;sans-serif"/>
          <w:b/>
          <w:color w:val="3465B0"/>
          <w:sz w:val="34"/>
        </w:rPr>
        <w:t>PART I—FINANCIAL INFORMATION</w:t>
      </w:r>
    </w:p>
    <w:p>
      <w:pPr>
        <w:pStyle w:val="TextBody"/>
        <w:bidi w:val="0"/>
        <w:spacing w:before="120" w:after="283"/>
        <w:jc w:val="left"/>
        <w:rPr>
          <w:rFonts w:ascii="Outfit;sans-serif" w:hAnsi="Outfit;sans-serif"/>
          <w:b/>
          <w:color w:val="3465B0"/>
          <w:sz w:val="34"/>
        </w:rPr>
      </w:pPr>
      <w:bookmarkStart w:id="4" w:name="item_1_financial_statements"/>
      <w:bookmarkEnd w:id="4"/>
      <w:r>
        <w:rPr>
          <w:rFonts w:ascii="Outfit;sans-serif" w:hAnsi="Outfit;sans-serif"/>
          <w:b/>
          <w:color w:val="3465B0"/>
          <w:sz w:val="34"/>
        </w:rPr>
        <w:t>Item 1. Financial Statements.</w:t>
      </w:r>
    </w:p>
    <w:p>
      <w:pPr>
        <w:pStyle w:val="TextBody"/>
        <w:bidi w:val="0"/>
        <w:jc w:val="center"/>
        <w:rPr>
          <w:rFonts w:ascii="Outfit;sans-serif" w:hAnsi="Outfit;sans-serif"/>
          <w:b/>
          <w:color w:val="00002D"/>
          <w:sz w:val="28"/>
        </w:rPr>
      </w:pPr>
      <w:r>
        <w:rPr>
          <w:rFonts w:ascii="Outfit;sans-serif" w:hAnsi="Outfit;sans-serif"/>
          <w:b/>
          <w:color w:val="00002D"/>
          <w:sz w:val="28"/>
        </w:rPr>
        <w:t>CarGurus, Inc.</w:t>
      </w:r>
    </w:p>
    <w:p>
      <w:pPr>
        <w:pStyle w:val="TextBody"/>
        <w:bidi w:val="0"/>
        <w:jc w:val="center"/>
        <w:rPr>
          <w:rFonts w:ascii="Times New Roman" w:hAnsi="Times New Roman"/>
          <w:sz w:val="20"/>
        </w:rPr>
      </w:pPr>
      <w:bookmarkStart w:id="5" w:name="unaudited_condensed_consolidated_balance"/>
      <w:bookmarkEnd w:id="5"/>
      <w:r>
        <w:rPr>
          <w:rFonts w:ascii="Outfit;sans-serif" w:hAnsi="Outfit;sans-serif"/>
          <w:b/>
          <w:color w:val="00002D"/>
          <w:sz w:val="28"/>
        </w:rPr>
        <w:t>Unaudited Condensed Consolidated Balance Sheets</w:t>
      </w:r>
      <w:r>
        <w:rPr>
          <w:rFonts w:ascii="Times New Roman" w:hAnsi="Times New Roman"/>
          <w:color w:val="00002D"/>
          <w:sz w:val="20"/>
        </w:rPr>
        <w:t xml:space="preserve"> </w:t>
      </w:r>
    </w:p>
    <w:p>
      <w:pPr>
        <w:pStyle w:val="TextBody"/>
        <w:bidi w:val="0"/>
        <w:jc w:val="center"/>
        <w:rPr>
          <w:rFonts w:ascii="Times New Roman" w:hAnsi="Times New Roman"/>
          <w:sz w:val="20"/>
        </w:rPr>
      </w:pPr>
      <w:r>
        <w:rPr>
          <w:rFonts w:ascii="Outfit;sans-serif" w:hAnsi="Outfit;sans-serif"/>
          <w:b/>
          <w:color w:val="00002D"/>
          <w:sz w:val="28"/>
        </w:rPr>
        <w:t>(in thousands, except share and per share data)</w:t>
      </w:r>
      <w:r>
        <w:rPr>
          <w:rFonts w:ascii="Times New Roman" w:hAnsi="Times New Roman"/>
          <w:color w:val="00002D"/>
          <w:sz w:val="20"/>
        </w:rPr>
        <w:t xml:space="preserve"> </w:t>
      </w:r>
    </w:p>
    <w:tbl>
      <w:tblPr>
        <w:tblW w:w="10205" w:type="dxa"/>
        <w:jc w:val="left"/>
        <w:tblInd w:w="0" w:type="dxa"/>
        <w:tblLayout w:type="fixed"/>
        <w:tblCellMar>
          <w:top w:w="28" w:type="dxa"/>
          <w:left w:w="28" w:type="dxa"/>
          <w:bottom w:w="28" w:type="dxa"/>
          <w:right w:w="28" w:type="dxa"/>
        </w:tblCellMar>
      </w:tblPr>
      <w:tblGrid>
        <w:gridCol w:w="6898"/>
        <w:gridCol w:w="146"/>
        <w:gridCol w:w="226"/>
        <w:gridCol w:w="886"/>
        <w:gridCol w:w="146"/>
        <w:gridCol w:w="146"/>
        <w:gridCol w:w="277"/>
        <w:gridCol w:w="1088"/>
        <w:gridCol w:w="392"/>
      </w:tblGrid>
      <w:tr>
        <w:trPr/>
        <w:tc>
          <w:tcPr>
            <w:tcW w:w="6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Cash and 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122,136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190,518</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Accounts receivable, net of allowance for doubtful accounts of $850</w:t>
              <w:br/>
              <w:t>   and $600,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43,745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41,936</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Prepaid expenses, prepaid income taxes, and other current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21,433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35,259</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15,235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current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202,593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282,948</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129,550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132,952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Intangible assets,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2,740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3,253</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27,933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28,397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Operating lease right-of-use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97,960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115,481</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76,080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81,201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contract costs, net of current portion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13,392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13,563</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4,102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555,127</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8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661,897</w:t>
            </w:r>
          </w:p>
        </w:tc>
        <w:tc>
          <w:tcPr>
            <w:tcW w:w="39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36,063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29,115</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Accrued expenses, accrued income taxes, and other 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38,652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38,393</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24,960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23,562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9,846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9,469</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109,521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100,539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175,296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181,364</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442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Other non–current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5,954</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5,354</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290,771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287,699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Outfit;sans-serif" w:hAnsi="Outfit;sans-serif"/>
                <w:color w:val="000000"/>
                <w:sz w:val="18"/>
              </w:rPr>
              <w:t>Commitments and contingencies</w:t>
            </w:r>
            <w:r>
              <w:rPr>
                <w:rFonts w:ascii="Times New Roman" w:hAnsi="Times New Roman"/>
                <w:color w:val="000000"/>
                <w:sz w:val="20"/>
              </w:rPr>
              <w:t> </w:t>
            </w:r>
            <w:r>
              <w:rPr>
                <w:rFonts w:ascii="Outfit;sans-serif" w:hAnsi="Outfit;sans-serif"/>
                <w:color w:val="000000"/>
                <w:sz w:val="18"/>
              </w:rPr>
              <w:t>(Note 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18"/>
              </w:rPr>
              <w:t>Preferred stock, $0.001</w:t>
            </w:r>
            <w:r>
              <w:rPr>
                <w:rFonts w:ascii="Times New Roman" w:hAnsi="Times New Roman"/>
                <w:color w:val="000000"/>
                <w:sz w:val="20"/>
              </w:rPr>
              <w:t> </w:t>
            </w:r>
            <w:r>
              <w:rPr>
                <w:rFonts w:ascii="Outfit;sans-serif" w:hAnsi="Outfit;sans-serif"/>
                <w:color w:val="000000"/>
                <w:sz w:val="18"/>
              </w:rPr>
              <w:t>par value per share; 10,000,000</w:t>
            </w:r>
            <w:r>
              <w:rPr>
                <w:rFonts w:ascii="Times New Roman" w:hAnsi="Times New Roman"/>
                <w:color w:val="000000"/>
                <w:sz w:val="20"/>
              </w:rPr>
              <w:t> </w:t>
            </w:r>
            <w:r>
              <w:rPr>
                <w:rFonts w:ascii="Outfit;sans-serif" w:hAnsi="Outfit;sans-serif"/>
                <w:color w:val="000000"/>
                <w:sz w:val="18"/>
              </w:rPr>
              <w:t>shares authorized;</w:t>
              <w:br/>
              <w:t>   no</w:t>
            </w:r>
            <w:r>
              <w:rPr>
                <w:rFonts w:ascii="Times New Roman" w:hAnsi="Times New Roman"/>
                <w:color w:val="000000"/>
                <w:sz w:val="20"/>
              </w:rPr>
              <w:t> </w:t>
            </w:r>
            <w:r>
              <w:rPr>
                <w:rFonts w:ascii="Outfit;sans-serif" w:hAnsi="Outfit;sans-serif"/>
                <w:color w:val="000000"/>
                <w:sz w:val="18"/>
              </w:rPr>
              <w:t>shares issued and outstanding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18"/>
              </w:rPr>
              <w:t>Class A common stock, $0.001</w:t>
            </w:r>
            <w:r>
              <w:rPr>
                <w:rFonts w:ascii="Times New Roman" w:hAnsi="Times New Roman"/>
                <w:color w:val="000000"/>
                <w:sz w:val="20"/>
              </w:rPr>
              <w:t> </w:t>
            </w:r>
            <w:r>
              <w:rPr>
                <w:rFonts w:ascii="Outfit;sans-serif" w:hAnsi="Outfit;sans-serif"/>
                <w:color w:val="000000"/>
                <w:sz w:val="18"/>
              </w:rPr>
              <w:t>par value per share; 500,000,000</w:t>
            </w:r>
            <w:r>
              <w:rPr>
                <w:rFonts w:ascii="Times New Roman" w:hAnsi="Times New Roman"/>
                <w:color w:val="000000"/>
                <w:sz w:val="20"/>
              </w:rPr>
              <w:t> </w:t>
            </w:r>
            <w:r>
              <w:rPr>
                <w:rFonts w:ascii="Outfit;sans-serif" w:hAnsi="Outfit;sans-serif"/>
                <w:color w:val="000000"/>
                <w:sz w:val="18"/>
              </w:rPr>
              <w:t>shares</w:t>
              <w:br/>
              <w:t>   authorized; 75,571,320</w:t>
            </w:r>
            <w:r>
              <w:rPr>
                <w:rFonts w:ascii="Times New Roman" w:hAnsi="Times New Roman"/>
                <w:color w:val="000000"/>
                <w:sz w:val="20"/>
              </w:rPr>
              <w:t> </w:t>
            </w:r>
            <w:r>
              <w:rPr>
                <w:rFonts w:ascii="Outfit;sans-serif" w:hAnsi="Outfit;sans-serif"/>
                <w:color w:val="000000"/>
                <w:sz w:val="18"/>
              </w:rPr>
              <w:t>and 80,667,475</w:t>
            </w:r>
            <w:r>
              <w:rPr>
                <w:rFonts w:ascii="Times New Roman" w:hAnsi="Times New Roman"/>
                <w:color w:val="000000"/>
                <w:sz w:val="20"/>
              </w:rPr>
              <w:t> </w:t>
            </w:r>
            <w:r>
              <w:rPr>
                <w:rFonts w:ascii="Outfit;sans-serif" w:hAnsi="Outfit;sans-serif"/>
                <w:color w:val="000000"/>
                <w:sz w:val="18"/>
              </w:rPr>
              <w:t>shares issued and outstanding</w:t>
              <w:br/>
              <w:t>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81</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18"/>
              </w:rPr>
              <w:t>Class B common stock, $0.001</w:t>
            </w:r>
            <w:r>
              <w:rPr>
                <w:rFonts w:ascii="Times New Roman" w:hAnsi="Times New Roman"/>
                <w:color w:val="000000"/>
                <w:sz w:val="20"/>
              </w:rPr>
              <w:t> </w:t>
            </w:r>
            <w:r>
              <w:rPr>
                <w:rFonts w:ascii="Outfit;sans-serif" w:hAnsi="Outfit;sans-serif"/>
                <w:color w:val="000000"/>
                <w:sz w:val="18"/>
              </w:rPr>
              <w:t>par value per share; 100,000,000</w:t>
            </w:r>
            <w:r>
              <w:rPr>
                <w:rFonts w:ascii="Times New Roman" w:hAnsi="Times New Roman"/>
                <w:color w:val="000000"/>
                <w:sz w:val="20"/>
              </w:rPr>
              <w:t> </w:t>
            </w:r>
            <w:r>
              <w:rPr>
                <w:rFonts w:ascii="Outfit;sans-serif" w:hAnsi="Outfit;sans-serif"/>
                <w:color w:val="000000"/>
                <w:sz w:val="18"/>
              </w:rPr>
              <w:t>shares</w:t>
              <w:br/>
              <w:t>   authorized; 13,763,613</w:t>
            </w:r>
            <w:r>
              <w:rPr>
                <w:rFonts w:ascii="Times New Roman" w:hAnsi="Times New Roman"/>
                <w:color w:val="000000"/>
                <w:sz w:val="20"/>
              </w:rPr>
              <w:t> </w:t>
            </w:r>
            <w:r>
              <w:rPr>
                <w:rFonts w:ascii="Outfit;sans-serif" w:hAnsi="Outfit;sans-serif"/>
                <w:color w:val="000000"/>
                <w:sz w:val="18"/>
              </w:rPr>
              <w:t>and 14,216,250</w:t>
            </w:r>
            <w:r>
              <w:rPr>
                <w:rFonts w:ascii="Times New Roman" w:hAnsi="Times New Roman"/>
                <w:color w:val="000000"/>
                <w:sz w:val="20"/>
              </w:rPr>
              <w:t> </w:t>
            </w:r>
            <w:r>
              <w:rPr>
                <w:rFonts w:ascii="Outfit;sans-serif" w:hAnsi="Outfit;sans-serif"/>
                <w:color w:val="000000"/>
                <w:sz w:val="18"/>
              </w:rPr>
              <w:t>shares issued and outstanding</w:t>
              <w:br/>
              <w:t>   at June 30, 2026 and December 31, 2025, respectively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10,297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Retained earnings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257,376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362,380</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stockholders’ equity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264,356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374,198</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8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555,127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661,897</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Outfit;sans-serif" w:hAnsi="Outfit;sans-serif"/>
          <w:color w:val="00002D"/>
          <w:sz w:val="18"/>
        </w:rPr>
        <w:t>The accompanying notes are an integral part of these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Outfit;sans-serif" w:hAnsi="Outfit;sans-serif"/>
          <w:b/>
          <w:color w:val="00002D"/>
          <w:sz w:val="32"/>
        </w:rPr>
        <w:t>CarGurus, Inc.</w:t>
      </w:r>
      <w:r>
        <w:rPr>
          <w:rFonts w:ascii="Times New Roman" w:hAnsi="Times New Roman"/>
          <w:color w:val="00002D"/>
          <w:sz w:val="20"/>
        </w:rPr>
        <w:t xml:space="preserve"> </w:t>
      </w:r>
    </w:p>
    <w:p>
      <w:pPr>
        <w:pStyle w:val="TextBody"/>
        <w:bidi w:val="0"/>
        <w:jc w:val="center"/>
        <w:rPr>
          <w:rFonts w:ascii="Outfit;sans-serif" w:hAnsi="Outfit;sans-serif"/>
          <w:b/>
          <w:color w:val="00002D"/>
          <w:sz w:val="32"/>
        </w:rPr>
      </w:pPr>
      <w:bookmarkStart w:id="6" w:name="consolidated_statements_operations"/>
      <w:bookmarkEnd w:id="6"/>
      <w:r>
        <w:rPr>
          <w:rFonts w:ascii="Outfit;sans-serif" w:hAnsi="Outfit;sans-serif"/>
          <w:b/>
          <w:color w:val="00002D"/>
          <w:sz w:val="32"/>
        </w:rPr>
        <w:t>Unaudited Condensed Consolidated Income Statements</w:t>
      </w:r>
    </w:p>
    <w:p>
      <w:pPr>
        <w:pStyle w:val="TextBody"/>
        <w:bidi w:val="0"/>
        <w:jc w:val="center"/>
        <w:rPr>
          <w:rFonts w:ascii="Times New Roman" w:hAnsi="Times New Roman"/>
          <w:sz w:val="20"/>
        </w:rPr>
      </w:pPr>
      <w:r>
        <w:rPr>
          <w:rFonts w:ascii="Outfit;sans-serif" w:hAnsi="Outfit;sans-serif"/>
          <w:b/>
          <w:color w:val="00002D"/>
          <w:sz w:val="32"/>
        </w:rPr>
        <w:t>(in thousands, except share and per share data)</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99"/>
        <w:gridCol w:w="146"/>
        <w:gridCol w:w="226"/>
        <w:gridCol w:w="1186"/>
        <w:gridCol w:w="181"/>
        <w:gridCol w:w="146"/>
        <w:gridCol w:w="226"/>
        <w:gridCol w:w="1306"/>
        <w:gridCol w:w="181"/>
        <w:gridCol w:w="146"/>
        <w:gridCol w:w="226"/>
        <w:gridCol w:w="1186"/>
        <w:gridCol w:w="181"/>
        <w:gridCol w:w="146"/>
        <w:gridCol w:w="226"/>
        <w:gridCol w:w="1306"/>
        <w:gridCol w:w="491"/>
      </w:tblGrid>
      <w:tr>
        <w:trPr/>
        <w:tc>
          <w:tcPr>
            <w:tcW w:w="2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250,971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221,998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494,526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434,233</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Outfit;sans-serif" w:hAnsi="Outfit;sans-serif"/>
                <w:color w:val="000000"/>
                <w:sz w:val="20"/>
              </w:rPr>
              <w:t>Cost of revenue</w:t>
            </w:r>
            <w:r>
              <w:rPr>
                <w:rFonts w:ascii="Outfit;sans-serif" w:hAnsi="Outfit;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19,873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38,807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30,020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231,098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206,321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455,719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404,213</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97,635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82,587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195,119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166,256</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38,137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33,725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75,808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68,753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28,209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25,266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54,690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50,051</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19,651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3,685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3,695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7,390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7,451</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168,116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145,772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352,658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293,010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62,982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60,549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103,061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111,203</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5,232</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1,573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5,360</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63,490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63,113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104,634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116,563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14,297</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14,124</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23,213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25,500</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48,989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81,421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91,063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 net of tax benefits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(26,646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(29,675</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49,193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81,421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61,388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per share attributable to common stockholders (Note 11)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0.90</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0.60</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 xml:space="preserve">Weighted-average number of shares of common stock used in </w:t>
              <w:br/>
              <w:t>   computing net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90,131,442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98,889,893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92,082,411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100,980,676</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91,076,449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100,184,067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93,075,457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102,614,441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rFonts w:ascii="Outfit;sans-serif" w:hAnsi="Outfit;sans-serif"/>
          <w:color w:val="00002D"/>
          <w:sz w:val="14"/>
        </w:rPr>
      </w:pPr>
      <w:r>
        <w:rPr>
          <w:rFonts w:ascii="Outfit;sans-serif" w:hAnsi="Outfit;sans-serif"/>
          <w:color w:val="00002D"/>
          <w:sz w:val="14"/>
        </w:rPr>
        <w:t>(1)</w:t>
      </w:r>
    </w:p>
    <w:p>
      <w:pPr>
        <w:pStyle w:val="TextBody"/>
        <w:bidi w:val="0"/>
        <w:spacing w:before="80" w:after="283"/>
        <w:jc w:val="both"/>
        <w:rPr/>
      </w:pPr>
      <w:r>
        <w:rPr>
          <w:rFonts w:ascii="Outfit;sans-serif" w:hAnsi="Outfit;sans-serif"/>
          <w:color w:val="00002D"/>
          <w:sz w:val="14"/>
        </w:rPr>
        <w:t>For the three months ended June 30, 2026 and 2025 and for the six months ended June 30, 2026 and 2025, cost of revenue includes depreciation and amortization expense of $4.2</w:t>
      </w:r>
      <w:r>
        <w:rPr>
          <w:color w:val="00002D"/>
        </w:rPr>
        <w:t xml:space="preserve"> </w:t>
      </w:r>
      <w:r>
        <w:rPr>
          <w:rFonts w:ascii="Outfit;sans-serif" w:hAnsi="Outfit;sans-serif"/>
          <w:color w:val="00002D"/>
          <w:sz w:val="14"/>
        </w:rPr>
        <w:t>million, $2.1</w:t>
      </w:r>
      <w:r>
        <w:rPr>
          <w:color w:val="00002D"/>
        </w:rPr>
        <w:t xml:space="preserve"> </w:t>
      </w:r>
      <w:r>
        <w:rPr>
          <w:rFonts w:ascii="Outfit;sans-serif" w:hAnsi="Outfit;sans-serif"/>
          <w:color w:val="00002D"/>
          <w:sz w:val="14"/>
        </w:rPr>
        <w:t>million, $7.7</w:t>
      </w:r>
      <w:r>
        <w:rPr>
          <w:color w:val="00002D"/>
        </w:rPr>
        <w:t xml:space="preserve"> </w:t>
      </w:r>
      <w:r>
        <w:rPr>
          <w:rFonts w:ascii="Outfit;sans-serif" w:hAnsi="Outfit;sans-serif"/>
          <w:color w:val="00002D"/>
          <w:sz w:val="14"/>
        </w:rPr>
        <w:t>million, and $4.0</w:t>
      </w:r>
      <w:r>
        <w:rPr>
          <w:color w:val="00002D"/>
        </w:rPr>
        <w:t xml:space="preserve"> </w:t>
      </w:r>
      <w:r>
        <w:rPr>
          <w:rFonts w:ascii="Outfit;sans-serif" w:hAnsi="Outfit;sans-serif"/>
          <w:color w:val="00002D"/>
          <w:sz w:val="14"/>
        </w:rPr>
        <w:t>million, respectively.</w:t>
      </w:r>
    </w:p>
    <w:p>
      <w:pPr>
        <w:pStyle w:val="TextBody"/>
        <w:bidi w:val="0"/>
        <w:spacing w:before="80" w:after="283"/>
        <w:jc w:val="both"/>
        <w:rPr>
          <w:rFonts w:ascii="Outfit;sans-serif" w:hAnsi="Outfit;sans-serif"/>
          <w:color w:val="00002D"/>
          <w:sz w:val="14"/>
        </w:rPr>
      </w:pPr>
      <w:r>
        <w:rPr>
          <w:rFonts w:ascii="Outfit;sans-serif" w:hAnsi="Outfit;sans-serif"/>
          <w:color w:val="00002D"/>
          <w:sz w:val="14"/>
        </w:rPr>
        <w:t>(2)</w:t>
      </w:r>
    </w:p>
    <w:p>
      <w:pPr>
        <w:pStyle w:val="TextBody"/>
        <w:bidi w:val="0"/>
        <w:spacing w:before="80" w:after="283"/>
        <w:jc w:val="both"/>
        <w:rPr/>
      </w:pPr>
      <w:r>
        <w:rPr>
          <w:rFonts w:ascii="Outfit;sans-serif" w:hAnsi="Outfit;sans-serif"/>
          <w:color w:val="00002D"/>
          <w:sz w:val="14"/>
        </w:rPr>
        <w:t>For the three months ended June 30, 2026 and 2025 and for the six months ended June 30, 2025, there was no</w:t>
      </w:r>
      <w:r>
        <w:rPr>
          <w:color w:val="00002D"/>
        </w:rPr>
        <w:t xml:space="preserve"> </w:t>
      </w:r>
      <w:r>
        <w:rPr>
          <w:rFonts w:ascii="Outfit;sans-serif" w:hAnsi="Outfit;sans-serif"/>
          <w:color w:val="00002D"/>
          <w:sz w:val="14"/>
        </w:rPr>
        <w:t>impairment recorded in cost of revenue. For the six months ended June 30, 2026, cost of revenue includes impairment of $0.5</w:t>
      </w:r>
      <w:r>
        <w:rPr>
          <w:color w:val="00002D"/>
        </w:rPr>
        <w:t xml:space="preserve"> </w:t>
      </w:r>
      <w:r>
        <w:rPr>
          <w:rFonts w:ascii="Outfit;sans-serif" w:hAnsi="Outfit;sans-serif"/>
          <w:color w:val="00002D"/>
          <w:sz w:val="14"/>
        </w:rPr>
        <w:t>million.</w:t>
      </w:r>
    </w:p>
    <w:p>
      <w:pPr>
        <w:pStyle w:val="TextBody"/>
        <w:bidi w:val="0"/>
        <w:spacing w:before="120" w:after="283"/>
        <w:jc w:val="center"/>
        <w:rPr>
          <w:rFonts w:ascii="Times New Roman" w:hAnsi="Times New Roman"/>
          <w:sz w:val="20"/>
        </w:rPr>
      </w:pPr>
      <w:r>
        <w:rPr>
          <w:rFonts w:ascii="Outfit;sans-serif" w:hAnsi="Outfit;sans-serif"/>
          <w:color w:val="00002D"/>
          <w:sz w:val="18"/>
        </w:rPr>
        <w:t>The accompanying notes are an integral part of these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Outfit;sans-serif" w:hAnsi="Outfit;sans-serif"/>
          <w:b/>
          <w:color w:val="00002D"/>
          <w:sz w:val="32"/>
        </w:rPr>
      </w:pPr>
      <w:bookmarkStart w:id="7" w:name="consolidated_statements_comprehensive_lo"/>
      <w:bookmarkEnd w:id="7"/>
      <w:r>
        <w:rPr>
          <w:rFonts w:ascii="Outfit;sans-serif" w:hAnsi="Outfit;sans-serif"/>
          <w:b/>
          <w:color w:val="00002D"/>
          <w:sz w:val="32"/>
        </w:rPr>
        <w:t>Unaudited Condensed Consolidated Statements of Comprehensive Income</w:t>
      </w:r>
    </w:p>
    <w:p>
      <w:pPr>
        <w:pStyle w:val="TextBody"/>
        <w:bidi w:val="0"/>
        <w:jc w:val="center"/>
        <w:rPr>
          <w:rFonts w:ascii="Outfit;sans-serif" w:hAnsi="Outfit;sans-serif"/>
          <w:b/>
          <w:color w:val="00002D"/>
          <w:sz w:val="32"/>
        </w:rPr>
      </w:pPr>
      <w:r>
        <w:rPr>
          <w:rFonts w:ascii="Outfit;sans-serif" w:hAnsi="Outfit;sans-serif"/>
          <w:b/>
          <w:color w:val="00002D"/>
          <w:sz w:val="32"/>
        </w:rPr>
        <w:t>(in thousands)</w:t>
      </w:r>
    </w:p>
    <w:tbl>
      <w:tblPr>
        <w:tblW w:w="9672" w:type="dxa"/>
        <w:jc w:val="left"/>
        <w:tblInd w:w="0" w:type="dxa"/>
        <w:tblLayout w:type="fixed"/>
        <w:tblCellMar>
          <w:top w:w="28" w:type="dxa"/>
          <w:left w:w="28" w:type="dxa"/>
          <w:bottom w:w="28" w:type="dxa"/>
          <w:right w:w="28" w:type="dxa"/>
        </w:tblCellMar>
      </w:tblPr>
      <w:tblGrid>
        <w:gridCol w:w="4221"/>
        <w:gridCol w:w="146"/>
        <w:gridCol w:w="226"/>
        <w:gridCol w:w="766"/>
        <w:gridCol w:w="181"/>
        <w:gridCol w:w="146"/>
        <w:gridCol w:w="226"/>
        <w:gridCol w:w="766"/>
        <w:gridCol w:w="146"/>
        <w:gridCol w:w="146"/>
        <w:gridCol w:w="226"/>
        <w:gridCol w:w="766"/>
        <w:gridCol w:w="181"/>
        <w:gridCol w:w="146"/>
        <w:gridCol w:w="226"/>
        <w:gridCol w:w="766"/>
        <w:gridCol w:w="391"/>
      </w:tblGrid>
      <w:tr>
        <w:trPr/>
        <w:tc>
          <w:tcPr>
            <w:tcW w:w="4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 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49,193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22,343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81,421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61,388</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2,679</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3,917</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48,872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80,121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65,305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sz w:val="20"/>
        </w:rPr>
      </w:pPr>
      <w:r>
        <w:rPr>
          <w:rFonts w:ascii="Outfit;sans-serif" w:hAnsi="Outfit;sans-serif"/>
          <w:color w:val="00002D"/>
          <w:sz w:val="18"/>
        </w:rPr>
        <w:t>The accompanying notes are an integral part of these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Times New Roman" w:hAnsi="Times New Roman"/>
          <w:sz w:val="20"/>
        </w:rPr>
      </w:pPr>
      <w:bookmarkStart w:id="8" w:name="stockholders_equity"/>
      <w:bookmarkEnd w:id="8"/>
      <w:r>
        <w:rPr>
          <w:rFonts w:ascii="Outfit;sans-serif" w:hAnsi="Outfit;sans-serif"/>
          <w:b/>
          <w:color w:val="00002D"/>
          <w:sz w:val="32"/>
        </w:rPr>
        <w:t>Unaudited Condensed Consolidated Statements of</w:t>
      </w:r>
      <w:r>
        <w:rPr>
          <w:rFonts w:ascii="Times New Roman" w:hAnsi="Times New Roman"/>
          <w:color w:val="00002D"/>
          <w:sz w:val="20"/>
        </w:rPr>
        <w:t xml:space="preserve"> </w:t>
      </w:r>
      <w:r>
        <w:rPr>
          <w:rFonts w:ascii="Outfit;sans-serif" w:hAnsi="Outfit;sans-serif"/>
          <w:b/>
          <w:color w:val="00002D"/>
          <w:sz w:val="32"/>
        </w:rPr>
        <w:t>Stockholders’ Equity</w:t>
      </w:r>
      <w:r>
        <w:rPr>
          <w:rFonts w:ascii="Times New Roman" w:hAnsi="Times New Roman"/>
          <w:color w:val="00002D"/>
          <w:sz w:val="20"/>
        </w:rPr>
        <w:t xml:space="preserve"> </w:t>
      </w:r>
    </w:p>
    <w:p>
      <w:pPr>
        <w:pStyle w:val="TextBody"/>
        <w:bidi w:val="0"/>
        <w:jc w:val="center"/>
        <w:rPr>
          <w:rFonts w:ascii="Outfit;sans-serif" w:hAnsi="Outfit;sans-serif"/>
          <w:b/>
          <w:color w:val="00002D"/>
          <w:sz w:val="32"/>
        </w:rPr>
      </w:pPr>
      <w:r>
        <w:rPr>
          <w:rFonts w:ascii="Outfit;sans-serif" w:hAnsi="Outfit;sans-serif"/>
          <w:b/>
          <w:color w:val="00002D"/>
          <w:sz w:val="32"/>
        </w:rPr>
        <w:t>(in thousands, except share data)</w:t>
      </w:r>
    </w:p>
    <w:p>
      <w:pPr>
        <w:pStyle w:val="TextBody"/>
        <w:bidi w:val="0"/>
        <w:jc w:val="center"/>
        <w:rPr/>
      </w:pPr>
      <w:r>
        <w:rPr/>
        <w:t> </w:t>
      </w:r>
    </w:p>
    <w:tbl>
      <w:tblPr>
        <w:tblW w:w="11349" w:type="dxa"/>
        <w:jc w:val="left"/>
        <w:tblInd w:w="0" w:type="dxa"/>
        <w:tblLayout w:type="fixed"/>
        <w:tblCellMar>
          <w:top w:w="28" w:type="dxa"/>
          <w:left w:w="28" w:type="dxa"/>
          <w:bottom w:w="28" w:type="dxa"/>
          <w:right w:w="28" w:type="dxa"/>
        </w:tblCellMar>
      </w:tblPr>
      <w:tblGrid>
        <w:gridCol w:w="1141"/>
        <w:gridCol w:w="146"/>
        <w:gridCol w:w="146"/>
        <w:gridCol w:w="916"/>
        <w:gridCol w:w="166"/>
        <w:gridCol w:w="146"/>
        <w:gridCol w:w="244"/>
        <w:gridCol w:w="432"/>
        <w:gridCol w:w="166"/>
        <w:gridCol w:w="146"/>
        <w:gridCol w:w="146"/>
        <w:gridCol w:w="916"/>
        <w:gridCol w:w="166"/>
        <w:gridCol w:w="146"/>
        <w:gridCol w:w="244"/>
        <w:gridCol w:w="432"/>
        <w:gridCol w:w="166"/>
        <w:gridCol w:w="146"/>
        <w:gridCol w:w="196"/>
        <w:gridCol w:w="751"/>
        <w:gridCol w:w="166"/>
        <w:gridCol w:w="146"/>
        <w:gridCol w:w="196"/>
        <w:gridCol w:w="751"/>
        <w:gridCol w:w="166"/>
        <w:gridCol w:w="146"/>
        <w:gridCol w:w="318"/>
        <w:gridCol w:w="928"/>
        <w:gridCol w:w="166"/>
        <w:gridCol w:w="146"/>
        <w:gridCol w:w="217"/>
        <w:gridCol w:w="834"/>
        <w:gridCol w:w="21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Class A</w:t>
              <w:b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Class B</w:t>
              <w:b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Balance as of December 31,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80,667,475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14,216,250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10,297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362,380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1,426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374,198</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32,228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32,228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14,806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14,806</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Issuance of common stock upon vesting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519,758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(179,965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(6,566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Repurchase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(5,341,712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(11,816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(164,793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(176,614</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(979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Balance as of March 31, 2026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75,673,609</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76</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14,216,250</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6,776</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229,815</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92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447</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3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237,128</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49,193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49,193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14,743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14,743</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601,460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Withholding taxes on net share settlements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(209,415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(7,020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(7,020</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(946,971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(21,632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(29,367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Conversion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452,637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(452,637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Balance as of June 30, 2026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75,571,320</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76</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13,763,613</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6,764</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257,376</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928"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126</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3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264,356</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Balance as of December 31, 2024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89,002,571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14,986,745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169,013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375,119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(2,547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541,689</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39,045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39,045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14,538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14,538</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Issuance of common stock upon vesting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715,951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(251,366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(8,987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Repurchase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(5,919,435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(168,183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(17,678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(185,867</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Conversion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770,495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(770,495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1,238</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1,238</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84,334,642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14,216,250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6,775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396,486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402,050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Consolidated 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22,343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22,343</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14,883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Issuance of common stock upon exercise of 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1,500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10</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630,591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Withholding taxes on net share settlements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(216,786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(6,343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(6,343</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(11,004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r>
      <w:tr>
        <w:trPr/>
        <w:tc>
          <w:tcPr>
            <w:tcW w:w="11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2,679</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2,679</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84,738,943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14,216,250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418,642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435,477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Outfit;sans-serif" w:hAnsi="Outfit;sans-serif"/>
          <w:color w:val="00002D"/>
          <w:sz w:val="18"/>
        </w:rPr>
      </w:pPr>
      <w:r>
        <w:rPr>
          <w:rFonts w:ascii="Outfit;sans-serif" w:hAnsi="Outfit;sans-serif"/>
          <w:color w:val="00002D"/>
          <w:sz w:val="18"/>
        </w:rPr>
        <w:t>The accompanying notes are an integral part of these Unaudited Condensed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Outfit;sans-serif" w:hAnsi="Outfit;sans-serif"/>
          <w:b/>
          <w:color w:val="00002D"/>
          <w:sz w:val="32"/>
        </w:rPr>
      </w:pPr>
      <w:bookmarkStart w:id="9" w:name="consolidatedstatementsofcashflows"/>
      <w:bookmarkEnd w:id="9"/>
      <w:r>
        <w:rPr>
          <w:rFonts w:ascii="Outfit;sans-serif" w:hAnsi="Outfit;sans-serif"/>
          <w:b/>
          <w:color w:val="00002D"/>
          <w:sz w:val="32"/>
        </w:rPr>
        <w:t>Unaudited Condensed Consolidated Statements of Cash Flows</w:t>
      </w:r>
    </w:p>
    <w:p>
      <w:pPr>
        <w:pStyle w:val="TextBody"/>
        <w:bidi w:val="0"/>
        <w:jc w:val="center"/>
        <w:rPr>
          <w:rFonts w:ascii="Outfit;sans-serif" w:hAnsi="Outfit;sans-serif"/>
          <w:b/>
          <w:color w:val="00002D"/>
          <w:sz w:val="32"/>
        </w:rPr>
      </w:pPr>
      <w:r>
        <w:rPr>
          <w:rFonts w:ascii="Outfit;sans-serif" w:hAnsi="Outfit;sans-serif"/>
          <w:b/>
          <w:color w:val="00002D"/>
          <w:sz w:val="32"/>
        </w:rPr>
        <w:t>(in thousands)</w:t>
      </w:r>
    </w:p>
    <w:p>
      <w:pPr>
        <w:pStyle w:val="TextBody"/>
        <w:bidi w:val="0"/>
        <w:jc w:val="center"/>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72"/>
        <w:gridCol w:w="146"/>
        <w:gridCol w:w="211"/>
        <w:gridCol w:w="841"/>
        <w:gridCol w:w="166"/>
        <w:gridCol w:w="146"/>
        <w:gridCol w:w="211"/>
        <w:gridCol w:w="841"/>
        <w:gridCol w:w="371"/>
      </w:tblGrid>
      <w:tr>
        <w:trPr/>
        <w:tc>
          <w:tcPr>
            <w:tcW w:w="7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81,421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61,388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Adjustments to reconcile consolidated net income to 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13,236</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Currency loss (gain) on foreign denominated transactions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(457</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(13,330</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Provision for doubtful accounts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1,486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1,123</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25,925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Amortization of deferred financing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258</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Amortization of 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7,814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20,161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32,552</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Accounts receivable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(3,410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2,223</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(373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Prepaid expenses, prepaid income taxes, and other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12,997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8,894</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(9,429</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Accounts payable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6,525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6,692</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Accrued expenses, accrued income taxes,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(3,204</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Deferred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1,411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1,686</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6,000</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164,440</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140,998</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Purchases of property and equipment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(953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(3,823</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Capitalization of website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(11,653</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cash used in investing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(13,602</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(15,476</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Proceeds from issuance of common stock upon exercise of 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404</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(15,330</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Repurchases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(202,135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(184,608</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excise tax for 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(682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finance lease obligations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(40</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Change in gross advance payments received from third-party transaction processor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(281</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cash used in financing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(218,373</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(200,537</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Impact of foreign currency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2,135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decrease in cash, cash equivalents, and restricted cash</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(68,382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(72,880</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190,518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306,229</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cash equivalents, and restricted cash at end of period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122,136</w:t>
            </w:r>
          </w:p>
        </w:tc>
        <w:tc>
          <w:tcPr>
            <w:tcW w:w="1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233,349</w:t>
            </w:r>
          </w:p>
        </w:tc>
        <w:tc>
          <w:tcPr>
            <w:tcW w:w="37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(Refunds) or cash paid for income taxes,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17,269</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8,997</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paid for interest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309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316</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Supplemental noncash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purchases of property and equipment and capitalized hosting arrangements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1,040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842</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Capitalized stock-based compensation expense in website development and</w:t>
              <w:br/>
              <w:t>   internal-use software costs and hosting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3,496</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repurchases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2,170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excise tax on 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1,402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Obtaining a right-of-use asset in exchange for an operating lease liability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201</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Outfit;sans-serif" w:hAnsi="Outfit;sans-serif"/>
          <w:color w:val="00002D"/>
          <w:sz w:val="18"/>
        </w:rPr>
      </w:pPr>
      <w:r>
        <w:rPr>
          <w:rFonts w:ascii="Outfit;sans-serif" w:hAnsi="Outfit;sans-serif"/>
          <w:color w:val="00002D"/>
          <w:sz w:val="18"/>
        </w:rPr>
        <w:t>The accompanying notes are an integral part of these Unaudited Condensed Consolidated Financial Statements.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Times New Roman" w:hAnsi="Times New Roman"/>
          <w:sz w:val="20"/>
        </w:rPr>
      </w:pPr>
      <w:bookmarkStart w:id="10" w:name="notes_to_consolidated_financial_statemen"/>
      <w:bookmarkEnd w:id="10"/>
      <w:r>
        <w:rPr>
          <w:rFonts w:ascii="Outfit;sans-serif" w:hAnsi="Outfit;sans-serif"/>
          <w:b/>
          <w:color w:val="00002D"/>
          <w:sz w:val="32"/>
        </w:rPr>
        <w:t>Notes to Unaudited Condensed Consolidated Financial Statements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3465B0"/>
          <w:sz w:val="24"/>
        </w:rPr>
        <w:t>1. Organization and Business Description</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CarGurus, Inc. (the “Company” or “CarGurus”) is a multinational automotive platform helping consumers and dealers confidently buy and sell vehicles. Founded in 2006 with a mission to bring more trust and transparency to car shopping, CarGurus is an automotive shopping site in the U.S. CarGurus</w:t>
      </w:r>
      <w:r>
        <w:rPr>
          <w:rFonts w:ascii="Times New Roman" w:hAnsi="Times New Roman"/>
          <w:color w:val="000000"/>
          <w:sz w:val="20"/>
        </w:rPr>
        <w:t>’</w:t>
      </w:r>
      <w:r>
        <w:rPr>
          <w:rFonts w:ascii="Times New Roman" w:hAnsi="Times New Roman"/>
          <w:color w:val="00002D"/>
          <w:sz w:val="20"/>
        </w:rPr>
        <w:t xml:space="preserve"> </w:t>
      </w:r>
      <w:r>
        <w:rPr>
          <w:rFonts w:ascii="Outfit;sans-serif" w:hAnsi="Outfit;sans-serif"/>
          <w:color w:val="00002D"/>
          <w:sz w:val="20"/>
        </w:rPr>
        <w:t>selection, trusted automotive insights, and data-driven products and solutions support each shopper</w:t>
      </w:r>
      <w:r>
        <w:rPr>
          <w:rFonts w:ascii="Times New Roman" w:hAnsi="Times New Roman"/>
          <w:color w:val="000000"/>
          <w:sz w:val="20"/>
        </w:rPr>
        <w:t>’</w:t>
      </w:r>
      <w:r>
        <w:rPr>
          <w:rFonts w:ascii="Outfit;sans-serif" w:hAnsi="Outfit;sans-serif"/>
          <w:color w:val="00002D"/>
          <w:sz w:val="20"/>
        </w:rPr>
        <w:t>s journey</w:t>
      </w:r>
      <w:r>
        <w:rPr>
          <w:rFonts w:ascii="Times New Roman" w:hAnsi="Times New Roman"/>
          <w:color w:val="00002D"/>
          <w:sz w:val="20"/>
        </w:rPr>
        <w:t xml:space="preserve"> – </w:t>
      </w:r>
      <w:r>
        <w:rPr>
          <w:rFonts w:ascii="Outfit;sans-serif" w:hAnsi="Outfit;sans-serif"/>
          <w:color w:val="00002D"/>
          <w:sz w:val="20"/>
        </w:rPr>
        <w:t>from online research and shopping to in-dealership decisions</w:t>
      </w:r>
      <w:r>
        <w:rPr>
          <w:rFonts w:ascii="Times New Roman" w:hAnsi="Times New Roman"/>
          <w:color w:val="00002D"/>
          <w:sz w:val="20"/>
        </w:rPr>
        <w:t xml:space="preserve"> – </w:t>
      </w:r>
      <w:r>
        <w:rPr>
          <w:rFonts w:ascii="Outfit;sans-serif" w:hAnsi="Outfit;sans-serif"/>
          <w:color w:val="00002D"/>
          <w:sz w:val="20"/>
        </w:rPr>
        <w:t>to empower them at every step. CarGurus provides dealers a personalized, predictive intelligence platform with software solutions that helps them run their businesses more efficiently and profitably at all stages of inventory acquisition and pricing, marketing, and conversion to sale.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operates under the CarGurus brand in the U.S., Canada, and the U.K, with the U.S. representing its primary market. In addition, the Company operates the Autolist online marketplace in the U.S. and the PistonHeads online marketplace in the U.K. as independent brands.</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subsidiaries in the U.S., Canada, Ireland, and the U.K.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CarOffer, LLC (“CarOffer”) completed its wind-down and, for accounting purposes, was considered abandoned as of December 31, 2025. For further information, refer to Note 3 of the Unaudited Condensed Consolidated Financial Statements (as defined below).</w:t>
      </w:r>
    </w:p>
    <w:p>
      <w:pPr>
        <w:pStyle w:val="TextBody"/>
        <w:bidi w:val="0"/>
        <w:spacing w:before="240" w:after="283"/>
        <w:jc w:val="both"/>
        <w:rPr>
          <w:rFonts w:ascii="Times New Roman" w:hAnsi="Times New Roman"/>
          <w:sz w:val="20"/>
        </w:rPr>
      </w:pPr>
      <w:r>
        <w:rPr>
          <w:rFonts w:ascii="Outfit;sans-serif" w:hAnsi="Outfit;sans-serif"/>
          <w:color w:val="00002D"/>
          <w:sz w:val="20"/>
        </w:rPr>
        <w:t>Effective as of the fourth quarter of 2025 the Company revised its segment reporting from two</w:t>
      </w:r>
      <w:r>
        <w:rPr>
          <w:rFonts w:ascii="Times New Roman" w:hAnsi="Times New Roman"/>
          <w:color w:val="00002D"/>
          <w:sz w:val="20"/>
        </w:rPr>
        <w:t xml:space="preserve"> </w:t>
      </w:r>
      <w:r>
        <w:rPr>
          <w:rFonts w:ascii="Outfit;sans-serif" w:hAnsi="Outfit;sans-serif"/>
          <w:color w:val="00002D"/>
          <w:sz w:val="20"/>
        </w:rPr>
        <w:t>reportable segments to one</w:t>
      </w:r>
      <w:r>
        <w:rPr>
          <w:rFonts w:ascii="Times New Roman" w:hAnsi="Times New Roman"/>
          <w:color w:val="00002D"/>
          <w:sz w:val="20"/>
        </w:rPr>
        <w:t xml:space="preserve"> </w:t>
      </w:r>
      <w:r>
        <w:rPr>
          <w:rFonts w:ascii="Outfit;sans-serif" w:hAnsi="Outfit;sans-serif"/>
          <w:color w:val="00002D"/>
          <w:sz w:val="20"/>
        </w:rPr>
        <w:t>reportable segment, in connection with the wind-down of CarOffer and as a result of the Chief Operating Decision Maker (</w:t>
      </w:r>
      <w:r>
        <w:rPr>
          <w:rFonts w:ascii="Times New Roman" w:hAnsi="Times New Roman"/>
          <w:color w:val="00002D"/>
          <w:sz w:val="20"/>
        </w:rPr>
        <w:t>“</w:t>
      </w:r>
      <w:r>
        <w:rPr>
          <w:rFonts w:ascii="Outfit;sans-serif" w:hAnsi="Outfit;sans-serif"/>
          <w:color w:val="00002D"/>
          <w:sz w:val="20"/>
        </w:rPr>
        <w:t>CODM”) managing the business, making operating decisions, and evaluating operating performance on a consolidated basis. For further segment reporting and geographic information, refer to Note 13 of the Unaudited Condensed Consolidated Financial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litigation, and dependence on key individuals.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2. Summary of Significant Accounting Policies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Basis of Presentation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accompanying interim condensed consolidated financial statements are unaudited (the “Unaudited Condensed Consolidated Financial Statements”). The Unaudited Condensed Consolidated Financial Statements and related disclosures have been prepared in conformity with accounting principles generally accepted in the U.S. (“GAAP”). Any reference in these notes to applicable guidance is meant to refer to GAAP as found in the Accounting Standards Codification (“ASC”) and Accounting Standards Update (“ASU”) of the Financial Accounting Standards Board (“FASB”).</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Financial Statements have also been prepared pursuant to the rules and regulations of the U.S.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statements for interim periods. These interim period results are not necessarily indicative of the results to be expected for any other interim period or the full year.</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The Unaudited Condensed Consolidated Financial Statements should be read in conjunction with the Company’s audited consolidated financial statements and the notes thereto included in the Company’s Annual Report on Form 10-K for the fiscal year ended December 31, 2025, filed with the SEC on February 19, 2026 (the “Annual Report”).</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00"/>
          <w:sz w:val="20"/>
        </w:rPr>
        <w:t>The Company has presented the financial results of CarOffer as discontinued operations in the Unaudited Condensed Consolidated Financial Statements. No</w:t>
      </w:r>
      <w:r>
        <w:rPr>
          <w:rFonts w:ascii="Times New Roman" w:hAnsi="Times New Roman"/>
          <w:color w:val="000000"/>
          <w:sz w:val="20"/>
        </w:rPr>
        <w:t xml:space="preserve"> </w:t>
      </w:r>
      <w:r>
        <w:rPr>
          <w:rFonts w:ascii="Outfit;sans-serif" w:hAnsi="Outfit;sans-serif"/>
          <w:color w:val="000000"/>
          <w:sz w:val="20"/>
        </w:rPr>
        <w:t>assets or liabilities were classified as discontinued operations as of June 30, 2026 or December 31, 2025. No results of operations were classified as discontinued operations for the three and six months ended June 30, 2026. The Unaudited Condensed Consolidated Income Statement for the three and six months ended June 30, 2025, was derived from the Unaudited Condensed Consolidated Income Statement of CarGurus, Inc. as of that date, adjusted for the reclassification of discontinued operations. The Unaudited Condensed Consolidated Statement of Comprehensive Income, Unaudited Condensed Consolidated Statement of Stockholders’ Equity, and the Unaudited Condensed Consolidated Statement of Cash Flows as of June 30, 2025, related to discontinued operations have not been separately reclassified and are included within each for the period referenced. Unless indicated otherwise, the information in these notes to the Unaudited Condensed Consolidated Financial Statements relates to the Company’s continuing operations and does not include the results of discontinued operations. For further information on discontinued operations, refer to Note 3 of the Unaudited Condensed Consolidated Financial Statements</w:t>
      </w:r>
      <w:r>
        <w:rPr>
          <w:rFonts w:ascii="Outfit;sans-serif" w:hAnsi="Outfit;sans-serif"/>
          <w:color w:val="00002D"/>
          <w:sz w:val="20"/>
        </w:rPr>
        <w: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Principles of Consolidation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Financial Statements include the accounts of the Company and its subsidiaries. All intercompany balances and transactions have been eliminated in consolidation.</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Subsequent Event Considerations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considers events or transactions that occur after the balance sheet date but prior to the issuance of the Unaudited Condensed Consolidated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 other than those described in Note 14 of the Unaudited Condensed Consolidated Financial Statements.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Use of Estimates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 during the reporting period.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Critical estimates relied upon in preparing the Unaudited Condensed Consolidated Financial Statements include the capitalization and useful lives of product, technology, and development costs for website development, internal-use software, and hosting arrangements. Accordingly, the Company considers this to be its critical accounting estimate, and believes that of the Company’s significant accounting policies, this involves the greatest degree of judgment and complexity.</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Concentration of Credit Risk</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no significant off-balance sheet risk, such as foreign exchange contracts, option contracts, or other foreign hedging arrangements.</w:t>
      </w:r>
      <w:r>
        <w:rPr>
          <w:rFonts w:ascii="Times New Roman" w:hAnsi="Times New Roman"/>
          <w:color w:val="00002D"/>
          <w:sz w:val="20"/>
        </w:rPr>
        <w:t xml:space="preserve"> </w:t>
      </w:r>
      <w:r>
        <w:rPr>
          <w:rFonts w:ascii="Outfit;sans-serif" w:hAnsi="Outfit;sans-serif"/>
          <w:color w:val="00002D"/>
          <w:sz w:val="20"/>
        </w:rPr>
        <w:t>Financial instruments that potentially expose the Company to concentrations of credit risk consist primarily of cash and cash equivalents, and trade accounts receivable.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maintains its cash and cash equivalents, principally with accredited financial institutions of high credit standing. Although the Company deposits its cash and cash equivalents with multiple financial institutions, its deposits with each such financial institution exceed governmental insured limits.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routinely assesses the creditworthiness of its customers and does not require collateral. The Company generally has not experienced material losses related to receivables from individual customers or groups of customers as the losses were dispersed across a large number of customers. Due to this factor, no additional credit risk beyond amounts provided for collection losses was believed by management to be probable in the Company’s trade accounts receivable.</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2026 and December 31, 2025, a payment processor</w:t>
      </w:r>
      <w:r>
        <w:rPr>
          <w:rFonts w:ascii="Times New Roman" w:hAnsi="Times New Roman"/>
          <w:color w:val="00002D"/>
          <w:sz w:val="20"/>
        </w:rPr>
        <w:t xml:space="preserve"> </w:t>
      </w:r>
      <w:r>
        <w:rPr>
          <w:rFonts w:ascii="Outfit;sans-serif" w:hAnsi="Outfit;sans-serif"/>
          <w:color w:val="00002D"/>
          <w:sz w:val="20"/>
        </w:rPr>
        <w:t>for several hundred</w:t>
      </w:r>
      <w:r>
        <w:rPr>
          <w:rFonts w:ascii="Times New Roman" w:hAnsi="Times New Roman"/>
          <w:color w:val="00002D"/>
          <w:sz w:val="20"/>
        </w:rPr>
        <w:t xml:space="preserve"> </w:t>
      </w:r>
      <w:r>
        <w:rPr>
          <w:rFonts w:ascii="Outfit;sans-serif" w:hAnsi="Outfit;sans-serif"/>
          <w:color w:val="00002D"/>
          <w:sz w:val="20"/>
        </w:rPr>
        <w:t>dealer accounts represented 10.9%</w:t>
      </w:r>
      <w:r>
        <w:rPr>
          <w:rFonts w:ascii="Times New Roman" w:hAnsi="Times New Roman"/>
          <w:color w:val="00002D"/>
          <w:sz w:val="20"/>
        </w:rPr>
        <w:t xml:space="preserve"> </w:t>
      </w:r>
      <w:r>
        <w:rPr>
          <w:rFonts w:ascii="Outfit;sans-serif" w:hAnsi="Outfit;sans-serif"/>
          <w:color w:val="00002D"/>
          <w:sz w:val="20"/>
        </w:rPr>
        <w:t>and 10.8%, respectively, of net trade accounts receivable. The related trade accounts receivable balance included unbilled and billed receivables. The concentration was driven by the timing of payments pursuant to the agreement with the payment processor. The remainder of the trade accounts receivable was dispersed among more than 1,000</w:t>
      </w:r>
      <w:r>
        <w:rPr>
          <w:rFonts w:ascii="Times New Roman" w:hAnsi="Times New Roman"/>
          <w:color w:val="00002D"/>
          <w:sz w:val="20"/>
        </w:rPr>
        <w:t xml:space="preserve"> </w:t>
      </w:r>
      <w:r>
        <w:rPr>
          <w:rFonts w:ascii="Outfit;sans-serif" w:hAnsi="Outfit;sans-serif"/>
          <w:color w:val="00002D"/>
          <w:sz w:val="20"/>
        </w:rPr>
        <w:t xml:space="preserve">customers. </w:t>
      </w:r>
      <w:r>
        <w:rPr>
          <w:rFonts w:ascii="Outfit;sans-serif" w:hAnsi="Outfit;sans-serif"/>
          <w:color w:val="000000"/>
          <w:sz w:val="20"/>
        </w:rPr>
        <w:t>T</w:t>
      </w:r>
      <w:r>
        <w:rPr>
          <w:rFonts w:ascii="Outfit;sans-serif" w:hAnsi="Outfit;sans-serif"/>
          <w:color w:val="00002D"/>
          <w:sz w:val="20"/>
        </w:rPr>
        <w:t>herefore, the Company does not believe there is significant credit risk with respect to trade accounts receivable.</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2026 and 2025 and for the six months ended June 30, 2026 and 2025, no</w:t>
      </w:r>
      <w:r>
        <w:rPr>
          <w:rFonts w:ascii="Times New Roman" w:hAnsi="Times New Roman"/>
          <w:color w:val="00002D"/>
          <w:sz w:val="20"/>
        </w:rPr>
        <w:t xml:space="preserve"> </w:t>
      </w:r>
      <w:r>
        <w:rPr>
          <w:rFonts w:ascii="Outfit;sans-serif" w:hAnsi="Outfit;sans-serif"/>
          <w:color w:val="00002D"/>
          <w:sz w:val="20"/>
        </w:rPr>
        <w:t>customer accounted for more than 10% of total revenue.</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2026 and December 31, 2025, $15.2</w:t>
      </w:r>
      <w:r>
        <w:rPr>
          <w:rFonts w:ascii="Times New Roman" w:hAnsi="Times New Roman"/>
          <w:color w:val="00002D"/>
          <w:sz w:val="20"/>
        </w:rPr>
        <w:t xml:space="preserve"> </w:t>
      </w:r>
      <w:r>
        <w:rPr>
          <w:rFonts w:ascii="Outfit;sans-serif" w:hAnsi="Outfit;sans-serif"/>
          <w:color w:val="00002D"/>
          <w:sz w:val="20"/>
        </w:rPr>
        <w:t>million and $16.8</w:t>
      </w:r>
      <w:r>
        <w:rPr>
          <w:rFonts w:ascii="Times New Roman" w:hAnsi="Times New Roman"/>
          <w:color w:val="00002D"/>
          <w:sz w:val="20"/>
        </w:rPr>
        <w:t xml:space="preserve"> </w:t>
      </w:r>
      <w:r>
        <w:rPr>
          <w:rFonts w:ascii="Outfit;sans-serif" w:hAnsi="Outfit;sans-serif"/>
          <w:color w:val="00002D"/>
          <w:sz w:val="20"/>
        </w:rPr>
        <w:t xml:space="preserve">million, respectively, was included in accounts receivable, net representing unbilled accounts receivable relating primarily to both dealers and advertising customers invoiced in the period subsequent to services being rendered and revenue recognition adjustments for Company offered discounts given to dealers in accordance with ASC Topic 606, </w:t>
      </w:r>
      <w:r>
        <w:rPr>
          <w:rFonts w:ascii="Outfit;sans-serif" w:hAnsi="Outfit;sans-serif"/>
          <w:i/>
          <w:color w:val="00002D"/>
          <w:sz w:val="20"/>
        </w:rPr>
        <w:t xml:space="preserve">Revenue from Contracts with Customers </w:t>
      </w:r>
      <w:r>
        <w:rPr>
          <w:rFonts w:ascii="Outfit;sans-serif" w:hAnsi="Outfit;sans-serif"/>
          <w:color w:val="00002D"/>
          <w:sz w:val="20"/>
        </w:rPr>
        <w:t>(“ASC 606”).</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Significant Accounting Policies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Financial Statements reflect the application of certain significant accounting policies as described below and elsewhere in these notes to the Unaudited Condensed Consolidated Financial Statements. As of June 30, 2026, there have been no material changes in the Company’s significant accounting policies, which are detailed in the Annual Report.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Recent Accounting Pronouncements Not Yet Adopted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From time to time, new accounting pronouncements are issued by the FASB or other standard-setting bodies and adopted by the Company on or prior to the specified effective date. Unless otherwise disclosed below, the Company believes that the impact of recently issued standards that are not yet effective will not have a material impact on its financial position or results of operations upon adoption. As of June 30, 2026, there are no new accounting pronouncements that the Company is considering adopting, other than those described below.</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In September 2025 the FASB issued ASU 2025-06, </w:t>
      </w:r>
      <w:r>
        <w:rPr>
          <w:rFonts w:ascii="Outfit;sans-serif" w:hAnsi="Outfit;sans-serif"/>
          <w:i/>
          <w:color w:val="00002D"/>
          <w:sz w:val="20"/>
        </w:rPr>
        <w:t xml:space="preserve">Intangibles-Goodwill and Other-Internal-Use Software (Subtopic 350-40): Targeted Improvements to the Accounting for Internal-Use Software </w:t>
      </w:r>
      <w:r>
        <w:rPr>
          <w:rFonts w:ascii="Outfit;sans-serif" w:hAnsi="Outfit;sans-serif"/>
          <w:color w:val="00002D"/>
          <w:sz w:val="20"/>
        </w:rPr>
        <w:t>(“ASU 2025-06”), which clarifies and modernizes the guidance to reflect the evolution of software development from a sequential to an agile development method. ASU 2025-06 removes all references to project development stages to reflect this change in software development and requires capitalization of software costs to begin when management has authorized and committed to funding the project and it is probable the project will be completed and used to perform the intended function. ASU 2025-06 does not change what internal-use software costs can be capitalized or when such capitalization ceases. ASU 2025-06 is effective for annual reporting periods beginning after December 15, 2027, and interim reporting periods within those annual reporting periods. Early adoption is permitted as of the beginning of an annual reporting period. ASU 2025-06 may be adopted either prospectively, using a modified transition approach, or retrospectively. The Company is currently evaluating the impact of ASU 2025-06 on its future consolidated financial statements and related disclosures.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In November 2024 the FASB issued ASU 2024-03, </w:t>
      </w:r>
      <w:r>
        <w:rPr>
          <w:rFonts w:ascii="Outfit;sans-serif" w:hAnsi="Outfit;sans-serif"/>
          <w:i/>
          <w:color w:val="00002D"/>
          <w:sz w:val="20"/>
        </w:rPr>
        <w:t>Income Statement-Reporting Comprehensive Income-Expense Disaggregation Disclosures (Subtopic 220-40): Disaggregation of Income Statement Expenses</w:t>
      </w:r>
      <w:r>
        <w:rPr>
          <w:rFonts w:ascii="Times New Roman" w:hAnsi="Times New Roman"/>
          <w:color w:val="00002D"/>
          <w:sz w:val="20"/>
        </w:rPr>
        <w:t xml:space="preserve"> </w:t>
      </w:r>
      <w:r>
        <w:rPr>
          <w:rFonts w:ascii="Outfit;sans-serif" w:hAnsi="Outfit;sans-serif"/>
          <w:color w:val="00002D"/>
          <w:sz w:val="20"/>
        </w:rPr>
        <w:t>(“ASU 2024-03”). ASU 2024-03 is intended to provide more detailed expense information and requires additional disaggregated disclosures in the notes to the financial statements for categories of expenses that are included on the face of the income statement. ASU 2024-03 is effective for the fiscal years beginning after December 15, 2026, and interim periods within fiscal years beginning after December 15, 2027. Early adoption is permitted. ASU 2024-03 may be applied either prospectively to financial statements issued for periods after the effective date of ASU 2024-03 or retrospectively to all prior periods presented in the consolidated financial statements. The Company is currently evaluating the impact of ASU 2024-03 on its future consolidated financial statements and related disclosures.</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3. Discontinued Operations</w:t>
      </w:r>
    </w:p>
    <w:p>
      <w:pPr>
        <w:pStyle w:val="TextBody"/>
        <w:bidi w:val="0"/>
        <w:spacing w:before="240" w:after="283"/>
        <w:jc w:val="both"/>
        <w:rPr>
          <w:rFonts w:ascii="Times New Roman" w:hAnsi="Times New Roman"/>
          <w:sz w:val="20"/>
        </w:rPr>
      </w:pPr>
      <w:r>
        <w:rPr>
          <w:rFonts w:ascii="Outfit;sans-serif" w:hAnsi="Outfit;sans-serif"/>
          <w:color w:val="00002D"/>
          <w:sz w:val="20"/>
        </w:rPr>
        <w:t>On August 6, 2025, the Company</w:t>
      </w:r>
      <w:r>
        <w:rPr>
          <w:rFonts w:ascii="Times New Roman" w:hAnsi="Times New Roman"/>
          <w:color w:val="000000"/>
          <w:sz w:val="20"/>
        </w:rPr>
        <w:t>’</w:t>
      </w:r>
      <w:r>
        <w:rPr>
          <w:rFonts w:ascii="Outfit;sans-serif" w:hAnsi="Outfit;sans-serif"/>
          <w:color w:val="000000"/>
          <w:sz w:val="20"/>
        </w:rPr>
        <w:t xml:space="preserve">s </w:t>
      </w:r>
      <w:r>
        <w:rPr>
          <w:rFonts w:ascii="Outfit;sans-serif" w:hAnsi="Outfit;sans-serif"/>
          <w:color w:val="00002D"/>
          <w:sz w:val="20"/>
        </w:rPr>
        <w:t>Board of Directors (the “Board”) determined, after considering all reasonably available options and a broader strategic reassessment, that it was in the best interests of the Company</w:t>
      </w:r>
      <w:r>
        <w:rPr>
          <w:rFonts w:ascii="Times New Roman" w:hAnsi="Times New Roman"/>
          <w:color w:val="000000"/>
          <w:sz w:val="20"/>
        </w:rPr>
        <w:t>’</w:t>
      </w:r>
      <w:r>
        <w:rPr>
          <w:rFonts w:ascii="Outfit;sans-serif" w:hAnsi="Outfit;sans-serif"/>
          <w:color w:val="00002D"/>
          <w:sz w:val="20"/>
        </w:rPr>
        <w:t xml:space="preserve">s stockholders to wind down CarOffer. </w:t>
      </w:r>
      <w:r>
        <w:rPr>
          <w:rFonts w:ascii="Outfit;sans-serif" w:hAnsi="Outfit;sans-serif"/>
          <w:color w:val="000000"/>
          <w:sz w:val="20"/>
        </w:rPr>
        <w:t xml:space="preserve">The wind-down of CarOffer was completed and the business was considered abandoned for accounting purposes as of December 31, 2025. The assets, liabilities, and results of operations of CarOffer, excluding certain assets that have been repurposed for corporate use, have been presented as discontinued operations in accordance with ASC 205-20, </w:t>
      </w:r>
      <w:r>
        <w:rPr>
          <w:rFonts w:ascii="Outfit;sans-serif" w:hAnsi="Outfit;sans-serif"/>
          <w:i/>
          <w:color w:val="000000"/>
          <w:sz w:val="20"/>
        </w:rPr>
        <w:t>Discontinued Operations</w:t>
      </w:r>
      <w:r>
        <w:rPr>
          <w:rFonts w:ascii="Outfit;sans-serif" w:hAnsi="Outfit;sans-serif"/>
          <w:color w:val="000000"/>
          <w:sz w:val="20"/>
        </w:rPr>
        <w:t xml:space="preserve">, as the disposition represents a strategic shift that has a major effect on the Company’s operations and financial results. </w:t>
      </w:r>
      <w:r>
        <w:rPr>
          <w:rFonts w:ascii="Outfit;sans-serif" w:hAnsi="Outfit;sans-serif"/>
          <w:color w:val="00002D"/>
          <w:sz w:val="20"/>
        </w:rPr>
        <w:t>CarOffer</w:t>
      </w:r>
      <w:r>
        <w:rPr>
          <w:rFonts w:ascii="Times New Roman" w:hAnsi="Times New Roman"/>
          <w:color w:val="000000"/>
          <w:sz w:val="20"/>
        </w:rPr>
        <w:t>’</w:t>
      </w:r>
      <w:r>
        <w:rPr>
          <w:rFonts w:ascii="Outfit;sans-serif" w:hAnsi="Outfit;sans-serif"/>
          <w:color w:val="00002D"/>
          <w:sz w:val="20"/>
        </w:rPr>
        <w:t>s operations were</w:t>
      </w:r>
      <w:r>
        <w:rPr>
          <w:rFonts w:ascii="Times New Roman" w:hAnsi="Times New Roman"/>
          <w:color w:val="000000"/>
          <w:sz w:val="20"/>
        </w:rPr>
        <w:t xml:space="preserve"> </w:t>
      </w:r>
      <w:r>
        <w:rPr>
          <w:rFonts w:ascii="Outfit;sans-serif" w:hAnsi="Outfit;sans-serif"/>
          <w:color w:val="000000"/>
          <w:sz w:val="20"/>
        </w:rPr>
        <w:t>previously reported within the</w:t>
      </w:r>
      <w:r>
        <w:rPr>
          <w:rFonts w:ascii="Times New Roman" w:hAnsi="Times New Roman"/>
          <w:color w:val="00002D"/>
          <w:sz w:val="20"/>
        </w:rPr>
        <w:t xml:space="preserve"> </w:t>
      </w:r>
      <w:r>
        <w:rPr>
          <w:rFonts w:ascii="Outfit;sans-serif" w:hAnsi="Outfit;sans-serif"/>
          <w:color w:val="00002D"/>
          <w:sz w:val="20"/>
        </w:rPr>
        <w:t>Digital Wholesale segment.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and six months ended June 30, 2025, major classes of discontinued operations included in the Unaudited Condensed Consolidated Income Statements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318"/>
        <w:gridCol w:w="146"/>
        <w:gridCol w:w="287"/>
        <w:gridCol w:w="1661"/>
        <w:gridCol w:w="181"/>
        <w:gridCol w:w="146"/>
        <w:gridCol w:w="276"/>
        <w:gridCol w:w="1597"/>
        <w:gridCol w:w="593"/>
      </w:tblGrid>
      <w:tr>
        <w:trPr/>
        <w:tc>
          <w:tcPr>
            <w:tcW w:w="5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 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Six Months Ended June 30,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6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12,035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59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24,958</w:t>
            </w:r>
          </w:p>
        </w:tc>
        <w:tc>
          <w:tcPr>
            <w:tcW w:w="5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13,974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25,082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(1,939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(124</w:t>
            </w:r>
          </w:p>
        </w:tc>
        <w:tc>
          <w:tcPr>
            <w:tcW w:w="5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1,750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4,797</w:t>
            </w:r>
          </w:p>
        </w:tc>
        <w:tc>
          <w:tcPr>
            <w:tcW w:w="5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1,867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1,796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3,791</w:t>
            </w:r>
          </w:p>
        </w:tc>
        <w:tc>
          <w:tcPr>
            <w:tcW w:w="5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29,134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29,134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6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441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59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891</w:t>
            </w:r>
          </w:p>
        </w:tc>
        <w:tc>
          <w:tcPr>
            <w:tcW w:w="593"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33,766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40,480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Loss from discontinued operations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661"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(35,705</w:t>
            </w:r>
          </w:p>
        </w:tc>
        <w:tc>
          <w:tcPr>
            <w:tcW w:w="181"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597"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(40,604</w:t>
            </w:r>
          </w:p>
        </w:tc>
        <w:tc>
          <w:tcPr>
            <w:tcW w:w="593"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(9,059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(10,929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53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 net of tax benefits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661"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(26,646</w:t>
            </w:r>
          </w:p>
        </w:tc>
        <w:tc>
          <w:tcPr>
            <w:tcW w:w="181"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597"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(29,675</w:t>
            </w:r>
          </w:p>
        </w:tc>
        <w:tc>
          <w:tcPr>
            <w:tcW w:w="593"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 per share (Note 11)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7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(0.29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w:t>
            </w:r>
          </w:p>
        </w:tc>
      </w:tr>
      <w:tr>
        <w:trPr/>
        <w:tc>
          <w:tcPr>
            <w:tcW w:w="53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Diluted</w:t>
            </w:r>
            <w:r>
              <w:rPr>
                <w:rFonts w:ascii="Outfit;sans-serif" w:hAnsi="Outfit;sans-serif"/>
                <w:color w:val="000000"/>
                <w:sz w:val="13"/>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6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(0.27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59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(0.29</w:t>
            </w:r>
          </w:p>
        </w:tc>
        <w:tc>
          <w:tcPr>
            <w:tcW w:w="5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Weighted-average number of shares of common stock used in computing 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8"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98,889,893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100,980,676</w:t>
            </w:r>
          </w:p>
        </w:tc>
        <w:tc>
          <w:tcPr>
            <w:tcW w:w="5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100,184,067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102,614,441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Outfit;sans-serif" w:hAnsi="Outfit;sans-serif"/>
          <w:color w:val="00002D"/>
          <w:sz w:val="16"/>
        </w:rPr>
      </w:pPr>
      <w:r>
        <w:rPr>
          <w:rFonts w:ascii="Outfit;sans-serif" w:hAnsi="Outfit;sans-serif"/>
          <w:color w:val="00002D"/>
          <w:sz w:val="16"/>
        </w:rPr>
        <w:t>(1)</w:t>
      </w:r>
    </w:p>
    <w:p>
      <w:pPr>
        <w:pStyle w:val="TextBody"/>
        <w:bidi w:val="0"/>
        <w:spacing w:before="240" w:after="240"/>
        <w:jc w:val="both"/>
        <w:rPr>
          <w:rFonts w:ascii="Outfit;sans-serif" w:hAnsi="Outfit;sans-serif"/>
          <w:color w:val="00002D"/>
          <w:sz w:val="16"/>
        </w:rPr>
      </w:pPr>
      <w:r>
        <w:rPr>
          <w:rFonts w:ascii="Outfit;sans-serif" w:hAnsi="Outfit;sans-serif"/>
          <w:color w:val="00002D"/>
          <w:sz w:val="16"/>
        </w:rPr>
        <w:t>Diluted earnings per share from discontinued operations is calculated using the net income from continuing operations to determine the denominator, in accordance with applicable guidance.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has elected to present its Unaudited Condensed Consolidated Statement of Cash Flows on a consolidated basis, inclusive of discontinued operations activity in the table below. For the six months ended June 30, 2025, the following table presents significant non-cash items and capital expenditures of the discontinued operations for the period presented:</w:t>
      </w:r>
    </w:p>
    <w:p>
      <w:pPr>
        <w:pStyle w:val="TextBody"/>
        <w:bidi w:val="0"/>
        <w:jc w:val="left"/>
        <w:rPr/>
      </w:pPr>
      <w:r>
        <w:rPr/>
        <w:t> </w:t>
      </w:r>
    </w:p>
    <w:tbl>
      <w:tblPr>
        <w:tblW w:w="6673" w:type="dxa"/>
        <w:jc w:val="left"/>
        <w:tblInd w:w="0" w:type="dxa"/>
        <w:tblLayout w:type="fixed"/>
        <w:tblCellMar>
          <w:top w:w="28" w:type="dxa"/>
          <w:left w:w="28" w:type="dxa"/>
          <w:bottom w:w="28" w:type="dxa"/>
          <w:right w:w="28" w:type="dxa"/>
        </w:tblCellMar>
      </w:tblPr>
      <w:tblGrid>
        <w:gridCol w:w="3676"/>
        <w:gridCol w:w="146"/>
        <w:gridCol w:w="598"/>
        <w:gridCol w:w="2027"/>
        <w:gridCol w:w="2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Six Months Ended 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02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1,771</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676" w:type="dxa"/>
            <w:tcBorders/>
            <w:shd w:fill="EEF2F7"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Outfit;sans-serif" w:hAnsi="Outfit;sans-serif"/>
                <w:color w:val="000000"/>
                <w:sz w:val="20"/>
              </w:rPr>
              <w:t>Impairments</w:t>
            </w:r>
            <w:r>
              <w:rPr>
                <w:rFonts w:ascii="Outfit;sans-serif" w:hAnsi="Outfit;sans-serif"/>
                <w:color w:val="000000"/>
                <w:sz w:val="13"/>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02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32,053</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202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Outfit;sans-serif" w:hAnsi="Outfit;sans-serif"/>
          <w:color w:val="00002D"/>
          <w:sz w:val="16"/>
        </w:rPr>
      </w:pPr>
      <w:r>
        <w:rPr>
          <w:rFonts w:ascii="Outfit;sans-serif" w:hAnsi="Outfit;sans-serif"/>
          <w:color w:val="00002D"/>
          <w:sz w:val="16"/>
        </w:rPr>
        <w:t>(1)</w:t>
      </w:r>
    </w:p>
    <w:p>
      <w:pPr>
        <w:pStyle w:val="TextBody"/>
        <w:bidi w:val="0"/>
        <w:spacing w:before="240" w:after="240"/>
        <w:jc w:val="both"/>
        <w:rPr>
          <w:rFonts w:ascii="Outfit;sans-serif" w:hAnsi="Outfit;sans-serif"/>
          <w:sz w:val="20"/>
        </w:rPr>
      </w:pPr>
      <w:r>
        <w:rPr>
          <w:rFonts w:ascii="Outfit;sans-serif" w:hAnsi="Outfit;sans-serif"/>
          <w:color w:val="00002D"/>
          <w:sz w:val="16"/>
        </w:rPr>
        <w:t>During the six months ended June 30, 2025, the Company recognized impairments related to CarOffer of $0.3</w:t>
      </w:r>
      <w:r>
        <w:rPr>
          <w:rFonts w:ascii="Outfit;sans-serif" w:hAnsi="Outfit;sans-serif"/>
          <w:color w:val="00002D"/>
          <w:sz w:val="20"/>
        </w:rPr>
        <w:t xml:space="preserve"> </w:t>
      </w:r>
      <w:r>
        <w:rPr>
          <w:rFonts w:ascii="Outfit;sans-serif" w:hAnsi="Outfit;sans-serif"/>
          <w:color w:val="00002D"/>
          <w:sz w:val="16"/>
        </w:rPr>
        <w:t>million, $0.8</w:t>
      </w:r>
      <w:r>
        <w:rPr>
          <w:rFonts w:ascii="Outfit;sans-serif" w:hAnsi="Outfit;sans-serif"/>
          <w:color w:val="00002D"/>
          <w:sz w:val="20"/>
        </w:rPr>
        <w:t xml:space="preserve"> </w:t>
      </w:r>
      <w:r>
        <w:rPr>
          <w:rFonts w:ascii="Outfit;sans-serif" w:hAnsi="Outfit;sans-serif"/>
          <w:color w:val="00002D"/>
          <w:sz w:val="16"/>
        </w:rPr>
        <w:t>million, $4.8</w:t>
      </w:r>
      <w:r>
        <w:rPr>
          <w:rFonts w:ascii="Outfit;sans-serif" w:hAnsi="Outfit;sans-serif"/>
          <w:color w:val="00002D"/>
          <w:sz w:val="20"/>
        </w:rPr>
        <w:t xml:space="preserve"> </w:t>
      </w:r>
      <w:r>
        <w:rPr>
          <w:rFonts w:ascii="Outfit;sans-serif" w:hAnsi="Outfit;sans-serif"/>
          <w:color w:val="00002D"/>
          <w:sz w:val="16"/>
        </w:rPr>
        <w:t>million, $6.6</w:t>
      </w:r>
      <w:r>
        <w:rPr>
          <w:rFonts w:ascii="Outfit;sans-serif" w:hAnsi="Outfit;sans-serif"/>
          <w:color w:val="00002D"/>
          <w:sz w:val="20"/>
        </w:rPr>
        <w:t xml:space="preserve"> </w:t>
      </w:r>
      <w:r>
        <w:rPr>
          <w:rFonts w:ascii="Outfit;sans-serif" w:hAnsi="Outfit;sans-serif"/>
          <w:color w:val="00002D"/>
          <w:sz w:val="16"/>
        </w:rPr>
        <w:t>million, and $19.6</w:t>
      </w:r>
      <w:r>
        <w:rPr>
          <w:rFonts w:ascii="Outfit;sans-serif" w:hAnsi="Outfit;sans-serif"/>
          <w:color w:val="00002D"/>
          <w:sz w:val="20"/>
        </w:rPr>
        <w:t xml:space="preserve"> </w:t>
      </w:r>
      <w:r>
        <w:rPr>
          <w:rFonts w:ascii="Outfit;sans-serif" w:hAnsi="Outfit;sans-serif"/>
          <w:color w:val="00002D"/>
          <w:sz w:val="16"/>
        </w:rPr>
        <w:t>million for capitalized hosting arrangements, capitalized internal-use software, capitalized website development costs, intangible assets, and goodwill, respectively.</w:t>
      </w:r>
    </w:p>
    <w:p>
      <w:pPr>
        <w:pStyle w:val="TextBody"/>
        <w:bidi w:val="0"/>
        <w:jc w:val="both"/>
        <w:rPr>
          <w:rFonts w:ascii="Times New Roman" w:hAnsi="Times New Roman"/>
          <w:sz w:val="20"/>
        </w:rPr>
      </w:pPr>
      <w:r>
        <w:rPr>
          <w:rFonts w:ascii="Outfit;sans-serif" w:hAnsi="Outfit;sans-serif"/>
          <w:color w:val="00002D"/>
          <w:sz w:val="20"/>
        </w:rPr>
        <w:t>As a result of the wind-down, the Company incurred total expenditures of $13.3</w:t>
      </w:r>
      <w:r>
        <w:rPr>
          <w:rFonts w:ascii="Times New Roman" w:hAnsi="Times New Roman"/>
          <w:color w:val="00002D"/>
          <w:sz w:val="20"/>
        </w:rPr>
        <w:t xml:space="preserve"> </w:t>
      </w:r>
      <w:r>
        <w:rPr>
          <w:rFonts w:ascii="Outfit;sans-serif" w:hAnsi="Outfit;sans-serif"/>
          <w:color w:val="00002D"/>
          <w:sz w:val="20"/>
        </w:rPr>
        <w:t>million, of which all cash expenditures were incurred during the second half of 2025 and were all paid as of December 31, 2025. Of this amount, the Company incurred and paid $5.4</w:t>
      </w:r>
      <w:r>
        <w:rPr>
          <w:rFonts w:ascii="Times New Roman" w:hAnsi="Times New Roman"/>
          <w:color w:val="00002D"/>
          <w:sz w:val="20"/>
        </w:rPr>
        <w:t xml:space="preserve"> </w:t>
      </w:r>
      <w:r>
        <w:rPr>
          <w:rFonts w:ascii="Outfit;sans-serif" w:hAnsi="Outfit;sans-serif"/>
          <w:color w:val="00002D"/>
          <w:sz w:val="20"/>
        </w:rPr>
        <w:t>million of one-time restructuring costs, including severance and other employee-related costs and contract termination charges, attributable to discontinued operations.</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4. Revenue Recognition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provides disaggregation of revenue by geographic region. Revenue by geographic region is disaggregated by (i) U.S. and (ii) International regions as disclosed in Note 13 of the Unaudited Condensed Consolidated Financial Statements. The Company believes these categories best depict how the nature, amount, timing, and uncertainty of revenue and cash flows are affected by economic factors.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ASC 606 requires that the Company disclose the aggregate amount of transaction price that is allocated to performance obligations that have not yet been satisfied as of the relevant quarter end.</w:t>
      </w:r>
    </w:p>
    <w:p>
      <w:pPr>
        <w:pStyle w:val="TextBody"/>
        <w:bidi w:val="0"/>
        <w:spacing w:before="240" w:after="283"/>
        <w:jc w:val="both"/>
        <w:rPr>
          <w:rFonts w:ascii="Times New Roman" w:hAnsi="Times New Roman"/>
          <w:sz w:val="20"/>
        </w:rPr>
      </w:pPr>
      <w:r>
        <w:rPr>
          <w:rFonts w:ascii="Outfit;sans-serif" w:hAnsi="Outfit;sans-serif"/>
          <w:color w:val="00002D"/>
          <w:sz w:val="20"/>
        </w:rPr>
        <w:t>For contracts with an original expected duration greater than one year, the aggregate amount of the transaction price allocated to the performance obligations that were unsatisfied as of June 30, 2026, was approximately $65.2</w:t>
      </w:r>
      <w:r>
        <w:rPr>
          <w:rFonts w:ascii="Times New Roman" w:hAnsi="Times New Roman"/>
          <w:color w:val="00002D"/>
          <w:sz w:val="20"/>
        </w:rPr>
        <w:t xml:space="preserve"> </w:t>
      </w:r>
      <w:r>
        <w:rPr>
          <w:rFonts w:ascii="Outfit;sans-serif" w:hAnsi="Outfit;sans-serif"/>
          <w:color w:val="00002D"/>
          <w:sz w:val="20"/>
        </w:rPr>
        <w:t>million, the majority of which the Company expects to recognize over the next 12 months.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contracts with an original expected duration of one year or less, the Company has applied the practical expedient available under ASC 606 to not disclose the amount of transaction price allocated to unsatisfied performance obligations as of June 30, 2026. For performance obligations not satisfied as of June 30, 2026, and to which this expedient applies, the nature of the performance obligations, the variable consideration, and any consideration from contracts with customers not included in the transaction price is consistent with performance obligations satisfied as of June 30, 2026.</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2026 and 2025, revenue recognized from amounts included in deferred revenue at the beginning of the period was $24.7</w:t>
      </w:r>
      <w:r>
        <w:rPr>
          <w:rFonts w:ascii="Times New Roman" w:hAnsi="Times New Roman"/>
          <w:color w:val="00002D"/>
          <w:sz w:val="20"/>
        </w:rPr>
        <w:t xml:space="preserve"> </w:t>
      </w:r>
      <w:r>
        <w:rPr>
          <w:rFonts w:ascii="Outfit;sans-serif" w:hAnsi="Outfit;sans-serif"/>
          <w:color w:val="00002D"/>
          <w:sz w:val="20"/>
        </w:rPr>
        <w:t>million and $22.3</w:t>
      </w:r>
      <w:r>
        <w:rPr>
          <w:rFonts w:ascii="Times New Roman" w:hAnsi="Times New Roman"/>
          <w:color w:val="00002D"/>
          <w:sz w:val="20"/>
        </w:rPr>
        <w:t xml:space="preserve"> </w:t>
      </w:r>
      <w:r>
        <w:rPr>
          <w:rFonts w:ascii="Outfit;sans-serif" w:hAnsi="Outfit;sans-serif"/>
          <w:color w:val="00002D"/>
          <w:sz w:val="20"/>
        </w:rPr>
        <w:t>million, respectively. For the six months ended June 30, 2026 and 2025, revenue recognized from amounts included in deferred revenue at the beginning of the period was $23.6</w:t>
      </w:r>
      <w:r>
        <w:rPr>
          <w:rFonts w:ascii="Times New Roman" w:hAnsi="Times New Roman"/>
          <w:color w:val="00002D"/>
          <w:sz w:val="20"/>
        </w:rPr>
        <w:t xml:space="preserve"> </w:t>
      </w:r>
      <w:r>
        <w:rPr>
          <w:rFonts w:ascii="Outfit;sans-serif" w:hAnsi="Outfit;sans-serif"/>
          <w:color w:val="00002D"/>
          <w:sz w:val="20"/>
        </w:rPr>
        <w:t>million and $21.5</w:t>
      </w:r>
      <w:r>
        <w:rPr>
          <w:rFonts w:ascii="Times New Roman" w:hAnsi="Times New Roman"/>
          <w:color w:val="00002D"/>
          <w:sz w:val="20"/>
        </w:rPr>
        <w:t xml:space="preserve"> </w:t>
      </w:r>
      <w:r>
        <w:rPr>
          <w:rFonts w:ascii="Outfit;sans-serif" w:hAnsi="Outfit;sans-serif"/>
          <w:color w:val="00002D"/>
          <w:sz w:val="20"/>
        </w:rPr>
        <w:t>million, respectively.</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5. Fair Value of Financial Instruments</w:t>
      </w:r>
    </w:p>
    <w:p>
      <w:pPr>
        <w:pStyle w:val="TextBody"/>
        <w:bidi w:val="0"/>
        <w:spacing w:before="240" w:after="283"/>
        <w:jc w:val="left"/>
        <w:rPr>
          <w:rFonts w:ascii="Outfit;sans-serif" w:hAnsi="Outfit;sans-serif"/>
          <w:color w:val="00002D"/>
          <w:sz w:val="20"/>
        </w:rPr>
      </w:pPr>
      <w:r>
        <w:rPr>
          <w:rFonts w:ascii="Outfit;sans-serif" w:hAnsi="Outfit;sans-serif"/>
          <w:color w:val="00002D"/>
          <w:sz w:val="20"/>
        </w:rPr>
        <w:t>As of June 30, 2026 and December 31, 2025, assets measured at fair value on a recurring basis consisted of the following:</w:t>
      </w:r>
    </w:p>
    <w:p>
      <w:pPr>
        <w:pStyle w:val="TextBody"/>
        <w:bidi w:val="0"/>
        <w:jc w:val="left"/>
        <w:rPr/>
      </w:pPr>
      <w:r>
        <w:rPr/>
        <w:t> </w:t>
      </w:r>
    </w:p>
    <w:tbl>
      <w:tblPr>
        <w:tblW w:w="9981" w:type="dxa"/>
        <w:jc w:val="left"/>
        <w:tblInd w:w="0" w:type="dxa"/>
        <w:tblLayout w:type="fixed"/>
        <w:tblCellMar>
          <w:top w:w="28" w:type="dxa"/>
          <w:left w:w="28" w:type="dxa"/>
          <w:bottom w:w="28" w:type="dxa"/>
          <w:right w:w="28" w:type="dxa"/>
        </w:tblCellMar>
      </w:tblPr>
      <w:tblGrid>
        <w:gridCol w:w="1801"/>
        <w:gridCol w:w="146"/>
        <w:gridCol w:w="441"/>
        <w:gridCol w:w="1494"/>
        <w:gridCol w:w="146"/>
        <w:gridCol w:w="146"/>
        <w:gridCol w:w="710"/>
        <w:gridCol w:w="1090"/>
        <w:gridCol w:w="146"/>
        <w:gridCol w:w="146"/>
        <w:gridCol w:w="805"/>
        <w:gridCol w:w="1235"/>
        <w:gridCol w:w="146"/>
        <w:gridCol w:w="146"/>
        <w:gridCol w:w="226"/>
        <w:gridCol w:w="766"/>
        <w:gridCol w:w="3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50,859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9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50,859</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50,859</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81" w:type="dxa"/>
        <w:jc w:val="left"/>
        <w:tblInd w:w="0" w:type="dxa"/>
        <w:tblLayout w:type="fixed"/>
        <w:tblCellMar>
          <w:top w:w="28" w:type="dxa"/>
          <w:left w:w="28" w:type="dxa"/>
          <w:bottom w:w="28" w:type="dxa"/>
          <w:right w:w="28" w:type="dxa"/>
        </w:tblCellMar>
      </w:tblPr>
      <w:tblGrid>
        <w:gridCol w:w="1801"/>
        <w:gridCol w:w="146"/>
        <w:gridCol w:w="441"/>
        <w:gridCol w:w="1494"/>
        <w:gridCol w:w="146"/>
        <w:gridCol w:w="146"/>
        <w:gridCol w:w="710"/>
        <w:gridCol w:w="1090"/>
        <w:gridCol w:w="146"/>
        <w:gridCol w:w="146"/>
        <w:gridCol w:w="805"/>
        <w:gridCol w:w="1235"/>
        <w:gridCol w:w="146"/>
        <w:gridCol w:w="146"/>
        <w:gridCol w:w="226"/>
        <w:gridCol w:w="766"/>
        <w:gridCol w:w="3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85,793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9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85,793</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85,793</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6. Property and Equipment, Net</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2026 and December 31, 2025, property and equipment, net consisted of the following:</w:t>
      </w:r>
      <w:r>
        <w:rPr>
          <w:rFonts w:ascii="Times New Roman" w:hAnsi="Times New Roman"/>
          <w:color w:val="00002D"/>
          <w:sz w:val="20"/>
        </w:rPr>
        <w:t xml:space="preserve"> </w:t>
      </w:r>
    </w:p>
    <w:p>
      <w:pPr>
        <w:pStyle w:val="TextBody"/>
        <w:bidi w:val="0"/>
        <w:jc w:val="both"/>
        <w:rPr/>
      </w:pPr>
      <w:r>
        <w:rPr/>
        <w:t> </w:t>
      </w:r>
    </w:p>
    <w:tbl>
      <w:tblPr>
        <w:tblW w:w="8267" w:type="dxa"/>
        <w:jc w:val="left"/>
        <w:tblInd w:w="0" w:type="dxa"/>
        <w:tblLayout w:type="fixed"/>
        <w:tblCellMar>
          <w:top w:w="28" w:type="dxa"/>
          <w:left w:w="28" w:type="dxa"/>
          <w:bottom w:w="28" w:type="dxa"/>
          <w:right w:w="28" w:type="dxa"/>
        </w:tblCellMar>
      </w:tblPr>
      <w:tblGrid>
        <w:gridCol w:w="4876"/>
        <w:gridCol w:w="146"/>
        <w:gridCol w:w="226"/>
        <w:gridCol w:w="886"/>
        <w:gridCol w:w="181"/>
        <w:gridCol w:w="146"/>
        <w:gridCol w:w="280"/>
        <w:gridCol w:w="1100"/>
        <w:gridCol w:w="426"/>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June 30,</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equipment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7,425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7,445</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22,701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website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80,783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66,355</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10,294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Leasehold improvements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77,506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86,127</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197,640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192,922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 accumulated 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(68,090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(59,970</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129,550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132,952</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2026 and 2025 and for the six months ended June 30, 2026 and 2025, depreciation and amortization expense, excluding amortization of intangible assets, amortization of capitalized hosting arrangements, disposals, write-offs, and impairments, was $7.7</w:t>
      </w:r>
      <w:r>
        <w:rPr>
          <w:rFonts w:ascii="Times New Roman" w:hAnsi="Times New Roman"/>
          <w:color w:val="00002D"/>
          <w:sz w:val="20"/>
        </w:rPr>
        <w:t xml:space="preserve"> </w:t>
      </w:r>
      <w:r>
        <w:rPr>
          <w:rFonts w:ascii="Outfit;sans-serif" w:hAnsi="Outfit;sans-serif"/>
          <w:color w:val="00002D"/>
          <w:sz w:val="20"/>
        </w:rPr>
        <w:t>million, $5.6</w:t>
      </w:r>
      <w:r>
        <w:rPr>
          <w:rFonts w:ascii="Times New Roman" w:hAnsi="Times New Roman"/>
          <w:color w:val="00002D"/>
          <w:sz w:val="20"/>
        </w:rPr>
        <w:t xml:space="preserve"> </w:t>
      </w:r>
      <w:r>
        <w:rPr>
          <w:rFonts w:ascii="Outfit;sans-serif" w:hAnsi="Outfit;sans-serif"/>
          <w:color w:val="00002D"/>
          <w:sz w:val="20"/>
        </w:rPr>
        <w:t>million, $14.6</w:t>
      </w:r>
      <w:r>
        <w:rPr>
          <w:rFonts w:ascii="Times New Roman" w:hAnsi="Times New Roman"/>
          <w:color w:val="00002D"/>
          <w:sz w:val="20"/>
        </w:rPr>
        <w:t xml:space="preserve"> </w:t>
      </w:r>
      <w:r>
        <w:rPr>
          <w:rFonts w:ascii="Outfit;sans-serif" w:hAnsi="Outfit;sans-serif"/>
          <w:color w:val="00002D"/>
          <w:sz w:val="20"/>
        </w:rPr>
        <w:t>million, and $11.0</w:t>
      </w:r>
      <w:r>
        <w:rPr>
          <w:rFonts w:ascii="Times New Roman" w:hAnsi="Times New Roman"/>
          <w:color w:val="00002D"/>
          <w:sz w:val="20"/>
        </w:rPr>
        <w:t xml:space="preserve"> </w:t>
      </w:r>
      <w:r>
        <w:rPr>
          <w:rFonts w:ascii="Outfit;sans-serif" w:hAnsi="Outfit;sans-serif"/>
          <w:color w:val="00002D"/>
          <w:sz w:val="20"/>
        </w:rPr>
        <w:t>million, respectively.</w:t>
      </w:r>
    </w:p>
    <w:p>
      <w:pPr>
        <w:pStyle w:val="TextBody"/>
        <w:bidi w:val="0"/>
        <w:spacing w:before="240" w:after="283"/>
        <w:jc w:val="both"/>
        <w:rPr>
          <w:rFonts w:ascii="Times New Roman" w:hAnsi="Times New Roman"/>
          <w:sz w:val="20"/>
        </w:rPr>
      </w:pPr>
      <w:r>
        <w:rPr>
          <w:rFonts w:ascii="Outfit;sans-serif" w:hAnsi="Outfit;sans-serif"/>
          <w:color w:val="00002D"/>
          <w:sz w:val="20"/>
        </w:rPr>
        <w:t>During the six months ended June 30, 2026, the Company impaired $1.0</w:t>
      </w:r>
      <w:r>
        <w:rPr>
          <w:rFonts w:ascii="Times New Roman" w:hAnsi="Times New Roman"/>
          <w:color w:val="00002D"/>
          <w:sz w:val="20"/>
        </w:rPr>
        <w:t xml:space="preserve"> </w:t>
      </w:r>
      <w:r>
        <w:rPr>
          <w:rFonts w:ascii="Outfit;sans-serif" w:hAnsi="Outfit;sans-serif"/>
          <w:color w:val="00002D"/>
          <w:sz w:val="20"/>
        </w:rPr>
        <w:t>million of capitalized website development costs, inclusive of $0.5</w:t>
      </w:r>
      <w:r>
        <w:rPr>
          <w:rFonts w:ascii="Times New Roman" w:hAnsi="Times New Roman"/>
          <w:color w:val="00002D"/>
          <w:sz w:val="20"/>
        </w:rPr>
        <w:t xml:space="preserve"> </w:t>
      </w:r>
      <w:r>
        <w:rPr>
          <w:rFonts w:ascii="Outfit;sans-serif" w:hAnsi="Outfit;sans-serif"/>
          <w:color w:val="00002D"/>
          <w:sz w:val="20"/>
        </w:rPr>
        <w:t>million recognized in cost of revenue and $0.5</w:t>
      </w:r>
      <w:r>
        <w:rPr>
          <w:rFonts w:ascii="Times New Roman" w:hAnsi="Times New Roman"/>
          <w:color w:val="00002D"/>
          <w:sz w:val="20"/>
        </w:rPr>
        <w:t xml:space="preserve"> </w:t>
      </w:r>
      <w:r>
        <w:rPr>
          <w:rFonts w:ascii="Outfit;sans-serif" w:hAnsi="Outfit;sans-serif"/>
          <w:color w:val="00002D"/>
          <w:sz w:val="20"/>
        </w:rPr>
        <w:t>million recognized in operating expense, in the Unaudited Condensed Consolidated Income Statements. These impairments were related to certain developed technology that the Company decided to cease investment.</w:t>
      </w:r>
    </w:p>
    <w:p>
      <w:pPr>
        <w:pStyle w:val="TextBody"/>
        <w:bidi w:val="0"/>
        <w:spacing w:before="240" w:after="283"/>
        <w:jc w:val="both"/>
        <w:rPr>
          <w:rFonts w:ascii="Times New Roman" w:hAnsi="Times New Roman"/>
          <w:sz w:val="20"/>
        </w:rPr>
      </w:pPr>
      <w:r>
        <w:rPr>
          <w:rFonts w:ascii="Outfit;sans-serif" w:hAnsi="Outfit;sans-serif"/>
          <w:color w:val="00002D"/>
          <w:sz w:val="20"/>
        </w:rPr>
        <w:t>During the six months ended June 30, 2026, as a result of the impairment for the 121 First Street lease, the Company impaired $4.5</w:t>
      </w:r>
      <w:r>
        <w:rPr>
          <w:rFonts w:ascii="Times New Roman" w:hAnsi="Times New Roman"/>
          <w:color w:val="00002D"/>
          <w:sz w:val="20"/>
        </w:rPr>
        <w:t xml:space="preserve"> </w:t>
      </w:r>
      <w:r>
        <w:rPr>
          <w:rFonts w:ascii="Outfit;sans-serif" w:hAnsi="Outfit;sans-serif"/>
          <w:color w:val="00002D"/>
          <w:sz w:val="20"/>
        </w:rPr>
        <w:t>million of leasehold improvements and furniture and fixtures. For further discussion of the lease impairment, refer to Note 9 of these Unaudited Condensed Consolidated Financial Statements.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7. Accrued Expenses, Accrued Income Taxes, and Other Current Liabilities</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2026 and December 31, 2025, accrued expenses, accrued income taxes, and other current liabilities consisted of the following:</w:t>
      </w:r>
      <w:r>
        <w:rPr>
          <w:rFonts w:ascii="Times New Roman" w:hAnsi="Times New Roman"/>
          <w:color w:val="00002D"/>
          <w:sz w:val="20"/>
        </w:rPr>
        <w:t xml:space="preserve"> </w:t>
      </w:r>
    </w:p>
    <w:p>
      <w:pPr>
        <w:pStyle w:val="TextBody"/>
        <w:bidi w:val="0"/>
        <w:jc w:val="both"/>
        <w:rPr/>
      </w:pPr>
      <w:r>
        <w:rPr/>
        <w:t> </w:t>
      </w:r>
    </w:p>
    <w:tbl>
      <w:tblPr>
        <w:tblW w:w="8477" w:type="dxa"/>
        <w:jc w:val="left"/>
        <w:tblInd w:w="0" w:type="dxa"/>
        <w:tblLayout w:type="fixed"/>
        <w:tblCellMar>
          <w:top w:w="28" w:type="dxa"/>
          <w:left w:w="28" w:type="dxa"/>
          <w:bottom w:w="28" w:type="dxa"/>
          <w:right w:w="28" w:type="dxa"/>
        </w:tblCellMar>
      </w:tblPr>
      <w:tblGrid>
        <w:gridCol w:w="5176"/>
        <w:gridCol w:w="146"/>
        <w:gridCol w:w="226"/>
        <w:gridCol w:w="766"/>
        <w:gridCol w:w="146"/>
        <w:gridCol w:w="146"/>
        <w:gridCol w:w="313"/>
        <w:gridCol w:w="1067"/>
        <w:gridCol w:w="4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Accrued bonus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10,396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6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13,751</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5,749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Accrued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5,633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2,145</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17,868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16,748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7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38,652</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6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38,393</w:t>
            </w:r>
          </w:p>
        </w:tc>
        <w:tc>
          <w:tcPr>
            <w:tcW w:w="4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both"/>
        <w:rPr>
          <w:rFonts w:ascii="Times New Roman" w:hAnsi="Times New Roman"/>
          <w:sz w:val="20"/>
        </w:rPr>
      </w:pPr>
      <w:r>
        <w:rPr>
          <w:rFonts w:ascii="Outfit;sans-serif" w:hAnsi="Outfit;sans-serif"/>
          <w:b/>
          <w:color w:val="3465B0"/>
          <w:sz w:val="24"/>
        </w:rPr>
        <w:t>8. Debt</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2026 and December 31, 2025, the Company had no</w:t>
      </w:r>
      <w:r>
        <w:rPr>
          <w:rFonts w:ascii="Times New Roman" w:hAnsi="Times New Roman"/>
          <w:color w:val="00002D"/>
          <w:sz w:val="20"/>
        </w:rPr>
        <w:t xml:space="preserve"> </w:t>
      </w:r>
      <w:r>
        <w:rPr>
          <w:rFonts w:ascii="Outfit;sans-serif" w:hAnsi="Outfit;sans-serif"/>
          <w:color w:val="00002D"/>
          <w:sz w:val="20"/>
        </w:rPr>
        <w:t>long-term debt outstanding.</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Revolving Credit Facility</w:t>
      </w:r>
    </w:p>
    <w:p>
      <w:pPr>
        <w:pStyle w:val="TextBody"/>
        <w:bidi w:val="0"/>
        <w:spacing w:before="240" w:after="283"/>
        <w:jc w:val="both"/>
        <w:rPr>
          <w:rFonts w:ascii="Times New Roman" w:hAnsi="Times New Roman"/>
          <w:sz w:val="20"/>
        </w:rPr>
      </w:pPr>
      <w:r>
        <w:rPr>
          <w:rFonts w:ascii="Outfit;sans-serif" w:hAnsi="Outfit;sans-serif"/>
          <w:color w:val="00002D"/>
          <w:sz w:val="20"/>
        </w:rPr>
        <w:t>On September 26, 2022, the Company entered into a Credit Agreement with PNC Bank, National Association, as administrative agent and collateral agent and an L/C Issuer (as defined in the Credit Agreement), and the other lenders, L/C Issuers, and parties thereto from time to time (the “Credit Agreement”). The Credit Agreement consists of a revolving credit facility (the “2022 Revolver”), which allows the Company to borrow up to $400.0</w:t>
      </w:r>
      <w:r>
        <w:rPr>
          <w:rFonts w:ascii="Times New Roman" w:hAnsi="Times New Roman"/>
          <w:color w:val="00002D"/>
          <w:sz w:val="20"/>
        </w:rPr>
        <w:t xml:space="preserve"> </w:t>
      </w:r>
      <w:r>
        <w:rPr>
          <w:rFonts w:ascii="Outfit;sans-serif" w:hAnsi="Outfit;sans-serif"/>
          <w:color w:val="00002D"/>
          <w:sz w:val="20"/>
        </w:rPr>
        <w:t>million, $50.0</w:t>
      </w:r>
      <w:r>
        <w:rPr>
          <w:rFonts w:ascii="Times New Roman" w:hAnsi="Times New Roman"/>
          <w:color w:val="00002D"/>
          <w:sz w:val="20"/>
        </w:rPr>
        <w:t xml:space="preserve"> </w:t>
      </w:r>
      <w:r>
        <w:rPr>
          <w:rFonts w:ascii="Outfit;sans-serif" w:hAnsi="Outfit;sans-serif"/>
          <w:color w:val="00002D"/>
          <w:sz w:val="20"/>
        </w:rPr>
        <w:t>million of which may be comprised of a letter of credit sub-facility (the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w:t>
      </w:r>
      <w:r>
        <w:rPr>
          <w:rFonts w:ascii="Times New Roman" w:hAnsi="Times New Roman"/>
          <w:color w:val="00002D"/>
          <w:sz w:val="20"/>
        </w:rPr>
        <w:t xml:space="preserve"> </w:t>
      </w:r>
      <w:r>
        <w:rPr>
          <w:rFonts w:ascii="Outfit;sans-serif" w:hAnsi="Outfit;sans-serif"/>
          <w:color w:val="00002D"/>
          <w:sz w:val="20"/>
        </w:rPr>
        <w:t>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p>
    <w:p>
      <w:pPr>
        <w:pStyle w:val="TextBody"/>
        <w:bidi w:val="0"/>
        <w:spacing w:before="240" w:after="283"/>
        <w:jc w:val="both"/>
        <w:rPr>
          <w:rFonts w:ascii="Times New Roman" w:hAnsi="Times New Roman"/>
          <w:sz w:val="20"/>
        </w:rPr>
      </w:pPr>
      <w:r>
        <w:rPr>
          <w:rFonts w:ascii="Outfit;sans-serif" w:hAnsi="Outfit;sans-serif"/>
          <w:color w:val="00002D"/>
          <w:sz w:val="20"/>
        </w:rPr>
        <w:t>The applicable interest rate is, at the Company’s option, based on a number of different benchmark rates and applicable spreads, based on the ratio of the outstanding principal amount of the Company’s secured indebtedness to the trailing four quarters of consolidated EBITDA (as determined under the Credit Agreement, the “Consolidated Secured Net Leverage Ratio”). The Credit Agreement also requires the Company to pay a commitment fee to the lenders with respect of the unutilized revolving commitments at a rate ranging from 0.125% to 0.175% per annum based on the Consolidated Secured Net Leverage Ratio, as determined on a quarterly basis.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2022 Revolver is secured by a first priority lien on substantially all tangible and intangible property of the Company, as well as any future guarantors, and pledges of the equity of certain wholly-owned subsidiaries, in each case subject to certain exceptions, limitations, and exclusions from the collateral. The Credit Agreement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June 30, 2026.</w:t>
      </w:r>
    </w:p>
    <w:p>
      <w:pPr>
        <w:pStyle w:val="TextBody"/>
        <w:bidi w:val="0"/>
        <w:spacing w:before="240" w:after="283"/>
        <w:jc w:val="both"/>
        <w:rPr>
          <w:rFonts w:ascii="Times New Roman" w:hAnsi="Times New Roman"/>
          <w:sz w:val="20"/>
        </w:rPr>
      </w:pPr>
      <w:r>
        <w:rPr>
          <w:rFonts w:ascii="Outfit;sans-serif" w:hAnsi="Outfit;sans-serif"/>
          <w:color w:val="00002D"/>
          <w:sz w:val="20"/>
        </w:rPr>
        <w:t>On August 6, 2026, the Company amended the Credit Agreement to, among other things, (i) reduce the aggregate revolving commitments under the Credit Agreement from $400.0</w:t>
      </w:r>
      <w:r>
        <w:rPr>
          <w:rFonts w:ascii="Times New Roman" w:hAnsi="Times New Roman"/>
          <w:color w:val="00002D"/>
          <w:sz w:val="20"/>
        </w:rPr>
        <w:t xml:space="preserve"> </w:t>
      </w:r>
      <w:r>
        <w:rPr>
          <w:rFonts w:ascii="Outfit;sans-serif" w:hAnsi="Outfit;sans-serif"/>
          <w:color w:val="00002D"/>
          <w:sz w:val="20"/>
        </w:rPr>
        <w:t>million to $200.0</w:t>
      </w:r>
      <w:r>
        <w:rPr>
          <w:rFonts w:ascii="Times New Roman" w:hAnsi="Times New Roman"/>
          <w:color w:val="00002D"/>
          <w:sz w:val="20"/>
        </w:rPr>
        <w:t xml:space="preserve"> </w:t>
      </w:r>
      <w:r>
        <w:rPr>
          <w:rFonts w:ascii="Outfit;sans-serif" w:hAnsi="Outfit;sans-serif"/>
          <w:color w:val="00002D"/>
          <w:sz w:val="20"/>
        </w:rPr>
        <w:t>million (the “Amended Revolver”) and (ii) extend the maturity date of the Amended Revolver from September 26, 2027</w:t>
      </w:r>
      <w:r>
        <w:rPr>
          <w:rFonts w:ascii="Times New Roman" w:hAnsi="Times New Roman"/>
          <w:color w:val="00002D"/>
          <w:sz w:val="20"/>
        </w:rPr>
        <w:t xml:space="preserve"> </w:t>
      </w:r>
      <w:r>
        <w:rPr>
          <w:rFonts w:ascii="Outfit;sans-serif" w:hAnsi="Outfit;sans-serif"/>
          <w:color w:val="00002D"/>
          <w:sz w:val="20"/>
        </w:rPr>
        <w:t>to August 6, 2031. Refer to Note 14 of these Unaudited Condensed Consolidated Financial Statements for more information.</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2026 and December 31, 2025, there were no</w:t>
      </w:r>
      <w:r>
        <w:rPr>
          <w:rFonts w:ascii="Times New Roman" w:hAnsi="Times New Roman"/>
          <w:color w:val="00002D"/>
          <w:sz w:val="20"/>
        </w:rPr>
        <w:t xml:space="preserve"> </w:t>
      </w:r>
      <w:r>
        <w:rPr>
          <w:rFonts w:ascii="Outfit;sans-serif" w:hAnsi="Outfit;sans-serif"/>
          <w:color w:val="00002D"/>
          <w:sz w:val="20"/>
        </w:rPr>
        <w:t>borrowings and $9.4</w:t>
      </w:r>
      <w:r>
        <w:rPr>
          <w:rFonts w:ascii="Times New Roman" w:hAnsi="Times New Roman"/>
          <w:color w:val="00002D"/>
          <w:sz w:val="20"/>
        </w:rPr>
        <w:t xml:space="preserve"> </w:t>
      </w:r>
      <w:r>
        <w:rPr>
          <w:rFonts w:ascii="Outfit;sans-serif" w:hAnsi="Outfit;sans-serif"/>
          <w:color w:val="00002D"/>
          <w:sz w:val="20"/>
        </w:rPr>
        <w:t>million in letters of credit outstanding under the 2022 Revolver Sub-facility associated with the Company’s leases, which reduced the borrowing capacity under the 2022 Revolver to $390.6</w:t>
      </w:r>
      <w:r>
        <w:rPr>
          <w:rFonts w:ascii="Times New Roman" w:hAnsi="Times New Roman"/>
          <w:color w:val="00002D"/>
          <w:sz w:val="20"/>
        </w:rPr>
        <w:t xml:space="preserve"> </w:t>
      </w:r>
      <w:r>
        <w:rPr>
          <w:rFonts w:ascii="Outfit;sans-serif" w:hAnsi="Outfit;sans-serif"/>
          <w:color w:val="00002D"/>
          <w:sz w:val="20"/>
        </w:rPr>
        <w:t>million.</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2026 and December 31, 2025, deferred financing costs were $0.6</w:t>
      </w:r>
      <w:r>
        <w:rPr>
          <w:rFonts w:ascii="Times New Roman" w:hAnsi="Times New Roman"/>
          <w:color w:val="00002D"/>
          <w:sz w:val="20"/>
        </w:rPr>
        <w:t xml:space="preserve"> </w:t>
      </w:r>
      <w:r>
        <w:rPr>
          <w:rFonts w:ascii="Outfit;sans-serif" w:hAnsi="Outfit;sans-serif"/>
          <w:color w:val="00002D"/>
          <w:sz w:val="20"/>
        </w:rPr>
        <w:t>million and $0.9</w:t>
      </w:r>
      <w:r>
        <w:rPr>
          <w:rFonts w:ascii="Times New Roman" w:hAnsi="Times New Roman"/>
          <w:color w:val="00002D"/>
          <w:sz w:val="20"/>
        </w:rPr>
        <w:t xml:space="preserve"> </w:t>
      </w:r>
      <w:r>
        <w:rPr>
          <w:rFonts w:ascii="Outfit;sans-serif" w:hAnsi="Outfit;sans-serif"/>
          <w:color w:val="00002D"/>
          <w:sz w:val="20"/>
        </w:rPr>
        <w:t>million, respectively, recognized within other non-current assets in the Unaudited Condensed Consolidated Balance Sheets.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2026 and 2025 and for the six months ended June 30, 2026 and 2025, amortization expense associated with deferred financing costs was immaterial.</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2026 and 2025 and for the six months ended June 30, 2026 and 2025,</w:t>
      </w:r>
      <w:r>
        <w:rPr>
          <w:rFonts w:ascii="Times New Roman" w:hAnsi="Times New Roman"/>
          <w:color w:val="00002D"/>
          <w:sz w:val="20"/>
        </w:rPr>
        <w:t xml:space="preserve"> </w:t>
      </w:r>
      <w:r>
        <w:rPr>
          <w:rFonts w:ascii="Outfit;sans-serif" w:hAnsi="Outfit;sans-serif"/>
          <w:color w:val="00002D"/>
          <w:sz w:val="20"/>
        </w:rPr>
        <w:t>commitment fees under the 2022 Revolver were immaterial.</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3465B0"/>
          <w:sz w:val="24"/>
        </w:rPr>
        <w:t>9. Commitments and Contingencies</w:t>
      </w:r>
      <w:r>
        <w:rPr>
          <w:rFonts w:ascii="Times New Roman" w:hAnsi="Times New Roman"/>
          <w:color w:val="3465B0"/>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Contractual Obligations and Commitments</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2026, all of the Company’s property and equipment and capitalized hosting arrangements have been purchased with cash with the exception of unpaid amounts as disclosed in the Unaudited Condensed Consolidated Statements of Cash Flows.</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Leases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2026, there were no material changes in the Company’s leases from those disclosed in the Annual Report, other than those disclosed below.</w:t>
      </w:r>
    </w:p>
    <w:p>
      <w:pPr>
        <w:pStyle w:val="TextBody"/>
        <w:bidi w:val="0"/>
        <w:spacing w:before="240" w:after="283"/>
        <w:jc w:val="both"/>
        <w:rPr>
          <w:rFonts w:ascii="Outfit;sans-serif" w:hAnsi="Outfit;sans-serif"/>
          <w:color w:val="3465B0"/>
          <w:sz w:val="20"/>
        </w:rPr>
      </w:pPr>
      <w:r>
        <w:rPr>
          <w:rFonts w:ascii="Outfit;sans-serif" w:hAnsi="Outfit;sans-serif"/>
          <w:color w:val="3465B0"/>
          <w:sz w:val="20"/>
        </w:rPr>
        <w:t>121 First Street Lease Impairment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During the three months ended March 31, 2026, the Company identified a triggering event requiring an impairment test for the 121 First Street lease, which it intends to sublease, primarily due to lower anticipated rental recovery rates. The Company assessed the asset group for recoverability, and determined the asset group was not recoverable. Therefore, the Company estimated the fair value of the asset group to compare to the carrying value for impairment.</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The Company estimated fair value using the discounted cash flow method, with key inputs including the selected market rental rates based upon similar office spaces, the discount rate, and other estimated costs. The fair value measurement was categorized as Level 3 within the fair value hierarchy as there were significant unobservable inputs utilized in the valuation technique. </w:t>
      </w:r>
      <w:r>
        <w:rPr>
          <w:rFonts w:ascii="Outfit;sans-serif" w:hAnsi="Outfit;sans-serif"/>
          <w:color w:val="000000"/>
          <w:sz w:val="20"/>
        </w:rPr>
        <w:t>As the estimated fair value of the asset group was less than its carrying value, the Company recognized an impairment of the 121 First Street lease to reduce the carrying value to fair value.</w:t>
      </w:r>
    </w:p>
    <w:p>
      <w:pPr>
        <w:pStyle w:val="TextBody"/>
        <w:bidi w:val="0"/>
        <w:spacing w:before="240" w:after="283"/>
        <w:jc w:val="both"/>
        <w:rPr>
          <w:rFonts w:ascii="Times New Roman" w:hAnsi="Times New Roman"/>
          <w:sz w:val="20"/>
        </w:rPr>
      </w:pPr>
      <w:r>
        <w:rPr>
          <w:rFonts w:ascii="Outfit;sans-serif" w:hAnsi="Outfit;sans-serif"/>
          <w:color w:val="000000"/>
          <w:sz w:val="20"/>
        </w:rPr>
        <w:t>For the six months ended June 30, 2026, the Company recognized non-cash impairment charges of $14.7</w:t>
      </w:r>
      <w:r>
        <w:rPr>
          <w:rFonts w:ascii="Times New Roman" w:hAnsi="Times New Roman"/>
          <w:color w:val="000000"/>
          <w:sz w:val="20"/>
        </w:rPr>
        <w:t xml:space="preserve"> </w:t>
      </w:r>
      <w:r>
        <w:rPr>
          <w:rFonts w:ascii="Outfit;sans-serif" w:hAnsi="Outfit;sans-serif"/>
          <w:color w:val="000000"/>
          <w:sz w:val="20"/>
        </w:rPr>
        <w:t>million related to operating lease right-of-use asset and $4.5</w:t>
      </w:r>
      <w:r>
        <w:rPr>
          <w:rFonts w:ascii="Times New Roman" w:hAnsi="Times New Roman"/>
          <w:color w:val="000000"/>
          <w:sz w:val="20"/>
        </w:rPr>
        <w:t xml:space="preserve"> </w:t>
      </w:r>
      <w:r>
        <w:rPr>
          <w:rFonts w:ascii="Outfit;sans-serif" w:hAnsi="Outfit;sans-serif"/>
          <w:color w:val="000000"/>
          <w:sz w:val="20"/>
        </w:rPr>
        <w:t>million related to leasehold improvements and furniture and fixtures, which were recognized within impairment operating expenses in the Unaudited Condensed Consolidated Income Statements. For the three months ended June 30, 2026, no impairment charges related to the 121 First Street lease were recognized.</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Letters of Credit</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2026 and December 31, 2025, $9.4</w:t>
      </w:r>
      <w:r>
        <w:rPr>
          <w:rFonts w:ascii="Times New Roman" w:hAnsi="Times New Roman"/>
          <w:color w:val="00002D"/>
          <w:sz w:val="20"/>
        </w:rPr>
        <w:t xml:space="preserve"> </w:t>
      </w:r>
      <w:r>
        <w:rPr>
          <w:rFonts w:ascii="Outfit;sans-serif" w:hAnsi="Outfit;sans-serif"/>
          <w:color w:val="00002D"/>
          <w:sz w:val="20"/>
        </w:rPr>
        <w:t>million in letters of credit associated with the Company’s leases were included under the 2022 Revolver Sub-facility.</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Tax Contingencies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subject to taxation in the U.S. and certain other jurisdictions in which it operates, which could include corporate income tax, sales and use tax, value added tax, excise tax, gross receipts tax, and property tax. State, local, and foreign jurisdictions have differing rules and regulations governing corporate income, sales, use, value added, and other taxes. These rules and regulations are complex and subject to varying interpretations that may change over time due to new court interpretations and newly enacted rules and regulations. As a result, the Company could face the possibility of tax assessments and audits, and its liability for these taxes and associated penalties could exceed its original estimates, which could be material.</w:t>
      </w:r>
    </w:p>
    <w:p>
      <w:pPr>
        <w:pStyle w:val="TextBody"/>
        <w:bidi w:val="0"/>
        <w:spacing w:before="240" w:after="283"/>
        <w:jc w:val="both"/>
        <w:rPr>
          <w:rFonts w:ascii="Times New Roman" w:hAnsi="Times New Roman"/>
          <w:sz w:val="20"/>
        </w:rPr>
      </w:pPr>
      <w:r>
        <w:rPr>
          <w:rFonts w:ascii="Outfit;sans-serif" w:hAnsi="Outfit;sans-serif"/>
          <w:b/>
          <w:i/>
          <w:color w:val="00002D"/>
          <w:sz w:val="20"/>
        </w:rPr>
        <w:t>Legal Matters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From time to time,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estimated. Judgment is required to determine both the probability of having incurred a liability and the estimated amount of the liability.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3465B0"/>
          <w:sz w:val="24"/>
        </w:rPr>
        <w:t>10. Stock-based Compensation and Common Stock Share Repurchases</w:t>
      </w:r>
      <w:r>
        <w:rPr>
          <w:rFonts w:ascii="Times New Roman" w:hAnsi="Times New Roman"/>
          <w:color w:val="3465B0"/>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Stock-based Compensation Expense</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2026 and 2025 and for the six months ended June 30, 2026 and 2025, stock-based compensation expense, consisting primarily of restricted stock units, was recognized in the Unaudited Condensed Consolidated Income Statements was as follows:</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24"/>
        <w:gridCol w:w="146"/>
        <w:gridCol w:w="226"/>
        <w:gridCol w:w="766"/>
        <w:gridCol w:w="146"/>
        <w:gridCol w:w="146"/>
        <w:gridCol w:w="226"/>
        <w:gridCol w:w="766"/>
        <w:gridCol w:w="146"/>
        <w:gridCol w:w="146"/>
        <w:gridCol w:w="226"/>
        <w:gridCol w:w="766"/>
        <w:gridCol w:w="146"/>
        <w:gridCol w:w="146"/>
        <w:gridCol w:w="226"/>
        <w:gridCol w:w="766"/>
        <w:gridCol w:w="391"/>
      </w:tblGrid>
      <w:tr>
        <w:trPr/>
        <w:tc>
          <w:tcPr>
            <w:tcW w:w="4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2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139</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5,535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5,467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11,036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10,969</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stock-based compensation expense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13,358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12,517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26,630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24,900</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stock-based compensation expense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13,358</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13,025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26,630</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25,925</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2026 and 2025 and for the six months ended June 30, 2026 and 2025, consolidated stock-based compensation expense excluded $1.4</w:t>
      </w:r>
      <w:r>
        <w:rPr>
          <w:rFonts w:ascii="Times New Roman" w:hAnsi="Times New Roman"/>
          <w:color w:val="00002D"/>
          <w:sz w:val="20"/>
        </w:rPr>
        <w:t xml:space="preserve"> </w:t>
      </w:r>
      <w:r>
        <w:rPr>
          <w:rFonts w:ascii="Outfit;sans-serif" w:hAnsi="Outfit;sans-serif"/>
          <w:color w:val="00002D"/>
          <w:sz w:val="20"/>
        </w:rPr>
        <w:t>million, $1.9</w:t>
      </w:r>
      <w:r>
        <w:rPr>
          <w:rFonts w:ascii="Times New Roman" w:hAnsi="Times New Roman"/>
          <w:color w:val="00002D"/>
          <w:sz w:val="20"/>
        </w:rPr>
        <w:t xml:space="preserve"> </w:t>
      </w:r>
      <w:r>
        <w:rPr>
          <w:rFonts w:ascii="Outfit;sans-serif" w:hAnsi="Outfit;sans-serif"/>
          <w:color w:val="00002D"/>
          <w:sz w:val="20"/>
        </w:rPr>
        <w:t>million, $2.9</w:t>
      </w:r>
      <w:r>
        <w:rPr>
          <w:rFonts w:ascii="Times New Roman" w:hAnsi="Times New Roman"/>
          <w:color w:val="00002D"/>
          <w:sz w:val="20"/>
        </w:rPr>
        <w:t xml:space="preserve"> </w:t>
      </w:r>
      <w:r>
        <w:rPr>
          <w:rFonts w:ascii="Outfit;sans-serif" w:hAnsi="Outfit;sans-serif"/>
          <w:color w:val="00002D"/>
          <w:sz w:val="20"/>
        </w:rPr>
        <w:t>million, and $3.5</w:t>
      </w:r>
      <w:r>
        <w:rPr>
          <w:rFonts w:ascii="Times New Roman" w:hAnsi="Times New Roman"/>
          <w:color w:val="00002D"/>
          <w:sz w:val="20"/>
        </w:rPr>
        <w:t xml:space="preserve"> </w:t>
      </w:r>
      <w:r>
        <w:rPr>
          <w:rFonts w:ascii="Outfit;sans-serif" w:hAnsi="Outfit;sans-serif"/>
          <w:color w:val="00002D"/>
          <w:sz w:val="20"/>
        </w:rPr>
        <w:t>million, respectively, of capitalized website development costs, capitalized internal-use software costs, and capitalized hosting arrangements.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Common Stock Share Repurchase Programs</w:t>
      </w:r>
    </w:p>
    <w:p>
      <w:pPr>
        <w:pStyle w:val="TextBody"/>
        <w:bidi w:val="0"/>
        <w:spacing w:before="240" w:after="283"/>
        <w:jc w:val="both"/>
        <w:rPr>
          <w:rFonts w:ascii="Times New Roman" w:hAnsi="Times New Roman"/>
          <w:sz w:val="20"/>
        </w:rPr>
      </w:pPr>
      <w:r>
        <w:rPr>
          <w:rFonts w:ascii="Outfit;sans-serif" w:hAnsi="Outfit;sans-serif"/>
          <w:color w:val="00002D"/>
          <w:sz w:val="20"/>
        </w:rPr>
        <w:t>In February 2026 the Company announced that the Board authorized a program pursuant to which it may purchase up to $250.0</w:t>
      </w:r>
      <w:r>
        <w:rPr>
          <w:rFonts w:ascii="Times New Roman" w:hAnsi="Times New Roman"/>
          <w:color w:val="00002D"/>
          <w:sz w:val="20"/>
        </w:rPr>
        <w:t xml:space="preserve"> </w:t>
      </w:r>
      <w:r>
        <w:rPr>
          <w:rFonts w:ascii="Outfit;sans-serif" w:hAnsi="Outfit;sans-serif"/>
          <w:color w:val="00002D"/>
          <w:sz w:val="20"/>
        </w:rPr>
        <w:t>million of its Class A common stock (the “2026 Share Repurchase Program”). Share repurchases under the 2026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The 2026 Share Repurchase Program does not obligate the Company to repurchase any minimum dollar amount or number of shares. The 2026 Share Repurchase Program has an expiration date of December 31, 2026, and prior to its expiration may be modified, suspended, or discontinued by the Board at any time without prior notice. All repurchased shares under the 2026 Share Repurchase Program will be retired. The Company has funded share repurchases and expects to continue to fund share repurchases under the 2026 Share Repurchase Program through cash on hand and cash generated from operations.</w:t>
      </w:r>
    </w:p>
    <w:p>
      <w:pPr>
        <w:pStyle w:val="TextBody"/>
        <w:bidi w:val="0"/>
        <w:spacing w:before="240" w:after="283"/>
        <w:jc w:val="both"/>
        <w:rPr>
          <w:rFonts w:ascii="Times New Roman" w:hAnsi="Times New Roman"/>
          <w:sz w:val="20"/>
        </w:rPr>
      </w:pPr>
      <w:r>
        <w:rPr>
          <w:rFonts w:ascii="Outfit;sans-serif" w:hAnsi="Outfit;sans-serif"/>
          <w:color w:val="00002D"/>
          <w:sz w:val="20"/>
        </w:rPr>
        <w:t>In November 2024 the Company announced that the Board authorized a program pursuant to which it may</w:t>
      </w:r>
      <w:r>
        <w:rPr>
          <w:rFonts w:ascii="Times New Roman" w:hAnsi="Times New Roman"/>
          <w:color w:val="00002D"/>
          <w:sz w:val="20"/>
        </w:rPr>
        <w:t xml:space="preserve"> </w:t>
      </w:r>
      <w:r>
        <w:rPr>
          <w:rFonts w:ascii="Outfit;sans-serif" w:hAnsi="Outfit;sans-serif"/>
          <w:color w:val="00002D"/>
          <w:sz w:val="20"/>
        </w:rPr>
        <w:t>purchase up to $200.0</w:t>
      </w:r>
      <w:r>
        <w:rPr>
          <w:rFonts w:ascii="Times New Roman" w:hAnsi="Times New Roman"/>
          <w:color w:val="00002D"/>
          <w:sz w:val="20"/>
        </w:rPr>
        <w:t xml:space="preserve"> </w:t>
      </w:r>
      <w:r>
        <w:rPr>
          <w:rFonts w:ascii="Outfit;sans-serif" w:hAnsi="Outfit;sans-serif"/>
          <w:color w:val="00002D"/>
          <w:sz w:val="20"/>
        </w:rPr>
        <w:t>million of its Class A common stock</w:t>
      </w:r>
      <w:r>
        <w:rPr>
          <w:rFonts w:ascii="Times New Roman" w:hAnsi="Times New Roman"/>
          <w:color w:val="00002D"/>
          <w:sz w:val="20"/>
        </w:rPr>
        <w:t xml:space="preserve"> </w:t>
      </w:r>
      <w:r>
        <w:rPr>
          <w:rFonts w:ascii="Outfit;sans-serif" w:hAnsi="Outfit;sans-serif"/>
          <w:color w:val="00002D"/>
          <w:sz w:val="20"/>
        </w:rPr>
        <w:t>(the “Original 2025 Share Repurchase Program”). In August 2025 the Company announced that the Board amended the Original 2025 Share Repurchase Program to increase the authorization by an additional $150.0</w:t>
      </w:r>
      <w:r>
        <w:rPr>
          <w:rFonts w:ascii="Times New Roman" w:hAnsi="Times New Roman"/>
          <w:color w:val="00002D"/>
          <w:sz w:val="20"/>
        </w:rPr>
        <w:t xml:space="preserve"> </w:t>
      </w:r>
      <w:r>
        <w:rPr>
          <w:rFonts w:ascii="Outfit;sans-serif" w:hAnsi="Outfit;sans-serif"/>
          <w:color w:val="00002D"/>
          <w:sz w:val="20"/>
        </w:rPr>
        <w:t>million, for a total authorization to purchase up to $350.0</w:t>
      </w:r>
      <w:r>
        <w:rPr>
          <w:rFonts w:ascii="Times New Roman" w:hAnsi="Times New Roman"/>
          <w:color w:val="00002D"/>
          <w:sz w:val="20"/>
        </w:rPr>
        <w:t xml:space="preserve"> </w:t>
      </w:r>
      <w:r>
        <w:rPr>
          <w:rFonts w:ascii="Outfit;sans-serif" w:hAnsi="Outfit;sans-serif"/>
          <w:color w:val="00002D"/>
          <w:sz w:val="20"/>
        </w:rPr>
        <w:t>million of its Class A common stock, and extended the expiration of the Original 2025 Share Repurchase Program from December 31, 2025 to July 31, 2026</w:t>
      </w:r>
      <w:r>
        <w:rPr>
          <w:rFonts w:ascii="Times New Roman" w:hAnsi="Times New Roman"/>
          <w:color w:val="00002D"/>
          <w:sz w:val="20"/>
        </w:rPr>
        <w:t xml:space="preserve"> </w:t>
      </w:r>
      <w:r>
        <w:rPr>
          <w:rFonts w:ascii="Outfit;sans-serif" w:hAnsi="Outfit;sans-serif"/>
          <w:color w:val="00002D"/>
          <w:sz w:val="20"/>
        </w:rPr>
        <w:t>(as amended, the “2025 Share Repurchase Program”). The 2025 Share Repurchase Program was completed in November 2025. All repurchased shares under the 2025 Share Repurchase Program were retired.</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2026, the Company repurchased and retired 946,971</w:t>
      </w:r>
      <w:r>
        <w:rPr>
          <w:rFonts w:ascii="Times New Roman" w:hAnsi="Times New Roman"/>
          <w:color w:val="00002D"/>
          <w:sz w:val="20"/>
        </w:rPr>
        <w:t xml:space="preserve"> </w:t>
      </w:r>
      <w:r>
        <w:rPr>
          <w:rFonts w:ascii="Outfit;sans-serif" w:hAnsi="Outfit;sans-serif"/>
          <w:color w:val="00002D"/>
          <w:sz w:val="20"/>
        </w:rPr>
        <w:t>shares of its Class A common stock for $29.2</w:t>
      </w:r>
      <w:r>
        <w:rPr>
          <w:rFonts w:ascii="Times New Roman" w:hAnsi="Times New Roman"/>
          <w:color w:val="00002D"/>
          <w:sz w:val="20"/>
        </w:rPr>
        <w:t xml:space="preserve"> </w:t>
      </w:r>
      <w:r>
        <w:rPr>
          <w:rFonts w:ascii="Outfit;sans-serif" w:hAnsi="Outfit;sans-serif"/>
          <w:color w:val="00002D"/>
          <w:sz w:val="20"/>
        </w:rPr>
        <w:t>million, exclusive of commissions and excise tax, at an average cost of $30.88</w:t>
      </w:r>
      <w:r>
        <w:rPr>
          <w:rFonts w:ascii="Times New Roman" w:hAnsi="Times New Roman"/>
          <w:color w:val="00002D"/>
          <w:sz w:val="20"/>
        </w:rPr>
        <w:t xml:space="preserve"> </w:t>
      </w:r>
      <w:r>
        <w:rPr>
          <w:rFonts w:ascii="Outfit;sans-serif" w:hAnsi="Outfit;sans-serif"/>
          <w:color w:val="00002D"/>
          <w:sz w:val="20"/>
        </w:rPr>
        <w:t>per share, under the 2026 Share Repurchase Program. During the six months ended June 30, 2026, the Company repurchased and retired 6,288,683</w:t>
      </w:r>
      <w:r>
        <w:rPr>
          <w:rFonts w:ascii="Times New Roman" w:hAnsi="Times New Roman"/>
          <w:color w:val="00002D"/>
          <w:sz w:val="20"/>
        </w:rPr>
        <w:t xml:space="preserve"> </w:t>
      </w:r>
      <w:r>
        <w:rPr>
          <w:rFonts w:ascii="Outfit;sans-serif" w:hAnsi="Outfit;sans-serif"/>
          <w:color w:val="00002D"/>
          <w:sz w:val="20"/>
        </w:rPr>
        <w:t>shares of its Class A common stock for $204.2</w:t>
      </w:r>
      <w:r>
        <w:rPr>
          <w:rFonts w:ascii="Times New Roman" w:hAnsi="Times New Roman"/>
          <w:color w:val="00002D"/>
          <w:sz w:val="20"/>
        </w:rPr>
        <w:t xml:space="preserve"> </w:t>
      </w:r>
      <w:r>
        <w:rPr>
          <w:rFonts w:ascii="Outfit;sans-serif" w:hAnsi="Outfit;sans-serif"/>
          <w:color w:val="00002D"/>
          <w:sz w:val="20"/>
        </w:rPr>
        <w:t>million, exclusive of commissions and excise tax, at an average cost of $32.48</w:t>
      </w:r>
      <w:r>
        <w:rPr>
          <w:rFonts w:ascii="Times New Roman" w:hAnsi="Times New Roman"/>
          <w:color w:val="00002D"/>
          <w:sz w:val="20"/>
        </w:rPr>
        <w:t xml:space="preserve"> </w:t>
      </w:r>
      <w:r>
        <w:rPr>
          <w:rFonts w:ascii="Outfit;sans-serif" w:hAnsi="Outfit;sans-serif"/>
          <w:color w:val="00002D"/>
          <w:sz w:val="20"/>
        </w:rPr>
        <w:t>per share, under the 2026 Share Repurchase Program. As of June 30, 2026, the Company had remaining authorization to purchase up to $45.8</w:t>
      </w:r>
      <w:r>
        <w:rPr>
          <w:rFonts w:ascii="Times New Roman" w:hAnsi="Times New Roman"/>
          <w:color w:val="00002D"/>
          <w:sz w:val="20"/>
        </w:rPr>
        <w:t xml:space="preserve"> </w:t>
      </w:r>
      <w:r>
        <w:rPr>
          <w:rFonts w:ascii="Outfit;sans-serif" w:hAnsi="Outfit;sans-serif"/>
          <w:color w:val="00002D"/>
          <w:sz w:val="20"/>
        </w:rPr>
        <w:t>million of its Class A common stock under the 2026 Share Repurchase Program.</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2025, the Company repurchased and retired 11,004</w:t>
      </w:r>
      <w:r>
        <w:rPr>
          <w:rFonts w:ascii="Times New Roman" w:hAnsi="Times New Roman"/>
          <w:color w:val="00002D"/>
          <w:sz w:val="20"/>
        </w:rPr>
        <w:t xml:space="preserve"> </w:t>
      </w:r>
      <w:r>
        <w:rPr>
          <w:rFonts w:ascii="Outfit;sans-serif" w:hAnsi="Outfit;sans-serif"/>
          <w:color w:val="00002D"/>
          <w:sz w:val="20"/>
        </w:rPr>
        <w:t>shares of its Class A common stock for $0.3</w:t>
      </w:r>
      <w:r>
        <w:rPr>
          <w:rFonts w:ascii="Times New Roman" w:hAnsi="Times New Roman"/>
          <w:color w:val="00002D"/>
          <w:sz w:val="20"/>
        </w:rPr>
        <w:t xml:space="preserve"> </w:t>
      </w:r>
      <w:r>
        <w:rPr>
          <w:rFonts w:ascii="Outfit;sans-serif" w:hAnsi="Outfit;sans-serif"/>
          <w:color w:val="00002D"/>
          <w:sz w:val="20"/>
        </w:rPr>
        <w:t>million, exclusive of commissions and excise tax, at an average cost of $29.89</w:t>
      </w:r>
      <w:r>
        <w:rPr>
          <w:rFonts w:ascii="Times New Roman" w:hAnsi="Times New Roman"/>
          <w:color w:val="00002D"/>
          <w:sz w:val="20"/>
        </w:rPr>
        <w:t xml:space="preserve"> </w:t>
      </w:r>
      <w:r>
        <w:rPr>
          <w:rFonts w:ascii="Outfit;sans-serif" w:hAnsi="Outfit;sans-serif"/>
          <w:color w:val="00002D"/>
          <w:sz w:val="20"/>
        </w:rPr>
        <w:t>per share, under the 2025 Share Repurchase Program. During the six months ended June 30, 2025, the Company repurchased and retired 5,930,439</w:t>
      </w:r>
      <w:r>
        <w:rPr>
          <w:rFonts w:ascii="Times New Roman" w:hAnsi="Times New Roman"/>
          <w:color w:val="00002D"/>
          <w:sz w:val="20"/>
        </w:rPr>
        <w:t xml:space="preserve"> </w:t>
      </w:r>
      <w:r>
        <w:rPr>
          <w:rFonts w:ascii="Outfit;sans-serif" w:hAnsi="Outfit;sans-serif"/>
          <w:color w:val="00002D"/>
          <w:sz w:val="20"/>
        </w:rPr>
        <w:t>shares of its Class A common stock for $184.5</w:t>
      </w:r>
      <w:r>
        <w:rPr>
          <w:rFonts w:ascii="Times New Roman" w:hAnsi="Times New Roman"/>
          <w:color w:val="00002D"/>
          <w:sz w:val="20"/>
        </w:rPr>
        <w:t xml:space="preserve"> </w:t>
      </w:r>
      <w:r>
        <w:rPr>
          <w:rFonts w:ascii="Outfit;sans-serif" w:hAnsi="Outfit;sans-serif"/>
          <w:color w:val="00002D"/>
          <w:sz w:val="20"/>
        </w:rPr>
        <w:t>million, exclusive of commissions and excise tax, at an average cost of $31.12</w:t>
      </w:r>
      <w:r>
        <w:rPr>
          <w:rFonts w:ascii="Times New Roman" w:hAnsi="Times New Roman"/>
          <w:color w:val="00002D"/>
          <w:sz w:val="20"/>
        </w:rPr>
        <w:t xml:space="preserve"> </w:t>
      </w:r>
      <w:r>
        <w:rPr>
          <w:rFonts w:ascii="Outfit;sans-serif" w:hAnsi="Outfit;sans-serif"/>
          <w:color w:val="00002D"/>
          <w:sz w:val="20"/>
        </w:rPr>
        <w:t>per share, under the 2025 Share Repurchase Program. The 2025 Share Repurchase Program was completed in November 2025.</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11. Earnings Per Share</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w:t>
      </w:r>
      <w:r>
        <w:rPr>
          <w:rFonts w:ascii="Times New Roman" w:hAnsi="Times New Roman"/>
          <w:color w:val="00002D"/>
          <w:sz w:val="20"/>
        </w:rPr>
        <w:t xml:space="preserve"> </w:t>
      </w:r>
      <w:r>
        <w:rPr>
          <w:rFonts w:ascii="Outfit;sans-serif" w:hAnsi="Outfit;sans-serif"/>
          <w:color w:val="00002D"/>
          <w:sz w:val="20"/>
        </w:rPr>
        <w:t>and each share of Class B common stock is entitled to</w:t>
      </w:r>
      <w:r>
        <w:rPr>
          <w:rFonts w:ascii="Times New Roman" w:hAnsi="Times New Roman"/>
          <w:color w:val="00002D"/>
          <w:sz w:val="20"/>
        </w:rPr>
        <w:t xml:space="preserve"> </w:t>
      </w:r>
      <w:r>
        <w:rPr>
          <w:rFonts w:ascii="Outfit;sans-serif" w:hAnsi="Outfit;sans-serif"/>
          <w:color w:val="00002D"/>
          <w:sz w:val="20"/>
        </w:rPr>
        <w:t>ten votes per share. Each share of Class B common stock is convertible into one share of Class A common stock at the option of the holder at any time or automatically upon certain events described in the Company’s fourth amended and restated certificate of incorporation, including upon either the death or voluntary termination of the Company’s Executive Chair.</w:t>
      </w:r>
      <w:r>
        <w:rPr>
          <w:rFonts w:ascii="Times New Roman" w:hAnsi="Times New Roman"/>
          <w:color w:val="00002D"/>
          <w:sz w:val="20"/>
        </w:rPr>
        <w:t xml:space="preserve"> </w:t>
      </w:r>
      <w:r>
        <w:rPr>
          <w:rFonts w:ascii="Outfit;sans-serif" w:hAnsi="Outfit;sans-serif"/>
          <w:color w:val="00002D"/>
          <w:sz w:val="20"/>
        </w:rPr>
        <w:t>The Company allocates undistributed earnings attributable to common stock between the common stock classes on a one</w:t>
        <w:noBreakHyphen/>
        <w:t>to</w:t>
        <w:noBreakHyphen/>
        <w:t>one</w:t>
      </w:r>
      <w:r>
        <w:rPr>
          <w:rFonts w:ascii="Times New Roman" w:hAnsi="Times New Roman"/>
          <w:color w:val="00002D"/>
          <w:sz w:val="20"/>
        </w:rPr>
        <w:t xml:space="preserve"> </w:t>
      </w:r>
      <w:r>
        <w:rPr>
          <w:rFonts w:ascii="Outfit;sans-serif" w:hAnsi="Outfit;sans-serif"/>
          <w:color w:val="00002D"/>
          <w:sz w:val="20"/>
        </w:rPr>
        <w:t>basis when computing net income per share. As a result, basic and diluted net income per share of Class A common stock and per share of Class B common stock are equivalent.</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and six months ended June 30, 2026, 452,637</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 During the three months ended June 30, 2025, no</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 During the six months ended June 30, 2025 and year ended December 31, 2025, 770,495</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Consolidated basic net income per share (“Basic EPS”) is computed by dividing consolidated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 less the weighted-average of any shares repurchased during the period.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Consolidated diluted net income per share (“Diluted EPS”) gives effect to all potentially dilutive securities. Diluted EPS is computed by dividing consolidated net income by the weighted-average number of common shares outstanding during the reporting period using (i) the number of shares of common stock used in the Basic EPS calculation as indicated above, and (ii) if dilutive, the incremental weighted-average common stock that the Company would issue upon the exercise of stock options and the vesting of restricted stock units. The dilutive effect of these common stock equivalents is reflected in diluted earnings per share by application of the treasury stock method.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Continuing basic and diluted net income per share and discontinued basic and diluted net income per share are calculated using the same methodology as described above, as applicable. Diluted earnings per share from discontinued operations is calculated using net income from continuing operations to determine the denominator, in accordance with applicable guidance.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2026 and 2025 and for the six months ended June 30, 2026 and 2025, a reconciliation of the numerator and denominator used in the calculation of continuing, discontinued, and consolidated basic and diluted net income (loss) per share was as follows:</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34"/>
        <w:gridCol w:w="146"/>
        <w:gridCol w:w="226"/>
        <w:gridCol w:w="1186"/>
        <w:gridCol w:w="146"/>
        <w:gridCol w:w="146"/>
        <w:gridCol w:w="226"/>
        <w:gridCol w:w="1306"/>
        <w:gridCol w:w="181"/>
        <w:gridCol w:w="146"/>
        <w:gridCol w:w="226"/>
        <w:gridCol w:w="1186"/>
        <w:gridCol w:w="146"/>
        <w:gridCol w:w="146"/>
        <w:gridCol w:w="226"/>
        <w:gridCol w:w="1306"/>
        <w:gridCol w:w="426"/>
      </w:tblGrid>
      <w:tr>
        <w:trPr/>
        <w:tc>
          <w:tcPr>
            <w:tcW w:w="2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Numerator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48,989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91,063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(26,646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(29,675</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61,388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 xml:space="preserve">Weighted-average number of shares of common stock used </w:t>
              <w:br/>
              <w:t xml:space="preserve">   in computing net income (loss) per share attributable to </w:t>
              <w:br/>
              <w:t>   common stockholders — 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90,131,442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98,889,893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92,082,411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100,980,676</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 xml:space="preserve">Dilutive effect of share equivalents resulting from stock </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15,167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17,893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Dilutive effect of share equivalents resulting from</w:t>
              <w:br/>
              <w:t>   unvested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945,007</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1,279,007</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990,565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1,615,872</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 xml:space="preserve">Weighted-average number of shares of common stock </w:t>
              <w:br/>
              <w:t xml:space="preserve">   used in computing net income (loss) per share attributable to </w:t>
              <w:br/>
              <w:t>   common stockholders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91,076,449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100,184,067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93,075,457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102,614,441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(loss) per share attributable to common stockholders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0.50</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0.88</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0.90</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283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0.23</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0.88</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0.61</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0.54</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0.49</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0.87</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0.89</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283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0.54</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0.22</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0.87</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0.60</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2026 and 2025 and for the six months ended June 30, 2026 and 2025, potentially dilutive common stock equivalents that have been excluded from the calculation of diluted weighted-average shares outstanding as their effect would have been anti-dilutive was as follows:</w:t>
      </w:r>
      <w:r>
        <w:rPr>
          <w:rFonts w:ascii="Times New Roman" w:hAnsi="Times New Roman"/>
          <w:color w:val="00002D"/>
          <w:sz w:val="20"/>
        </w:rPr>
        <w:t xml:space="preserve"> </w:t>
      </w:r>
    </w:p>
    <w:p>
      <w:pPr>
        <w:pStyle w:val="TextBody"/>
        <w:bidi w:val="0"/>
        <w:jc w:val="left"/>
        <w:rPr/>
      </w:pPr>
      <w:r>
        <w:rPr/>
        <w:t> </w:t>
      </w:r>
    </w:p>
    <w:tbl>
      <w:tblPr>
        <w:tblW w:w="8792" w:type="dxa"/>
        <w:jc w:val="left"/>
        <w:tblInd w:w="0" w:type="dxa"/>
        <w:tblLayout w:type="fixed"/>
        <w:tblCellMar>
          <w:top w:w="28" w:type="dxa"/>
          <w:left w:w="28" w:type="dxa"/>
          <w:bottom w:w="28" w:type="dxa"/>
          <w:right w:w="28" w:type="dxa"/>
        </w:tblCellMar>
      </w:tblPr>
      <w:tblGrid>
        <w:gridCol w:w="3451"/>
        <w:gridCol w:w="146"/>
        <w:gridCol w:w="146"/>
        <w:gridCol w:w="886"/>
        <w:gridCol w:w="146"/>
        <w:gridCol w:w="146"/>
        <w:gridCol w:w="146"/>
        <w:gridCol w:w="886"/>
        <w:gridCol w:w="146"/>
        <w:gridCol w:w="146"/>
        <w:gridCol w:w="146"/>
        <w:gridCol w:w="886"/>
        <w:gridCol w:w="146"/>
        <w:gridCol w:w="146"/>
        <w:gridCol w:w="146"/>
        <w:gridCol w:w="88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 options outstanding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360,751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360,751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360,751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360,751</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Restricted stock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177,107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153,272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105,799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12. Income Taxes</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2026 and 2025 and during the six months ended June 30, 2026 and 2025, the Company recognized an income tax provision of $14.3</w:t>
      </w:r>
      <w:r>
        <w:rPr>
          <w:rFonts w:ascii="Times New Roman" w:hAnsi="Times New Roman"/>
          <w:color w:val="00002D"/>
          <w:sz w:val="20"/>
        </w:rPr>
        <w:t xml:space="preserve"> </w:t>
      </w:r>
      <w:r>
        <w:rPr>
          <w:rFonts w:ascii="Outfit;sans-serif" w:hAnsi="Outfit;sans-serif"/>
          <w:color w:val="00002D"/>
          <w:sz w:val="20"/>
        </w:rPr>
        <w:t>million, $14.1</w:t>
      </w:r>
      <w:r>
        <w:rPr>
          <w:rFonts w:ascii="Times New Roman" w:hAnsi="Times New Roman"/>
          <w:color w:val="00002D"/>
          <w:sz w:val="20"/>
        </w:rPr>
        <w:t xml:space="preserve"> </w:t>
      </w:r>
      <w:r>
        <w:rPr>
          <w:rFonts w:ascii="Outfit;sans-serif" w:hAnsi="Outfit;sans-serif"/>
          <w:color w:val="00002D"/>
          <w:sz w:val="20"/>
        </w:rPr>
        <w:t>million, $23.2</w:t>
      </w:r>
      <w:r>
        <w:rPr>
          <w:rFonts w:ascii="Times New Roman" w:hAnsi="Times New Roman"/>
          <w:color w:val="00002D"/>
          <w:sz w:val="20"/>
        </w:rPr>
        <w:t xml:space="preserve"> </w:t>
      </w:r>
      <w:r>
        <w:rPr>
          <w:rFonts w:ascii="Outfit;sans-serif" w:hAnsi="Outfit;sans-serif"/>
          <w:color w:val="00002D"/>
          <w:sz w:val="20"/>
        </w:rPr>
        <w:t>million, and $25.5</w:t>
      </w:r>
      <w:r>
        <w:rPr>
          <w:rFonts w:ascii="Times New Roman" w:hAnsi="Times New Roman"/>
          <w:color w:val="00002D"/>
          <w:sz w:val="20"/>
        </w:rPr>
        <w:t xml:space="preserve"> </w:t>
      </w:r>
      <w:r>
        <w:rPr>
          <w:rFonts w:ascii="Outfit;sans-serif" w:hAnsi="Outfit;sans-serif"/>
          <w:color w:val="00002D"/>
          <w:sz w:val="20"/>
        </w:rPr>
        <w:t>million, respectively, representing an effective tax rate of 22.5%, 22.4%, 22.2%, and 21.9%, respectively.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effective tax rates for the three months ended June 30, 2026 and 2025 and for the six months ended June 30, 2026 and 2025, were greater than the statutory tax rate of 21%, primarily due to state and local income taxes, partially offset by federal and state research and development tax credits and windfall tax benefits on share-based compensation.</w:t>
      </w:r>
    </w:p>
    <w:p>
      <w:pPr>
        <w:pStyle w:val="TextBody"/>
        <w:bidi w:val="0"/>
        <w:spacing w:before="240" w:after="283"/>
        <w:jc w:val="left"/>
        <w:rPr>
          <w:rFonts w:ascii="Times New Roman" w:hAnsi="Times New Roman"/>
          <w:sz w:val="20"/>
        </w:rPr>
      </w:pPr>
      <w:r>
        <w:rPr>
          <w:rFonts w:ascii="Outfit;sans-serif" w:hAnsi="Outfit;sans-serif"/>
          <w:b/>
          <w:color w:val="3465B0"/>
          <w:sz w:val="24"/>
        </w:rPr>
        <w:t>13. Segment and Geographic Information</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Beginning in the fourth quarter of 2025, in connection with the wind-down of CarOffer, the Company’s chief executive officer, who acts as the CODM, began to manage the business, make operating decisions, and evaluate operating performance based on consolidated results. Accordingly, the change led to revisions to the nature and substance of information regularly provided to and used by the CODM, and served to align the Company</w:t>
      </w:r>
      <w:r>
        <w:rPr>
          <w:rFonts w:ascii="Times New Roman" w:hAnsi="Times New Roman"/>
          <w:color w:val="00002D"/>
          <w:sz w:val="20"/>
        </w:rPr>
        <w:t>’</w:t>
      </w:r>
      <w:r>
        <w:rPr>
          <w:rFonts w:ascii="Outfit;sans-serif" w:hAnsi="Outfit;sans-serif"/>
          <w:color w:val="00002D"/>
          <w:sz w:val="20"/>
        </w:rPr>
        <w:t>s reported results with its ongoing growth strategy. As a result, beginning in the fourth quarter of 2025 the Company reports its financial results as a single reportable segment. Accordingly, the Company has recast prior year segment disclosures for comparability.</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Income Statements represent the Company’s segment presentation and are presented in the same manner as the CODM reviews the Company’s operating results in assessing performance and allocating resources. In evaluating performance, the CODM reviews revenue and income from operations. Income from operations is also used in the Company’s annual budgeting and monthly forecasting process and is compared against budgeted and forecasted amounts to evaluate performance and make decisions for the allocation of capital and other resources.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Company’s significant segment expenses consist of cost of revenue and sales and marketing expense. Significant segment expenses are presented in the Unaudited Condensed Consolidated Income Statements. The Company’s other segment items consist of product, technology, and development expense, general and administrative expense, impairment expense, and depreciation and amortization expense, which have been disclosed separately on the Unaudited Condensed Consolidated Income Statements to meet disclosure requirements.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Segment assets are reported on the Unaudited Condensed Consolidated Balance Sheets as total assets.</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2026 and 2025 and for the six months ended June 30, 2026 and 2025, revenue by geographical region was as follows:</w:t>
      </w:r>
      <w:r>
        <w:rPr>
          <w:rFonts w:ascii="Times New Roman" w:hAnsi="Times New Roman"/>
          <w:color w:val="00002D"/>
          <w:sz w:val="20"/>
        </w:rPr>
        <w:t xml:space="preserve"> </w:t>
      </w:r>
    </w:p>
    <w:p>
      <w:pPr>
        <w:pStyle w:val="TextBody"/>
        <w:bidi w:val="0"/>
        <w:jc w:val="both"/>
        <w:rPr/>
      </w:pPr>
      <w:r>
        <w:rPr/>
        <w:t> </w:t>
      </w:r>
    </w:p>
    <w:tbl>
      <w:tblPr>
        <w:tblW w:w="9242" w:type="dxa"/>
        <w:jc w:val="left"/>
        <w:tblInd w:w="0" w:type="dxa"/>
        <w:tblLayout w:type="fixed"/>
        <w:tblCellMar>
          <w:top w:w="28" w:type="dxa"/>
          <w:left w:w="28" w:type="dxa"/>
          <w:bottom w:w="28" w:type="dxa"/>
          <w:right w:w="28" w:type="dxa"/>
        </w:tblCellMar>
      </w:tblPr>
      <w:tblGrid>
        <w:gridCol w:w="3181"/>
        <w:gridCol w:w="146"/>
        <w:gridCol w:w="226"/>
        <w:gridCol w:w="886"/>
        <w:gridCol w:w="146"/>
        <w:gridCol w:w="146"/>
        <w:gridCol w:w="226"/>
        <w:gridCol w:w="886"/>
        <w:gridCol w:w="146"/>
        <w:gridCol w:w="146"/>
        <w:gridCol w:w="226"/>
        <w:gridCol w:w="886"/>
        <w:gridCol w:w="146"/>
        <w:gridCol w:w="146"/>
        <w:gridCol w:w="226"/>
        <w:gridCol w:w="886"/>
        <w:gridCol w:w="5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Revenue by Geographic Region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226,272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202,652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446,261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397,880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24,699</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19,346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48,265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36,353</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250,971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221,998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494,526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434,233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Outfit;sans-serif" w:hAnsi="Outfit;sans-serif"/>
          <w:b/>
          <w:color w:val="3465B0"/>
          <w:sz w:val="24"/>
        </w:rPr>
        <w:t>14. Subsequent Event</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August 6, 2026, the Company entered into the First Amendment (the “Amendment”) to the Credit Agreement (as previously amended, supplemented or otherwise modified, the “Existing Credit Agreement,” and as amended by the Amendment, the “Amended Credit Agreement”), by and among the Company, PNC Bank, National Association, as administrative agent and collateral agent, and an L/C Issuer (as defined in the Credit Agreement), and the other lenders, L/C Issuers and parties thereto from time to time.</w:t>
      </w:r>
    </w:p>
    <w:p>
      <w:pPr>
        <w:pStyle w:val="TextBody"/>
        <w:bidi w:val="0"/>
        <w:spacing w:before="240" w:after="283"/>
        <w:jc w:val="both"/>
        <w:rPr>
          <w:rFonts w:ascii="Times New Roman" w:hAnsi="Times New Roman"/>
          <w:sz w:val="20"/>
        </w:rPr>
      </w:pPr>
      <w:r>
        <w:rPr>
          <w:rFonts w:ascii="Outfit;sans-serif" w:hAnsi="Outfit;sans-serif"/>
          <w:color w:val="00002D"/>
          <w:sz w:val="20"/>
        </w:rPr>
        <w:t>The Amendment, among other things, (i) reduces the aggregate revolving commitments under the Credit Agreement from $400.0</w:t>
      </w:r>
      <w:r>
        <w:rPr>
          <w:rFonts w:ascii="Times New Roman" w:hAnsi="Times New Roman"/>
          <w:color w:val="00002D"/>
          <w:sz w:val="20"/>
        </w:rPr>
        <w:t xml:space="preserve"> </w:t>
      </w:r>
      <w:r>
        <w:rPr>
          <w:rFonts w:ascii="Outfit;sans-serif" w:hAnsi="Outfit;sans-serif"/>
          <w:color w:val="00002D"/>
          <w:sz w:val="20"/>
        </w:rPr>
        <w:t>million to $200.0</w:t>
      </w:r>
      <w:r>
        <w:rPr>
          <w:rFonts w:ascii="Times New Roman" w:hAnsi="Times New Roman"/>
          <w:color w:val="00002D"/>
          <w:sz w:val="20"/>
        </w:rPr>
        <w:t xml:space="preserve"> </w:t>
      </w:r>
      <w:r>
        <w:rPr>
          <w:rFonts w:ascii="Outfit;sans-serif" w:hAnsi="Outfit;sans-serif"/>
          <w:color w:val="00002D"/>
          <w:sz w:val="20"/>
        </w:rPr>
        <w:t>million (the “Amended Revolver”), (ii) extends the maturity date of the Amended Revolver from September 26, 2027</w:t>
      </w:r>
      <w:r>
        <w:rPr>
          <w:rFonts w:ascii="Times New Roman" w:hAnsi="Times New Roman"/>
          <w:color w:val="00002D"/>
          <w:sz w:val="20"/>
        </w:rPr>
        <w:t xml:space="preserve"> </w:t>
      </w:r>
      <w:r>
        <w:rPr>
          <w:rFonts w:ascii="Outfit;sans-serif" w:hAnsi="Outfit;sans-serif"/>
          <w:color w:val="00002D"/>
          <w:sz w:val="20"/>
        </w:rPr>
        <w:t>to August 6, 2031, (iii) increases the cap of the Cash-Capped Incremental Facility (as defined in the Amended Credit Agreement) to the greater of $380.0</w:t>
      </w:r>
      <w:r>
        <w:rPr>
          <w:rFonts w:ascii="Times New Roman" w:hAnsi="Times New Roman"/>
          <w:color w:val="00002D"/>
          <w:sz w:val="20"/>
        </w:rPr>
        <w:t xml:space="preserve"> </w:t>
      </w:r>
      <w:r>
        <w:rPr>
          <w:rFonts w:ascii="Outfit;sans-serif" w:hAnsi="Outfit;sans-serif"/>
          <w:color w:val="00002D"/>
          <w:sz w:val="20"/>
        </w:rPr>
        <w:t>million and 100% of the trailing Four Quarter Consolidated EBITDA, and (iv) adds a new incurrence-based covenant that prohibits the Company from incurring certain indebtedness unless, after giving pro forma effect thereto, the Consolidated Total Gross Leverage Ratio (as defined in the Amended Credit Agreement) does not exceed 6.25:1.00. Except as expressly modified by the Amendment, the material terms of the Existing Credit Agreement remain unchanged and continue in full force and effect.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foregoing description of the material terms of the Amendment does not purport to be complete and is subject to, and is qualified in its entirety by, reference to the full text of the Amendment, which was filed as Exhibit 10.1 to the Current Report on Form 8-K filed with the SEC on August 6, 2026.</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1" w:name="i_item2"/>
      <w:bookmarkEnd w:id="11"/>
      <w:r>
        <w:rPr>
          <w:rFonts w:ascii="Outfit;sans-serif" w:hAnsi="Outfit;sans-serif"/>
          <w:b/>
          <w:color w:val="3465B0"/>
          <w:sz w:val="40"/>
        </w:rPr>
        <w:t xml:space="preserve">Item 2. Management’s Discussion and Analysis of </w:t>
      </w:r>
      <w:bookmarkStart w:id="12" w:name="item_2_managements_discussion_analysis_f"/>
      <w:bookmarkEnd w:id="12"/>
      <w:r>
        <w:rPr>
          <w:rFonts w:ascii="Outfit;sans-serif" w:hAnsi="Outfit;sans-serif"/>
          <w:b/>
          <w:color w:val="3465B0"/>
          <w:sz w:val="40"/>
        </w:rPr>
        <w:t>Financial Condition and Results of Operations.</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You should read the following discussion and analysis of our financial condition and results of operations together with our unaudited interim condensed consolidated financial statements, or the Unaudited Condensed Consolidated Financial Statements, and the related notes thereto, included elsewhere in this Quarterly Report, and our consolidated financial statements and the related notes and other financial information included in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For a discussion of important factors that could cause actual results to differ materially from the results described in or implied by the forward-looking statements contained in the following discussion and analysis you should review our Annual Report, including those cautionary statements set forth under Part I, Item 1A “Risk Factors.” We qualify all of our forward-looking statements by such cautionary statements.</w:t>
      </w:r>
    </w:p>
    <w:p>
      <w:pPr>
        <w:pStyle w:val="TextBody"/>
        <w:bidi w:val="0"/>
        <w:spacing w:before="240" w:after="283"/>
        <w:jc w:val="both"/>
        <w:rPr>
          <w:rFonts w:ascii="Times New Roman" w:hAnsi="Times New Roman"/>
          <w:sz w:val="20"/>
        </w:rPr>
      </w:pPr>
      <w:r>
        <w:rPr>
          <w:rFonts w:ascii="Outfit;sans-serif" w:hAnsi="Outfit;sans-serif"/>
          <w:i/>
          <w:color w:val="00002D"/>
          <w:sz w:val="20"/>
        </w:rPr>
        <w:t>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U.S. generally accepted accounting principles, or GAAP.</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i/>
          <w:color w:val="000000"/>
          <w:sz w:val="20"/>
        </w:rPr>
        <w:t>The wind-down of CarOffer, LLC, or CarOffer, was completed and the business was considered abandoned for accounting purposes as of December 31, 2025. For further information on the wind-down of CarOffer and related impact on financial results, refer to Discontinued Operations 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Outfit;sans-serif" w:hAnsi="Outfit;sans-serif"/>
          <w:i/>
          <w:color w:val="000000"/>
          <w:sz w:val="20"/>
        </w:rPr>
        <w:t>This section of this Quarterly Report discusses 2026 and 2025 items and period-to-period comparisons between 2026 and 2025. The perio</w:t>
      </w:r>
      <w:r>
        <w:rPr>
          <w:rFonts w:ascii="Outfit;sans-serif" w:hAnsi="Outfit;sans-serif"/>
          <w:i/>
          <w:color w:val="00002D"/>
          <w:sz w:val="20"/>
        </w:rPr>
        <w:t>d</w:t>
        <w:noBreakHyphen/>
        <w:t>to</w:t>
        <w:noBreakHyphen/>
        <w:t>period comparison of financial results is not necessarily indicative of future results.</w:t>
      </w:r>
    </w:p>
    <w:p>
      <w:pPr>
        <w:pStyle w:val="TextBody"/>
        <w:bidi w:val="0"/>
        <w:spacing w:before="240" w:after="283"/>
        <w:jc w:val="left"/>
        <w:rPr>
          <w:rFonts w:ascii="Times New Roman" w:hAnsi="Times New Roman"/>
          <w:sz w:val="20"/>
        </w:rPr>
      </w:pPr>
      <w:r>
        <w:rPr>
          <w:rFonts w:ascii="Outfit;sans-serif" w:hAnsi="Outfit;sans-serif"/>
          <w:b/>
          <w:color w:val="00002D"/>
          <w:sz w:val="32"/>
        </w:rPr>
        <w:t>Company Overview</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CarGurus is a multinational automotive platform helping consumers and dealers confidently buy and sell vehicles. Founded in 2006 with a mission to bring more trust and transparency to car shopping, CarGurus is the No. 1 visited automotive shopping site in the U.S.</w:t>
      </w:r>
      <w:r>
        <w:rPr>
          <w:rFonts w:ascii="Outfit;sans-serif" w:hAnsi="Outfit;sans-serif"/>
          <w:color w:val="00002D"/>
          <w:sz w:val="13"/>
        </w:rPr>
        <w:t>1</w:t>
      </w:r>
      <w:r>
        <w:rPr>
          <w:rFonts w:ascii="Times New Roman" w:hAnsi="Times New Roman"/>
          <w:color w:val="00002D"/>
          <w:sz w:val="20"/>
        </w:rPr>
        <w:t xml:space="preserve"> </w:t>
      </w:r>
      <w:r>
        <w:rPr>
          <w:rFonts w:ascii="Outfit;sans-serif" w:hAnsi="Outfit;sans-serif"/>
          <w:color w:val="00002D"/>
          <w:sz w:val="20"/>
        </w:rPr>
        <w:t>with the largest selection of inventory and network of dealers</w:t>
      </w:r>
      <w:r>
        <w:rPr>
          <w:rFonts w:ascii="Outfit;sans-serif" w:hAnsi="Outfit;sans-serif"/>
          <w:color w:val="00002D"/>
          <w:sz w:val="13"/>
        </w:rPr>
        <w:t>2</w:t>
      </w:r>
      <w:r>
        <w:rPr>
          <w:rFonts w:ascii="Outfit;sans-serif" w:hAnsi="Outfit;sans-serif"/>
          <w:color w:val="00002D"/>
          <w:sz w:val="20"/>
        </w:rPr>
        <w:t>. CarGurus’ selection, trusted automotive insights, and data-driven products and solutions support each shopper’s journey – from online research and shopping to in-dealership decisions – to empower them at every step. CarGurus provides dealers a personalized, predictive intelligence platform with software solutions that helps them run their businesses more efficiently and profitably at all stages of inventory acquisition and pricing, marketing, and conversion to sale.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subsidiaries in the U.S., Canada, Ireland, and the U.K. and we operate the following marketplaces:</w:t>
      </w:r>
    </w:p>
    <w:p>
      <w:pPr>
        <w:pStyle w:val="TextBody"/>
        <w:bidi w:val="0"/>
        <w:spacing w:before="240" w:after="283"/>
        <w:jc w:val="both"/>
        <w:rPr/>
      </w:pPr>
      <w:r>
        <w:rPr/>
        <w:t> </w:t>
      </w:r>
    </w:p>
    <w:tbl>
      <w:tblPr>
        <w:tblW w:w="6623" w:type="dxa"/>
        <w:jc w:val="left"/>
        <w:tblInd w:w="0" w:type="dxa"/>
        <w:tblLayout w:type="fixed"/>
        <w:tblCellMar>
          <w:top w:w="28" w:type="dxa"/>
          <w:left w:w="28" w:type="dxa"/>
          <w:bottom w:w="28" w:type="dxa"/>
          <w:right w:w="28" w:type="dxa"/>
        </w:tblCellMar>
      </w:tblPr>
      <w:tblGrid>
        <w:gridCol w:w="3181"/>
        <w:gridCol w:w="1751"/>
        <w:gridCol w:w="1691"/>
      </w:tblGrid>
      <w:tr>
        <w:trPr/>
        <w:tc>
          <w:tcPr>
            <w:tcW w:w="318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U.S., U.K., and Canada</w:t>
            </w:r>
          </w:p>
        </w:tc>
        <w:tc>
          <w:tcPr>
            <w:tcW w:w="175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U.S.</w:t>
            </w:r>
          </w:p>
        </w:tc>
        <w:tc>
          <w:tcPr>
            <w:tcW w:w="169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U.K.</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104900" cy="180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4900" cy="180975"/>
                          </a:xfrm>
                          <a:prstGeom prst="rect">
                            <a:avLst/>
                          </a:prstGeom>
                        </pic:spPr>
                      </pic:pic>
                    </a:graphicData>
                  </a:graphic>
                </wp:inline>
              </w:drawing>
            </w:r>
          </w:p>
        </w:tc>
        <w:tc>
          <w:tcPr>
            <w:tcW w:w="175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57275"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57275" cy="209550"/>
                          </a:xfrm>
                          <a:prstGeom prst="rect">
                            <a:avLst/>
                          </a:prstGeom>
                        </pic:spPr>
                      </pic:pic>
                    </a:graphicData>
                  </a:graphic>
                </wp:inline>
              </w:drawing>
            </w:r>
          </w:p>
        </w:tc>
        <w:tc>
          <w:tcPr>
            <w:tcW w:w="169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90600" cy="13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90600" cy="133350"/>
                          </a:xfrm>
                          <a:prstGeom prst="rect">
                            <a:avLst/>
                          </a:prstGeom>
                        </pic:spPr>
                      </pic:pic>
                    </a:graphicData>
                  </a:graphic>
                </wp:inline>
              </w:drawing>
            </w:r>
          </w:p>
        </w:tc>
      </w:tr>
    </w:tbl>
    <w:p>
      <w:pPr>
        <w:pStyle w:val="TextBody"/>
        <w:bidi w:val="0"/>
        <w:jc w:val="right"/>
        <w:rPr>
          <w:rFonts w:ascii="Times New Roman" w:hAnsi="Times New Roman"/>
          <w:sz w:val="20"/>
        </w:rPr>
      </w:pPr>
      <w:r>
        <w:rPr>
          <w:rFonts w:ascii="Outfit;sans-serif" w:hAnsi="Outfit;sans-serif"/>
          <w:i/>
          <w:color w:val="00002D"/>
          <w:sz w:val="8"/>
        </w:rPr>
        <w:t xml:space="preserve">1 </w:t>
      </w:r>
      <w:r>
        <w:rPr>
          <w:rFonts w:ascii="Outfit;sans-serif" w:hAnsi="Outfit;sans-serif"/>
          <w:i/>
          <w:color w:val="00002D"/>
          <w:sz w:val="12"/>
        </w:rPr>
        <w:t>Similarweb: Traffic Insights (Cars.com, Autotrader.com, TrueCar.com, CARFAX.com Listings (defined as CARFAX.com Total Visits minus Vehicle History Reports)), Q2 2026, U.S.</w:t>
      </w:r>
    </w:p>
    <w:p>
      <w:pPr>
        <w:pStyle w:val="TextBody"/>
        <w:bidi w:val="0"/>
        <w:jc w:val="right"/>
        <w:rPr>
          <w:rFonts w:ascii="Times New Roman" w:hAnsi="Times New Roman"/>
          <w:sz w:val="20"/>
        </w:rPr>
      </w:pPr>
      <w:r>
        <w:rPr>
          <w:rFonts w:ascii="Outfit;sans-serif" w:hAnsi="Outfit;sans-serif"/>
          <w:i/>
          <w:color w:val="00002D"/>
          <w:sz w:val="8"/>
        </w:rPr>
        <w:t>2</w:t>
      </w:r>
      <w:r>
        <w:rPr>
          <w:rFonts w:ascii="Times New Roman" w:hAnsi="Times New Roman"/>
          <w:color w:val="00002D"/>
          <w:sz w:val="20"/>
        </w:rPr>
        <w:t xml:space="preserve"> </w:t>
      </w:r>
      <w:r>
        <w:rPr>
          <w:rFonts w:ascii="Outfit;sans-serif" w:hAnsi="Outfit;sans-serif"/>
          <w:i/>
          <w:color w:val="00002D"/>
          <w:sz w:val="12"/>
        </w:rPr>
        <w:t>Compared to Autotrader.com, Cars.com, TrueCar.com, and CARFAX.com (Joreca as of June 30, 2026)</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Discontinued Operations</w:t>
      </w:r>
    </w:p>
    <w:p>
      <w:pPr>
        <w:pStyle w:val="TextBody"/>
        <w:bidi w:val="0"/>
        <w:spacing w:before="240" w:after="283"/>
        <w:jc w:val="both"/>
        <w:rPr>
          <w:rFonts w:ascii="Times New Roman" w:hAnsi="Times New Roman"/>
          <w:sz w:val="20"/>
        </w:rPr>
      </w:pPr>
      <w:r>
        <w:rPr>
          <w:rFonts w:ascii="Outfit;sans-serif" w:hAnsi="Outfit;sans-serif"/>
          <w:color w:val="00002D"/>
          <w:sz w:val="20"/>
        </w:rPr>
        <w:t>On August 6, 2025, our Board of Directors determined, after considering all reasonably available options and a broader strategic reassessment, that it was in the best interests of our stockholders to wind down CarOffer.</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The wind-down of CarOffer was completed and the business was considered abandoned for accounting purposes as of December 31, 2025. </w:t>
      </w:r>
      <w:r>
        <w:rPr>
          <w:rFonts w:ascii="Outfit;sans-serif" w:hAnsi="Outfit;sans-serif"/>
          <w:color w:val="000000"/>
          <w:sz w:val="20"/>
        </w:rPr>
        <w:t>We have presented the financial results of CarOffer as discontinued operations in the Unaudited Condensed Consolidated Financial Statements. No assets or liabilities were classified as discontinued operations as of June 30, 2026 or December 31, 2025. No results of operations were classified as discontinued operations for the three and six months ended June 30, 2026. The Unaudited Condensed Consolidated Income Statement for the three and six months ended June 30, 2025, was derived from the Unaudited Condensed Consolidated Income Statement of CarGurus, Inc. as of that date, adjusted for the reclassification of discontinued operations. The Unaudited Condensed Consolidated Statement of Comprehensive Income, Unaudited Condensed Consolidated Statement of Stockholders’ Equity, and the Unaudited Condensed Consolidated Statement of Cash Flows as of June 30, 2025, related to discontinued operations have not been separately reclassified and are included within each for the period referenced.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a result of the wind-down, we incurred total expenditures of $13.3 million, of which all cash expenditures were incurred during the second half of 2025 and were all paid as of December 31, 2025.</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further information, refer to Note 3 of the Unaudited Condensed Consolidated Financial Statements included elsewhere in this Quarterly Report.</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Reportable Segments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Beginning in the fourth quarter of 2025, in connection with the wind-down of CarOffer, our chief executive officer, who acts as the Chief Operating Decision Maker, or CODM, began to manage our business, make operating decisions, and evaluate operating performance based on consolidated results. Accordingly, the change led to revisions to the nature and substance of information regularly provided to and used by the CODM, and served to align our reported results with our ongoing growth strategy. As a result, beginning in the fourth quarter of 2025 we report our financial results as a single reportable segment. For further segment reporting and geographic information, refer to Note 13 of the Unaudited Condensed Consolidated Financial Statements included elsewhere in this Quarterly Report.</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Revenue and Financial Overview</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derive our revenue primarily from (i) dealer subscription fees, (ii) advertising from auto manufacturers and other brand advertisers, and (iii) partnerships with financing services companies.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2026, we generated revenue of $251.0 million, a 13% increase from $222.0 million of revenue for the three months ended June 30, 2025. For the three months ended June 30, 2026, we generated net income from continuing operations of $49.2 million and Adjusted EBITDA from continuing operations, a non-GAAP financial measure, of $84.7 million, compared to net income from continuing operations of $49.0 million and adjusted EBITDA from continuing operations of $79.4 million for the three months ended June 30, 2025.</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six months ended June 30, 2026, we generated revenue of $494.5 million, a 14% increase from $434.2 million of revenue for the six months ended June 30, 2025. For the six months ended June 30, 2026, we generated net income from continuing operations of $81.4 million and Adjusted EBITDA from continuing operations, a non-GAAP financial measure, of $165.0 million, compared to net income from continuing operations of $91.1 million and Adjusted EBITDA from continuing operations of $148.1 million for the six months ended June 30, 2025.</w:t>
      </w:r>
    </w:p>
    <w:p>
      <w:pPr>
        <w:pStyle w:val="TextBody"/>
        <w:bidi w:val="0"/>
        <w:spacing w:before="240" w:after="283"/>
        <w:jc w:val="left"/>
        <w:rPr>
          <w:rFonts w:ascii="Outfit;sans-serif" w:hAnsi="Outfit;sans-serif"/>
          <w:color w:val="00002D"/>
          <w:sz w:val="20"/>
        </w:rPr>
      </w:pPr>
      <w:r>
        <w:rPr>
          <w:rFonts w:ascii="Outfit;sans-serif" w:hAnsi="Outfit;sans-serif"/>
          <w:color w:val="00002D"/>
          <w:sz w:val="20"/>
        </w:rPr>
        <w:t>See below for more information regarding our use and reconciliation of Adjusted EBITDA from continuing operations and other non-GAAP financial measures.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Key Business Metrics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as applicable, for the U.S. and International geographic regions. The International region derives revenue from customers outside of the U.S. International markets perform differently from the U.S. market due to a variety of factors, including our operating history in each market, our rate of investment, market size, market maturity, competition, and other dynamics unique to each country.</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Monthly Unique Users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each of our websites, we define a monthly unique user as an individual who has visited any such website and taken a Visitor Action (as defined below) within a calendar month, based on data as measured by Google Analytics 4, or GA4. We calculate average monthly unique users as the sum of the monthly unique users of each of our websites in a defined period, divided by the number of months in that period. We count a unique user the first time a computer or mobile device with a unique device identifier accesses any of our websites or application during a calendar month and takes an action on such website or in such application, such as performing a search, visiting vehicle detail pages, and connecting with a dealer, which we refer to as a Visitor Action. If an individual accesses a website or application using a different device within a given month, the first Visitor Action taken by each such device is counted as a separate unique user. If an individual uses multiple browsers on a single device and/or clears their cookies and returns to our website or application and takes a Visitor Action within a calendar month, each such Visitor Action is counted as a separate unique user. We eliminate any duplicate unique users that may arise when users visit a webview within our native application.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are subject to evolving privacy laws governing cookies and tracking technologies. For example, in the U.K. informed consent is required for the placement of certain cookies or similar tracking technologies on an individual’s device. Consent is tightly defined and includes a prohibition on pre-checked consents and a requirement to obtain separate consents for each type of cookie or similar technology. As a result of privacy regulations that require user consent for tracking technologies, such as those within the U.K., our ability to identify and measure our average monthly unique users is more limited, which could result in an undercount of actual average monthly unique users. Conversely, interactions with our websites generated by bots and other automated mechanisms may inflate GA4 data, which could lead to an overcount of average monthly unique users.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revenue depends, in part, on our ability to provide dealers with connections to our users and exposure to our audience. We define connections as interactions between consumers and dealers on our marketplace through phone calls, email, managed text and chat, and clicks to access the dealer’s website or map directions to the dealership.</w:t>
      </w:r>
    </w:p>
    <w:p>
      <w:pPr>
        <w:pStyle w:val="TextBody"/>
        <w:bidi w:val="0"/>
        <w:jc w:val="both"/>
        <w:rPr/>
      </w:pPr>
      <w:r>
        <w:rPr/>
        <w:t> </w:t>
      </w:r>
    </w:p>
    <w:tbl>
      <w:tblPr>
        <w:tblW w:w="8062" w:type="dxa"/>
        <w:jc w:val="left"/>
        <w:tblInd w:w="0" w:type="dxa"/>
        <w:tblLayout w:type="fixed"/>
        <w:tblCellMar>
          <w:top w:w="28" w:type="dxa"/>
          <w:left w:w="28" w:type="dxa"/>
          <w:bottom w:w="28" w:type="dxa"/>
          <w:right w:w="28" w:type="dxa"/>
        </w:tblCellMar>
      </w:tblPr>
      <w:tblGrid>
        <w:gridCol w:w="3001"/>
        <w:gridCol w:w="146"/>
        <w:gridCol w:w="146"/>
        <w:gridCol w:w="766"/>
        <w:gridCol w:w="146"/>
        <w:gridCol w:w="146"/>
        <w:gridCol w:w="146"/>
        <w:gridCol w:w="766"/>
        <w:gridCol w:w="146"/>
        <w:gridCol w:w="146"/>
        <w:gridCol w:w="146"/>
        <w:gridCol w:w="766"/>
        <w:gridCol w:w="146"/>
        <w:gridCol w:w="146"/>
        <w:gridCol w:w="146"/>
        <w:gridCol w:w="766"/>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Average Monthly Unique Users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 xml:space="preserve">2026 </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 xml:space="preserve">2026 </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37,849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34,057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37,216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34,535</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46,771</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44,294</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45,994</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44,969</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Outfit;sans-serif" w:hAnsi="Outfit;sans-serif"/>
          <w:color w:val="00002D"/>
          <w:sz w:val="16"/>
        </w:rPr>
      </w:pPr>
      <w:r>
        <w:rPr>
          <w:rFonts w:ascii="Outfit;sans-serif" w:hAnsi="Outfit;sans-serif"/>
          <w:color w:val="00002D"/>
          <w:sz w:val="16"/>
        </w:rPr>
        <w:t>(1)</w:t>
      </w:r>
    </w:p>
    <w:p>
      <w:pPr>
        <w:pStyle w:val="TextBody"/>
        <w:bidi w:val="0"/>
        <w:spacing w:before="240" w:after="240"/>
        <w:jc w:val="both"/>
        <w:rPr>
          <w:rFonts w:ascii="Outfit;sans-serif" w:hAnsi="Outfit;sans-serif"/>
          <w:color w:val="00002D"/>
          <w:sz w:val="16"/>
        </w:rPr>
      </w:pPr>
      <w:r>
        <w:rPr>
          <w:rFonts w:ascii="Outfit;sans-serif" w:hAnsi="Outfit;sans-serif"/>
          <w:color w:val="00002D"/>
          <w:sz w:val="16"/>
        </w:rPr>
        <w:t>Beginning January 1, 2026, in compliance with U.K. privacy laws, all of our U.K. based websites get consent from users to collect their information via cookies and other technologies to track our average monthly unique users.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3465B0"/>
          <w:sz w:val="24"/>
        </w:rPr>
        <w:t>Monthly Sessions</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monthly sessions as the number of distinct visits to our websites that include a Visitor Action that take place each month within a given time frame, as measured and defined by GA4. We calculate average monthly sessions as the sum of the monthly sessions in a defined period, divided by the number of months in that period. A session is defined as beginning with the first Visitor Action from a computer or mobile device and ending at the earliest of when a user closes their browser window or after 30 minutes of inactivity. We eliminate any duplicate monthly sessions that may arise when users visit a webview within our native application.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are subject to evolving privacy laws governing cookies and tracking technologies. For example, in the U.K. informed consent is required for the placement of certain cookies or similar tracking technologies on an individual’s device. Consent is tightly defined and includes a prohibition on pre-checked consents and a requirement to obtain separate consents for each type of cookie or similar technology. As a result of privacy regulations that require user consent for tracking technologies, such as those within the U.K., our ability to identify and measure our average monthly sessions is more limited, which could result in an undercount of actual average monthly sessions. Conversely, interactions with our websites generated by bots and other automated mechanisms may inflate GA4 data, which could lead to an overcount of average monthly sessions.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pStyle w:val="TextBody"/>
        <w:bidi w:val="0"/>
        <w:jc w:val="both"/>
        <w:rPr/>
      </w:pPr>
      <w:r>
        <w:rPr/>
        <w:t> </w:t>
      </w:r>
    </w:p>
    <w:tbl>
      <w:tblPr>
        <w:tblW w:w="8137" w:type="dxa"/>
        <w:jc w:val="left"/>
        <w:tblInd w:w="0" w:type="dxa"/>
        <w:tblLayout w:type="fixed"/>
        <w:tblCellMar>
          <w:top w:w="28" w:type="dxa"/>
          <w:left w:w="28" w:type="dxa"/>
          <w:bottom w:w="28" w:type="dxa"/>
          <w:right w:w="28" w:type="dxa"/>
        </w:tblCellMar>
      </w:tblPr>
      <w:tblGrid>
        <w:gridCol w:w="2596"/>
        <w:gridCol w:w="146"/>
        <w:gridCol w:w="146"/>
        <w:gridCol w:w="886"/>
        <w:gridCol w:w="146"/>
        <w:gridCol w:w="146"/>
        <w:gridCol w:w="146"/>
        <w:gridCol w:w="886"/>
        <w:gridCol w:w="146"/>
        <w:gridCol w:w="146"/>
        <w:gridCol w:w="146"/>
        <w:gridCol w:w="886"/>
        <w:gridCol w:w="146"/>
        <w:gridCol w:w="146"/>
        <w:gridCol w:w="146"/>
        <w:gridCol w:w="886"/>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Average Monthly Sessions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 xml:space="preserve">2026 </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 xml:space="preserve">2026 </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90,763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84,601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90,702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85,159</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21,760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110,220</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105,895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109,780</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106,919</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Outfit;sans-serif" w:hAnsi="Outfit;sans-serif"/>
          <w:color w:val="00002D"/>
          <w:sz w:val="16"/>
        </w:rPr>
      </w:pPr>
      <w:r>
        <w:rPr>
          <w:rFonts w:ascii="Outfit;sans-serif" w:hAnsi="Outfit;sans-serif"/>
          <w:color w:val="00002D"/>
          <w:sz w:val="16"/>
        </w:rPr>
        <w:t>(1)</w:t>
      </w:r>
    </w:p>
    <w:p>
      <w:pPr>
        <w:pStyle w:val="TextBody"/>
        <w:bidi w:val="0"/>
        <w:spacing w:before="240" w:after="240"/>
        <w:jc w:val="both"/>
        <w:rPr>
          <w:rFonts w:ascii="Outfit;sans-serif" w:hAnsi="Outfit;sans-serif"/>
          <w:color w:val="00002D"/>
          <w:sz w:val="16"/>
        </w:rPr>
      </w:pPr>
      <w:r>
        <w:rPr>
          <w:rFonts w:ascii="Outfit;sans-serif" w:hAnsi="Outfit;sans-serif"/>
          <w:color w:val="00002D"/>
          <w:sz w:val="16"/>
        </w:rPr>
        <w:t>Beginning January 1, 2026, in compliance with U.K. privacy laws, all of our U.K. based websites get consent from users to collect their information via cookies and other technologies to track our average monthly sessions.</w:t>
      </w:r>
    </w:p>
    <w:p>
      <w:pPr>
        <w:pStyle w:val="TextBody"/>
        <w:bidi w:val="0"/>
        <w:jc w:val="both"/>
        <w:rPr>
          <w:rFonts w:ascii="Times New Roman" w:hAnsi="Times New Roman"/>
          <w:sz w:val="20"/>
        </w:rPr>
      </w:pPr>
      <w:r>
        <w:rPr>
          <w:rFonts w:ascii="Outfit;sans-serif" w:hAnsi="Outfit;sans-serif"/>
          <w:b/>
          <w:color w:val="3465B0"/>
          <w:sz w:val="24"/>
        </w:rPr>
        <w:t>Number of Paying Dealers</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a paying dealer as a dealer account with an active, paid subscription at the end of a defined period. The number of paying dealers we have is important to us and we believe it provides valuable information to investors because it is indicative of the value proposition of our products, as well as our sales and marketing success and opportunity, including our ability to retain paying dealers and develop new dealer relationships.</w:t>
      </w:r>
    </w:p>
    <w:p>
      <w:pPr>
        <w:pStyle w:val="TextBody"/>
        <w:bidi w:val="0"/>
        <w:jc w:val="both"/>
        <w:rPr/>
      </w:pPr>
      <w:r>
        <w:rPr/>
        <w:t> </w:t>
      </w:r>
    </w:p>
    <w:tbl>
      <w:tblPr>
        <w:tblW w:w="5189" w:type="dxa"/>
        <w:jc w:val="left"/>
        <w:tblInd w:w="0" w:type="dxa"/>
        <w:tblLayout w:type="fixed"/>
        <w:tblCellMar>
          <w:top w:w="28" w:type="dxa"/>
          <w:left w:w="28" w:type="dxa"/>
          <w:bottom w:w="28" w:type="dxa"/>
          <w:right w:w="28" w:type="dxa"/>
        </w:tblCellMar>
      </w:tblPr>
      <w:tblGrid>
        <w:gridCol w:w="2536"/>
        <w:gridCol w:w="146"/>
        <w:gridCol w:w="146"/>
        <w:gridCol w:w="766"/>
        <w:gridCol w:w="146"/>
        <w:gridCol w:w="146"/>
        <w:gridCol w:w="146"/>
        <w:gridCol w:w="766"/>
        <w:gridCol w:w="3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Number of Paying Dealers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26,151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25,478</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34,629</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33,095</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3465B0"/>
          <w:sz w:val="24"/>
        </w:rPr>
        <w:t>Quarterly Average Revenue per Subscribing Dealer (QARSD)</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QARSD, which is measured at the end of a fiscal quarter, as the revenue primarily from subscription products during that trailing quarter divided by the average number of paying dealers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pStyle w:val="TextBody"/>
        <w:bidi w:val="0"/>
        <w:jc w:val="both"/>
        <w:rPr/>
      </w:pPr>
      <w:r>
        <w:rPr/>
        <w:t> </w:t>
      </w:r>
    </w:p>
    <w:tbl>
      <w:tblPr>
        <w:tblW w:w="8046" w:type="dxa"/>
        <w:jc w:val="left"/>
        <w:tblInd w:w="0" w:type="dxa"/>
        <w:tblLayout w:type="fixed"/>
        <w:tblCellMar>
          <w:top w:w="28" w:type="dxa"/>
          <w:left w:w="28" w:type="dxa"/>
          <w:bottom w:w="28" w:type="dxa"/>
          <w:right w:w="28" w:type="dxa"/>
        </w:tblCellMar>
      </w:tblPr>
      <w:tblGrid>
        <w:gridCol w:w="5671"/>
        <w:gridCol w:w="146"/>
        <w:gridCol w:w="226"/>
        <w:gridCol w:w="647"/>
        <w:gridCol w:w="146"/>
        <w:gridCol w:w="146"/>
        <w:gridCol w:w="226"/>
        <w:gridCol w:w="647"/>
        <w:gridCol w:w="1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Quarterly Average Revenue per Subscribing Dealer (QARSD)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8,134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7,533</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6,771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6,349</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Adjusted EBITDA from Continuing Operations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provide investors with additional information regarding our financial results, we have presented within this Quarterly Report Adjusted EBITDA from continuing operations, which is a non</w:t>
        <w:noBreakHyphen/>
        <w:t>GAAP financial measure. This non</w:t>
        <w:noBreakHyphen/>
        <w:t>GAAP financial measure is not based on any standardized methodology prescribed by GAAP, and is not necessarily comparable to any similarly titled measures presented by other companies.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Adjusted EBITDA from continuing operations as net income from continuing operations, adjusted to exclude: depreciation and amortization, stock</w:t>
        <w:noBreakHyphen/>
        <w:t>based compensation expense, transaction-related expenses, impairments, other income, net, and provision for income taxes.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use Adjusted EBITDA from continuing operations within this Quarterly Report because it is a key measure used by our management and Board of Directors to understand and evaluate our operating performance, generate future operating plans, and make strategic decisions regarding the allocation of capital. We believe Adjusted EBITDA from continuing operations helps identify underlying trends in our business that could otherwise be masked by the effect of the expenses that we exclude. Accordingly, we believe that Adjusted EBITDA from continuing operations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noBreakHyphen/>
        <w:t>making.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Adjusted EBITDA from continuing operations is not prepared in accordance with GAAP, and should not be considered in isolation of, or as an alternative to, measures prepared in accordance with GAAP. There are a number of limitations related to the use of Adjusted EBITDA from continuing operations rather than net income from continuing operations, which is the most directly comparable GAAP equivalent. Some of these limitations are that Adjusted EBITDA from continuing operations excludes:</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depreciation and amortization expense and, although these are non</w:t>
        <w:noBreakHyphen/>
        <w:t>cash expenses, the assets being depreciated may have to be replaced in the future;</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stock</w:t>
        <w:noBreakHyphen/>
        <w:t>based compensation expense, which will be, for the foreseeable future, a significant recurring expense for our business and an important part of our compensation strategy;</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transaction-related expenses incurred by us during a reporting period, which are inclusive of certain transaction and integration costs associated with acquisitions that have been completed as of the filing date of our annual or quarterly report (as applicable) relating to such period;</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impairments, which include non-cash one-time expenses associated with the impairments of operating right of use assets and certain other assets, which may have to be replaced in the future;</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other income, net, which consists primarily of interest income earned on our cash and cash equivalents, and foreign exchange gains and losses; and</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provision for income taxes.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addition, other companies, including companies in our industry, may calculate Adjusted EBITDA from continuing operations differently, which reduces its usefulness as a comparative measure.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Because of these limitations, we consider, and you should consider, Adjusted EBITDA from continuing operations together with other operating and financial performance measures presented in accordance with GAAP.</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2026 and 2025 and for the six months ended June 30, 2026 and 2025, the following table presents a reconciliation of Adjusted EBITDA from continuing operations to net income from continuing operations, the most directly comparable measure calculated in accordance with GAAP, for each of the periods presented.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44"/>
        <w:gridCol w:w="146"/>
        <w:gridCol w:w="226"/>
        <w:gridCol w:w="766"/>
        <w:gridCol w:w="181"/>
        <w:gridCol w:w="146"/>
        <w:gridCol w:w="226"/>
        <w:gridCol w:w="766"/>
        <w:gridCol w:w="181"/>
        <w:gridCol w:w="146"/>
        <w:gridCol w:w="226"/>
        <w:gridCol w:w="886"/>
        <w:gridCol w:w="181"/>
        <w:gridCol w:w="146"/>
        <w:gridCol w:w="226"/>
        <w:gridCol w:w="886"/>
        <w:gridCol w:w="226"/>
      </w:tblGrid>
      <w:tr>
        <w:trPr/>
        <w:tc>
          <w:tcPr>
            <w:tcW w:w="4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Reconciliation of Adjusted EBITDA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48,989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81,421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91,063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7,929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5,786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15,099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11,465</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26,630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Transaction-related expenses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20,161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(1,573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(5,360</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14,124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23,213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25,500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Adjusted EBITDA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84,719</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79,356</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164,951</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148,074</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00002D"/>
          <w:sz w:val="32"/>
        </w:rPr>
        <w:t>Components of Unaudited Condensed Consolidated Income Statements</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derive our revenue primarily from (i) dealer subscription fees, (ii) advertising from auto manufacturers and other brand advertisers, and (iii) partnerships with financing services companies.</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Dealer Subscription Revenue</w:t>
      </w:r>
    </w:p>
    <w:p>
      <w:pPr>
        <w:pStyle w:val="TextBody"/>
        <w:bidi w:val="0"/>
        <w:spacing w:before="240" w:after="283"/>
        <w:jc w:val="both"/>
        <w:rPr>
          <w:rFonts w:ascii="Times New Roman" w:hAnsi="Times New Roman"/>
          <w:sz w:val="20"/>
        </w:rPr>
      </w:pPr>
      <w:r>
        <w:rPr>
          <w:rFonts w:ascii="Outfit;sans-serif" w:hAnsi="Outfit;sans-serif"/>
          <w:color w:val="00002D"/>
          <w:sz w:val="20"/>
        </w:rPr>
        <w:t>We offer multiple types of Listings packages to our dealers for our CarGurus platform (availability varies on our marketplaces): Restricted Listings, which is free; and various levels of Listings packages, each of which require a paid subscription under a monthly, quarterly, semiannual, or annual subscription basis.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dealer Listings subscription packages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the platform access to our Dealer Dashboard, which includes a performance summary, dealer insights features, and user review management platform. Only dealers subscribing to a paid Listings package receive access to certain additional features.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dealers subscribing to certain of our Listings packages additional exposure and lead enhancements, such as Audience Targeting. Through Audience Targeting, dealers can buy advertising that appears on other sites on the internet and/or on high-converting social media platforms. Such advertisements can be targeted by the user’s geography, search history, CarGurus website activity, and a number of other factors, allowing dealers to increase their visibility with in-market consumers and drive qualified traffic for dealers.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dealers subscribing to certain of our Listings packages other subscription products such as Digital Deal, which allows shoppers to complete much of the vehicle-purchase process online through the Dealers’ Listings page and gives dealers higher quality leads through upfront consumer-provided information.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dealers subscribing to certain of our Listings packages other subscription products such as Sell My Car, which allows dealers to pay for leads to receive direct access to shoppers actively looking to sell their vehicles. Dealers can acquire inventory from shoppers who are looking to sell directly through the CarGurus Sell My Car page.</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Advertising Revenue</w:t>
      </w:r>
    </w:p>
    <w:p>
      <w:pPr>
        <w:pStyle w:val="TextBody"/>
        <w:bidi w:val="0"/>
        <w:spacing w:before="240" w:after="283"/>
        <w:jc w:val="both"/>
        <w:rPr>
          <w:rFonts w:ascii="Times New Roman" w:hAnsi="Times New Roman"/>
          <w:sz w:val="20"/>
        </w:rPr>
      </w:pPr>
      <w:r>
        <w:rPr>
          <w:rFonts w:ascii="Outfit;sans-serif" w:hAnsi="Outfit;sans-serif"/>
          <w:color w:val="00002D"/>
          <w:sz w:val="20"/>
        </w:rPr>
        <w:t>We offer non-dealer advertising to auto manufacturers and other brand advertisers sold on a cost-per-thousand impressions basis. An impression is an advertisement loaded on a web page. We also have advertising sold on a cost-per-click basis. Pricing is primarily based on advertisement size and position on our websites and mobile applications. Auto manufacturers and other brand advertisers can execute advertising campaigns that are targeted across a wide variety of parameters, including demographic groups, behavioral characteristics, and, for automotive campaigns, specific auto brands, categories such as Certified Pre-Owned, and segments such as hybrid vehicles. We do not provide minimum impression guarantees or other types of minimum guarantees in our contracts with customers. Advertising is also sold indirectly through revenue-sharing arrangements with advertising exchange partners.</w:t>
      </w:r>
      <w:r>
        <w:rPr>
          <w:rFonts w:ascii="Times New Roman" w:hAnsi="Times New Roman"/>
          <w:color w:val="00002D"/>
          <w:sz w:val="20"/>
        </w:rPr>
        <w:t xml:space="preserve"> </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Financing 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derive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Cost of Revenue</w:t>
      </w:r>
    </w:p>
    <w:p>
      <w:pPr>
        <w:pStyle w:val="TextBody"/>
        <w:bidi w:val="0"/>
        <w:spacing w:before="240" w:after="283"/>
        <w:jc w:val="both"/>
        <w:rPr>
          <w:rFonts w:ascii="Times New Roman" w:hAnsi="Times New Roman"/>
          <w:sz w:val="20"/>
        </w:rPr>
      </w:pPr>
      <w:r>
        <w:rPr>
          <w:rFonts w:ascii="Outfit;sans-serif" w:hAnsi="Outfit;sans-serif"/>
          <w:color w:val="00002D"/>
          <w:sz w:val="20"/>
        </w:rPr>
        <w:t>Cost of revenue includes expenses related to supporting and hosting service offerings. These expenses include personnel and related expenses for our customer support team, including salaries, benefits, incentive compensation, and stock-based compensation; third-party service provider expenses such as advertising, data, and hosting expenses; amortization of developed technology; amortization and impairment of capitalized website development; amortization of capitalized hosting arrangements; and allocated overhead expenses.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We allocate overhead expenses, such as rent and facility expenses, software expense, and employee benefit expense, to all departments based on headcount. As such, general overhead expenses are reflected in cost of revenue and each operating expense category.</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Operating Expenses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Sales and Marketing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Sales and marketing expense consists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software subscription expenses; consulting services; amortization of capitalized hosting arrangements; and allocated overhead expenses. A portion of our commissions that are related to obtaining a new contract are capitalized and amortized over the estimated benefit period of customer relationships. Other than commissions amortization, all other sales and marketing expenses are expensed as incurred. We expect sales and marketing expense to fluctuate from quarter to quarter due to seasonality and as we respond to changes in the macroeconomic and competitive landscapes affecting our existing dealers, consumer audience, and brand awareness.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Product, Technology, and Development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technology, and development expense consists primarily of personnel and related expenses for our research and development team, including salaries, benefits, incentive compensation, and stock-based compensation; software subscription expenses; consulting services; and allocated overhead expenses. Other than website development, internal-use software, and hosting arrangement expenses, research and development expenses are expensed as incurred. We expect product, technology, and development expense to increase from quarter to quarter as we invest in additional engineering resources to develop innovative new solutions and make improvements to our existing platform.</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General and Administrative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General and administrative expense consists primarily of personnel and related expenses for our executive, finance, legal, people and talent, and administrative teams, including salaries, benefits, incentive compensation, and stock-based compensation; expenses associated with professional fees for audit, tax, external legal, and consulting services; payment processing and billing expenses; insurance expenses; software subscription expenses; and allocated overhead expenses. General and administrative expense is expensed as incurred. We expect general and administrative expense to increase from quarter to quarter as we continue to scale our business.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Impairment</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During the three months ended March 31, 2026, we identified a triggering event requiring an impairment test for the 121 First Street lease, which we intend to sublease, primarily due to lower anticipated rental rates. We performed an updated fair value analysis of the lease and subsequently recognized non-cash impairment charges. </w:t>
      </w:r>
      <w:r>
        <w:rPr>
          <w:rFonts w:ascii="Outfit;sans-serif" w:hAnsi="Outfit;sans-serif"/>
          <w:color w:val="000000"/>
          <w:sz w:val="20"/>
        </w:rPr>
        <w:t xml:space="preserve">For the six months ended June 30, 2026, we recognized non-cash impairment charges of $14.7 million related to operating lease right-of-use asset and $4.5 million related to leasehold improvements and furniture and fixtures, which were recognized within impairment operating expenses in the Unaudited Condensed Consolidated Income Statements. For the three months ended June 30, 2026, no impairment charges related to the 121 First Street lease were recognized. </w:t>
      </w:r>
      <w:r>
        <w:rPr>
          <w:rFonts w:ascii="Outfit;sans-serif" w:hAnsi="Outfit;sans-serif"/>
          <w:color w:val="00002D"/>
          <w:sz w:val="20"/>
        </w:rPr>
        <w:t>For further discussion of the lease impairment, refer to Note 9 of the Unaudited Condensed Consolidated Financial Statements included elsewhere in this Quarterly Report.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Depreciation and Amortization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Depreciation and amortization expense consists of depreciation on property and equipment and amortization of intangible assets and internal-use software.</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Other Income, Net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Other income, net consists primarily of interest income earned on our cash and cash equivalents and foreign exchange gains and losses.</w:t>
      </w:r>
    </w:p>
    <w:p>
      <w:pPr>
        <w:pStyle w:val="TextBody"/>
        <w:bidi w:val="0"/>
        <w:spacing w:before="240" w:after="283"/>
        <w:jc w:val="both"/>
        <w:rPr>
          <w:rFonts w:ascii="Times New Roman" w:hAnsi="Times New Roman"/>
          <w:sz w:val="20"/>
        </w:rPr>
      </w:pPr>
      <w:r>
        <w:rPr>
          <w:rFonts w:ascii="Outfit;sans-serif" w:hAnsi="Outfit;sans-serif"/>
          <w:b/>
          <w:color w:val="3465B0"/>
          <w:sz w:val="24"/>
        </w:rPr>
        <w:t>Provision for Income Taxes</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The provision for income taxes consists of federal and state income taxes in the U.S. and taxes in foreign jurisdictions in which we operate. For the three months ended June 30, 2026 and 2025 and for the six months ended June 30, 2026 and 2025, a provision for income taxes was recognized as a result of the consolidated taxable income position.</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00002D"/>
          <w:sz w:val="32"/>
        </w:rPr>
        <w:t>Results of Operations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June 30, 2026 and 2025 and for the six months ended June 30, 2026 and 2025, the Unaudited Condensed Consolidated Income Statements were as follows:</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39"/>
        <w:gridCol w:w="146"/>
        <w:gridCol w:w="226"/>
        <w:gridCol w:w="886"/>
        <w:gridCol w:w="181"/>
        <w:gridCol w:w="146"/>
        <w:gridCol w:w="226"/>
        <w:gridCol w:w="886"/>
        <w:gridCol w:w="181"/>
        <w:gridCol w:w="146"/>
        <w:gridCol w:w="226"/>
        <w:gridCol w:w="886"/>
        <w:gridCol w:w="181"/>
        <w:gridCol w:w="146"/>
        <w:gridCol w:w="226"/>
        <w:gridCol w:w="886"/>
        <w:gridCol w:w="591"/>
      </w:tblGrid>
      <w:tr>
        <w:trPr/>
        <w:tc>
          <w:tcPr>
            <w:tcW w:w="4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250,971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221,998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494,526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434,233</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19,873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38,807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30,020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231,098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206,321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455,719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404,213</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97,635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82,587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195,119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166,256</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38,137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33,725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75,808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68,753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28,209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25,266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54,690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50,051</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19,651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3,685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3,695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7,390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7,451</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168,116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145,772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352,658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293,010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62,982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60,549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103,061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111,203</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5,232</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1,573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5,360</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63,490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63,113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104,634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116,563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14,297</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14,124</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23,213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25,500</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48,989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81,421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91,063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 net of tax benefits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(26,646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(29,675</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0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49,193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81,421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61,388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June 30, 2026 and 2025 and for the six months ended June 30, 2026 and 2025, the Unaudited Condensed Consolidated Income Statements as a percentage of total revenue were as follows (amounts in the table below may not sum due to rounding):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311"/>
        <w:gridCol w:w="146"/>
        <w:gridCol w:w="174"/>
        <w:gridCol w:w="560"/>
        <w:gridCol w:w="343"/>
        <w:gridCol w:w="174"/>
        <w:gridCol w:w="174"/>
        <w:gridCol w:w="560"/>
        <w:gridCol w:w="286"/>
        <w:gridCol w:w="146"/>
        <w:gridCol w:w="161"/>
        <w:gridCol w:w="516"/>
        <w:gridCol w:w="316"/>
        <w:gridCol w:w="161"/>
        <w:gridCol w:w="161"/>
        <w:gridCol w:w="516"/>
        <w:gridCol w:w="500"/>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4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50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w:t>
            </w:r>
          </w:p>
        </w:tc>
        <w:tc>
          <w:tcPr>
            <w:tcW w:w="34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w:t>
            </w:r>
          </w:p>
        </w:tc>
        <w:tc>
          <w:tcPr>
            <w:tcW w:w="3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w:t>
            </w:r>
          </w:p>
        </w:tc>
        <w:tc>
          <w:tcPr>
            <w:tcW w:w="50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w:t>
            </w:r>
          </w:p>
        </w:tc>
        <w:tc>
          <w:tcPr>
            <w:tcW w:w="34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w:t>
            </w:r>
          </w:p>
        </w:tc>
        <w:tc>
          <w:tcPr>
            <w:tcW w:w="3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w:t>
            </w:r>
          </w:p>
        </w:tc>
        <w:tc>
          <w:tcPr>
            <w:tcW w:w="500"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34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3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500"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4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500"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w:t>
            </w:r>
          </w:p>
        </w:tc>
        <w:tc>
          <w:tcPr>
            <w:tcW w:w="34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w:t>
            </w:r>
          </w:p>
        </w:tc>
        <w:tc>
          <w:tcPr>
            <w:tcW w:w="3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w:t>
            </w:r>
          </w:p>
        </w:tc>
        <w:tc>
          <w:tcPr>
            <w:tcW w:w="50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4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500"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Outfit;sans-serif" w:hAnsi="Outfit;sans-serif"/>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4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1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50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Income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34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3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50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EEF2F7"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Net loss from discontinued operations, net of tax benefits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6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50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Outfit;sans-serif" w:hAnsi="Outfit;sans-serif"/>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i/>
          <w:color w:val="3465B0"/>
          <w:sz w:val="24"/>
        </w:rPr>
        <w:t>For the three months ended June 30, 2026 and 2025</w:t>
      </w:r>
      <w:r>
        <w:rPr>
          <w:rFonts w:ascii="Times New Roman" w:hAnsi="Times New Roman"/>
          <w:color w:val="3465B0"/>
          <w:sz w:val="20"/>
        </w:rPr>
        <w:t xml:space="preserve"> </w:t>
      </w:r>
    </w:p>
    <w:p>
      <w:pPr>
        <w:pStyle w:val="TextBody"/>
        <w:bidi w:val="0"/>
        <w:spacing w:before="240" w:after="283"/>
        <w:jc w:val="left"/>
        <w:rPr>
          <w:rFonts w:ascii="Times New Roman" w:hAnsi="Times New Roman"/>
          <w:sz w:val="20"/>
        </w:rPr>
      </w:pPr>
      <w:r>
        <w:rPr>
          <w:rFonts w:ascii="Outfit;sans-serif" w:hAnsi="Outfit;sans-serif"/>
          <w:b/>
          <w:i/>
          <w:color w:val="00002D"/>
          <w:sz w:val="20"/>
        </w:rPr>
        <w:t>Revenue</w:t>
      </w:r>
      <w:r>
        <w:rPr>
          <w:rFonts w:ascii="Times New Roman" w:hAnsi="Times New Roman"/>
          <w:color w:val="00002D"/>
          <w:sz w:val="20"/>
        </w:rPr>
        <w:t xml:space="preserve"> </w:t>
      </w:r>
    </w:p>
    <w:p>
      <w:pPr>
        <w:pStyle w:val="TextBody"/>
        <w:bidi w:val="0"/>
        <w:jc w:val="left"/>
        <w:rPr/>
      </w:pPr>
      <w:r>
        <w:rPr/>
        <w:t> </w:t>
      </w:r>
    </w:p>
    <w:tbl>
      <w:tblPr>
        <w:tblW w:w="8177" w:type="dxa"/>
        <w:jc w:val="left"/>
        <w:tblInd w:w="0" w:type="dxa"/>
        <w:tblLayout w:type="fixed"/>
        <w:tblCellMar>
          <w:top w:w="28" w:type="dxa"/>
          <w:left w:w="28" w:type="dxa"/>
          <w:bottom w:w="28" w:type="dxa"/>
          <w:right w:w="28" w:type="dxa"/>
        </w:tblCellMar>
      </w:tblPr>
      <w:tblGrid>
        <w:gridCol w:w="2836"/>
        <w:gridCol w:w="146"/>
        <w:gridCol w:w="226"/>
        <w:gridCol w:w="886"/>
        <w:gridCol w:w="286"/>
        <w:gridCol w:w="146"/>
        <w:gridCol w:w="226"/>
        <w:gridCol w:w="886"/>
        <w:gridCol w:w="286"/>
        <w:gridCol w:w="146"/>
        <w:gridCol w:w="226"/>
        <w:gridCol w:w="76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250,971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221,998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28,973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increased $29.0 million, or 13%, in the three months ended June 30, 2026, compared to the three months ended June 30, 2025. The increase was due primarily to an increase in dealer subscription revenue as a result of growth in QARSD, which was driven by signing on new dealers at market rates, and revenue expansion driven by broader adoption of add-on products, subscription tier upgrades, and like-for-like price increases for existing dealers.</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Cost of Revenue</w:t>
      </w:r>
    </w:p>
    <w:p>
      <w:pPr>
        <w:pStyle w:val="TextBody"/>
        <w:bidi w:val="0"/>
        <w:jc w:val="left"/>
        <w:rPr/>
      </w:pPr>
      <w:r>
        <w:rPr/>
        <w:t> </w:t>
      </w:r>
    </w:p>
    <w:tbl>
      <w:tblPr>
        <w:tblW w:w="781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64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19,873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15,677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4,196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Cost of revenue increased $4.2 million, or 27%, in the three months ended June 30, 2026, compared to the three months ended June 30, 2025, and represented 8% of total revenue for the three months ended June 30, 2026, compared to 7% of total revenue for the three months ended June 30, 2025. The increase was due primarily to a $2.2 million increase in amortization primarily due to new capitalized website development projects, and a $1.2 million increase in data center and hosting costs driven primarily by dealer subscription revenue growth.</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Operating Expenses</w:t>
      </w:r>
    </w:p>
    <w:p>
      <w:pPr>
        <w:pStyle w:val="TextBody"/>
        <w:bidi w:val="0"/>
        <w:spacing w:before="240" w:after="283"/>
        <w:jc w:val="left"/>
        <w:rPr>
          <w:rFonts w:ascii="Times New Roman" w:hAnsi="Times New Roman"/>
          <w:sz w:val="20"/>
        </w:rPr>
      </w:pPr>
      <w:r>
        <w:rPr>
          <w:rFonts w:ascii="Outfit;sans-serif" w:hAnsi="Outfit;sans-serif"/>
          <w:color w:val="3465B0"/>
          <w:sz w:val="20"/>
        </w:rPr>
        <w:t>Sales and Marketing Expense</w:t>
      </w:r>
      <w:r>
        <w:rPr>
          <w:rFonts w:ascii="Times New Roman" w:hAnsi="Times New Roman"/>
          <w:color w:val="3465B0"/>
          <w:sz w:val="20"/>
        </w:rPr>
        <w:t xml:space="preserve"> </w:t>
      </w:r>
    </w:p>
    <w:p>
      <w:pPr>
        <w:pStyle w:val="TextBody"/>
        <w:bidi w:val="0"/>
        <w:jc w:val="left"/>
        <w:rPr/>
      </w:pPr>
      <w:r>
        <w:rPr/>
        <w:t> </w:t>
      </w:r>
    </w:p>
    <w:tbl>
      <w:tblPr>
        <w:tblW w:w="793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76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97,635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82,587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15,048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Outfit;sans-serif" w:hAnsi="Outfit;sans-serif"/>
          <w:color w:val="00002D"/>
          <w:sz w:val="20"/>
        </w:rPr>
      </w:pPr>
      <w:r>
        <w:rPr>
          <w:rFonts w:ascii="Outfit;sans-serif" w:hAnsi="Outfit;sans-serif"/>
          <w:color w:val="00002D"/>
          <w:sz w:val="20"/>
        </w:rPr>
        <w:t>Sales and marketing expense increased $15.0 million, or 18%, in the three months ended June 30, 2026, compared to the three months ended June 30, 2025. The increase was due primarily to a $10.2 million increase in marketing and advertising expense for our performance marketing vendors and brand awareness campaigns and a $4.0 million increase in employee-related expenses due primarily to headcount and merit increases.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Outfit;sans-serif" w:hAnsi="Outfit;sans-serif"/>
          <w:color w:val="3465B0"/>
          <w:sz w:val="20"/>
        </w:rPr>
        <w:t>Product, Technology, and Development Expense</w:t>
      </w:r>
      <w:r>
        <w:rPr>
          <w:rFonts w:ascii="Times New Roman" w:hAnsi="Times New Roman"/>
          <w:color w:val="3465B0"/>
          <w:sz w:val="20"/>
        </w:rPr>
        <w:t xml:space="preserve"> </w:t>
      </w:r>
    </w:p>
    <w:p>
      <w:pPr>
        <w:pStyle w:val="TextBody"/>
        <w:bidi w:val="0"/>
        <w:jc w:val="left"/>
        <w:rPr/>
      </w:pPr>
      <w:r>
        <w:rPr/>
        <w:t> </w:t>
      </w:r>
    </w:p>
    <w:tbl>
      <w:tblPr>
        <w:tblW w:w="8867" w:type="dxa"/>
        <w:jc w:val="left"/>
        <w:tblInd w:w="0" w:type="dxa"/>
        <w:tblLayout w:type="fixed"/>
        <w:tblCellMar>
          <w:top w:w="28" w:type="dxa"/>
          <w:left w:w="28" w:type="dxa"/>
          <w:bottom w:w="28" w:type="dxa"/>
          <w:right w:w="28" w:type="dxa"/>
        </w:tblCellMar>
      </w:tblPr>
      <w:tblGrid>
        <w:gridCol w:w="3886"/>
        <w:gridCol w:w="146"/>
        <w:gridCol w:w="226"/>
        <w:gridCol w:w="766"/>
        <w:gridCol w:w="286"/>
        <w:gridCol w:w="146"/>
        <w:gridCol w:w="226"/>
        <w:gridCol w:w="766"/>
        <w:gridCol w:w="286"/>
        <w:gridCol w:w="146"/>
        <w:gridCol w:w="226"/>
        <w:gridCol w:w="646"/>
        <w:gridCol w:w="146"/>
        <w:gridCol w:w="146"/>
        <w:gridCol w:w="146"/>
        <w:gridCol w:w="346"/>
        <w:gridCol w:w="33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38,137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33,725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4,412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technology, and development expense increased $4.4 million, or 13%, in the three months ended June 30, 2026, compared to the three months ended June 30, 2025. The increase was due primarily to a $2.1 million increase in employee-related expenses due primarily to headcount and merit increases, a $1.2 million increase in professional services expense primarily driven by contractor and consulting expense, and a $1.2 million increase in software expense.</w:t>
      </w:r>
    </w:p>
    <w:p>
      <w:pPr>
        <w:pStyle w:val="TextBody"/>
        <w:bidi w:val="0"/>
        <w:spacing w:before="240" w:after="283"/>
        <w:jc w:val="both"/>
        <w:rPr>
          <w:rFonts w:ascii="Times New Roman" w:hAnsi="Times New Roman"/>
          <w:sz w:val="20"/>
        </w:rPr>
      </w:pPr>
      <w:r>
        <w:rPr>
          <w:rFonts w:ascii="Outfit;sans-serif" w:hAnsi="Outfit;sans-serif"/>
          <w:color w:val="3465B0"/>
          <w:sz w:val="20"/>
        </w:rPr>
        <w:t>General and Administrative Expense</w:t>
      </w:r>
      <w:r>
        <w:rPr>
          <w:rFonts w:ascii="Times New Roman" w:hAnsi="Times New Roman"/>
          <w:color w:val="3465B0"/>
          <w:sz w:val="20"/>
        </w:rPr>
        <w:t xml:space="preserve"> </w:t>
      </w:r>
    </w:p>
    <w:p>
      <w:pPr>
        <w:pStyle w:val="TextBody"/>
        <w:bidi w:val="0"/>
        <w:jc w:val="both"/>
        <w:rPr/>
      </w:pPr>
      <w:r>
        <w:rPr/>
        <w:t> </w:t>
      </w:r>
    </w:p>
    <w:tbl>
      <w:tblPr>
        <w:tblW w:w="781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64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28,209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25,266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2,943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General and administrative expense increased $2.9 million, or 12%, in the three months ended June 30, 2026, compared to the three months ended June 30, 2025. The increase was due primarily to a $2.4 million increase in employee-related expenses due primarily to headcount and merit increases and new stock-based compensation grants, partially offset by completed vesting of existing awards and forfeitures from employee departures.</w:t>
      </w:r>
    </w:p>
    <w:p>
      <w:pPr>
        <w:pStyle w:val="TextBody"/>
        <w:bidi w:val="0"/>
        <w:spacing w:before="240" w:after="283"/>
        <w:jc w:val="both"/>
        <w:rPr>
          <w:rFonts w:ascii="Outfit;sans-serif" w:hAnsi="Outfit;sans-serif"/>
          <w:color w:val="3465B0"/>
          <w:sz w:val="20"/>
        </w:rPr>
      </w:pPr>
      <w:r>
        <w:rPr>
          <w:rFonts w:ascii="Outfit;sans-serif" w:hAnsi="Outfit;sans-serif"/>
          <w:color w:val="3465B0"/>
          <w:sz w:val="20"/>
        </w:rPr>
        <w:t>Impairment Expense</w:t>
      </w:r>
    </w:p>
    <w:p>
      <w:pPr>
        <w:pStyle w:val="TextBody"/>
        <w:bidi w:val="0"/>
        <w:jc w:val="both"/>
        <w:rPr/>
      </w:pPr>
      <w:r>
        <w:rPr/>
        <w:t> </w:t>
      </w:r>
    </w:p>
    <w:tbl>
      <w:tblPr>
        <w:tblW w:w="7594" w:type="dxa"/>
        <w:jc w:val="left"/>
        <w:tblInd w:w="0" w:type="dxa"/>
        <w:tblLayout w:type="fixed"/>
        <w:tblCellMar>
          <w:top w:w="28" w:type="dxa"/>
          <w:left w:w="28" w:type="dxa"/>
          <w:bottom w:w="28" w:type="dxa"/>
          <w:right w:w="28" w:type="dxa"/>
        </w:tblCellMar>
      </w:tblPr>
      <w:tblGrid>
        <w:gridCol w:w="2836"/>
        <w:gridCol w:w="146"/>
        <w:gridCol w:w="254"/>
        <w:gridCol w:w="523"/>
        <w:gridCol w:w="321"/>
        <w:gridCol w:w="164"/>
        <w:gridCol w:w="254"/>
        <w:gridCol w:w="523"/>
        <w:gridCol w:w="286"/>
        <w:gridCol w:w="146"/>
        <w:gridCol w:w="293"/>
        <w:gridCol w:w="548"/>
        <w:gridCol w:w="181"/>
        <w:gridCol w:w="146"/>
        <w:gridCol w:w="146"/>
        <w:gridCol w:w="42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450</w:t>
            </w:r>
          </w:p>
        </w:tc>
        <w:tc>
          <w:tcPr>
            <w:tcW w:w="32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2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4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Impairment expense remained relatively flat in the three months ended June 30, 2026, compared to the three months ended June 30, 2025.</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3465B0"/>
          <w:sz w:val="20"/>
        </w:rPr>
      </w:pPr>
      <w:r>
        <w:rPr>
          <w:rFonts w:ascii="Outfit;sans-serif" w:hAnsi="Outfit;sans-serif"/>
          <w:color w:val="3465B0"/>
          <w:sz w:val="20"/>
        </w:rPr>
        <w:t>Depreciation and Amortization Expense</w:t>
      </w:r>
    </w:p>
    <w:p>
      <w:pPr>
        <w:pStyle w:val="TextBody"/>
        <w:bidi w:val="0"/>
        <w:jc w:val="both"/>
        <w:rPr/>
      </w:pPr>
      <w:r>
        <w:rPr/>
        <w:t> </w:t>
      </w:r>
    </w:p>
    <w:tbl>
      <w:tblPr>
        <w:tblW w:w="7866" w:type="dxa"/>
        <w:jc w:val="left"/>
        <w:tblInd w:w="0" w:type="dxa"/>
        <w:tblLayout w:type="fixed"/>
        <w:tblCellMar>
          <w:top w:w="28" w:type="dxa"/>
          <w:left w:w="28" w:type="dxa"/>
          <w:bottom w:w="28" w:type="dxa"/>
          <w:right w:w="28" w:type="dxa"/>
        </w:tblCellMar>
      </w:tblPr>
      <w:tblGrid>
        <w:gridCol w:w="3091"/>
        <w:gridCol w:w="146"/>
        <w:gridCol w:w="226"/>
        <w:gridCol w:w="646"/>
        <w:gridCol w:w="286"/>
        <w:gridCol w:w="146"/>
        <w:gridCol w:w="226"/>
        <w:gridCol w:w="646"/>
        <w:gridCol w:w="286"/>
        <w:gridCol w:w="146"/>
        <w:gridCol w:w="293"/>
        <w:gridCol w:w="548"/>
        <w:gridCol w:w="181"/>
        <w:gridCol w:w="146"/>
        <w:gridCol w:w="146"/>
        <w:gridCol w:w="301"/>
        <w:gridCol w:w="40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3,685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3,695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4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Depreciation and amortization expense remained relatively flat in the three months ended June 30, 2026, compared to the three months ended June 30, 2025.</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Other Income, net</w:t>
      </w:r>
    </w:p>
    <w:p>
      <w:pPr>
        <w:pStyle w:val="TextBody"/>
        <w:bidi w:val="0"/>
        <w:jc w:val="both"/>
        <w:rPr/>
      </w:pPr>
      <w:r>
        <w:rPr/>
        <w:t> </w:t>
      </w:r>
    </w:p>
    <w:tbl>
      <w:tblPr>
        <w:tblW w:w="8185" w:type="dxa"/>
        <w:jc w:val="left"/>
        <w:tblInd w:w="0" w:type="dxa"/>
        <w:tblLayout w:type="fixed"/>
        <w:tblCellMar>
          <w:top w:w="28" w:type="dxa"/>
          <w:left w:w="28" w:type="dxa"/>
          <w:bottom w:w="28" w:type="dxa"/>
          <w:right w:w="28" w:type="dxa"/>
        </w:tblCellMar>
      </w:tblPr>
      <w:tblGrid>
        <w:gridCol w:w="3226"/>
        <w:gridCol w:w="146"/>
        <w:gridCol w:w="226"/>
        <w:gridCol w:w="541"/>
        <w:gridCol w:w="286"/>
        <w:gridCol w:w="146"/>
        <w:gridCol w:w="226"/>
        <w:gridCol w:w="646"/>
        <w:gridCol w:w="286"/>
        <w:gridCol w:w="146"/>
        <w:gridCol w:w="226"/>
        <w:gridCol w:w="721"/>
        <w:gridCol w:w="181"/>
        <w:gridCol w:w="146"/>
        <w:gridCol w:w="162"/>
        <w:gridCol w:w="468"/>
        <w:gridCol w:w="40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(448</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Outfit;sans-serif" w:hAnsi="Outfit;sans-serif"/>
                <w:color w:val="000000"/>
                <w:sz w:val="20"/>
              </w:rPr>
              <w:t>NM</w:t>
            </w:r>
            <w:r>
              <w:rPr>
                <w:rFonts w:ascii="Outfit;sans-serif" w:hAnsi="Outfit;sans-serif"/>
                <w:color w:val="000000"/>
                <w:sz w:val="13"/>
              </w:rPr>
              <w:t>(1)</w:t>
            </w:r>
          </w:p>
        </w:tc>
        <w:tc>
          <w:tcPr>
            <w:tcW w:w="40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2,564</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(2,056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Outfit;sans-serif" w:hAnsi="Outfit;sans-serif"/>
          <w:color w:val="00002D"/>
          <w:sz w:val="20"/>
        </w:rPr>
      </w:pPr>
      <w:r>
        <w:rPr>
          <w:rFonts w:ascii="Outfit;sans-serif" w:hAnsi="Outfit;sans-serif"/>
          <w:color w:val="00002D"/>
          <w:sz w:val="20"/>
        </w:rPr>
        <w:t>(1)</w:t>
      </w:r>
    </w:p>
    <w:p>
      <w:pPr>
        <w:pStyle w:val="TextBody"/>
        <w:bidi w:val="0"/>
        <w:spacing w:before="120" w:after="283"/>
        <w:jc w:val="both"/>
        <w:rPr>
          <w:rFonts w:ascii="Outfit;sans-serif" w:hAnsi="Outfit;sans-serif"/>
          <w:color w:val="00002D"/>
          <w:sz w:val="13"/>
        </w:rPr>
      </w:pPr>
      <w:r>
        <w:rPr>
          <w:rFonts w:ascii="Outfit;sans-serif" w:hAnsi="Outfit;sans-serif"/>
          <w:color w:val="00002D"/>
          <w:sz w:val="13"/>
        </w:rPr>
        <w:t>Not meaningful.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Total other income, net decreased $2.1 million, or 80%, in the three months ended June 30, 2026, compared to the three months ended June 30, 2025. The $1.2 million decrease in interest income was due primarily to lower average cash balances.</w:t>
      </w:r>
    </w:p>
    <w:p>
      <w:pPr>
        <w:pStyle w:val="TextBody"/>
        <w:bidi w:val="0"/>
        <w:spacing w:before="240" w:after="283"/>
        <w:jc w:val="left"/>
        <w:rPr>
          <w:rFonts w:ascii="Times New Roman" w:hAnsi="Times New Roman"/>
          <w:sz w:val="20"/>
        </w:rPr>
      </w:pPr>
      <w:r>
        <w:rPr>
          <w:rFonts w:ascii="Outfit;sans-serif" w:hAnsi="Outfit;sans-serif"/>
          <w:b/>
          <w:i/>
          <w:color w:val="00002D"/>
          <w:sz w:val="20"/>
        </w:rPr>
        <w:t>Provision for Income Taxes</w:t>
      </w:r>
      <w:r>
        <w:rPr>
          <w:rFonts w:ascii="Times New Roman" w:hAnsi="Times New Roman"/>
          <w:color w:val="00002D"/>
          <w:sz w:val="20"/>
        </w:rPr>
        <w:t xml:space="preserve"> </w:t>
      </w:r>
    </w:p>
    <w:p>
      <w:pPr>
        <w:pStyle w:val="TextBody"/>
        <w:bidi w:val="0"/>
        <w:jc w:val="left"/>
        <w:rPr/>
      </w:pPr>
      <w:r>
        <w:rPr/>
        <w:t> </w:t>
      </w:r>
    </w:p>
    <w:tbl>
      <w:tblPr>
        <w:tblW w:w="7666"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74"/>
        <w:gridCol w:w="567"/>
        <w:gridCol w:w="146"/>
        <w:gridCol w:w="146"/>
        <w:gridCol w:w="146"/>
        <w:gridCol w:w="22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14,297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14,124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6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Provision for income taxes remained relatively flat in the three months ended June 30, 2026, compared to the three months ended June 30, 2025.</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Outfit;sans-serif" w:hAnsi="Outfit;sans-serif"/>
          <w:b/>
          <w:i/>
          <w:color w:val="3465B0"/>
          <w:sz w:val="24"/>
        </w:rPr>
        <w:t>For the six months ended June 30, 2026 and 2025</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b/>
          <w:i/>
          <w:color w:val="00002D"/>
          <w:sz w:val="20"/>
        </w:rPr>
        <w:t>Revenue</w:t>
      </w:r>
      <w:r>
        <w:rPr>
          <w:rFonts w:ascii="Times New Roman" w:hAnsi="Times New Roman"/>
          <w:color w:val="00002D"/>
          <w:sz w:val="20"/>
        </w:rPr>
        <w:t xml:space="preserve"> </w:t>
      </w:r>
    </w:p>
    <w:p>
      <w:pPr>
        <w:pStyle w:val="TextBody"/>
        <w:bidi w:val="0"/>
        <w:jc w:val="both"/>
        <w:rPr/>
      </w:pPr>
      <w:r>
        <w:rPr/>
        <w:t> </w:t>
      </w:r>
    </w:p>
    <w:tbl>
      <w:tblPr>
        <w:tblW w:w="8177" w:type="dxa"/>
        <w:jc w:val="left"/>
        <w:tblInd w:w="0" w:type="dxa"/>
        <w:tblLayout w:type="fixed"/>
        <w:tblCellMar>
          <w:top w:w="28" w:type="dxa"/>
          <w:left w:w="28" w:type="dxa"/>
          <w:bottom w:w="28" w:type="dxa"/>
          <w:right w:w="28" w:type="dxa"/>
        </w:tblCellMar>
      </w:tblPr>
      <w:tblGrid>
        <w:gridCol w:w="2836"/>
        <w:gridCol w:w="146"/>
        <w:gridCol w:w="226"/>
        <w:gridCol w:w="886"/>
        <w:gridCol w:w="286"/>
        <w:gridCol w:w="146"/>
        <w:gridCol w:w="226"/>
        <w:gridCol w:w="886"/>
        <w:gridCol w:w="286"/>
        <w:gridCol w:w="146"/>
        <w:gridCol w:w="226"/>
        <w:gridCol w:w="76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494,526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434,233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60,293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increased $60.3 million, or 14%, in the six months ended June 30, 2026, compared to the six months ended June 30, 2025. The increase was due primarily to an increase in dealer subscription revenue as a result of growth in QARSD, which was driven by signing on new dealers at market rates, and revenue expansion driven by broader adoption of add-on products, subscription tier upgrades, and like-for-like price increases for existing dealers.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Cost of Revenue</w:t>
      </w:r>
    </w:p>
    <w:p>
      <w:pPr>
        <w:pStyle w:val="TextBody"/>
        <w:bidi w:val="0"/>
        <w:jc w:val="left"/>
        <w:rPr/>
      </w:pPr>
      <w:r>
        <w:rPr/>
        <w:t> </w:t>
      </w:r>
    </w:p>
    <w:tbl>
      <w:tblPr>
        <w:tblW w:w="8217" w:type="dxa"/>
        <w:jc w:val="left"/>
        <w:tblInd w:w="0" w:type="dxa"/>
        <w:tblLayout w:type="fixed"/>
        <w:tblCellMar>
          <w:top w:w="28" w:type="dxa"/>
          <w:left w:w="28" w:type="dxa"/>
          <w:bottom w:w="28" w:type="dxa"/>
          <w:right w:w="28" w:type="dxa"/>
        </w:tblCellMar>
      </w:tblPr>
      <w:tblGrid>
        <w:gridCol w:w="3036"/>
        <w:gridCol w:w="346"/>
        <w:gridCol w:w="226"/>
        <w:gridCol w:w="766"/>
        <w:gridCol w:w="286"/>
        <w:gridCol w:w="146"/>
        <w:gridCol w:w="226"/>
        <w:gridCol w:w="766"/>
        <w:gridCol w:w="286"/>
        <w:gridCol w:w="146"/>
        <w:gridCol w:w="226"/>
        <w:gridCol w:w="646"/>
        <w:gridCol w:w="146"/>
        <w:gridCol w:w="146"/>
        <w:gridCol w:w="146"/>
        <w:gridCol w:w="346"/>
        <w:gridCol w:w="331"/>
      </w:tblGrid>
      <w:tr>
        <w:trPr/>
        <w:tc>
          <w:tcPr>
            <w:tcW w:w="3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Cost of Revenue</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38,807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30,020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8,787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Percentage of 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Cost of revenue increased $8.8 million, or 29%, in the six months ended June 30, 2026, compared to the six months ended June 30, 2025, and represented 8% of total revenue for the six months ended June 30, 2026, compared to 7% of total revenue for the six months ended June 30, 2025. The increase was due primarily to a $3.7 million increase in amortization due primarily to new capitalized website development projects, a $2.5 million increase in data center and hosting costs driven primarily by dealer subscription revenue growth, and a $1.3 million increase in spend related to provisioning advertising campaigns on external websites.</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Operating Expenses</w:t>
      </w:r>
    </w:p>
    <w:p>
      <w:pPr>
        <w:pStyle w:val="TextBody"/>
        <w:bidi w:val="0"/>
        <w:spacing w:before="240" w:after="283"/>
        <w:jc w:val="both"/>
        <w:rPr>
          <w:rFonts w:ascii="Times New Roman" w:hAnsi="Times New Roman"/>
          <w:sz w:val="20"/>
        </w:rPr>
      </w:pPr>
      <w:r>
        <w:rPr>
          <w:rFonts w:ascii="Outfit;sans-serif" w:hAnsi="Outfit;sans-serif"/>
          <w:color w:val="3465B0"/>
          <w:sz w:val="20"/>
        </w:rPr>
        <w:t>Sales and Marketing Expense</w:t>
      </w:r>
      <w:r>
        <w:rPr>
          <w:rFonts w:ascii="Times New Roman" w:hAnsi="Times New Roman"/>
          <w:color w:val="3465B0"/>
          <w:sz w:val="20"/>
        </w:rPr>
        <w:t xml:space="preserve"> </w:t>
      </w:r>
    </w:p>
    <w:p>
      <w:pPr>
        <w:pStyle w:val="TextBody"/>
        <w:bidi w:val="0"/>
        <w:jc w:val="both"/>
        <w:rPr/>
      </w:pPr>
      <w:r>
        <w:rPr/>
        <w:t> </w:t>
      </w:r>
    </w:p>
    <w:tbl>
      <w:tblPr>
        <w:tblW w:w="8177" w:type="dxa"/>
        <w:jc w:val="left"/>
        <w:tblInd w:w="0" w:type="dxa"/>
        <w:tblLayout w:type="fixed"/>
        <w:tblCellMar>
          <w:top w:w="28" w:type="dxa"/>
          <w:left w:w="28" w:type="dxa"/>
          <w:bottom w:w="28" w:type="dxa"/>
          <w:right w:w="28" w:type="dxa"/>
        </w:tblCellMar>
      </w:tblPr>
      <w:tblGrid>
        <w:gridCol w:w="2836"/>
        <w:gridCol w:w="146"/>
        <w:gridCol w:w="226"/>
        <w:gridCol w:w="886"/>
        <w:gridCol w:w="286"/>
        <w:gridCol w:w="146"/>
        <w:gridCol w:w="226"/>
        <w:gridCol w:w="886"/>
        <w:gridCol w:w="286"/>
        <w:gridCol w:w="146"/>
        <w:gridCol w:w="226"/>
        <w:gridCol w:w="76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195,119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166,256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28,863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Sales and marketing expense increased $28.9 million, or 17%, in the six months ended June 30, 2026, compared to the six months ended June 30, 2025. The increase was due primarily to a $17.7 million increase in advertising and marketing expense for our performance marketing vendors and brand awareness campaigns and an $8.6 million increase in employee-related expenses due primarily to headcount and merit increases.</w:t>
      </w:r>
    </w:p>
    <w:p>
      <w:pPr>
        <w:pStyle w:val="TextBody"/>
        <w:bidi w:val="0"/>
        <w:spacing w:before="240" w:after="283"/>
        <w:jc w:val="both"/>
        <w:rPr>
          <w:rFonts w:ascii="Times New Roman" w:hAnsi="Times New Roman"/>
          <w:sz w:val="20"/>
        </w:rPr>
      </w:pPr>
      <w:r>
        <w:rPr>
          <w:rFonts w:ascii="Outfit;sans-serif" w:hAnsi="Outfit;sans-serif"/>
          <w:color w:val="3465B0"/>
          <w:sz w:val="20"/>
        </w:rPr>
        <w:t>Product, Technology, and Development Expense</w:t>
      </w:r>
      <w:r>
        <w:rPr>
          <w:rFonts w:ascii="Times New Roman" w:hAnsi="Times New Roman"/>
          <w:color w:val="3465B0"/>
          <w:sz w:val="20"/>
        </w:rPr>
        <w:t xml:space="preserve"> </w:t>
      </w:r>
    </w:p>
    <w:p>
      <w:pPr>
        <w:pStyle w:val="TextBody"/>
        <w:bidi w:val="0"/>
        <w:jc w:val="both"/>
        <w:rPr/>
      </w:pPr>
      <w:r>
        <w:rPr/>
        <w:t> </w:t>
      </w:r>
    </w:p>
    <w:tbl>
      <w:tblPr>
        <w:tblW w:w="8867" w:type="dxa"/>
        <w:jc w:val="left"/>
        <w:tblInd w:w="0" w:type="dxa"/>
        <w:tblLayout w:type="fixed"/>
        <w:tblCellMar>
          <w:top w:w="28" w:type="dxa"/>
          <w:left w:w="28" w:type="dxa"/>
          <w:bottom w:w="28" w:type="dxa"/>
          <w:right w:w="28" w:type="dxa"/>
        </w:tblCellMar>
      </w:tblPr>
      <w:tblGrid>
        <w:gridCol w:w="3886"/>
        <w:gridCol w:w="146"/>
        <w:gridCol w:w="226"/>
        <w:gridCol w:w="766"/>
        <w:gridCol w:w="286"/>
        <w:gridCol w:w="146"/>
        <w:gridCol w:w="226"/>
        <w:gridCol w:w="766"/>
        <w:gridCol w:w="286"/>
        <w:gridCol w:w="146"/>
        <w:gridCol w:w="226"/>
        <w:gridCol w:w="646"/>
        <w:gridCol w:w="146"/>
        <w:gridCol w:w="146"/>
        <w:gridCol w:w="146"/>
        <w:gridCol w:w="346"/>
        <w:gridCol w:w="33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75,808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68,753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7,055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technology, and development expense increased $7.1 million, or 10%, in the six months ended June 30, 2026, compared to the six months ended June 30, 2025. The increase was due primarily to a $3.7 million increase in employee-related expenses due primarily to headcount and merit increases, a $2.8 million increase in professional services expense primarily driven by contractor and consulting expense, and a $1.5 million increase in software expense.</w:t>
      </w:r>
    </w:p>
    <w:p>
      <w:pPr>
        <w:pStyle w:val="TextBody"/>
        <w:bidi w:val="0"/>
        <w:spacing w:before="240" w:after="283"/>
        <w:jc w:val="left"/>
        <w:rPr>
          <w:rFonts w:ascii="Times New Roman" w:hAnsi="Times New Roman"/>
          <w:sz w:val="20"/>
        </w:rPr>
      </w:pPr>
      <w:r>
        <w:rPr>
          <w:rFonts w:ascii="Outfit;sans-serif" w:hAnsi="Outfit;sans-serif"/>
          <w:color w:val="3465B0"/>
          <w:sz w:val="20"/>
        </w:rPr>
        <w:t>General and Administrative Expense</w:t>
      </w:r>
      <w:r>
        <w:rPr>
          <w:rFonts w:ascii="Times New Roman" w:hAnsi="Times New Roman"/>
          <w:color w:val="3465B0"/>
          <w:sz w:val="20"/>
        </w:rPr>
        <w:t xml:space="preserve"> </w:t>
      </w:r>
    </w:p>
    <w:p>
      <w:pPr>
        <w:pStyle w:val="TextBody"/>
        <w:bidi w:val="0"/>
        <w:jc w:val="both"/>
        <w:rPr/>
      </w:pPr>
      <w:r>
        <w:rPr/>
        <w:t> </w:t>
      </w:r>
    </w:p>
    <w:tbl>
      <w:tblPr>
        <w:tblW w:w="769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646"/>
        <w:gridCol w:w="146"/>
        <w:gridCol w:w="146"/>
        <w:gridCol w:w="146"/>
        <w:gridCol w:w="22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54,690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50,051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4,639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General and administrative expense increased $4.6 million, or 9%, in the six months ended June 30, 2026, compared to the six months ended June 30, 2025. The increase was due primarily to a $3.0 million increase in employee-related expenses due to headcount and merit increases and an increase in new stock-based compensation grants, partially offset by completed vesting of existing awards and forfeitures from employee departures. The increase was also due in part to a $1.9 million increase in professional services expense.</w:t>
      </w:r>
    </w:p>
    <w:p>
      <w:pPr>
        <w:pStyle w:val="TextBody"/>
        <w:bidi w:val="0"/>
        <w:spacing w:before="240" w:after="283"/>
        <w:jc w:val="left"/>
        <w:rPr>
          <w:rFonts w:ascii="Outfit;sans-serif" w:hAnsi="Outfit;sans-serif"/>
          <w:color w:val="3465B0"/>
          <w:sz w:val="20"/>
        </w:rPr>
      </w:pPr>
      <w:r>
        <w:rPr>
          <w:rFonts w:ascii="Outfit;sans-serif" w:hAnsi="Outfit;sans-serif"/>
          <w:color w:val="3465B0"/>
          <w:sz w:val="20"/>
        </w:rPr>
        <w:t>Impairment Expense</w:t>
      </w:r>
    </w:p>
    <w:p>
      <w:pPr>
        <w:pStyle w:val="TextBody"/>
        <w:bidi w:val="0"/>
        <w:jc w:val="left"/>
        <w:rPr/>
      </w:pPr>
      <w:r>
        <w:rPr/>
        <w:t> </w:t>
      </w:r>
    </w:p>
    <w:tbl>
      <w:tblPr>
        <w:tblW w:w="793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466"/>
        <w:gridCol w:w="286"/>
        <w:gridCol w:w="146"/>
        <w:gridCol w:w="226"/>
        <w:gridCol w:w="766"/>
        <w:gridCol w:w="146"/>
        <w:gridCol w:w="146"/>
        <w:gridCol w:w="146"/>
        <w:gridCol w:w="6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19,651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4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19,152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3,838</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Impairment expense increased $19.2 million in the six months ended June 30, 2026, compared to the six months ended June 30, 2025. The increase was due primarily to the impairment of the 121 First Street lease during the six months ended June 30, 2026. For further discussion of the lease impairment, refer to Note 9 of the Unaudited Condensed Consolidated Financial Statements included elsewhere in this Quarterly Report.</w:t>
      </w:r>
    </w:p>
    <w:p>
      <w:pPr>
        <w:pStyle w:val="TextBody"/>
        <w:bidi w:val="0"/>
        <w:jc w:val="both"/>
        <w:rPr/>
      </w:pPr>
      <w:r>
        <w:rPr/>
        <w:t> </w:t>
      </w:r>
    </w:p>
    <w:p>
      <w:pPr>
        <w:pStyle w:val="TextBody"/>
        <w:bidi w:val="0"/>
        <w:jc w:val="both"/>
        <w:rPr>
          <w:rFonts w:ascii="Times New Roman" w:hAnsi="Times New Roman"/>
          <w:sz w:val="20"/>
        </w:rPr>
      </w:pPr>
      <w:r>
        <w:rPr>
          <w:rFonts w:ascii="Outfit;sans-serif" w:hAnsi="Outfit;sans-serif"/>
          <w:color w:val="3465B0"/>
          <w:sz w:val="20"/>
        </w:rPr>
        <w:t>Depreciation and Amortization Expense</w:t>
      </w:r>
      <w:r>
        <w:rPr>
          <w:rFonts w:ascii="Times New Roman" w:hAnsi="Times New Roman"/>
          <w:color w:val="3465B0"/>
          <w:sz w:val="20"/>
        </w:rPr>
        <w:t xml:space="preserve"> </w:t>
      </w:r>
    </w:p>
    <w:p>
      <w:pPr>
        <w:pStyle w:val="TextBody"/>
        <w:bidi w:val="0"/>
        <w:jc w:val="both"/>
        <w:rPr/>
      </w:pPr>
      <w:r>
        <w:rPr/>
        <w:t> </w:t>
      </w:r>
    </w:p>
    <w:tbl>
      <w:tblPr>
        <w:tblW w:w="7866" w:type="dxa"/>
        <w:jc w:val="left"/>
        <w:tblInd w:w="0" w:type="dxa"/>
        <w:tblLayout w:type="fixed"/>
        <w:tblCellMar>
          <w:top w:w="28" w:type="dxa"/>
          <w:left w:w="28" w:type="dxa"/>
          <w:bottom w:w="28" w:type="dxa"/>
          <w:right w:w="28" w:type="dxa"/>
        </w:tblCellMar>
      </w:tblPr>
      <w:tblGrid>
        <w:gridCol w:w="3091"/>
        <w:gridCol w:w="146"/>
        <w:gridCol w:w="226"/>
        <w:gridCol w:w="646"/>
        <w:gridCol w:w="286"/>
        <w:gridCol w:w="146"/>
        <w:gridCol w:w="226"/>
        <w:gridCol w:w="646"/>
        <w:gridCol w:w="286"/>
        <w:gridCol w:w="146"/>
        <w:gridCol w:w="293"/>
        <w:gridCol w:w="548"/>
        <w:gridCol w:w="181"/>
        <w:gridCol w:w="146"/>
        <w:gridCol w:w="146"/>
        <w:gridCol w:w="301"/>
        <w:gridCol w:w="40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7,390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7,451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4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Depreciation and amortization expense remained relatively flat in the six months ended June 30, 2026, compared to the six months ended June 30, 2025.</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Other Income, net</w:t>
      </w:r>
    </w:p>
    <w:p>
      <w:pPr>
        <w:pStyle w:val="TextBody"/>
        <w:bidi w:val="0"/>
        <w:jc w:val="both"/>
        <w:rPr/>
      </w:pPr>
      <w:r>
        <w:rPr/>
        <w:t> </w:t>
      </w:r>
    </w:p>
    <w:tbl>
      <w:tblPr>
        <w:tblW w:w="8365" w:type="dxa"/>
        <w:jc w:val="left"/>
        <w:tblInd w:w="0" w:type="dxa"/>
        <w:tblLayout w:type="fixed"/>
        <w:tblCellMar>
          <w:top w:w="28" w:type="dxa"/>
          <w:left w:w="28" w:type="dxa"/>
          <w:bottom w:w="28" w:type="dxa"/>
          <w:right w:w="28" w:type="dxa"/>
        </w:tblCellMar>
      </w:tblPr>
      <w:tblGrid>
        <w:gridCol w:w="3226"/>
        <w:gridCol w:w="146"/>
        <w:gridCol w:w="226"/>
        <w:gridCol w:w="721"/>
        <w:gridCol w:w="286"/>
        <w:gridCol w:w="146"/>
        <w:gridCol w:w="226"/>
        <w:gridCol w:w="646"/>
        <w:gridCol w:w="286"/>
        <w:gridCol w:w="146"/>
        <w:gridCol w:w="226"/>
        <w:gridCol w:w="721"/>
        <w:gridCol w:w="181"/>
        <w:gridCol w:w="146"/>
        <w:gridCol w:w="162"/>
        <w:gridCol w:w="468"/>
        <w:gridCol w:w="40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(1,054</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(1,182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Outfit;sans-serif" w:hAnsi="Outfit;sans-serif"/>
                <w:color w:val="000000"/>
                <w:sz w:val="20"/>
              </w:rPr>
              <w:t>NM</w:t>
            </w:r>
            <w:r>
              <w:rPr>
                <w:rFonts w:ascii="Outfit;sans-serif" w:hAnsi="Outfit;sans-serif"/>
                <w:color w:val="000000"/>
                <w:sz w:val="13"/>
              </w:rPr>
              <w:t>(1)</w:t>
            </w:r>
          </w:p>
        </w:tc>
        <w:tc>
          <w:tcPr>
            <w:tcW w:w="40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1,573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5,360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(3,787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Outfit;sans-serif" w:hAnsi="Outfit;sans-serif"/>
          <w:color w:val="00002D"/>
          <w:sz w:val="20"/>
        </w:rPr>
      </w:pPr>
      <w:r>
        <w:rPr>
          <w:rFonts w:ascii="Outfit;sans-serif" w:hAnsi="Outfit;sans-serif"/>
          <w:color w:val="00002D"/>
          <w:sz w:val="20"/>
        </w:rPr>
        <w:t>(1)</w:t>
      </w:r>
    </w:p>
    <w:p>
      <w:pPr>
        <w:pStyle w:val="TextBody"/>
        <w:bidi w:val="0"/>
        <w:spacing w:before="120" w:after="283"/>
        <w:jc w:val="both"/>
        <w:rPr>
          <w:rFonts w:ascii="Outfit;sans-serif" w:hAnsi="Outfit;sans-serif"/>
          <w:color w:val="00002D"/>
          <w:sz w:val="13"/>
        </w:rPr>
      </w:pPr>
      <w:r>
        <w:rPr>
          <w:rFonts w:ascii="Outfit;sans-serif" w:hAnsi="Outfit;sans-serif"/>
          <w:color w:val="00002D"/>
          <w:sz w:val="13"/>
        </w:rPr>
        <w:t>Not meaningful.</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Total other income, net decreased $3.8 million, or 71%, in the six months ended June 30, 2026, compared to the six months ended June 30, 2025. The $2.6 million decrease in interest income was due primarily to lower average cash balances.</w:t>
      </w:r>
    </w:p>
    <w:p>
      <w:pPr>
        <w:pStyle w:val="TextBody"/>
        <w:bidi w:val="0"/>
        <w:spacing w:before="240" w:after="283"/>
        <w:jc w:val="both"/>
        <w:rPr>
          <w:rFonts w:ascii="Times New Roman" w:hAnsi="Times New Roman"/>
          <w:sz w:val="20"/>
        </w:rPr>
      </w:pPr>
      <w:r>
        <w:rPr>
          <w:rFonts w:ascii="Outfit;sans-serif" w:hAnsi="Outfit;sans-serif"/>
          <w:b/>
          <w:i/>
          <w:color w:val="00002D"/>
          <w:sz w:val="20"/>
        </w:rPr>
        <w:t>Provision for Income Taxes</w:t>
      </w:r>
      <w:r>
        <w:rPr>
          <w:rFonts w:ascii="Times New Roman" w:hAnsi="Times New Roman"/>
          <w:color w:val="00002D"/>
          <w:sz w:val="20"/>
        </w:rPr>
        <w:t xml:space="preserve"> </w:t>
      </w:r>
    </w:p>
    <w:p>
      <w:pPr>
        <w:pStyle w:val="TextBody"/>
        <w:bidi w:val="0"/>
        <w:jc w:val="both"/>
        <w:rPr/>
      </w:pPr>
      <w:r>
        <w:rPr/>
        <w:t> </w:t>
      </w:r>
    </w:p>
    <w:tbl>
      <w:tblPr>
        <w:tblW w:w="795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721"/>
        <w:gridCol w:w="181"/>
        <w:gridCol w:w="146"/>
        <w:gridCol w:w="146"/>
        <w:gridCol w:w="30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23,213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25,500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Provision for income taxes decreased $2.3 million in the six months ended June 30, 2026, compared to the six months ended June 30, 2025. The decrease was due primarily to increased permanent benefits and additional tax credits expected.</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00002D"/>
          <w:sz w:val="32"/>
        </w:rPr>
        <w:t>Liquidity and Capital Resources</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Cash, Cash Equivalents, and Borrowing Capacity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2026 and December 31, 2025, our principal sources of liquidity were cash and cash equivalents of $122.1 million and $190.5 million, respectively. As of June 30, 2026 and December 31, 2025, our borrowing capacity under the 2022 Revolver (as defined below) was $390.6 million.</w:t>
      </w:r>
    </w:p>
    <w:p>
      <w:pPr>
        <w:pStyle w:val="TextBody"/>
        <w:bidi w:val="0"/>
        <w:spacing w:before="240" w:after="283"/>
        <w:jc w:val="both"/>
        <w:rPr>
          <w:rFonts w:ascii="Times New Roman" w:hAnsi="Times New Roman"/>
          <w:sz w:val="20"/>
        </w:rPr>
      </w:pPr>
      <w:r>
        <w:rPr>
          <w:rFonts w:ascii="Outfit;sans-serif" w:hAnsi="Outfit;sans-serif"/>
          <w:b/>
          <w:color w:val="3465B0"/>
          <w:sz w:val="24"/>
        </w:rPr>
        <w:t>Sources and Uses of Cash</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cash flows related to discontinued operations for the six months ended June 30, 2025, have not been separated. Accordingly, the Unaudited Condensed Consolidated Statements of Cash Flows for the six months ended June 30, 2025, and the following discussions include the results of continuing and discontinued operations. For additional information on discontinued operations, including significant non-cash items and capital expenditures of discontinued operations, refer to Note 3 of the Unaudited Condensed Consolidated Financial Statements included elsewhere in this Quarterly Report.</w:t>
      </w:r>
    </w:p>
    <w:p>
      <w:pPr>
        <w:pStyle w:val="TextBody"/>
        <w:bidi w:val="0"/>
        <w:spacing w:before="240" w:after="283"/>
        <w:jc w:val="both"/>
        <w:rPr>
          <w:rFonts w:ascii="Times New Roman" w:hAnsi="Times New Roman"/>
          <w:sz w:val="20"/>
        </w:rPr>
      </w:pPr>
      <w:r>
        <w:rPr>
          <w:rFonts w:ascii="Outfit;sans-serif" w:hAnsi="Outfit;sans-serif"/>
          <w:color w:val="00002D"/>
          <w:sz w:val="20"/>
        </w:rPr>
        <w:t>During the six months ended June 30, 2026 and 2025, our cash flows from operating, investing, and financing activities, as reflected in the Unaudited Condensed Consolidated Statements of Cash Flows, were as follows:</w:t>
      </w:r>
      <w:r>
        <w:rPr>
          <w:rFonts w:ascii="Times New Roman" w:hAnsi="Times New Roman"/>
          <w:color w:val="00002D"/>
          <w:sz w:val="20"/>
        </w:rPr>
        <w:t xml:space="preserve"> </w:t>
      </w:r>
    </w:p>
    <w:p>
      <w:pPr>
        <w:pStyle w:val="TextBody"/>
        <w:bidi w:val="0"/>
        <w:jc w:val="both"/>
        <w:rPr/>
      </w:pPr>
      <w:r>
        <w:rPr/>
        <w:t> </w:t>
      </w:r>
    </w:p>
    <w:tbl>
      <w:tblPr>
        <w:tblW w:w="8984" w:type="dxa"/>
        <w:jc w:val="left"/>
        <w:tblInd w:w="0" w:type="dxa"/>
        <w:tblLayout w:type="fixed"/>
        <w:tblCellMar>
          <w:top w:w="28" w:type="dxa"/>
          <w:left w:w="28" w:type="dxa"/>
          <w:bottom w:w="28" w:type="dxa"/>
          <w:right w:w="28" w:type="dxa"/>
        </w:tblCellMar>
      </w:tblPr>
      <w:tblGrid>
        <w:gridCol w:w="5911"/>
        <w:gridCol w:w="146"/>
        <w:gridCol w:w="226"/>
        <w:gridCol w:w="961"/>
        <w:gridCol w:w="181"/>
        <w:gridCol w:w="146"/>
        <w:gridCol w:w="226"/>
        <w:gridCol w:w="961"/>
        <w:gridCol w:w="226"/>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Six Months Ended </w:t>
              <w:b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164,440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140,998</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(13,602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(15,476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9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used in financing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(218,373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(200,537</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Impact of foreign currency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decrease in cash, cash equivalents, and restricted cash</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(68,382</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(72,880</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operations have been financed primarily from operating activities. During the six months ended June 30, 2026 and 2025, we generated cash from operating activities of $164.4 million and $141.0 million, respectively.</w:t>
      </w:r>
    </w:p>
    <w:p>
      <w:pPr>
        <w:pStyle w:val="TextBody"/>
        <w:bidi w:val="0"/>
        <w:spacing w:before="240" w:after="283"/>
        <w:jc w:val="both"/>
        <w:rPr>
          <w:rFonts w:ascii="Times New Roman" w:hAnsi="Times New Roman"/>
          <w:sz w:val="20"/>
        </w:rPr>
      </w:pPr>
      <w:r>
        <w:rPr>
          <w:rFonts w:ascii="Outfit;sans-serif" w:hAnsi="Outfit;sans-serif"/>
          <w:color w:val="00002D"/>
          <w:sz w:val="20"/>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or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August 6, 2026, we amended the Credit Agreement to, among other things, (i) reduce our aggregate revolving commitment under the Credit Agreement from $400.0 million to $200.0 million, or the Amended Revolver, and (ii) extend the maturity date of the Amended Revolver from September 26, 2027 to August 6, 2031. Refer to Note 14 of the Unaudited Condensed Consolidated Financial Statements included elsewhere in this Quarterly Report for more information.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2026 and December 31, 2025, there were no borrowings and $9.4 million in letters of credit outstanding under the 2022 Revolver Sub-facility associated with our leases, which reduced the borrowing capacity under the 2022 Revolver to $390.6 million.</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believe that our existing sources of liquidity, including access to the Amended Revolver, will be sufficient to fund our operations for at least the next 12 months from the date of the filing of this Quarterly Report. Our future capital requirements will depend on many factors, including our revenue; expenses associated with our sales and marketing activities and the support of our product, technology, and development efforts; activity under the 2026 Share Repurchase Program (as defined below); and our investments in international markets. Cash from operations could also be affected by various risks and uncertainties, including but not limited to macroeconomic effects and other risks detailed more specifically in the “Risk Factors” section in Part I, Item 1A in our Annual Report.</w:t>
      </w:r>
    </w:p>
    <w:p>
      <w:pPr>
        <w:pStyle w:val="TextBody"/>
        <w:bidi w:val="0"/>
        <w:spacing w:before="240" w:after="160"/>
        <w:jc w:val="both"/>
        <w:rPr>
          <w:rFonts w:ascii="Times New Roman" w:hAnsi="Times New Roman"/>
          <w:sz w:val="20"/>
        </w:rPr>
      </w:pPr>
      <w:r>
        <w:rPr>
          <w:rFonts w:ascii="Outfit;sans-serif" w:hAnsi="Outfit;sans-serif"/>
          <w:color w:val="00002D"/>
          <w:sz w:val="20"/>
        </w:rPr>
        <w:t>In February 2026 we announced that our Board of Directors authorized a program pursuant to which we may purchase up to $250.0 million of our Class A common stock, or the 2026 Share Repurchase Program. Share repurchases under the 2026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or the Exchange Act. The 2026 Share Repurchase Program does not obligate us to repurchase any minimum dollar amount or number of shares. The 2026 Share Repurchase Program has an expiration date of December 31, 2026, and prior to its expiration may be modified, suspended, or discontinued by our Board of Directors at any time without prior notice. All repurchased shares under the 2026 Share Repurchase Program will be retired. We have funded share repurchases and expect to continue to fund share repurchases under the 2026 Share Repurchase Program through cash on hand and cash generated from operations.</w:t>
      </w:r>
      <w:r>
        <w:rPr>
          <w:rFonts w:ascii="Times New Roman" w:hAnsi="Times New Roman"/>
          <w:color w:val="00002D"/>
          <w:sz w:val="20"/>
        </w:rPr>
        <w:t xml:space="preserve"> </w:t>
      </w:r>
    </w:p>
    <w:p>
      <w:pPr>
        <w:pStyle w:val="TextBody"/>
        <w:bidi w:val="0"/>
        <w:spacing w:before="80" w:after="160"/>
        <w:jc w:val="both"/>
        <w:rPr>
          <w:rFonts w:ascii="Times New Roman" w:hAnsi="Times New Roman"/>
          <w:sz w:val="20"/>
        </w:rPr>
      </w:pPr>
      <w:r>
        <w:rPr>
          <w:rFonts w:ascii="Outfit;sans-serif" w:hAnsi="Outfit;sans-serif"/>
          <w:color w:val="00002D"/>
          <w:sz w:val="20"/>
        </w:rPr>
        <w:t>During the three months ended June 30, 2026, we repurchased and retired 946,971 shares of our Class A common stock for $29.2 million, exclusive of commissions and excise tax, at an average cost of $30.88 per share, under the 2026 Share Repurchase Program. During the six months ended June 30, 2026, we repurchased and retired 6,288,683 shares of our Class A common stock for $204.2 million, exclusive of commissions and excise tax, at an average cost of $32.48 per share, under the 2026 Share Repurchase Program. As of June 30, 2026, we had remaining authorization to purchase up to $45.8 million of our Class A common stock under the 2026 Share Repurchase Program.</w:t>
      </w:r>
      <w:r>
        <w:rPr>
          <w:rFonts w:ascii="Times New Roman" w:hAnsi="Times New Roman"/>
          <w:color w:val="00002D"/>
          <w:sz w:val="20"/>
        </w:rPr>
        <w:t xml:space="preserve"> </w:t>
      </w:r>
    </w:p>
    <w:p>
      <w:pPr>
        <w:pStyle w:val="TextBody"/>
        <w:bidi w:val="0"/>
        <w:spacing w:before="80" w:after="283"/>
        <w:jc w:val="both"/>
        <w:rPr>
          <w:rFonts w:ascii="Times New Roman" w:hAnsi="Times New Roman"/>
          <w:sz w:val="20"/>
        </w:rPr>
      </w:pPr>
      <w:r>
        <w:rPr>
          <w:rFonts w:ascii="Outfit;sans-serif" w:hAnsi="Outfit;sans-serif"/>
          <w:color w:val="00002D"/>
          <w:sz w:val="20"/>
        </w:rPr>
        <w:t>In November 2024 we announced that our Board of Directors authorized a share repurchase program, or the Original 2025 Share Repurchase Program, pursuant to which we could purchase up to $200.0 million of our Class A common stock. In August 2025 we announced that our Board of Directors amended the Original 2025 Share Repurchase Program to increase the authorization by an additional $150.0 million, for a total authorization to purchase up to $350.0 million of our Class A common stock, and extended the expiration of the Original 2025 Share Repurchase Program from December 31, 2025 to July 31, 2026, or as amended, the 2025 Share Repurchase Program. The 2025 Share Repurchase Program was completed in November 2025. All repurchased shares under the 2025 Share Repurchase Program were retired.</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2025, we repurchased and retired 11,004 shares of our Class A common stock for $0.3 million, exclusive of commissions and excise tax, at an average cost of $29.89 per share under the Original 2025 Share Repurchase Program. During the six months ended June 30, 2025, we repurchased and retired 5,930,439 shares of our Class A common stock for $184.5 million, exclusive of commissions and excise tax, at an average cost of $31.12 per share under the Original 2025 Share Repurchase Program.</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00"/>
          <w:sz w:val="20"/>
        </w:rPr>
        <w:t>To the extent that our operating income, existing cash, cash equivalents, and our borrowing c</w:t>
      </w:r>
      <w:r>
        <w:rPr>
          <w:rFonts w:ascii="Outfit;sans-serif" w:hAnsi="Outfit;sans-serif"/>
          <w:color w:val="00002D"/>
          <w:sz w:val="20"/>
        </w:rPr>
        <w:t>apacity under the Amended Revolver are insufficient to fund our future activities, we may need to raise additional funds through a public or private equity or debt financing. Additional funds may not be available on terms favorable to us, or at all. See “</w:t>
      </w:r>
      <w:r>
        <w:rPr>
          <w:rFonts w:ascii="Outfit;sans-serif" w:hAnsi="Outfit;sans-serif"/>
          <w:i/>
          <w:color w:val="00002D"/>
          <w:sz w:val="20"/>
        </w:rPr>
        <w:t xml:space="preserve">Risk Factors—Risks Related to Our Operations—We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 </w:t>
      </w:r>
      <w:r>
        <w:rPr>
          <w:rFonts w:ascii="Outfit;sans-serif" w:hAnsi="Outfit;sans-serif"/>
          <w:color w:val="00002D"/>
          <w:sz w:val="20"/>
        </w:rPr>
        <w:t>in Part I, Item 1A in our Annual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i/>
          <w:color w:val="00002D"/>
          <w:sz w:val="20"/>
        </w:rPr>
        <w:t>Operating Activities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provided by operating activities of $164.4 million during the six months ended June 30, 2026, was due primarily to consolidated net income of $81.4 million, adjusted for $26.6 million of stock-based compensation expense for equity awards to employees, $20.2 million of impairment primarily related to the 121 First Street lease, $15.1 million of depreciation and amortization expense, and $9.7 million of amortization of deferred contract costs. Net cash provided by operating activities was also due to a $13.0 million decrease in prepaid expenses, prepaid income taxes, and other current assets driven primarily by a decrease in prepaid income taxes and a $6.5 million increase in accounts payable due to timing of vendor payments, and was offset in part by a $9.7 million increase in deferred contract costs.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provided by operating activities of $141.0 million during the six months ended June 30, 2025, was due primarily to consolidated net income of $61.4 million, adjusted for $32.6 million of impairments related to the prior year impairment of the CarOffer reporting unit, $25.9 million of stock-based compensation expense for equity awards to employees, $13.3 million of deferred taxes, $13.2 million of depreciation and amortization expense, and $7.8 million of amortization of deferred contract costs. Net cash provided by operating activities was also due to an $8.9 million decrease in prepaid expenses, prepaid income taxes, and other current assets, a $6.7 million increase in accounts payable, and a $6.0 million increase in lease obligations, and was offset in part by a $9.4 million increase in deferred contract costs.</w:t>
      </w:r>
    </w:p>
    <w:p>
      <w:pPr>
        <w:pStyle w:val="TextBody"/>
        <w:bidi w:val="0"/>
        <w:spacing w:before="240" w:after="283"/>
        <w:jc w:val="both"/>
        <w:rPr>
          <w:rFonts w:ascii="Times New Roman" w:hAnsi="Times New Roman"/>
          <w:sz w:val="20"/>
        </w:rPr>
      </w:pPr>
      <w:r>
        <w:rPr>
          <w:rFonts w:ascii="Outfit;sans-serif" w:hAnsi="Outfit;sans-serif"/>
          <w:b/>
          <w:i/>
          <w:color w:val="00002D"/>
          <w:sz w:val="20"/>
        </w:rPr>
        <w:t>Investing Activities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investing activities of $13.6 million during the six months ended June 30, 2026, was due primarily to $12.6 million in capitalized website development costs due to continued investment in our product offerings.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investing activities of $15.5 million during the six months ended June 30, 2025, was due to $11.7 million in capitalized website development costs related to continued investments in our product offerings and $3.8 million in purchases of property and equipment, primarily related to additions in capitalized internal-use software.</w:t>
      </w:r>
    </w:p>
    <w:p>
      <w:pPr>
        <w:pStyle w:val="TextBody"/>
        <w:bidi w:val="0"/>
        <w:spacing w:before="240" w:after="283"/>
        <w:jc w:val="both"/>
        <w:rPr>
          <w:rFonts w:ascii="Times New Roman" w:hAnsi="Times New Roman"/>
          <w:sz w:val="20"/>
        </w:rPr>
      </w:pPr>
      <w:r>
        <w:rPr>
          <w:rFonts w:ascii="Outfit;sans-serif" w:hAnsi="Outfit;sans-serif"/>
          <w:b/>
          <w:i/>
          <w:color w:val="00002D"/>
          <w:sz w:val="20"/>
        </w:rPr>
        <w:t>Financing Activities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financing activities of $218.4 million during the six months ended June 30, 2026, was due primarily to $202.1 million in repurchases of our Class A common stock under the 2026 Share Repurchase Program and $13.6 million in payments of withholding taxes on net share settlements of restricted stock units.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financing activities of $200.5 million during the six months ended June 30, 2025, was due primarily to $184.6 million in repurchases of our Class A common stock under the Original 2025 Share Repurchase Program and $15.3 million in payment of withholding taxes on net share settlements of restricted stock units.</w:t>
      </w:r>
    </w:p>
    <w:p>
      <w:pPr>
        <w:pStyle w:val="TextBody"/>
        <w:bidi w:val="0"/>
        <w:spacing w:before="240" w:after="283"/>
        <w:jc w:val="both"/>
        <w:rPr>
          <w:rFonts w:ascii="Times New Roman" w:hAnsi="Times New Roman"/>
          <w:sz w:val="20"/>
        </w:rPr>
      </w:pPr>
      <w:r>
        <w:rPr>
          <w:rFonts w:ascii="Outfit;sans-serif" w:hAnsi="Outfit;sans-serif"/>
          <w:b/>
          <w:color w:val="00002D"/>
          <w:sz w:val="32"/>
        </w:rPr>
        <w:t>Contractual Obligations and Known Future Cash Requirements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2026, there were no material changes in our contractual obligations and commitments from those disclosed in our Annual Report, other than those appearing in the notes to the Unaudited Condensed Consolidated Financial Statements included elsewhere in this Quarterly Report, which are hereby incorporated by reference.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Seasonality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Across the retail automotive industry, consumer activity tends to be highest in the spring and summer months, aligning with tax refund season and increased discretionary spending, as well as the rollout of new vehicle models. This seasonality in vehicle purchasing behavior can influence dealer advertising budgets and inventory levels, which, in turn, could impact demand for our products and services.</w:t>
      </w:r>
    </w:p>
    <w:p>
      <w:pPr>
        <w:pStyle w:val="TextBody"/>
        <w:bidi w:val="0"/>
        <w:spacing w:before="240" w:after="283"/>
        <w:jc w:val="both"/>
        <w:rPr>
          <w:rFonts w:ascii="Times New Roman" w:hAnsi="Times New Roman"/>
          <w:sz w:val="20"/>
        </w:rPr>
      </w:pPr>
      <w:r>
        <w:rPr>
          <w:rFonts w:ascii="Outfit;sans-serif" w:hAnsi="Outfit;sans-serif"/>
          <w:color w:val="00002D"/>
          <w:sz w:val="20"/>
        </w:rPr>
        <w:t>Historically, our operating results have been more influenced by macroeconomic conditions that impact the volume of vehicle sales, such as slower growth or recession, higher interest rates, unemployment, inflation, consumer confidence in the economy, consumer debt levels, labor disruptions, work stoppages, or strikes, geop</w:t>
      </w:r>
      <w:r>
        <w:rPr>
          <w:rFonts w:ascii="Outfit;sans-serif" w:hAnsi="Outfit;sans-serif"/>
          <w:color w:val="000000"/>
          <w:sz w:val="20"/>
        </w:rPr>
        <w:t>olitical conflicts, foreign currency exchange rate fluctuations, and other matters that influence consumer spending and preferences, than by consistent seasonal patterns</w:t>
      </w:r>
      <w:r>
        <w:rPr>
          <w:rFonts w:ascii="Outfit;sans-serif" w:hAnsi="Outfit;sans-serif"/>
          <w:color w:val="00002D"/>
          <w:sz w:val="20"/>
        </w:rPr>
        <w:t>.</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To date, our </w:t>
      </w:r>
      <w:r>
        <w:rPr>
          <w:rFonts w:ascii="Outfit;sans-serif" w:hAnsi="Outfit;sans-serif"/>
          <w:color w:val="000000"/>
          <w:sz w:val="20"/>
        </w:rPr>
        <w:t>operating results have not been materially impacted by the general seasonality of the automotive industry. However, as our platform and offerings continue to scale, including our growing suite of software and data products for consumers and dealers, we may become more susceptible to seasonal trends that affect vehicle transactions, consumer engagement, or dealer marketing behavior.</w:t>
      </w:r>
    </w:p>
    <w:p>
      <w:pPr>
        <w:pStyle w:val="TextBody"/>
        <w:bidi w:val="0"/>
        <w:spacing w:before="240" w:after="283"/>
        <w:jc w:val="both"/>
        <w:rPr>
          <w:rFonts w:ascii="Times New Roman" w:hAnsi="Times New Roman"/>
          <w:sz w:val="20"/>
        </w:rPr>
      </w:pPr>
      <w:r>
        <w:rPr>
          <w:rFonts w:ascii="Outfit;sans-serif" w:hAnsi="Outfit;sans-serif"/>
          <w:color w:val="00002D"/>
          <w:sz w:val="20"/>
        </w:rPr>
        <w:t>Accordingly, revenue and cost of revenue related to volume will fluctuate on a quarterly basis. Typical</w:t>
      </w:r>
      <w:r>
        <w:rPr>
          <w:rFonts w:ascii="Times New Roman" w:hAnsi="Times New Roman"/>
          <w:color w:val="FF0000"/>
          <w:sz w:val="20"/>
        </w:rPr>
        <w:t xml:space="preserve"> </w:t>
      </w:r>
      <w:r>
        <w:rPr>
          <w:rFonts w:ascii="Outfit;sans-serif" w:hAnsi="Outfit;sans-serif"/>
          <w:color w:val="00002D"/>
          <w:sz w:val="20"/>
        </w:rPr>
        <w:t>seasonality trends may not be observed in periods where other external factors, such as changes in international trade policies, tariffs, higher interest rates, and other macroeconomic issues, more significantly impact the industry.</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00002D"/>
          <w:sz w:val="32"/>
        </w:rPr>
        <w:t>Off-Balance Sheet Arrangements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As of June 30, 2026 and December 31, 2025, we did not have any off-balance sheet arrangements or material leases that are less than 12 months in duration, that have or are reasonably likely to have a current or future material effect on our financial condition, changes in financial condition, revenue or expenses, results of operations, liquidity, capital expenditures, or capital resources.</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Critical Accounting Estimates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 during the reporting period.</w:t>
      </w:r>
    </w:p>
    <w:p>
      <w:pPr>
        <w:pStyle w:val="TextBody"/>
        <w:bidi w:val="0"/>
        <w:spacing w:before="240" w:after="283"/>
        <w:jc w:val="both"/>
        <w:rPr>
          <w:rFonts w:ascii="Times New Roman" w:hAnsi="Times New Roman"/>
          <w:sz w:val="20"/>
        </w:rPr>
      </w:pPr>
      <w:r>
        <w:rPr>
          <w:rFonts w:ascii="Outfit;sans-serif" w:hAnsi="Outfit;sans-serif"/>
          <w:color w:val="00002D"/>
          <w:sz w:val="20"/>
        </w:rPr>
        <w:t>Although we regularly assess these estimates, actual results could differ materially from these estimates. We base our estimates on historical experience and various other assumptions that we believe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Critical estimates relied upon in preparing the Unaudited Condensed Consolidated Financial Statements include the capitalization and useful lives of product, technology, and development costs for website development, internal-use software, and hosting arrangements. Accordingly, we consider this to be our critical accounting estimate and believe that of our significant accounting policies, this involves the greatest degree of judgment and complexity.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a detailed explanation of the judgments made in these areas, refer to Note 2 of the Unaudited Condensed Consolidated Financial Statements included elsewhere in this Quarterly Report and “Management’s Discussion and Analysis of Financial Condition and Results of Operations” in our Annual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00002D"/>
          <w:sz w:val="32"/>
        </w:rPr>
        <w:t>Recently Issued Accounting Pronouncements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Information concerning recently issued accounting pronouncements can be found in Note 2 of the Unaudited Condensed Consolidated Financial Statements included elsewhere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40"/>
        </w:rPr>
      </w:pPr>
      <w:bookmarkStart w:id="13" w:name="item_3_quantitative_qualitative_disclosu"/>
      <w:bookmarkEnd w:id="13"/>
      <w:r>
        <w:rPr>
          <w:rFonts w:ascii="Outfit;sans-serif" w:hAnsi="Outfit;sans-serif"/>
          <w:b/>
          <w:color w:val="3465B0"/>
          <w:sz w:val="40"/>
        </w:rPr>
        <w:t>Item 3. Quantitative and Qualitative Disclosures about Market Risk.</w:t>
      </w:r>
    </w:p>
    <w:p>
      <w:pPr>
        <w:pStyle w:val="TextBody"/>
        <w:bidi w:val="0"/>
        <w:spacing w:before="240" w:after="283"/>
        <w:jc w:val="both"/>
        <w:rPr>
          <w:rFonts w:ascii="Times New Roman" w:hAnsi="Times New Roman"/>
          <w:sz w:val="20"/>
        </w:rPr>
      </w:pPr>
      <w:r>
        <w:rPr>
          <w:rFonts w:ascii="Outfit;sans-serif" w:hAnsi="Outfit;sans-serif"/>
          <w:color w:val="00002D"/>
          <w:sz w:val="20"/>
        </w:rPr>
        <w:t>Market risk represents the risk of loss that may affect our financial position due to adverse changes in financial market prices and rates. We are exposed to market risks as described below.</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00002D"/>
          <w:sz w:val="32"/>
        </w:rPr>
        <w:t>Interest Rate Risk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2026, our exposure to market risk associated with changes in interest rates related primarily to the 2022 Revolver, which allows us to borrow up to $400.0 million. The applicable interest rate is, at our option, based on a number of different benchmark rates and applicable spreads, as determined by the Consolidated Secured Net Leverage Ratio (as defined in Note 8 of the Unaudited Condensed Consolidated Financial Statements included elsewhere in this Quarterly Report). A fluctuation in interest rates does not have an impact on interest expense unless the 2022 Revolver is drawn upon. Such impact would also be dependent on the amount of the draw. As of June 30, 2026 and December 31, 2025, there were no borrowings and $9.4 million in letters of credit outstanding under the 2022 Revolver Sub-facility associated with our leases, which reduced the borrowing capacity under the 2022 Revolver to $390.6 million.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June 30, 2026 and December 31, 2025, we had cash and cash equivalents of $122.1 million and $190.5 million, respectively, which consisted of cash on deposit with banks and money market funds.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Such interest-earning instruments carry a degree of interest rate risk. For the three months ended June 30, 2026 and 2025 and for the six months ended June 30, 2026 and 2025, fluctuations resulting from changes in the interest rate environment in interest income have not been material to our business, financial condition, or results of operations. Given recent changes in the interest rate environment and in an effort to ensure liquidity, we expect variable returns from our cash equivalents for the foreseeable future.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do not enter into investments for trading or speculative purposes and have not used any derivative financial instruments to manage our interest rate risk exposure. As circumstances change, we will continue to reassess our approach to managing these risks.</w:t>
      </w:r>
    </w:p>
    <w:p>
      <w:pPr>
        <w:pStyle w:val="TextBody"/>
        <w:bidi w:val="0"/>
        <w:spacing w:before="240" w:after="283"/>
        <w:jc w:val="both"/>
        <w:rPr>
          <w:rFonts w:ascii="Times New Roman" w:hAnsi="Times New Roman"/>
          <w:sz w:val="20"/>
        </w:rPr>
      </w:pPr>
      <w:r>
        <w:rPr>
          <w:rFonts w:ascii="Outfit;sans-serif" w:hAnsi="Outfit;sans-serif"/>
          <w:b/>
          <w:color w:val="00002D"/>
          <w:sz w:val="32"/>
        </w:rPr>
        <w:t>Inflation Risk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and for the three and six months ended June 30, 2026 and 2025, we did not believe that inflation had a material effect on our business, financial condition, or results of operations. However, if our costs were to become subject to significant inflationary pressures, we may not be able to fully offset such higher costs through price increases. Our inability or failure to do so could harm our business, operating results, and financial condition. Additionally, inflationary pressures could negatively impact vehicle purchasing behavior, which could have an adverse impact on our financial results.</w:t>
      </w:r>
    </w:p>
    <w:p>
      <w:pPr>
        <w:pStyle w:val="TextBody"/>
        <w:bidi w:val="0"/>
        <w:spacing w:before="240" w:after="283"/>
        <w:jc w:val="both"/>
        <w:rPr>
          <w:rFonts w:ascii="Times New Roman" w:hAnsi="Times New Roman"/>
          <w:sz w:val="20"/>
        </w:rPr>
      </w:pPr>
      <w:r>
        <w:rPr>
          <w:rFonts w:ascii="Outfit;sans-serif" w:hAnsi="Outfit;sans-serif"/>
          <w:b/>
          <w:color w:val="00002D"/>
          <w:sz w:val="32"/>
        </w:rPr>
        <w:t>Foreign Currency Exchange Risk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and for the three and six months ended June 30, 2026 and 2025, we had foreign currency exposures in the British pound, the Euro, and the Canadian dollar, but fluctuations resulting from exchange rates between these foreign currencies and the U.S. dollar have not been material to our business, financial condition, or results of operations. However, fluctuations in exchange rates in the future may have a material impact on our business, financial condition, or results of operations. We have not used any financial instruments to manage our foreign currency exchange risk exposure. As circumstances change, we will continue to reassess our approach to managing these risks.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bookmarkStart w:id="14" w:name="item_4_controls_procedures"/>
      <w:bookmarkEnd w:id="14"/>
      <w:r>
        <w:rPr>
          <w:rFonts w:ascii="Outfit;sans-serif" w:hAnsi="Outfit;sans-serif"/>
          <w:b/>
          <w:color w:val="3465B0"/>
          <w:sz w:val="40"/>
        </w:rPr>
        <w:t>Item 4. Controls</w:t>
      </w:r>
      <w:r>
        <w:rPr>
          <w:rFonts w:ascii="Times New Roman" w:hAnsi="Times New Roman"/>
          <w:color w:val="3465B0"/>
          <w:sz w:val="20"/>
        </w:rPr>
        <w:t xml:space="preserve"> </w:t>
      </w:r>
      <w:r>
        <w:rPr>
          <w:rFonts w:ascii="Outfit;sans-serif" w:hAnsi="Outfit;sans-serif"/>
          <w:b/>
          <w:color w:val="3465B0"/>
          <w:sz w:val="40"/>
        </w:rPr>
        <w:t>and Procedures</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Evaluation of Disclosure Controls and Procedures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Based on such evaluation, our principal executive officer and principal financial officer has concluded that as of such date, our disclosure controls and procedures were effective at the reasonable assurance level.</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Changes in Internal Control over Financial Reporting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center"/>
        <w:rPr>
          <w:rFonts w:ascii="Outfit;sans-serif" w:hAnsi="Outfit;sans-serif"/>
          <w:b/>
          <w:color w:val="3465B0"/>
          <w:sz w:val="40"/>
        </w:rPr>
      </w:pPr>
      <w:bookmarkStart w:id="15" w:name="part_iior_information"/>
      <w:bookmarkEnd w:id="15"/>
      <w:r>
        <w:rPr>
          <w:rFonts w:ascii="Outfit;sans-serif" w:hAnsi="Outfit;sans-serif"/>
          <w:b/>
          <w:color w:val="3465B0"/>
          <w:sz w:val="40"/>
        </w:rPr>
        <w:t>PART II—OTHER INFORMATION</w:t>
      </w:r>
    </w:p>
    <w:p>
      <w:pPr>
        <w:pStyle w:val="TextBody"/>
        <w:bidi w:val="0"/>
        <w:spacing w:before="240" w:after="283"/>
        <w:jc w:val="left"/>
        <w:rPr>
          <w:rFonts w:ascii="Outfit;sans-serif" w:hAnsi="Outfit;sans-serif"/>
          <w:b/>
          <w:color w:val="3465B0"/>
          <w:sz w:val="40"/>
        </w:rPr>
      </w:pPr>
      <w:bookmarkStart w:id="16" w:name="item_1_legal_proceedings"/>
      <w:bookmarkEnd w:id="16"/>
      <w:r>
        <w:rPr>
          <w:rFonts w:ascii="Outfit;sans-serif" w:hAnsi="Outfit;sans-serif"/>
          <w:b/>
          <w:color w:val="3465B0"/>
          <w:sz w:val="40"/>
        </w:rPr>
        <w:t>Item 1. Legal Proceedings.</w:t>
      </w:r>
    </w:p>
    <w:p>
      <w:pPr>
        <w:pStyle w:val="TextBody"/>
        <w:bidi w:val="0"/>
        <w:spacing w:before="240" w:after="283"/>
        <w:jc w:val="both"/>
        <w:rPr>
          <w:rFonts w:ascii="Times New Roman" w:hAnsi="Times New Roman"/>
          <w:sz w:val="20"/>
        </w:rPr>
      </w:pPr>
      <w:r>
        <w:rPr>
          <w:rFonts w:ascii="Outfit;sans-serif" w:hAnsi="Outfit;sans-serif"/>
          <w:color w:val="00002D"/>
          <w:sz w:val="20"/>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r>
        <w:rPr>
          <w:rFonts w:ascii="Times New Roman" w:hAnsi="Times New Roman"/>
          <w:color w:val="00002D"/>
          <w:sz w:val="20"/>
        </w:rPr>
        <w:t xml:space="preserve"> </w:t>
      </w:r>
    </w:p>
    <w:p>
      <w:pPr>
        <w:pStyle w:val="TextBody"/>
        <w:bidi w:val="0"/>
        <w:spacing w:before="240" w:after="283"/>
        <w:jc w:val="left"/>
        <w:rPr>
          <w:rFonts w:ascii="Outfit;sans-serif" w:hAnsi="Outfit;sans-serif"/>
          <w:b/>
          <w:color w:val="3465B0"/>
          <w:sz w:val="40"/>
        </w:rPr>
      </w:pPr>
      <w:bookmarkStart w:id="17" w:name="item_1a_risk_factors"/>
      <w:bookmarkEnd w:id="17"/>
      <w:r>
        <w:rPr>
          <w:rFonts w:ascii="Outfit;sans-serif" w:hAnsi="Outfit;sans-serif"/>
          <w:b/>
          <w:color w:val="3465B0"/>
          <w:sz w:val="40"/>
        </w:rPr>
        <w:t>Item 1A. Risk Factors.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Careful consideration should be given to the factors discussed in Part I, Item 1A, “Risk Factors,” in our Annual Report, which could materially affect our business, financial condition, or future results, in addition to the information set forth in this Quarterly Report.</w:t>
      </w:r>
    </w:p>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color w:val="3465B0"/>
          <w:sz w:val="40"/>
        </w:rPr>
      </w:pPr>
      <w:bookmarkStart w:id="18" w:name="item_2_unreg_sale_securities"/>
      <w:bookmarkEnd w:id="18"/>
      <w:r>
        <w:rPr>
          <w:rFonts w:ascii="Outfit;sans-serif" w:hAnsi="Outfit;sans-serif"/>
          <w:b/>
          <w:color w:val="3465B0"/>
          <w:sz w:val="40"/>
        </w:rPr>
        <w:t>Item 2. Unregistered Sales of Equity Securities and Use of Proceeds.</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Recent Sales of Unregistered Securities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None.</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Purchases of Equity Securities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following table summarizes information about our purchases of our Class A common stock for each of the months during the three months ended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58"/>
        <w:gridCol w:w="146"/>
        <w:gridCol w:w="210"/>
        <w:gridCol w:w="1285"/>
        <w:gridCol w:w="146"/>
        <w:gridCol w:w="146"/>
        <w:gridCol w:w="380"/>
        <w:gridCol w:w="1092"/>
        <w:gridCol w:w="146"/>
        <w:gridCol w:w="146"/>
        <w:gridCol w:w="295"/>
        <w:gridCol w:w="1801"/>
        <w:gridCol w:w="146"/>
        <w:gridCol w:w="146"/>
        <w:gridCol w:w="561"/>
        <w:gridCol w:w="1905"/>
        <w:gridCol w:w="396"/>
      </w:tblGrid>
      <w:tr>
        <w:trPr/>
        <w:tc>
          <w:tcPr>
            <w:tcW w:w="1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258"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 Number of Shares of Common Stock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Weighted Average Price Paid per Share of Common Stock</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Total Number of Shares of Common Stock Purchased as Part of Publicly Announced Plans or Programs</w:t>
            </w:r>
            <w:r>
              <w:rPr>
                <w:rFonts w:ascii="Outfit;sans-serif" w:hAnsi="Outfit;sans-serif"/>
                <w:b/>
                <w:color w:val="000000"/>
                <w:sz w:val="11"/>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Maximum Number (or Approximate Dollar Value) of Shares of Common Stock that May Yet be Purchased Under the Plans or Programs</w:t>
              <w:br/>
              <w:t>(in thousands)</w:t>
            </w:r>
            <w:r>
              <w:rPr>
                <w:rFonts w:ascii="Outfit;sans-serif" w:hAnsi="Outfit;sans-serif"/>
                <w:b/>
                <w:color w:val="000000"/>
                <w:sz w:val="11"/>
              </w:rPr>
              <w:t>(2)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258"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April 1, 2026 through April 30, 2026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90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74,998</w:t>
            </w:r>
          </w:p>
        </w:tc>
        <w:tc>
          <w:tcPr>
            <w:tcW w:w="39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May 1, 2026 through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90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74,998</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8"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June 1, 2026 through June 30, 2026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946,971</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30.88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946,971</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90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45,756</w:t>
            </w:r>
          </w:p>
        </w:tc>
        <w:tc>
          <w:tcPr>
            <w:tcW w:w="39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946,971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946,971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90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45,756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Outfit;sans-serif" w:hAnsi="Outfit;sans-serif"/>
          <w:color w:val="00002D"/>
          <w:sz w:val="16"/>
        </w:rPr>
      </w:pPr>
      <w:r>
        <w:rPr>
          <w:rFonts w:ascii="Outfit;sans-serif" w:hAnsi="Outfit;sans-serif"/>
          <w:color w:val="00002D"/>
          <w:sz w:val="16"/>
        </w:rPr>
        <w:t>(1)</w:t>
      </w:r>
    </w:p>
    <w:p>
      <w:pPr>
        <w:pStyle w:val="TextBody"/>
        <w:bidi w:val="0"/>
        <w:spacing w:before="0" w:after="0"/>
        <w:jc w:val="both"/>
        <w:rPr>
          <w:rFonts w:ascii="Outfit;sans-serif" w:hAnsi="Outfit;sans-serif"/>
          <w:color w:val="00002D"/>
          <w:sz w:val="16"/>
        </w:rPr>
      </w:pPr>
      <w:r>
        <w:rPr>
          <w:rFonts w:ascii="Outfit;sans-serif" w:hAnsi="Outfit;sans-serif"/>
          <w:color w:val="00002D"/>
          <w:sz w:val="16"/>
        </w:rPr>
        <w:t>The weighted average price paid per share of our Class A common stock does not include cost of commissions.</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In February 2026 we announced that our Board of Directors authorized the 2026 Share Repurchase Program pursuant to which we may purchase up to $250.0 million of our Class A common stock. Share repurchases under the 2026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2026 Share Repurchase Program does not obligate us to repurchase any minimum dollar amount or number of shares. The 2026 Share Repurchase Program has an expiration date of December 31, 2026, and prior to its expiration may be modified, suspended, or discontinued by our Board of Directors at any time without prior notice. All repurchased shares under the 2026 Share Repurchase Program will be retired. We have funded share repurchases and expect to continue to fund share repurchases under the 2026 Share Repurchase Program through cash on hand and cash generated from operations.</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(3)</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total number of shares of our Class A common stock purchased as part of the 2026 Share Repurchase Program was inclusive of any shares purchased but not settled as of June 30, 2026.</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40"/>
        </w:rPr>
      </w:pPr>
      <w:bookmarkStart w:id="19" w:name="item_5_other_information"/>
      <w:bookmarkEnd w:id="19"/>
      <w:r>
        <w:rPr>
          <w:rFonts w:ascii="Outfit;sans-serif" w:hAnsi="Outfit;sans-serif"/>
          <w:b/>
          <w:color w:val="3465B0"/>
          <w:sz w:val="40"/>
        </w:rPr>
        <w:t>Item 5. Other Information</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Rule 10b5-1 Plan Trading Arrangements</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June 30, 2026, the following officers adopted</w:t>
      </w:r>
      <w:r>
        <w:rPr>
          <w:rFonts w:ascii="Times New Roman" w:hAnsi="Times New Roman"/>
          <w:color w:val="00002D"/>
          <w:sz w:val="20"/>
        </w:rPr>
        <w:t xml:space="preserve"> </w:t>
      </w:r>
      <w:r>
        <w:rPr>
          <w:rFonts w:ascii="Outfit;sans-serif" w:hAnsi="Outfit;sans-serif"/>
          <w:color w:val="00002D"/>
          <w:sz w:val="20"/>
        </w:rPr>
        <w:t>a “Rule 10b5-1 trading arrangement” (as defined in Item 408 of Regulation S-K) that is intended to satisfy the affirmative defense conditions of Rule 10b5-1(c) under the Exchange Act and our policies on insider trading: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09"/>
        <w:gridCol w:w="146"/>
        <w:gridCol w:w="1193"/>
        <w:gridCol w:w="146"/>
        <w:gridCol w:w="4767"/>
        <w:gridCol w:w="146"/>
        <w:gridCol w:w="1498"/>
      </w:tblGrid>
      <w:tr>
        <w:trPr/>
        <w:tc>
          <w:tcPr>
            <w:tcW w:w="2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2309"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Name &amp; 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Date Adopted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6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Aggregate Number of Shares of Class A Common Stock to be Purchased or Sold Pursuant to Trading Arrangement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8"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Expiration Date</w:t>
            </w:r>
          </w:p>
        </w:tc>
      </w:tr>
      <w:tr>
        <w:trPr/>
        <w:tc>
          <w:tcPr>
            <w:tcW w:w="2309"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Ismail Elshareef,</w:t>
              <w:br/>
              <w:t>Chief Product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May 13,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Up to 59,906</w:t>
            </w:r>
            <w:r>
              <w:rPr>
                <w:rFonts w:ascii="Times New Roman" w:hAnsi="Times New Roman"/>
                <w:color w:val="000000"/>
                <w:sz w:val="20"/>
              </w:rPr>
              <w:t xml:space="preserve"> </w:t>
            </w:r>
            <w:r>
              <w:rPr>
                <w:rFonts w:ascii="Outfit;sans-serif" w:hAnsi="Outfit;sans-serif"/>
                <w:color w:val="000000"/>
                <w:sz w:val="20"/>
              </w:rPr>
              <w:t>shares to be sold</w:t>
            </w:r>
            <w:r>
              <w:rPr>
                <w:rFonts w:ascii="Outfit;sans-serif" w:hAnsi="Outfit;sans-serif"/>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May 14, 2027</w:t>
            </w:r>
            <w:r>
              <w:rPr>
                <w:rFonts w:ascii="Outfit;sans-serif" w:hAnsi="Outfit;sans-serif"/>
                <w:color w:val="000000"/>
                <w:sz w:val="13"/>
              </w:rPr>
              <w:t>(2)</w:t>
            </w:r>
          </w:p>
        </w:tc>
      </w:tr>
      <w:tr>
        <w:trPr/>
        <w:tc>
          <w:tcPr>
            <w:tcW w:w="23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09"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Dafna Sarnoff,</w:t>
              <w:br/>
              <w:t>Chief Marketing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May 12,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Up to 64,568</w:t>
            </w:r>
            <w:r>
              <w:rPr>
                <w:rFonts w:ascii="Times New Roman" w:hAnsi="Times New Roman"/>
                <w:color w:val="000000"/>
                <w:sz w:val="20"/>
              </w:rPr>
              <w:t xml:space="preserve"> </w:t>
            </w:r>
            <w:r>
              <w:rPr>
                <w:rFonts w:ascii="Outfit;sans-serif" w:hAnsi="Outfit;sans-serif"/>
                <w:color w:val="000000"/>
                <w:sz w:val="20"/>
              </w:rPr>
              <w:t>shares to be sold</w:t>
            </w:r>
            <w:r>
              <w:rPr>
                <w:rFonts w:ascii="Outfit;sans-serif" w:hAnsi="Outfit;sans-serif"/>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May 14, 2027</w:t>
            </w:r>
            <w:r>
              <w:rPr>
                <w:rFonts w:ascii="Outfit;sans-serif" w:hAnsi="Outfit;sans-serif"/>
                <w:color w:val="000000"/>
                <w:sz w:val="13"/>
              </w:rPr>
              <w:t>(2)</w:t>
            </w:r>
          </w:p>
        </w:tc>
      </w:tr>
      <w:tr>
        <w:trPr/>
        <w:tc>
          <w:tcPr>
            <w:tcW w:w="23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Outfit;sans-serif" w:hAnsi="Outfit;sans-serif"/>
                <w:color w:val="000000"/>
                <w:sz w:val="20"/>
              </w:rPr>
              <w:t xml:space="preserve">Langley Steinert, </w:t>
              <w:br/>
              <w:t>Executive Chair and Chair of the Board of Directors</w:t>
            </w:r>
            <w:r>
              <w:rPr>
                <w:rFonts w:ascii="Outfit;sans-serif" w:hAnsi="Outfit;sans-serif"/>
                <w:color w:val="000000"/>
                <w:sz w:val="13"/>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May 29,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1,493,200</w:t>
            </w:r>
            <w:r>
              <w:rPr>
                <w:rFonts w:ascii="Times New Roman" w:hAnsi="Times New Roman"/>
                <w:color w:val="000000"/>
                <w:sz w:val="20"/>
              </w:rPr>
              <w:t xml:space="preserve"> </w:t>
            </w:r>
            <w:r>
              <w:rPr>
                <w:rFonts w:ascii="Outfit;sans-serif" w:hAnsi="Outfit;sans-serif"/>
                <w:color w:val="000000"/>
                <w:sz w:val="20"/>
              </w:rPr>
              <w:t>shares to be sold</w:t>
            </w:r>
            <w:r>
              <w:rPr>
                <w:rFonts w:ascii="Outfit;sans-serif" w:hAnsi="Outfit;sans-serif"/>
                <w:color w:val="000000"/>
                <w:sz w:val="13"/>
              </w:rPr>
              <w:t>(4)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February 26, 2027</w:t>
            </w:r>
            <w:r>
              <w:rPr>
                <w:rFonts w:ascii="Outfit;sans-serif" w:hAnsi="Outfit;sans-serif"/>
                <w:color w:val="000000"/>
                <w:sz w:val="13"/>
              </w:rPr>
              <w:t>(5)</w:t>
            </w:r>
          </w:p>
        </w:tc>
      </w:tr>
      <w:tr>
        <w:trPr/>
        <w:tc>
          <w:tcPr>
            <w:tcW w:w="23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09" w:type="dxa"/>
            <w:tcBorders/>
            <w:tcMar>
              <w:top w:w="0" w:type="dxa"/>
              <w:left w:w="0" w:type="dxa"/>
              <w:bottom w:w="0" w:type="dxa"/>
              <w:right w:w="0" w:type="dxa"/>
            </w:tcMar>
            <w:vAlign w:val="center"/>
          </w:tcPr>
          <w:p>
            <w:pPr>
              <w:pStyle w:val="TableContents"/>
              <w:bidi w:val="0"/>
              <w:jc w:val="left"/>
              <w:rPr>
                <w:rFonts w:ascii="Outfit;sans-serif" w:hAnsi="Outfit;sans-serif"/>
                <w:color w:val="000000"/>
                <w:sz w:val="20"/>
              </w:rPr>
            </w:pPr>
            <w:r>
              <w:rPr>
                <w:rFonts w:ascii="Outfit;sans-serif" w:hAnsi="Outfit;sans-serif"/>
                <w:color w:val="000000"/>
                <w:sz w:val="20"/>
              </w:rPr>
              <w:t>Samuel Zales,</w:t>
            </w:r>
          </w:p>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President and Chief Operating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May 27,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120,000</w:t>
            </w:r>
            <w:r>
              <w:rPr>
                <w:rFonts w:ascii="Times New Roman" w:hAnsi="Times New Roman"/>
                <w:color w:val="000000"/>
                <w:sz w:val="20"/>
              </w:rPr>
              <w:t xml:space="preserve"> </w:t>
            </w:r>
            <w:r>
              <w:rPr>
                <w:rFonts w:ascii="Outfit;sans-serif" w:hAnsi="Outfit;sans-serif"/>
                <w:color w:val="000000"/>
                <w:sz w:val="20"/>
              </w:rPr>
              <w:t>shares to be sold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July 30, 2027</w:t>
            </w:r>
            <w:r>
              <w:rPr>
                <w:rFonts w:ascii="Outfit;sans-serif" w:hAnsi="Outfit;sans-serif"/>
                <w:color w:val="000000"/>
                <w:sz w:val="13"/>
              </w:rPr>
              <w:t>(2)</w:t>
            </w:r>
          </w:p>
        </w:tc>
      </w:tr>
    </w:tbl>
    <w:p>
      <w:pPr>
        <w:pStyle w:val="TextBody"/>
        <w:bidi w:val="0"/>
        <w:jc w:val="both"/>
        <w:rPr/>
      </w:pPr>
      <w:r>
        <w:rPr/>
        <w:t> </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(1)</w:t>
      </w:r>
    </w:p>
    <w:p>
      <w:pPr>
        <w:pStyle w:val="TextBody"/>
        <w:bidi w:val="0"/>
        <w:spacing w:before="120" w:after="283"/>
        <w:jc w:val="both"/>
        <w:rPr>
          <w:rFonts w:ascii="Outfit;sans-serif" w:hAnsi="Outfit;sans-serif"/>
          <w:sz w:val="32"/>
        </w:rPr>
      </w:pPr>
      <w:r>
        <w:rPr>
          <w:rFonts w:ascii="Outfit;sans-serif" w:hAnsi="Outfit;sans-serif"/>
          <w:color w:val="00002D"/>
          <w:sz w:val="16"/>
        </w:rPr>
        <w:t>The Rule 10b5-1 trading arrangement includes the sale of up to 44,906</w:t>
      </w:r>
      <w:r>
        <w:rPr>
          <w:rFonts w:ascii="Outfit;sans-serif" w:hAnsi="Outfit;sans-serif"/>
          <w:color w:val="00002D"/>
          <w:sz w:val="32"/>
        </w:rPr>
        <w:t xml:space="preserve"> </w:t>
      </w:r>
      <w:r>
        <w:rPr>
          <w:rFonts w:ascii="Outfit;sans-serif" w:hAnsi="Outfit;sans-serif"/>
          <w:color w:val="00002D"/>
          <w:sz w:val="16"/>
        </w:rPr>
        <w:t>shares to be received upon future vesting of certain outstanding equity awards, net of any shares withheld by us to satisfy applicable taxes. The number of shares to be withheld, and thus the exact number of shares to be sold pursuant to Mr. Elshareef’s Rule 10b5-1 trading arrangement, can only be determined upon the occurrence of the future vesting events. For purposes of this disclosure, we have reported the gross number of shares to be received upon the future vesting of such equity awards, before subtracting any shares to be withheld by us to satisfy applicable taxes in connection with such future vesting events. Furthermore, the Rule 10b5-1 trading arrangement provides for the sale of 80% of the net shares that vest on the applicable vesting date.</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Rule 10b5-1 trading arrangement permits transactions through and including the earlier to occur of (a) the completion of all sales or (b) the date listed in the table. The arrangement also provides for automatic expiration in the event of liquidation, dissolution, bankruptcy, insolvency, or death of the adopting person.</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(3)</w:t>
      </w:r>
    </w:p>
    <w:p>
      <w:pPr>
        <w:pStyle w:val="TextBody"/>
        <w:bidi w:val="0"/>
        <w:spacing w:before="120" w:after="283"/>
        <w:jc w:val="both"/>
        <w:rPr>
          <w:rFonts w:ascii="Outfit;sans-serif" w:hAnsi="Outfit;sans-serif"/>
          <w:sz w:val="32"/>
        </w:rPr>
      </w:pPr>
      <w:r>
        <w:rPr>
          <w:rFonts w:ascii="Outfit;sans-serif" w:hAnsi="Outfit;sans-serif"/>
          <w:color w:val="00002D"/>
          <w:sz w:val="16"/>
        </w:rPr>
        <w:t>The Rule 10b5-1 trading arrangement includes the sale of up to 54,652</w:t>
      </w:r>
      <w:r>
        <w:rPr>
          <w:rFonts w:ascii="Outfit;sans-serif" w:hAnsi="Outfit;sans-serif"/>
          <w:color w:val="00002D"/>
          <w:sz w:val="32"/>
        </w:rPr>
        <w:t xml:space="preserve"> </w:t>
      </w:r>
      <w:r>
        <w:rPr>
          <w:rFonts w:ascii="Outfit;sans-serif" w:hAnsi="Outfit;sans-serif"/>
          <w:color w:val="00002D"/>
          <w:sz w:val="16"/>
        </w:rPr>
        <w:t>shares to be received upon future vesting of certain outstanding equity awards, net of any shares withheld by us to satisfy applicable taxes. The number of shares to be withheld, and thus the exact number of shares to be sold pursuant to Ms. Sarnoff’s Rule 10b5-1 trading arrangement, can only be determined upon the occurrence of the future vesting events. For purposes of this disclosure, we have reported the gross number of shares to be received upon the future vesting of such equity awards, before subtracting any shares to be withheld by us to satisfy applicable taxes in connection with such future vesting events.</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(4)</w:t>
      </w:r>
    </w:p>
    <w:p>
      <w:pPr>
        <w:pStyle w:val="TextBody"/>
        <w:bidi w:val="0"/>
        <w:spacing w:before="120" w:after="283"/>
        <w:jc w:val="both"/>
        <w:rPr>
          <w:rFonts w:ascii="Outfit;sans-serif" w:hAnsi="Outfit;sans-serif"/>
          <w:sz w:val="32"/>
        </w:rPr>
      </w:pPr>
      <w:r>
        <w:rPr>
          <w:rFonts w:ascii="Outfit;sans-serif" w:hAnsi="Outfit;sans-serif"/>
          <w:color w:val="00002D"/>
          <w:sz w:val="16"/>
        </w:rPr>
        <w:t>The Rule 10b5-1 trading arrangement was entered into among Hilary and Langley Steinert, acting jointly, and the Langley Steinert Irrevocable Family Trust dated June 21, 2024, or the Steinert Trust. Of the 1,493,200</w:t>
      </w:r>
      <w:r>
        <w:rPr>
          <w:rFonts w:ascii="Outfit;sans-serif" w:hAnsi="Outfit;sans-serif"/>
          <w:color w:val="00002D"/>
          <w:sz w:val="32"/>
        </w:rPr>
        <w:t xml:space="preserve"> </w:t>
      </w:r>
      <w:r>
        <w:rPr>
          <w:rFonts w:ascii="Outfit;sans-serif" w:hAnsi="Outfit;sans-serif"/>
          <w:color w:val="00002D"/>
          <w:sz w:val="16"/>
        </w:rPr>
        <w:t>shares to be sold pursuant to this Rule 10b5-1 trading arrangement, Hilary and Langley Steinert, acting jointly, contributed 1,343,200</w:t>
      </w:r>
      <w:r>
        <w:rPr>
          <w:rFonts w:ascii="Outfit;sans-serif" w:hAnsi="Outfit;sans-serif"/>
          <w:color w:val="00002D"/>
          <w:sz w:val="32"/>
        </w:rPr>
        <w:t xml:space="preserve"> </w:t>
      </w:r>
      <w:r>
        <w:rPr>
          <w:rFonts w:ascii="Outfit;sans-serif" w:hAnsi="Outfit;sans-serif"/>
          <w:color w:val="00002D"/>
          <w:sz w:val="16"/>
        </w:rPr>
        <w:t>shares and the Steinert Trust contributed 150,000</w:t>
      </w:r>
      <w:r>
        <w:rPr>
          <w:rFonts w:ascii="Outfit;sans-serif" w:hAnsi="Outfit;sans-serif"/>
          <w:color w:val="00002D"/>
          <w:sz w:val="32"/>
        </w:rPr>
        <w:t xml:space="preserve"> </w:t>
      </w:r>
      <w:r>
        <w:rPr>
          <w:rFonts w:ascii="Outfit;sans-serif" w:hAnsi="Outfit;sans-serif"/>
          <w:color w:val="00002D"/>
          <w:sz w:val="16"/>
        </w:rPr>
        <w:t>shares.</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(5)</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Rule 10b5-1 trading arrangement permits transactions through February 26, 2027, subject to early termination for certain specified events set forth in the Rule 10b5-1 trading arrangement, or earlier if all transactions under the Rule 10b5-1 trading arrangement are completed.</w:t>
      </w:r>
    </w:p>
    <w:p>
      <w:pPr>
        <w:pStyle w:val="TextBody"/>
        <w:bidi w:val="0"/>
        <w:spacing w:before="240" w:after="283"/>
        <w:jc w:val="both"/>
        <w:rPr>
          <w:rFonts w:ascii="Times New Roman" w:hAnsi="Times New Roman"/>
          <w:sz w:val="20"/>
        </w:rPr>
      </w:pPr>
      <w:r>
        <w:rPr>
          <w:rFonts w:ascii="Outfit;sans-serif" w:hAnsi="Outfit;sans-serif"/>
          <w:color w:val="00002D"/>
          <w:sz w:val="20"/>
        </w:rPr>
        <w:t>Other than those disclosed above, none of our directors or officers adopted, modified, or terminated</w:t>
      </w:r>
      <w:r>
        <w:rPr>
          <w:rFonts w:ascii="Times New Roman" w:hAnsi="Times New Roman"/>
          <w:color w:val="00002D"/>
          <w:sz w:val="20"/>
        </w:rPr>
        <w:t xml:space="preserve"> </w:t>
      </w:r>
      <w:r>
        <w:rPr>
          <w:rFonts w:ascii="Outfit;sans-serif" w:hAnsi="Outfit;sans-serif"/>
          <w:color w:val="00002D"/>
          <w:sz w:val="20"/>
        </w:rPr>
        <w:t>a “Rule 10b5-1 trading arrangement” or “non-Rule 10b5-1 trading arrangement,” in each case as defined in Item 408 of Regulation S-K.</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both"/>
        <w:rPr>
          <w:rFonts w:ascii="Outfit;sans-serif" w:hAnsi="Outfit;sans-serif"/>
          <w:b/>
          <w:color w:val="3465B0"/>
          <w:sz w:val="40"/>
        </w:rPr>
      </w:pPr>
      <w:bookmarkStart w:id="20" w:name="item_6_exhibits"/>
      <w:bookmarkEnd w:id="20"/>
      <w:r>
        <w:rPr>
          <w:rFonts w:ascii="Outfit;sans-serif" w:hAnsi="Outfit;sans-serif"/>
          <w:b/>
          <w:color w:val="3465B0"/>
          <w:sz w:val="40"/>
        </w:rPr>
        <w:t>Item 6. Exhibits.</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exhibits listed below are filed, furnished, or incorporated by reference into this Quarterly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54"/>
        <w:gridCol w:w="146"/>
        <w:gridCol w:w="4391"/>
        <w:gridCol w:w="146"/>
        <w:gridCol w:w="586"/>
        <w:gridCol w:w="146"/>
        <w:gridCol w:w="826"/>
        <w:gridCol w:w="146"/>
        <w:gridCol w:w="646"/>
        <w:gridCol w:w="146"/>
        <w:gridCol w:w="826"/>
        <w:gridCol w:w="146"/>
        <w:gridCol w:w="1200"/>
      </w:tblGrid>
      <w:tr>
        <w:trPr/>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8"/>
            <w:tcBorders>
              <w:bottom w:val="single" w:sz="4"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Incorporated by Reference</w:t>
            </w:r>
          </w:p>
        </w:tc>
        <w:tc>
          <w:tcPr>
            <w:tcW w:w="120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54" w:type="dxa"/>
            <w:tcBorders>
              <w:bottom w:val="single" w:sz="4" w:space="0" w:color="000000"/>
            </w:tcBorders>
            <w:tcMar>
              <w:top w:w="0" w:type="dxa"/>
              <w:left w:w="0" w:type="dxa"/>
              <w:right w:w="0" w:type="dxa"/>
            </w:tcMar>
            <w:vAlign w:val="center"/>
          </w:tcPr>
          <w:p>
            <w:pPr>
              <w:pStyle w:val="TableContents"/>
              <w:bidi w:val="0"/>
              <w:jc w:val="left"/>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Filing</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0"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Filed or Furnished</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Herewith</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hyperlink w:anchor="carg-ex31_1.htm">
              <w:r>
                <w:rPr>
                  <w:rStyle w:val="InternetLink"/>
                  <w:rFonts w:ascii="Outfit;sans-serif" w:hAnsi="Outfit;sans-serif"/>
                  <w:color w:val="3465B0"/>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hyperlink w:anchor="carg-ex32_1.htm">
              <w:r>
                <w:rPr>
                  <w:rStyle w:val="InternetLink"/>
                  <w:rFonts w:ascii="Outfit;sans-serif" w:hAnsi="Outfit;sans-serif"/>
                  <w:color w:val="3465B0"/>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Inline XBRL Instance Document-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Cover Page Interactive Data File (Embedded within the Inline XBRL document and included in 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spacing w:before="120" w:after="283"/>
        <w:jc w:val="left"/>
        <w:rPr>
          <w:rFonts w:ascii="Outfit;sans-serif" w:hAnsi="Outfit;sans-serif"/>
          <w:color w:val="00002D"/>
          <w:sz w:val="20"/>
        </w:rPr>
      </w:pPr>
      <w:r>
        <w:rPr>
          <w:rFonts w:ascii="Outfit;sans-serif" w:hAnsi="Outfit;sans-serif"/>
          <w:color w:val="00002D"/>
          <w:sz w:val="20"/>
        </w:rPr>
        <w:t>* The certification furnished in Exhibit 32.1 hereto is deemed to accompany this Quarterly Report and will not be deemed “filed” for purposes of Section 18 of the Exchange Act, except to the extent that the Registrant specifically incorporates it by reference.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Outfit;sans-serif" w:hAnsi="Outfit;sans-serif"/>
            <w:b/>
            <w:color w:val="0000FF"/>
            <w:sz w:val="22"/>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bookmarkStart w:id="21" w:name="signatures"/>
      <w:bookmarkEnd w:id="21"/>
      <w:r>
        <w:rPr>
          <w:rFonts w:ascii="Outfit;sans-serif" w:hAnsi="Outfit;sans-serif"/>
          <w:b/>
          <w:color w:val="00002D"/>
          <w:sz w:val="32"/>
        </w:rPr>
        <w:t>SIGNATURES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58"/>
        <w:gridCol w:w="146"/>
        <w:gridCol w:w="412"/>
        <w:gridCol w:w="7689"/>
      </w:tblGrid>
      <w:tr>
        <w:trPr/>
        <w:tc>
          <w:tcPr>
            <w:tcW w:w="1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689" w:type="dxa"/>
            <w:tcBorders/>
            <w:vAlign w:val="center"/>
          </w:tcPr>
          <w:p>
            <w:pPr>
              <w:pStyle w:val="TableContents"/>
              <w:bidi w:val="0"/>
              <w:spacing w:before="0" w:after="283"/>
              <w:jc w:val="left"/>
              <w:rPr>
                <w:sz w:val="4"/>
                <w:szCs w:val="4"/>
              </w:rPr>
            </w:pPr>
            <w:r>
              <w:rPr>
                <w:sz w:val="4"/>
                <w:szCs w:val="4"/>
              </w:rPr>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CarGurus, Inc.</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8"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Outfit;sans-serif" w:hAnsi="Outfit;sans-serif"/>
                <w:color w:val="00002D"/>
                <w:sz w:val="20"/>
              </w:rPr>
            </w:pPr>
            <w:r>
              <w:rPr>
                <w:rFonts w:ascii="Outfit;sans-serif" w:hAnsi="Outfit;sans-serif"/>
                <w:color w:val="00002D"/>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By:</w:t>
            </w:r>
          </w:p>
        </w:tc>
        <w:tc>
          <w:tcPr>
            <w:tcW w:w="768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 Jason Trevisan</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Jason Trevisan</w:t>
            </w:r>
          </w:p>
        </w:tc>
      </w:tr>
      <w:tr>
        <w:trPr/>
        <w:tc>
          <w:tcPr>
            <w:tcW w:w="19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9" w:type="dxa"/>
            <w:tcBorders/>
            <w:shd w:fill="FFFFFF" w:val="clear"/>
            <w:tcMar>
              <w:top w:w="0" w:type="dxa"/>
              <w:left w:w="0" w:type="dxa"/>
              <w:bottom w:w="0" w:type="dxa"/>
              <w:right w:w="0" w:type="dxa"/>
            </w:tcMar>
            <w:vAlign w:val="center"/>
          </w:tcPr>
          <w:p>
            <w:pPr>
              <w:pStyle w:val="TableContents"/>
              <w:bidi w:val="0"/>
              <w:jc w:val="left"/>
              <w:rPr>
                <w:rFonts w:ascii="Outfit;sans-serif" w:hAnsi="Outfit;sans-serif"/>
                <w:color w:val="00002D"/>
                <w:sz w:val="20"/>
              </w:rPr>
            </w:pPr>
            <w:r>
              <w:rPr>
                <w:rFonts w:ascii="Outfit;sans-serif" w:hAnsi="Outfit;sans-serif"/>
                <w:color w:val="00002D"/>
                <w:sz w:val="20"/>
              </w:rPr>
              <w:t>Chief Executive Officer</w:t>
            </w:r>
          </w:p>
          <w:p>
            <w:pPr>
              <w:pStyle w:val="TableContents"/>
              <w:bidi w:val="0"/>
              <w:spacing w:before="0" w:after="283"/>
              <w:jc w:val="left"/>
              <w:rPr>
                <w:rFonts w:ascii="Outfit;sans-serif" w:hAnsi="Outfit;sans-serif"/>
                <w:i/>
                <w:color w:val="00002D"/>
                <w:sz w:val="20"/>
              </w:rPr>
            </w:pPr>
            <w:r>
              <w:rPr>
                <w:rFonts w:ascii="Outfit;sans-serif" w:hAnsi="Outfit;sans-serif"/>
                <w:i/>
                <w:color w:val="00002D"/>
                <w:sz w:val="20"/>
              </w:rPr>
              <w:t>(Principal Executive Officer, Principal Financial Officer, and Principal Accounting Officer)</w:t>
            </w:r>
          </w:p>
        </w:tc>
      </w:tr>
    </w:tbl>
    <w:p>
      <w:pPr>
        <w:pStyle w:val="TextBody"/>
        <w:bidi w:val="0"/>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bookmarkStart w:id="22" w:name="carg-ex31_1.htm"/>
      <w:bookmarkStart w:id="23" w:name="kscargex31_1"/>
      <w:bookmarkEnd w:id="22"/>
      <w:bookmarkEnd w:id="23"/>
      <w:r>
        <w:rPr/>
        <w:t> </w:t>
      </w:r>
      <w:r>
        <w:br w:type="page"/>
      </w:r>
    </w:p>
    <w:p>
      <w:pPr>
        <w:pStyle w:val="TextBody"/>
        <w:bidi w:val="0"/>
        <w:jc w:val="right"/>
        <w:rPr>
          <w:rFonts w:ascii="Outfit;sans-serif" w:hAnsi="Outfit;sans-serif"/>
          <w:b/>
          <w:color w:val="000000"/>
          <w:sz w:val="20"/>
        </w:rPr>
      </w:pPr>
      <w:r>
        <w:rPr>
          <w:rFonts w:ascii="Outfit;sans-serif" w:hAnsi="Outfit;sans-serif"/>
          <w:b/>
          <w:color w:val="000000"/>
          <w:sz w:val="20"/>
        </w:rPr>
        <w:t>Exhibit 31.1</w:t>
      </w:r>
    </w:p>
    <w:p>
      <w:pPr>
        <w:pStyle w:val="TextBody"/>
        <w:bidi w:val="0"/>
        <w:spacing w:before="240" w:after="283"/>
        <w:jc w:val="center"/>
        <w:rPr>
          <w:rFonts w:ascii="Outfit;sans-serif" w:hAnsi="Outfit;sans-serif"/>
          <w:b/>
          <w:color w:val="000000"/>
          <w:sz w:val="20"/>
        </w:rPr>
      </w:pPr>
      <w:r>
        <w:rPr>
          <w:rFonts w:ascii="Outfit;sans-serif" w:hAnsi="Outfit;sans-serif"/>
          <w:b/>
          <w:color w:val="000000"/>
          <w:sz w:val="20"/>
        </w:rPr>
        <w:t>CERTIFICATION PURSUANT TO</w:t>
      </w:r>
    </w:p>
    <w:p>
      <w:pPr>
        <w:pStyle w:val="TextBody"/>
        <w:bidi w:val="0"/>
        <w:jc w:val="center"/>
        <w:rPr>
          <w:rFonts w:ascii="Outfit;sans-serif" w:hAnsi="Outfit;sans-serif"/>
          <w:b/>
          <w:color w:val="000000"/>
          <w:sz w:val="20"/>
        </w:rPr>
      </w:pPr>
      <w:r>
        <w:rPr>
          <w:rFonts w:ascii="Outfit;sans-serif" w:hAnsi="Outfit;sans-serif"/>
          <w:b/>
          <w:color w:val="000000"/>
          <w:sz w:val="20"/>
        </w:rPr>
        <w:t>RULES 13a-14(a) AND 15d-14(a) UNDER THE SECURITIES EXCHANGE ACT OF 1934,</w:t>
      </w:r>
    </w:p>
    <w:p>
      <w:pPr>
        <w:pStyle w:val="TextBody"/>
        <w:bidi w:val="0"/>
        <w:jc w:val="center"/>
        <w:rPr>
          <w:rFonts w:ascii="Outfit;sans-serif" w:hAnsi="Outfit;sans-serif"/>
          <w:b/>
          <w:color w:val="000000"/>
          <w:sz w:val="20"/>
        </w:rPr>
      </w:pPr>
      <w:r>
        <w:rPr>
          <w:rFonts w:ascii="Outfit;sans-serif" w:hAnsi="Outfit;sans-serif"/>
          <w:b/>
          <w:color w:val="000000"/>
          <w:sz w:val="20"/>
        </w:rPr>
        <w:t>AS ADOPTED PURSUANT TO SECTION 302 OF THE SARBANES-OXLEY ACT OF 2002</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I, Jason Trevisan, certify that:</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1.</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I have reviewed this Quarterly Report on Form 10-Q of CarGurus, Inc.;</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2.</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3.</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4.</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(a)</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(b)</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(c)</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5.</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(a)</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(b)</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4"/>
        <w:gridCol w:w="109"/>
        <w:gridCol w:w="413"/>
        <w:gridCol w:w="7719"/>
      </w:tblGrid>
      <w:tr>
        <w:trPr/>
        <w:tc>
          <w:tcPr>
            <w:tcW w:w="1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719" w:type="dxa"/>
            <w:tcBorders/>
            <w:vAlign w:val="center"/>
          </w:tcPr>
          <w:p>
            <w:pPr>
              <w:pStyle w:val="TableContents"/>
              <w:bidi w:val="0"/>
              <w:spacing w:before="0" w:after="283"/>
              <w:jc w:val="left"/>
              <w:rPr>
                <w:sz w:val="4"/>
                <w:szCs w:val="4"/>
              </w:rPr>
            </w:pPr>
            <w:r>
              <w:rPr>
                <w:sz w:val="4"/>
                <w:szCs w:val="4"/>
              </w:rPr>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By:</w:t>
            </w:r>
          </w:p>
        </w:tc>
        <w:tc>
          <w:tcPr>
            <w:tcW w:w="7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 Jason Trevisan</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Jason Trevisan</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Outfit;sans-serif" w:hAnsi="Outfit;sans-serif"/>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arg-ex32_1.htm"/>
      <w:bookmarkStart w:id="25" w:name="kscargex32_1"/>
      <w:bookmarkEnd w:id="24"/>
      <w:bookmarkEnd w:id="25"/>
      <w:r>
        <w:rPr/>
        <w:t> </w:t>
      </w:r>
      <w:r>
        <w:br w:type="page"/>
      </w:r>
    </w:p>
    <w:p>
      <w:pPr>
        <w:pStyle w:val="TextBody"/>
        <w:bidi w:val="0"/>
        <w:jc w:val="right"/>
        <w:rPr>
          <w:rFonts w:ascii="Outfit;sans-serif" w:hAnsi="Outfit;sans-serif"/>
          <w:b/>
          <w:color w:val="000000"/>
          <w:sz w:val="20"/>
        </w:rPr>
      </w:pPr>
      <w:r>
        <w:rPr>
          <w:rFonts w:ascii="Outfit;sans-serif" w:hAnsi="Outfit;sans-serif"/>
          <w:b/>
          <w:color w:val="000000"/>
          <w:sz w:val="20"/>
        </w:rPr>
        <w:t>Exhibit 32.1</w:t>
      </w:r>
    </w:p>
    <w:p>
      <w:pPr>
        <w:pStyle w:val="TextBody"/>
        <w:bidi w:val="0"/>
        <w:spacing w:before="240" w:after="283"/>
        <w:jc w:val="center"/>
        <w:rPr>
          <w:rFonts w:ascii="Outfit;sans-serif" w:hAnsi="Outfit;sans-serif"/>
          <w:b/>
          <w:color w:val="000000"/>
          <w:sz w:val="20"/>
        </w:rPr>
      </w:pPr>
      <w:r>
        <w:rPr>
          <w:rFonts w:ascii="Outfit;sans-serif" w:hAnsi="Outfit;sans-serif"/>
          <w:b/>
          <w:color w:val="000000"/>
          <w:sz w:val="20"/>
        </w:rPr>
        <w:t>CERTIFICATION PURSUANT TO</w:t>
      </w:r>
    </w:p>
    <w:p>
      <w:pPr>
        <w:pStyle w:val="TextBody"/>
        <w:bidi w:val="0"/>
        <w:jc w:val="center"/>
        <w:rPr>
          <w:rFonts w:ascii="Outfit;sans-serif" w:hAnsi="Outfit;sans-serif"/>
          <w:b/>
          <w:color w:val="000000"/>
          <w:sz w:val="20"/>
        </w:rPr>
      </w:pPr>
      <w:r>
        <w:rPr>
          <w:rFonts w:ascii="Outfit;sans-serif" w:hAnsi="Outfit;sans-serif"/>
          <w:b/>
          <w:color w:val="000000"/>
          <w:sz w:val="20"/>
        </w:rPr>
        <w:t>18 U.S.C. SECTION 1350, AS ADOPTED PURSUANT TO</w:t>
      </w:r>
    </w:p>
    <w:p>
      <w:pPr>
        <w:pStyle w:val="TextBody"/>
        <w:bidi w:val="0"/>
        <w:jc w:val="center"/>
        <w:rPr>
          <w:rFonts w:ascii="Outfit;sans-serif" w:hAnsi="Outfit;sans-serif"/>
          <w:b/>
          <w:color w:val="000000"/>
          <w:sz w:val="20"/>
        </w:rPr>
      </w:pPr>
      <w:r>
        <w:rPr>
          <w:rFonts w:ascii="Outfit;sans-serif" w:hAnsi="Outfit;sans-serif"/>
          <w:b/>
          <w:color w:val="000000"/>
          <w:sz w:val="20"/>
        </w:rPr>
        <w:t>SECTION 906 OF THE SARBANES-OXLEY ACT OF 2002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In connection with the Quarterly Report on Form 10-Q of CarGurus, Inc. (the “Company”) for the period ending June 30, 2026, as filed with the U.S. Securities and Exchange Commission on the date hereof (the “Report”), I, Jason Trevisan, Chief Executive Officer of the Company, certify, pursuant to 18 U.S.C. § 1350, as adopted pursuant to § 906 of the Sarbanes-Oxley Act of 2002, that, based on my knowledge:</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(1)</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Report fully complies with the requirements of Section 13(a) or 15(d) of the Securities Exchange Act of 1934; and</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4"/>
        <w:gridCol w:w="109"/>
        <w:gridCol w:w="413"/>
        <w:gridCol w:w="7719"/>
      </w:tblGrid>
      <w:tr>
        <w:trPr/>
        <w:tc>
          <w:tcPr>
            <w:tcW w:w="1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719" w:type="dxa"/>
            <w:tcBorders/>
            <w:vAlign w:val="center"/>
          </w:tcPr>
          <w:p>
            <w:pPr>
              <w:pStyle w:val="TableContents"/>
              <w:bidi w:val="0"/>
              <w:spacing w:before="0" w:after="283"/>
              <w:jc w:val="left"/>
              <w:rPr>
                <w:sz w:val="4"/>
                <w:szCs w:val="4"/>
              </w:rPr>
            </w:pPr>
            <w:r>
              <w:rPr>
                <w:sz w:val="4"/>
                <w:szCs w:val="4"/>
              </w:rPr>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By:</w:t>
            </w:r>
          </w:p>
        </w:tc>
        <w:tc>
          <w:tcPr>
            <w:tcW w:w="7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 Jason Trevisan</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Jason Trevisan</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Outfit;sans-serif" w:hAnsi="Outfit;sans-serif"/>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Outfit">
    <w:altName w:val="sans-serif"/>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2.gif"/><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21754</Words>
  <Characters>120384</Characters>
  <CharactersWithSpaces>143803</CharactersWithSpaces>
  <Paragraphs>7152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