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60325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77470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5" w:lineRule="exact"/>
        <w:rPr>
          <w:sz w:val="24"/>
          <w:szCs w:val="24"/>
          <w:color w:val="auto"/>
        </w:rPr>
      </w:pPr>
    </w:p>
    <w:p>
      <w:pPr>
        <w:ind w:left="4180" w:right="3040" w:hanging="4172"/>
        <w:spacing w:after="0" w:line="326" w:lineRule="auto"/>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1" w:lineRule="exact"/>
        <w:rPr>
          <w:rFonts w:ascii="MS PGothic" w:cs="MS PGothic" w:eastAsia="MS PGothic" w:hAnsi="MS PGothic"/>
          <w:sz w:val="16"/>
          <w:szCs w:val="16"/>
          <w:color w:val="auto"/>
        </w:rPr>
      </w:pPr>
    </w:p>
    <w:p>
      <w:pPr>
        <w:ind w:left="56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1640" w:type="dxa"/>
        <w:tblCellMar>
          <w:top w:w="0" w:type="dxa"/>
          <w:left w:w="0" w:type="dxa"/>
          <w:bottom w:w="0" w:type="dxa"/>
          <w:right w:w="0" w:type="dxa"/>
        </w:tblCellMar>
      </w:tblPr>
      <w:tr>
        <w:trPr>
          <w:trHeight w:val="210"/>
        </w:trPr>
        <w:tc>
          <w:tcPr>
            <w:tcW w:w="5400" w:type="dxa"/>
            <w:vAlign w:val="bottom"/>
            <w:gridSpan w:val="4"/>
          </w:tcPr>
          <w:p>
            <w:pPr>
              <w:ind w:left="1640"/>
              <w:spacing w:after="0"/>
              <w:rPr>
                <w:sz w:val="20"/>
                <w:szCs w:val="20"/>
                <w:color w:val="auto"/>
              </w:rPr>
            </w:pPr>
            <w:r>
              <w:rPr>
                <w:rFonts w:ascii="Arial" w:cs="Arial" w:eastAsia="Arial" w:hAnsi="Arial"/>
                <w:sz w:val="16"/>
                <w:szCs w:val="16"/>
                <w:b w:val="1"/>
                <w:bCs w:val="1"/>
                <w:color w:val="auto"/>
              </w:rPr>
              <w:t>FOR THE TRANSITION PERIOD FROM</w:t>
            </w:r>
          </w:p>
        </w:tc>
        <w:tc>
          <w:tcPr>
            <w:tcW w:w="2120" w:type="dxa"/>
            <w:vAlign w:val="bottom"/>
          </w:tcPr>
          <w:p>
            <w:pPr>
              <w:ind w:left="140"/>
              <w:spacing w:after="0"/>
              <w:rPr>
                <w:sz w:val="20"/>
                <w:szCs w:val="20"/>
                <w:color w:val="auto"/>
              </w:rPr>
            </w:pPr>
            <w:r>
              <w:rPr>
                <w:rFonts w:ascii="Arial" w:cs="Arial" w:eastAsia="Arial" w:hAnsi="Arial"/>
                <w:sz w:val="16"/>
                <w:szCs w:val="16"/>
                <w:b w:val="1"/>
                <w:bCs w:val="1"/>
                <w:color w:val="auto"/>
              </w:rPr>
              <w:t>TO</w:t>
            </w:r>
          </w:p>
        </w:tc>
      </w:tr>
      <w:tr>
        <w:trPr>
          <w:trHeight w:val="241"/>
        </w:trPr>
        <w:tc>
          <w:tcPr>
            <w:tcW w:w="5400" w:type="dxa"/>
            <w:vAlign w:val="bottom"/>
            <w:gridSpan w:val="4"/>
          </w:tcPr>
          <w:p>
            <w:pPr>
              <w:jc w:val="center"/>
              <w:ind w:left="2659"/>
              <w:spacing w:after="0"/>
              <w:rPr>
                <w:sz w:val="20"/>
                <w:szCs w:val="20"/>
                <w:color w:val="auto"/>
              </w:rPr>
            </w:pPr>
            <w:r>
              <w:rPr>
                <w:rFonts w:ascii="Arial" w:cs="Arial" w:eastAsia="Arial" w:hAnsi="Arial"/>
                <w:sz w:val="15"/>
                <w:szCs w:val="15"/>
                <w:b w:val="1"/>
                <w:bCs w:val="1"/>
                <w:color w:val="auto"/>
                <w:w w:val="92"/>
              </w:rPr>
              <w:t>Commission File Number 001-38233</w:t>
            </w:r>
          </w:p>
        </w:tc>
        <w:tc>
          <w:tcPr>
            <w:tcW w:w="2120" w:type="dxa"/>
            <w:vAlign w:val="bottom"/>
          </w:tcPr>
          <w:p>
            <w:pPr>
              <w:spacing w:after="0"/>
              <w:rPr>
                <w:sz w:val="20"/>
                <w:szCs w:val="20"/>
                <w:color w:val="auto"/>
              </w:rPr>
            </w:pPr>
          </w:p>
        </w:tc>
      </w:tr>
      <w:tr>
        <w:trPr>
          <w:trHeight w:val="62"/>
        </w:trPr>
        <w:tc>
          <w:tcPr>
            <w:tcW w:w="3260" w:type="dxa"/>
            <w:vAlign w:val="bottom"/>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120" w:type="dxa"/>
            <w:vAlign w:val="bottom"/>
          </w:tcPr>
          <w:p>
            <w:pPr>
              <w:spacing w:after="0"/>
              <w:rPr>
                <w:sz w:val="5"/>
                <w:szCs w:val="5"/>
                <w:color w:val="auto"/>
              </w:rPr>
            </w:pPr>
          </w:p>
        </w:tc>
      </w:tr>
      <w:tr>
        <w:trPr>
          <w:trHeight w:val="341"/>
        </w:trPr>
        <w:tc>
          <w:tcPr>
            <w:tcW w:w="5400" w:type="dxa"/>
            <w:vAlign w:val="bottom"/>
            <w:gridSpan w:val="4"/>
          </w:tcPr>
          <w:p>
            <w:pPr>
              <w:jc w:val="center"/>
              <w:ind w:left="2679"/>
              <w:spacing w:after="0"/>
              <w:rPr>
                <w:sz w:val="20"/>
                <w:szCs w:val="20"/>
                <w:color w:val="auto"/>
              </w:rPr>
            </w:pPr>
            <w:r>
              <w:rPr>
                <w:rFonts w:ascii="Arial" w:cs="Arial" w:eastAsia="Arial" w:hAnsi="Arial"/>
                <w:sz w:val="27"/>
                <w:szCs w:val="27"/>
                <w:b w:val="1"/>
                <w:bCs w:val="1"/>
                <w:color w:val="auto"/>
                <w:w w:val="94"/>
              </w:rPr>
              <w:t>CarGurus, Inc.</w:t>
            </w:r>
          </w:p>
        </w:tc>
        <w:tc>
          <w:tcPr>
            <w:tcW w:w="2120" w:type="dxa"/>
            <w:vAlign w:val="bottom"/>
          </w:tcPr>
          <w:p>
            <w:pPr>
              <w:spacing w:after="0"/>
              <w:rPr>
                <w:sz w:val="24"/>
                <w:szCs w:val="24"/>
                <w:color w:val="auto"/>
              </w:rPr>
            </w:pPr>
          </w:p>
        </w:tc>
      </w:tr>
      <w:tr>
        <w:trPr>
          <w:trHeight w:val="198"/>
        </w:trPr>
        <w:tc>
          <w:tcPr>
            <w:tcW w:w="7520" w:type="dxa"/>
            <w:vAlign w:val="bottom"/>
            <w:gridSpan w:val="5"/>
          </w:tcPr>
          <w:p>
            <w:pPr>
              <w:jc w:val="center"/>
              <w:ind w:left="539"/>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r>
      <w:tr>
        <w:trPr>
          <w:trHeight w:val="76"/>
        </w:trPr>
        <w:tc>
          <w:tcPr>
            <w:tcW w:w="3260" w:type="dxa"/>
            <w:vAlign w:val="bottom"/>
          </w:tcPr>
          <w:p>
            <w:pPr>
              <w:spacing w:after="0"/>
              <w:rPr>
                <w:sz w:val="6"/>
                <w:szCs w:val="6"/>
                <w:color w:val="auto"/>
              </w:rPr>
            </w:pPr>
          </w:p>
        </w:tc>
        <w:tc>
          <w:tcPr>
            <w:tcW w:w="1640" w:type="dxa"/>
            <w:vAlign w:val="bottom"/>
            <w:tcBorders>
              <w:bottom w:val="single" w:sz="8" w:color="auto"/>
            </w:tcBorders>
            <w:gridSpan w:val="2"/>
          </w:tcPr>
          <w:p>
            <w:pPr>
              <w:spacing w:after="0"/>
              <w:rPr>
                <w:sz w:val="6"/>
                <w:szCs w:val="6"/>
                <w:color w:val="auto"/>
              </w:rPr>
            </w:pPr>
          </w:p>
        </w:tc>
        <w:tc>
          <w:tcPr>
            <w:tcW w:w="500" w:type="dxa"/>
            <w:vAlign w:val="bottom"/>
          </w:tcPr>
          <w:p>
            <w:pPr>
              <w:spacing w:after="0"/>
              <w:rPr>
                <w:sz w:val="6"/>
                <w:szCs w:val="6"/>
                <w:color w:val="auto"/>
              </w:rPr>
            </w:pPr>
          </w:p>
        </w:tc>
        <w:tc>
          <w:tcPr>
            <w:tcW w:w="2120" w:type="dxa"/>
            <w:vAlign w:val="bottom"/>
          </w:tcPr>
          <w:p>
            <w:pPr>
              <w:spacing w:after="0"/>
              <w:rPr>
                <w:sz w:val="6"/>
                <w:szCs w:val="6"/>
                <w:color w:val="auto"/>
              </w:rPr>
            </w:pPr>
          </w:p>
        </w:tc>
      </w:tr>
      <w:tr>
        <w:trPr>
          <w:trHeight w:val="200"/>
        </w:trPr>
        <w:tc>
          <w:tcPr>
            <w:tcW w:w="5400" w:type="dxa"/>
            <w:vAlign w:val="bottom"/>
            <w:gridSpan w:val="4"/>
          </w:tcPr>
          <w:p>
            <w:pPr>
              <w:jc w:val="center"/>
              <w:ind w:right="3020"/>
              <w:spacing w:after="0"/>
              <w:rPr>
                <w:sz w:val="20"/>
                <w:szCs w:val="20"/>
                <w:color w:val="auto"/>
              </w:rPr>
            </w:pPr>
            <w:r>
              <w:rPr>
                <w:rFonts w:ascii="Arial" w:cs="Arial" w:eastAsia="Arial" w:hAnsi="Arial"/>
                <w:sz w:val="15"/>
                <w:szCs w:val="15"/>
                <w:b w:val="1"/>
                <w:bCs w:val="1"/>
                <w:color w:val="auto"/>
                <w:w w:val="94"/>
              </w:rPr>
              <w:t>Delaware</w:t>
            </w:r>
          </w:p>
        </w:tc>
        <w:tc>
          <w:tcPr>
            <w:tcW w:w="2120" w:type="dxa"/>
            <w:vAlign w:val="bottom"/>
          </w:tcPr>
          <w:p>
            <w:pPr>
              <w:jc w:val="right"/>
              <w:ind w:right="125"/>
              <w:spacing w:after="0"/>
              <w:rPr>
                <w:sz w:val="20"/>
                <w:szCs w:val="20"/>
                <w:color w:val="auto"/>
              </w:rPr>
            </w:pPr>
            <w:r>
              <w:rPr>
                <w:rFonts w:ascii="Arial" w:cs="Arial" w:eastAsia="Arial" w:hAnsi="Arial"/>
                <w:sz w:val="15"/>
                <w:szCs w:val="15"/>
                <w:b w:val="1"/>
                <w:bCs w:val="1"/>
                <w:color w:val="auto"/>
              </w:rPr>
              <w:t>04-3843478</w:t>
            </w:r>
          </w:p>
        </w:tc>
      </w:tr>
      <w:tr>
        <w:trPr>
          <w:trHeight w:val="149"/>
        </w:trPr>
        <w:tc>
          <w:tcPr>
            <w:tcW w:w="5400" w:type="dxa"/>
            <w:vAlign w:val="bottom"/>
            <w:gridSpan w:val="4"/>
          </w:tcPr>
          <w:p>
            <w:pPr>
              <w:jc w:val="center"/>
              <w:ind w:right="302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120" w:type="dxa"/>
            <w:vAlign w:val="bottom"/>
          </w:tcPr>
          <w:p>
            <w:pPr>
              <w:jc w:val="center"/>
              <w:ind w:left="92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00" w:type="dxa"/>
            <w:vAlign w:val="bottom"/>
            <w:gridSpan w:val="4"/>
          </w:tcPr>
          <w:p>
            <w:pPr>
              <w:jc w:val="center"/>
              <w:ind w:right="3000"/>
              <w:spacing w:after="0"/>
              <w:rPr>
                <w:sz w:val="20"/>
                <w:szCs w:val="20"/>
                <w:color w:val="auto"/>
              </w:rPr>
            </w:pPr>
            <w:r>
              <w:rPr>
                <w:rFonts w:ascii="Arial" w:cs="Arial" w:eastAsia="Arial" w:hAnsi="Arial"/>
                <w:sz w:val="14"/>
                <w:szCs w:val="14"/>
                <w:b w:val="1"/>
                <w:bCs w:val="1"/>
                <w:color w:val="auto"/>
                <w:w w:val="94"/>
              </w:rPr>
              <w:t>incorporation or organization)</w:t>
            </w:r>
          </w:p>
        </w:tc>
        <w:tc>
          <w:tcPr>
            <w:tcW w:w="2120" w:type="dxa"/>
            <w:vAlign w:val="bottom"/>
          </w:tcPr>
          <w:p>
            <w:pPr>
              <w:jc w:val="center"/>
              <w:ind w:left="905"/>
              <w:spacing w:after="0"/>
              <w:rPr>
                <w:sz w:val="20"/>
                <w:szCs w:val="20"/>
                <w:color w:val="auto"/>
              </w:rPr>
            </w:pPr>
            <w:r>
              <w:rPr>
                <w:rFonts w:ascii="Arial" w:cs="Arial" w:eastAsia="Arial" w:hAnsi="Arial"/>
                <w:sz w:val="14"/>
                <w:szCs w:val="14"/>
                <w:b w:val="1"/>
                <w:bCs w:val="1"/>
                <w:color w:val="auto"/>
                <w:w w:val="96"/>
              </w:rPr>
              <w:t>Identification No.)</w:t>
            </w:r>
          </w:p>
        </w:tc>
      </w:tr>
      <w:tr>
        <w:trPr>
          <w:trHeight w:val="197"/>
        </w:trPr>
        <w:tc>
          <w:tcPr>
            <w:tcW w:w="5400" w:type="dxa"/>
            <w:vAlign w:val="bottom"/>
            <w:gridSpan w:val="4"/>
          </w:tcPr>
          <w:p>
            <w:pPr>
              <w:jc w:val="center"/>
              <w:ind w:right="3020"/>
              <w:spacing w:after="0"/>
              <w:rPr>
                <w:sz w:val="20"/>
                <w:szCs w:val="20"/>
                <w:color w:val="auto"/>
              </w:rPr>
            </w:pPr>
            <w:r>
              <w:rPr>
                <w:rFonts w:ascii="Arial" w:cs="Arial" w:eastAsia="Arial" w:hAnsi="Arial"/>
                <w:sz w:val="15"/>
                <w:szCs w:val="15"/>
                <w:b w:val="1"/>
                <w:bCs w:val="1"/>
                <w:color w:val="auto"/>
                <w:w w:val="94"/>
              </w:rPr>
              <w:t>2 Canal Park, 4th Floor</w:t>
            </w:r>
          </w:p>
        </w:tc>
        <w:tc>
          <w:tcPr>
            <w:tcW w:w="2120" w:type="dxa"/>
            <w:vAlign w:val="bottom"/>
          </w:tcPr>
          <w:p>
            <w:pPr>
              <w:spacing w:after="0"/>
              <w:rPr>
                <w:sz w:val="17"/>
                <w:szCs w:val="17"/>
                <w:color w:val="auto"/>
              </w:rPr>
            </w:pPr>
          </w:p>
        </w:tc>
      </w:tr>
      <w:tr>
        <w:trPr>
          <w:trHeight w:val="157"/>
        </w:trPr>
        <w:tc>
          <w:tcPr>
            <w:tcW w:w="5400" w:type="dxa"/>
            <w:vAlign w:val="bottom"/>
            <w:gridSpan w:val="4"/>
          </w:tcPr>
          <w:p>
            <w:pPr>
              <w:jc w:val="center"/>
              <w:ind w:right="3000"/>
              <w:spacing w:after="0" w:line="156" w:lineRule="exact"/>
              <w:rPr>
                <w:sz w:val="20"/>
                <w:szCs w:val="20"/>
                <w:color w:val="auto"/>
              </w:rPr>
            </w:pPr>
            <w:r>
              <w:rPr>
                <w:rFonts w:ascii="Arial" w:cs="Arial" w:eastAsia="Arial" w:hAnsi="Arial"/>
                <w:sz w:val="15"/>
                <w:szCs w:val="15"/>
                <w:b w:val="1"/>
                <w:bCs w:val="1"/>
                <w:color w:val="auto"/>
                <w:w w:val="90"/>
              </w:rPr>
              <w:t>Cambridge, Massachusetts</w:t>
            </w:r>
          </w:p>
        </w:tc>
        <w:tc>
          <w:tcPr>
            <w:tcW w:w="2120" w:type="dxa"/>
            <w:vAlign w:val="bottom"/>
          </w:tcPr>
          <w:p>
            <w:pPr>
              <w:jc w:val="right"/>
              <w:ind w:right="305"/>
              <w:spacing w:after="0" w:line="156" w:lineRule="exact"/>
              <w:rPr>
                <w:sz w:val="20"/>
                <w:szCs w:val="20"/>
                <w:color w:val="auto"/>
              </w:rPr>
            </w:pPr>
            <w:r>
              <w:rPr>
                <w:rFonts w:ascii="Arial" w:cs="Arial" w:eastAsia="Arial" w:hAnsi="Arial"/>
                <w:sz w:val="15"/>
                <w:szCs w:val="15"/>
                <w:b w:val="1"/>
                <w:bCs w:val="1"/>
                <w:color w:val="auto"/>
              </w:rPr>
              <w:t>02141</w:t>
            </w:r>
          </w:p>
        </w:tc>
      </w:tr>
      <w:tr>
        <w:trPr>
          <w:trHeight w:val="186"/>
        </w:trPr>
        <w:tc>
          <w:tcPr>
            <w:tcW w:w="5400" w:type="dxa"/>
            <w:vAlign w:val="bottom"/>
            <w:gridSpan w:val="4"/>
          </w:tcPr>
          <w:p>
            <w:pPr>
              <w:jc w:val="center"/>
              <w:ind w:right="3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120" w:type="dxa"/>
            <w:vAlign w:val="bottom"/>
          </w:tcPr>
          <w:p>
            <w:pPr>
              <w:jc w:val="center"/>
              <w:ind w:left="905"/>
              <w:spacing w:after="0"/>
              <w:rPr>
                <w:sz w:val="20"/>
                <w:szCs w:val="20"/>
                <w:color w:val="auto"/>
              </w:rPr>
            </w:pPr>
            <w:r>
              <w:rPr>
                <w:rFonts w:ascii="Arial" w:cs="Arial" w:eastAsia="Arial" w:hAnsi="Arial"/>
                <w:sz w:val="14"/>
                <w:szCs w:val="14"/>
                <w:b w:val="1"/>
                <w:bCs w:val="1"/>
                <w:color w:val="auto"/>
                <w:w w:val="95"/>
              </w:rPr>
              <w:t>(Zip Code)</w:t>
            </w: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 (617) 354-0068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55880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800" w:type="dxa"/>
            <w:vAlign w:val="bottom"/>
            <w:gridSpan w:val="2"/>
          </w:tcPr>
          <w:p>
            <w:pPr>
              <w:ind w:left="560"/>
              <w:spacing w:after="0"/>
              <w:rPr>
                <w:sz w:val="20"/>
                <w:szCs w:val="20"/>
                <w:color w:val="auto"/>
              </w:rPr>
            </w:pPr>
            <w:r>
              <w:rPr>
                <w:rFonts w:ascii="Arial" w:cs="Arial" w:eastAsia="Arial" w:hAnsi="Arial"/>
                <w:sz w:val="14"/>
                <w:szCs w:val="14"/>
                <w:color w:val="auto"/>
              </w:rPr>
              <w:t>Securities registered pursuant to Section 12(b) of the Act:</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20" w:type="dxa"/>
            <w:vAlign w:val="bottom"/>
            <w:tcBorders>
              <w:bottom w:val="single" w:sz="8" w:color="auto"/>
            </w:tcBorders>
          </w:tcPr>
          <w:p>
            <w:pPr>
              <w:ind w:left="1700"/>
              <w:spacing w:after="0"/>
              <w:rPr>
                <w:sz w:val="20"/>
                <w:szCs w:val="20"/>
                <w:color w:val="auto"/>
              </w:rPr>
            </w:pPr>
            <w:r>
              <w:rPr>
                <w:rFonts w:ascii="Arial" w:cs="Arial" w:eastAsia="Arial" w:hAnsi="Arial"/>
                <w:sz w:val="15"/>
                <w:szCs w:val="15"/>
                <w:b w:val="1"/>
                <w:bCs w:val="1"/>
                <w:color w:val="auto"/>
              </w:rPr>
              <w:t>Title of Each Class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3"/>
              </w:rPr>
              <w:t>Trading Symbol</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jc w:val="center"/>
              <w:ind w:right="747"/>
              <w:spacing w:after="0"/>
              <w:rPr>
                <w:sz w:val="20"/>
                <w:szCs w:val="20"/>
                <w:color w:val="auto"/>
              </w:rPr>
            </w:pPr>
            <w:r>
              <w:rPr>
                <w:rFonts w:ascii="Arial" w:cs="Arial" w:eastAsia="Arial" w:hAnsi="Arial"/>
                <w:sz w:val="15"/>
                <w:szCs w:val="15"/>
                <w:b w:val="1"/>
                <w:bCs w:val="1"/>
                <w:color w:val="auto"/>
                <w:w w:val="91"/>
              </w:rPr>
              <w:t>Name of Exchange on Which Registered</w:t>
            </w:r>
          </w:p>
        </w:tc>
        <w:tc>
          <w:tcPr>
            <w:tcW w:w="0" w:type="dxa"/>
            <w:vAlign w:val="bottom"/>
          </w:tcPr>
          <w:p>
            <w:pPr>
              <w:spacing w:after="0"/>
              <w:rPr>
                <w:sz w:val="1"/>
                <w:szCs w:val="1"/>
                <w:color w:val="auto"/>
              </w:rPr>
            </w:pPr>
          </w:p>
        </w:tc>
      </w:tr>
      <w:tr>
        <w:trPr>
          <w:trHeight w:val="182"/>
        </w:trPr>
        <w:tc>
          <w:tcPr>
            <w:tcW w:w="4800" w:type="dxa"/>
            <w:vAlign w:val="bottom"/>
            <w:gridSpan w:val="2"/>
          </w:tcPr>
          <w:p>
            <w:pPr>
              <w:ind w:left="840"/>
              <w:spacing w:after="0"/>
              <w:rPr>
                <w:sz w:val="20"/>
                <w:szCs w:val="20"/>
                <w:color w:val="auto"/>
              </w:rPr>
            </w:pPr>
            <w:r>
              <w:rPr>
                <w:rFonts w:ascii="Arial" w:cs="Arial" w:eastAsia="Arial" w:hAnsi="Arial"/>
                <w:sz w:val="14"/>
                <w:szCs w:val="14"/>
                <w:b w:val="1"/>
                <w:bCs w:val="1"/>
                <w:color w:val="auto"/>
              </w:rPr>
              <w:t>Class A Common Stock, par value $0.001 per share</w:t>
            </w:r>
          </w:p>
        </w:tc>
        <w:tc>
          <w:tcPr>
            <w:tcW w:w="100" w:type="dxa"/>
            <w:vAlign w:val="bottom"/>
          </w:tcPr>
          <w:p>
            <w:pPr>
              <w:spacing w:after="0"/>
              <w:rPr>
                <w:sz w:val="15"/>
                <w:szCs w:val="15"/>
                <w:color w:val="auto"/>
              </w:rPr>
            </w:pPr>
          </w:p>
        </w:tc>
        <w:tc>
          <w:tcPr>
            <w:tcW w:w="238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6"/>
              </w:rPr>
              <w:t>CARG</w:t>
            </w:r>
          </w:p>
        </w:tc>
        <w:tc>
          <w:tcPr>
            <w:tcW w:w="4140" w:type="dxa"/>
            <w:vAlign w:val="bottom"/>
            <w:gridSpan w:val="2"/>
          </w:tcPr>
          <w:p>
            <w:pPr>
              <w:jc w:val="center"/>
              <w:ind w:right="407"/>
              <w:spacing w:after="0"/>
              <w:rPr>
                <w:sz w:val="20"/>
                <w:szCs w:val="20"/>
                <w:color w:val="auto"/>
              </w:rPr>
            </w:pPr>
            <w:r>
              <w:rPr>
                <w:rFonts w:ascii="Arial" w:cs="Arial" w:eastAsia="Arial" w:hAnsi="Arial"/>
                <w:sz w:val="14"/>
                <w:szCs w:val="14"/>
                <w:b w:val="1"/>
                <w:bCs w:val="1"/>
                <w:color w:val="auto"/>
                <w:w w:val="89"/>
              </w:rPr>
              <w:t>The Nasdaq Stock Market LLC (Nasdaq Global Select Market)</w:t>
            </w:r>
          </w:p>
        </w:tc>
        <w:tc>
          <w:tcPr>
            <w:tcW w:w="0" w:type="dxa"/>
            <w:vAlign w:val="bottom"/>
          </w:tcPr>
          <w:p>
            <w:pPr>
              <w:spacing w:after="0"/>
              <w:rPr>
                <w:sz w:val="1"/>
                <w:szCs w:val="1"/>
                <w:color w:val="auto"/>
              </w:rPr>
            </w:pPr>
          </w:p>
        </w:tc>
      </w:tr>
      <w:tr>
        <w:trPr>
          <w:trHeight w:val="232"/>
        </w:trPr>
        <w:tc>
          <w:tcPr>
            <w:tcW w:w="4800" w:type="dxa"/>
            <w:vAlign w:val="bottom"/>
            <w:gridSpan w:val="2"/>
          </w:tcPr>
          <w:p>
            <w:pPr>
              <w:ind w:left="560"/>
              <w:spacing w:after="0"/>
              <w:rPr>
                <w:sz w:val="20"/>
                <w:szCs w:val="20"/>
                <w:color w:val="auto"/>
              </w:rPr>
            </w:pPr>
            <w:r>
              <w:rPr>
                <w:rFonts w:ascii="Arial" w:cs="Arial" w:eastAsia="Arial" w:hAnsi="Arial"/>
                <w:sz w:val="14"/>
                <w:szCs w:val="14"/>
                <w:color w:val="auto"/>
              </w:rPr>
              <w:t>Securities registered pursuant to Section 12(g) of the Act: None</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4900" w:type="dxa"/>
            <w:vAlign w:val="bottom"/>
            <w:gridSpan w:val="3"/>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80" w:type="dxa"/>
            <w:vAlign w:val="bottom"/>
            <w:gridSpan w:val="4"/>
          </w:tcPr>
          <w:p>
            <w:pPr>
              <w:spacing w:after="0"/>
              <w:rPr>
                <w:sz w:val="5"/>
                <w:szCs w:val="5"/>
                <w:color w:val="auto"/>
              </w:rPr>
            </w:pPr>
          </w:p>
        </w:tc>
        <w:tc>
          <w:tcPr>
            <w:tcW w:w="38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7620" w:type="dxa"/>
            <w:vAlign w:val="bottom"/>
            <w:gridSpan w:val="8"/>
          </w:tcPr>
          <w:p>
            <w:pPr>
              <w:ind w:left="560"/>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 Yes</w:t>
            </w:r>
          </w:p>
        </w:tc>
        <w:tc>
          <w:tcPr>
            <w:tcW w:w="3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gridSpan w:val="7"/>
          </w:tcPr>
          <w:p>
            <w:pPr>
              <w:ind w:left="56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15(d) of the Act. Yes</w:t>
            </w:r>
          </w:p>
        </w:tc>
        <w:tc>
          <w:tcPr>
            <w:tcW w:w="3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jc w:val="both"/>
        <w:ind w:firstLine="555"/>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555"/>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555"/>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00"/>
              <w:spacing w:after="0"/>
              <w:rPr>
                <w:sz w:val="20"/>
                <w:szCs w:val="20"/>
                <w:color w:val="auto"/>
              </w:rPr>
            </w:pPr>
            <w:r>
              <w:rPr>
                <w:rFonts w:ascii="Arial" w:cs="Arial" w:eastAsia="Arial" w:hAnsi="Arial"/>
                <w:sz w:val="14"/>
                <w:szCs w:val="14"/>
                <w:color w:val="auto"/>
              </w:rPr>
              <w:t>Small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180" w:type="dxa"/>
            <w:vAlign w:val="bottom"/>
          </w:tcPr>
          <w:p>
            <w:pPr>
              <w:ind w:left="320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jc w:val="both"/>
        <w:ind w:firstLine="55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60"/>
        <w:spacing w:after="0" w:line="161" w:lineRule="exact"/>
        <w:tabs>
          <w:tab w:leader="none" w:pos="77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firstLine="555"/>
        <w:spacing w:after="0" w:line="234" w:lineRule="auto"/>
        <w:rPr>
          <w:sz w:val="20"/>
          <w:szCs w:val="20"/>
          <w:color w:val="auto"/>
        </w:rPr>
      </w:pPr>
      <w:r>
        <w:rPr>
          <w:rFonts w:ascii="Arial" w:cs="Arial" w:eastAsia="Arial" w:hAnsi="Arial"/>
          <w:sz w:val="14"/>
          <w:szCs w:val="14"/>
          <w:color w:val="auto"/>
        </w:rPr>
        <w:t>The aggregate market value of the registrant’s Class A common stock, par value $0.001 per share, held by non-affiliates of the registrant based on the closing price of the registrant’s common stock as reported on the Nasdaq Global Market on June 30, 2019 was $2,464,065,369. Shares of voting and non-voting stock held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20" w:lineRule="exact"/>
        <w:rPr>
          <w:sz w:val="24"/>
          <w:szCs w:val="24"/>
          <w:color w:val="auto"/>
        </w:rPr>
      </w:pPr>
    </w:p>
    <w:p>
      <w:pPr>
        <w:jc w:val="center"/>
        <w:ind w:right="40"/>
        <w:spacing w:after="0" w:line="301" w:lineRule="auto"/>
        <w:rPr>
          <w:sz w:val="20"/>
          <w:szCs w:val="20"/>
          <w:color w:val="auto"/>
        </w:rPr>
      </w:pPr>
      <w:r>
        <w:rPr>
          <w:rFonts w:ascii="Arial" w:cs="Arial" w:eastAsia="Arial" w:hAnsi="Arial"/>
          <w:sz w:val="14"/>
          <w:szCs w:val="14"/>
          <w:color w:val="auto"/>
        </w:rPr>
        <w:t xml:space="preserve">As of February 6, 2020, the registrant had 91,983,435 shares of Class A common stock, and 20,314,644 shares of Class B common stock, par value $0.001 per share, outstanding. </w:t>
      </w: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jc w:val="both"/>
        <w:ind w:firstLine="555"/>
        <w:spacing w:after="0" w:line="238" w:lineRule="auto"/>
        <w:rPr>
          <w:sz w:val="20"/>
          <w:szCs w:val="20"/>
          <w:color w:val="auto"/>
        </w:rPr>
      </w:pPr>
      <w:r>
        <w:rPr>
          <w:rFonts w:ascii="Arial" w:cs="Arial" w:eastAsia="Arial" w:hAnsi="Arial"/>
          <w:sz w:val="14"/>
          <w:szCs w:val="14"/>
          <w:color w:val="auto"/>
        </w:rPr>
        <w:t>Portions of the registrant’s definitive Proxy Statement for its 2020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149860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20" w:type="dxa"/>
            <w:vAlign w:val="bottom"/>
            <w:gridSpan w:val="8"/>
          </w:tcPr>
          <w:p>
            <w:pPr>
              <w:ind w:left="5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5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94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854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Unresolved Staff Comments</w:t>
              </w:r>
            </w:hyperlink>
          </w:p>
        </w:tc>
        <w:tc>
          <w:tcPr>
            <w:tcW w:w="740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8720" w:type="dxa"/>
            <w:vAlign w:val="bottom"/>
            <w:gridSpan w:val="1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2"/>
          </w:tcPr>
          <w:p>
            <w:pPr>
              <w:ind w:left="140"/>
              <w:spacing w:after="0"/>
              <w:rPr>
                <w:sz w:val="20"/>
                <w:szCs w:val="20"/>
                <w:color w:val="auto"/>
              </w:rPr>
            </w:pPr>
            <w:r>
              <w:rPr>
                <w:rFonts w:ascii="Arial" w:cs="Arial" w:eastAsia="Arial" w:hAnsi="Arial"/>
                <w:sz w:val="18"/>
                <w:szCs w:val="18"/>
                <w:color w:val="auto"/>
                <w:w w:val="90"/>
              </w:rPr>
              <w:t>Item 5.</w:t>
            </w:r>
          </w:p>
        </w:tc>
        <w:tc>
          <w:tcPr>
            <w:tcW w:w="500" w:type="dxa"/>
            <w:vAlign w:val="bottom"/>
            <w:gridSpan w:val="3"/>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27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Selected Consolidated Financial Data</w:t>
              </w:r>
            </w:hyperlink>
          </w:p>
        </w:tc>
        <w:tc>
          <w:tcPr>
            <w:tcW w:w="5360" w:type="dxa"/>
            <w:vAlign w:val="bottom"/>
            <w:tcBorders>
              <w:top w:val="single" w:sz="8" w:color="0000EE"/>
            </w:tcBorders>
            <w:gridSpan w:val="10"/>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946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30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46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18"/>
                <w:szCs w:val="18"/>
                <w:color w:val="auto"/>
              </w:rPr>
            </w:pPr>
          </w:p>
        </w:tc>
        <w:tc>
          <w:tcPr>
            <w:tcW w:w="298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9460" w:type="dxa"/>
            <w:vAlign w:val="bottom"/>
            <w:gridSpan w:val="20"/>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PART III</w:t>
              </w:r>
            </w:hyperlink>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460" w:type="dxa"/>
            <w:vAlign w:val="bottom"/>
            <w:gridSpan w:val="20"/>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460" w:type="dxa"/>
            <w:vAlign w:val="bottom"/>
            <w:gridSpan w:val="20"/>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8"/>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5"/>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Exhibits, Financial Statement Schedules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1"/>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Form 10-K Summary</w:t>
              </w:r>
            </w:hyperlink>
          </w:p>
        </w:tc>
        <w:tc>
          <w:tcPr>
            <w:tcW w:w="65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824"/>
        </w:trPr>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This Annual Report on Form 10-K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960" w:hanging="39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and business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value proposition of our product offerings;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deliver quality leads at a high volume for our dealer customers;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acquire new customers;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growth strategies and our ability to effectively manage that growth;</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audience, as well as to maintain and build our brand;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expand internationally;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benefits from our acquisitions and successfully implement our integration strategies;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and effectively comply with new or modified laws and regulations that currently apply or become applicable to our business;</w:t>
      </w:r>
    </w:p>
    <w:p>
      <w:pPr>
        <w:spacing w:after="0" w:line="62"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global supply chain challenges, changes to trade policies and other macroeconomic issues;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the occupancy of our recently leased properties;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225"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joint ventures,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4"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to reflect events or circumstances after the date of this report or to reflect new information or the occurrence of unanticipated events, except as required by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8"/>
          <w:szCs w:val="18"/>
          <w:color w:val="auto"/>
        </w:rPr>
        <w:t>CarGurus is a global, online automotive marketplace connecting buyers and sellers of new and used cars. Using proprietary technology, search algorithms, and innovative data analytics, we believe we are building the world’s most trusted and transparent automotive marketplace and creating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Arial" w:cs="Arial" w:eastAsia="Arial" w:hAnsi="Arial"/>
          <w:sz w:val="18"/>
          <w:szCs w:val="18"/>
          <w:color w:val="auto"/>
        </w:rPr>
        <w:t>party validation on pricing and dealer reputation as well as other information that aids them in finding “Great Deals from Top-Rated Dealers.” Our selection of car listings provides the largest number of car listings available on any of the major U.S. online automotive marketplaces. In addition to the United States, we operate online marketplaces under the CarGurus brand in Canada, the United Kingdom, Germany, Italy, and Spain. In the United Kingdom, we also operate the PistonHeads online marketplace as an independent brand.</w:t>
      </w:r>
    </w:p>
    <w:p>
      <w:pPr>
        <w:spacing w:after="0" w:line="207"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A core principle of our marketplace is transparency. For consumers considering used vehicles, we aggregate vehicle inventory from dealers and apply our proprietary analysis to generate a Deal Rating as one of: Great Deal, Good Deal, Fair Deal, High Priced, or Overpriced. Deal Rating illustrates how competitive a listing is compared to similar cars sold in the same region in recent history. We determine Deal Rating principally on the basis of both our proprietary Instant Market Value, or IMV, algorithm, which determines the market value of a used vehicle in a local market, and Dealer Rating, a measure of a dealer’s reputation as determined by reviews of that dealer from our user community. As the only major U.S. online automotive marketplace that defaults to sorting organic search results based on a used car’s Deal Rating, we enable consumers to find the most relevant car for their needs. For new cars, we help our users understand deal quality by providing price analysis and our Dealer Rating. We also provide our users information historically not widely available, such as Price History, Time on Site, and Vehicle History. We believe this approach brings greater transparency, trust, and efficiency to a consumer’s car research and buying process, leading to higher engagement and a more informed consumer who is better prepared to purchase at the dealership.</w:t>
      </w:r>
    </w:p>
    <w:p>
      <w:pPr>
        <w:spacing w:after="0" w:line="167" w:lineRule="exact"/>
        <w:rPr>
          <w:sz w:val="20"/>
          <w:szCs w:val="20"/>
          <w:color w:val="auto"/>
        </w:rPr>
      </w:pPr>
    </w:p>
    <w:p>
      <w:pPr>
        <w:jc w:val="both"/>
        <w:ind w:firstLine="555"/>
        <w:spacing w:after="0" w:line="217" w:lineRule="exact"/>
        <w:rPr>
          <w:sz w:val="20"/>
          <w:szCs w:val="20"/>
          <w:color w:val="auto"/>
        </w:rPr>
      </w:pPr>
      <w:r>
        <w:rPr>
          <w:rFonts w:ascii="Arial" w:cs="Arial" w:eastAsia="Arial" w:hAnsi="Arial"/>
          <w:sz w:val="17"/>
          <w:szCs w:val="17"/>
          <w:color w:val="auto"/>
        </w:rPr>
        <w:t>Our large, engaged, and predominantly mobile user base presents an attractive audience of in</w:t>
      </w:r>
      <w:r>
        <w:rPr>
          <w:rFonts w:ascii="MS PGothic" w:cs="MS PGothic" w:eastAsia="MS PGothic" w:hAnsi="MS PGothic"/>
          <w:sz w:val="17"/>
          <w:szCs w:val="17"/>
          <w:color w:val="auto"/>
        </w:rPr>
        <w:t>‑</w:t>
      </w:r>
      <w:r>
        <w:rPr>
          <w:rFonts w:ascii="Arial" w:cs="Arial" w:eastAsia="Arial" w:hAnsi="Arial"/>
          <w:sz w:val="17"/>
          <w:szCs w:val="17"/>
          <w:color w:val="auto"/>
        </w:rPr>
        <w:t>market consumers for our dealers. By presenting consumers with data such as our Deal Ratings, Price History, Time on Site, and Vehicle History, we believe our consumer audience is comprised of more informed, ready-to-purchase shoppers. By connecting dealers with more informed, ready-to-purchase consumers, we believe we provide dealers with an efficient customer acquisition channel and attractive returns on their marketing spend with us. Dealers can list their inventory in our marketplace for free or with a subscription to one of our paid Listings packages. Non-paying dealers receive anonymized email connections and access to a subset of the tools on our Dealer Dashboard at no cost. Dealers with a paid subscription receive connections with consumers that are not anonymous and can be made through a wider variety of methods, including phone calls, email, managed text and chat, links to the dealers’ website, and map directions to dealerships. The primary objective of our traffic acquisition and site improvement efforts is to generate greater volumes of consumer leads to dealers. Leads are a subcategory of connections that we define as user inquiries via our marketplace to dealers by phone calls, email, or managed text and chat interactions. Dealers with our paid Listings packages are able to display their dealer name, address, and dealership information on their listings on our websites to gain brand recognition, which promotes walk</w:t>
      </w:r>
      <w:r>
        <w:rPr>
          <w:rFonts w:ascii="MS PGothic" w:cs="MS PGothic" w:eastAsia="MS PGothic" w:hAnsi="MS PGothic"/>
          <w:sz w:val="17"/>
          <w:szCs w:val="17"/>
          <w:color w:val="auto"/>
        </w:rPr>
        <w:t>‑</w:t>
      </w:r>
      <w:r>
        <w:rPr>
          <w:rFonts w:ascii="Arial" w:cs="Arial" w:eastAsia="Arial" w:hAnsi="Arial"/>
          <w:sz w:val="17"/>
          <w:szCs w:val="17"/>
          <w:color w:val="auto"/>
        </w:rPr>
        <w:t>in traffic to the dealer. We also provide paying dealers with full access to our Dealer Dashboard, including inventory pricing tools informed by real</w:t>
      </w:r>
      <w:r>
        <w:rPr>
          <w:rFonts w:ascii="MS PGothic" w:cs="MS PGothic" w:eastAsia="MS PGothic" w:hAnsi="MS PGothic"/>
          <w:sz w:val="17"/>
          <w:szCs w:val="17"/>
          <w:color w:val="auto"/>
        </w:rPr>
        <w:t>‑</w:t>
      </w:r>
      <w:r>
        <w:rPr>
          <w:rFonts w:ascii="Arial" w:cs="Arial" w:eastAsia="Arial" w:hAnsi="Arial"/>
          <w:sz w:val="17"/>
          <w:szCs w:val="17"/>
          <w:color w:val="auto"/>
        </w:rPr>
        <w:t>time market conditions, which helps them more effectively price, merchandise, and sell their cars. Our success with dealers is evidenced by the number of paying dealers in our U.S. marketplace. Our U.S. marketplace had 28,990 paying dealers as of December 31, 2019 compared to 27,534 and 25,122 as of December 31, 2018 and December 31, 2017, respectively.</w:t>
      </w:r>
    </w:p>
    <w:p>
      <w:pPr>
        <w:spacing w:after="0" w:line="208"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Our scaled online marketplace model drives powerful network effects. The industry</w:t>
      </w:r>
      <w:r>
        <w:rPr>
          <w:rFonts w:ascii="MS PGothic" w:cs="MS PGothic" w:eastAsia="MS PGothic" w:hAnsi="MS PGothic"/>
          <w:sz w:val="17"/>
          <w:szCs w:val="17"/>
          <w:color w:val="auto"/>
        </w:rPr>
        <w:t>‑</w:t>
      </w:r>
      <w:r>
        <w:rPr>
          <w:rFonts w:ascii="Arial" w:cs="Arial" w:eastAsia="Arial" w:hAnsi="Arial"/>
          <w:sz w:val="17"/>
          <w:szCs w:val="17"/>
          <w:color w:val="auto"/>
        </w:rPr>
        <w:t>leading inventory selection offered by our U.S. dealers attracts a large and engaged consumer audience. The value of robust connections to this audience incentivizes dealers to purchase our paid Listings packages. Displaying listings from more paying dealers provides consumers with more dealer information and methods to contact them. More consumers – 36.8 million average monthly U.S. unique users in 2019 – and connections – 65.3 million in the U.S. in 2019 – drive greater value to paying dealers on our platform. Driven by these network effects, we continue to amass more data, which we use to continuously improve our search algorithms, the accuracy of Deal Ratings, our user experience, and, ultimately, the quality of the connections between consumers and dealers.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firstLine="555"/>
        <w:spacing w:after="0" w:line="218" w:lineRule="exact"/>
        <w:rPr>
          <w:sz w:val="20"/>
          <w:szCs w:val="20"/>
          <w:color w:val="auto"/>
        </w:rPr>
      </w:pPr>
      <w:r>
        <w:rPr>
          <w:rFonts w:ascii="Arial" w:cs="Arial" w:eastAsia="Arial" w:hAnsi="Arial"/>
          <w:sz w:val="17"/>
          <w:szCs w:val="17"/>
          <w:color w:val="auto"/>
        </w:rPr>
        <w:t>We generate marketplace subscription revenue from dealers through subscriptions to our products, including our paid Listings packages (which include optional features and enhancements such as Delivery) and products marketed under our Real-time Performance Marketing suite, including our Dealer Display advertising and audience targeting products and our Dealer Search Engine Marketing product. We also generate advertising and other revenue from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as well as from non-dealer products such as through our consumer financing partnerships and our peer-to-peer marketplace. Our rapid revenue growth and financial performance over the last several years exemplify the strength of our marketplace. We generated revenue of $588.9 million in 2019, $454.1 million in 2018, and $316.9 million in 2017, representing year-over-year increases of 30% in 2019 and 43% in 2018. In 2019, we generated net income of $42.1 million and our Adjusted EBITDA, a non-GAAP financial measure, was $77.0 million, compared to net income of $65.2 million and Adjusted EBITDA of $49.7 million in 2018 and net income of $13.2 million and Adjusted EBITDA of $24.1 million in 2017. See “Selected Consolidated Financial Data — Adjusted EBITDA” for more information regarding our use of Adjusted EBITDA and a reconciliation of Adjusted EBITDA to our net income (loss).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Challenges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consumers determine the car they would like to purchase, the key questions they ask are:</w:t>
      </w:r>
    </w:p>
    <w:p>
      <w:pPr>
        <w:spacing w:after="0" w:line="117" w:lineRule="exact"/>
        <w:rPr>
          <w:sz w:val="20"/>
          <w:szCs w:val="20"/>
          <w:color w:val="auto"/>
        </w:rPr>
      </w:pPr>
    </w:p>
    <w:p>
      <w:pPr>
        <w:ind w:left="960" w:hanging="39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What type of car should I buy?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can I buy a car like this?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What is a fair price for this particular type of car?</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others had a good experience buying from this dealer?</w:t>
      </w:r>
    </w:p>
    <w:p>
      <w:pPr>
        <w:spacing w:after="0" w:line="225"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6"/>
          <w:szCs w:val="16"/>
          <w:color w:val="auto"/>
        </w:rPr>
        <w:t>In answering these questions, consumers historically had limited access to unbiased information on specific vehicles, car pricing, and dealer reputation. Every used car is unique, and so for consumers searching for used cars, it is difficult to aggregate the relevant inventory of available cars across sellers, a difficulty exacerbated by the lack of consistency in the way that dealers characterize a car’s attributes. Traditionally, dealers had more information about car prices than consumers did, as consumers had limited resources and tools to determine an appropriate price. Selecting the right dealer was also challenging for consumers as dealer reputations were historically based primarily on word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mouth. The lack of clear, unbiased, transparent information made it difficult for consumers to effectively compare vehicles, find the vehicles that best suited their needs and transact with well-regarded dealers.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 Challenges</w:t>
      </w:r>
    </w:p>
    <w:p>
      <w:pPr>
        <w:spacing w:after="0" w:line="121"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8"/>
          <w:szCs w:val="18"/>
          <w:color w:val="auto"/>
        </w:rPr>
        <w:t>The economics of dealerships depend largely on sales volume, gross margin, and customer acquisition efficiency. To achieve a high return on their marketing investments, dealers must find in</w:t>
      </w:r>
      <w:r>
        <w:rPr>
          <w:rFonts w:ascii="MS PGothic" w:cs="MS PGothic" w:eastAsia="MS PGothic" w:hAnsi="MS PGothic"/>
          <w:sz w:val="18"/>
          <w:szCs w:val="18"/>
          <w:color w:val="auto"/>
        </w:rPr>
        <w:t>‑</w:t>
      </w:r>
      <w:r>
        <w:rPr>
          <w:rFonts w:ascii="Arial" w:cs="Arial" w:eastAsia="Arial" w:hAnsi="Arial"/>
          <w:sz w:val="18"/>
          <w:szCs w:val="18"/>
          <w:color w:val="auto"/>
        </w:rPr>
        <w:t>market consumers; yet because car purchases are infrequent, only a small percentage of consumers are shopping for a car at any given point in time. Traditional marketing channels, including television, radio, and newspaper, can effectively target locally but are inefficient in targeting the relatively small percentage of consumers who are actively in the market to buy a car. In addition, used car pricing is fluid because it is based on rapidly shifting supply and demand dynamics. Dealers need to find ways to manage constantly changing inventory and adjust pricing strategies to adapt to frequently changing market conditions.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competitive advantages are based on the following key strengths:</w:t>
      </w:r>
    </w:p>
    <w:p>
      <w:pPr>
        <w:spacing w:after="0" w:line="225"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b w:val="1"/>
          <w:bCs w:val="1"/>
          <w:i w:val="1"/>
          <w:iCs w:val="1"/>
          <w:color w:val="auto"/>
        </w:rPr>
        <w:t xml:space="preserve">Trusted Marketplace for Consumers. </w:t>
      </w:r>
      <w:r>
        <w:rPr>
          <w:rFonts w:ascii="Arial" w:cs="Arial" w:eastAsia="Arial" w:hAnsi="Arial"/>
          <w:sz w:val="17"/>
          <w:szCs w:val="17"/>
          <w:color w:val="auto"/>
        </w:rPr>
        <w:t>We provide consumers with unbiased information, intuitive search results, and other tools that empower them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find “Great Deals from Top-Rated Dealers.” We offer the largest online selection of new and used car listings of any major U.S. online automotive marketplace. We aggregate and analyze these listings using proprietary technology and data along with innovative data analytics to create a differentiated automotive search experience for consumers. We believe that providing a transparent consumer experience with unbiased information has instilled trust in us among our users, helping us to become the most visited online automotive marketplace in the United States according to data from Comscore. In 2019, we experienced over 99.4 million average monthly sessions in the United States. See “Management’s Discussion and Analysis of Financial Condition and Results of Operations — Key Business Metrics” for how we define average monthly sessions. We believe this user traffic, an indicator of consumer satisfaction and engagement, is critical to our marketplace success and will continue to strengthen our market position. We attract our audience from a diverse range of acquisition channels including, but not limited to, direct navigation, mobile applications, email, organic search, paid search advertising, social media advertising, display advertising, audience targeting, and brand advertising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campaigns. In addition, we focus our efforts on attracting users that we believe are near a car purchasing decision, resulting in a higher quality audience to which our dealers can market. For our United States marketplace, in 2019 we generated 65.3 million connections and 38.5 million leads, compared with 62.2 million connections and 33.8 million leads in 2018. We define (i) connections as interactions between consumers and dealers via our marketplace through phone calls, email, managed text and chat, and clicks to access the dealer’s website and map directions to the dealership and (ii) leads as user inquiries via our marketplace to dealers by phone calls, email, or managed text and chat.</w:t>
      </w:r>
    </w:p>
    <w:p>
      <w:pPr>
        <w:spacing w:after="0" w:line="188"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8"/>
          <w:szCs w:val="18"/>
          <w:b w:val="1"/>
          <w:bCs w:val="1"/>
          <w:i w:val="1"/>
          <w:iCs w:val="1"/>
          <w:color w:val="auto"/>
        </w:rPr>
        <w:t>Proprietary Search Algorithms and Data</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Driven Approach. </w:t>
      </w:r>
      <w:r>
        <w:rPr>
          <w:rFonts w:ascii="Arial" w:cs="Arial" w:eastAsia="Arial" w:hAnsi="Arial"/>
          <w:sz w:val="18"/>
          <w:szCs w:val="18"/>
          <w:color w:val="auto"/>
        </w:rPr>
        <w:t>We have built an extensive repository of data on cars, prices, dealers,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interactions between consumers and dealers that is the result of many years of data aggregation and regression modeling. Our proprietary search algorithms and data analytics allow us to use this valuable data to bring greater transparency to our platform. The primary product of this analysis is our determination of a used car’s IMV, which, together with Dealer Rating, drives our Deal Rating. We calculate IMV by applying more than 20 ranking signals and more than 100 normalization rules to tens of millions of data points, including the make, model, trim, year, features, condition, history, geographic location, and mileage of the car. We apply the knowledge gained from analyzing the growing volume of connections between consumers and dealers on our platform to build new features for our consumers and products for our dealers.</w:t>
      </w:r>
    </w:p>
    <w:p>
      <w:pPr>
        <w:spacing w:after="0" w:line="207"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6"/>
          <w:szCs w:val="16"/>
          <w:b w:val="1"/>
          <w:bCs w:val="1"/>
          <w:i w:val="1"/>
          <w:iCs w:val="1"/>
          <w:color w:val="auto"/>
        </w:rPr>
        <w:t xml:space="preserve">Strong Value Proposition to Dealers. </w:t>
      </w:r>
      <w:r>
        <w:rPr>
          <w:rFonts w:ascii="Arial" w:cs="Arial" w:eastAsia="Arial" w:hAnsi="Arial"/>
          <w:sz w:val="16"/>
          <w:szCs w:val="16"/>
          <w:color w:val="auto"/>
        </w:rPr>
        <w:t>We believe that our marketplace offers an efficient customer acquisition channel for dealers, helping them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achieve attractive returns on their marketing spend with us. We provide our dealer base with connections to prospective car buyers; most of these connections have historically been for used cars. The primary objective of our traffic acquisition and site improvements is to generate greater volumes of consumer leads to our dealers. These leads include phone calls, email, and managed text and chat interactions to dealers, which we believe yield the highest value engagement for dealers. We provide all dealers with tools that are informed by real</w:t>
      </w:r>
      <w:r>
        <w:rPr>
          <w:rFonts w:ascii="MS PGothic" w:cs="MS PGothic" w:eastAsia="MS PGothic" w:hAnsi="MS PGothic"/>
          <w:sz w:val="16"/>
          <w:szCs w:val="16"/>
          <w:color w:val="auto"/>
        </w:rPr>
        <w:t>‑</w:t>
      </w:r>
      <w:r>
        <w:rPr>
          <w:rFonts w:ascii="Arial" w:cs="Arial" w:eastAsia="Arial" w:hAnsi="Arial"/>
          <w:sz w:val="16"/>
          <w:szCs w:val="16"/>
          <w:color w:val="auto"/>
        </w:rPr>
        <w:t>time market conditions that help them merchandise and sell their cars, and our paying dealers get access to additional valuable information from our Pricing Tool and Market Analysis tool. Our strong value proposition to the dealer community is evidenced by our 19% growth in average annual revenue per subscribing dealer, or AARSD, in the United States in 2019 compared to 2018.</w:t>
      </w:r>
    </w:p>
    <w:p>
      <w:pPr>
        <w:spacing w:after="0" w:line="205"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6"/>
          <w:szCs w:val="16"/>
          <w:b w:val="1"/>
          <w:bCs w:val="1"/>
          <w:i w:val="1"/>
          <w:iCs w:val="1"/>
          <w:color w:val="auto"/>
        </w:rPr>
        <w:t xml:space="preserve">Network Effects Driven by Scale. </w:t>
      </w:r>
      <w:r>
        <w:rPr>
          <w:rFonts w:ascii="Arial" w:cs="Arial" w:eastAsia="Arial" w:hAnsi="Arial"/>
          <w:sz w:val="16"/>
          <w:szCs w:val="16"/>
          <w:color w:val="auto"/>
        </w:rPr>
        <w:t>With the majority of dealers in the United States listing inventory on our platform and having built the most visited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online automotive marketplace in the United States according to data from Comscore, we believe that our scale creates powerful network effects that reinforce the competitive strength of our business model. Our large consumer audience increases our appeal to dealers and incentivizes more dealers to subscribe to our paid Listings packages to access the numerous benefits unavailable to non</w:t>
      </w:r>
      <w:r>
        <w:rPr>
          <w:rFonts w:ascii="MS PGothic" w:cs="MS PGothic" w:eastAsia="MS PGothic" w:hAnsi="MS PGothic"/>
          <w:sz w:val="16"/>
          <w:szCs w:val="16"/>
          <w:color w:val="auto"/>
        </w:rPr>
        <w:t>‑</w:t>
      </w:r>
      <w:r>
        <w:rPr>
          <w:rFonts w:ascii="Arial" w:cs="Arial" w:eastAsia="Arial" w:hAnsi="Arial"/>
          <w:sz w:val="16"/>
          <w:szCs w:val="16"/>
          <w:color w:val="auto"/>
        </w:rPr>
        <w:t>paying dealers. Displaying listings from more paying dealers on our websites provides consumers with more dealer information and methods to contact those dealers. More consumers and connections drive greater value and a higher return to paying dealers’ marketing spend on our platform. Driven by these network effects, we continue to amass data points, which we use to further strengthen our traffic acquisition efforts and marketplace search algorithms, the utility of analysis complementing each listing, the quality of our user experience, the value of connections between consumers and dealers, and the efficacy of our dealer digital marketing products.</w:t>
      </w:r>
    </w:p>
    <w:p>
      <w:pPr>
        <w:spacing w:after="0" w:line="203"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b w:val="1"/>
          <w:bCs w:val="1"/>
          <w:i w:val="1"/>
          <w:iCs w:val="1"/>
          <w:color w:val="auto"/>
        </w:rPr>
        <w:t xml:space="preserve">Attractive Financial Model. </w:t>
      </w:r>
      <w:r>
        <w:rPr>
          <w:rFonts w:ascii="Arial" w:cs="Arial" w:eastAsia="Arial" w:hAnsi="Arial"/>
          <w:sz w:val="17"/>
          <w:szCs w:val="17"/>
          <w:color w:val="auto"/>
        </w:rPr>
        <w:t>We have a strong track record of revenue growth, profitability, and capital efficiency. We generated revenue of $588.9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2019, $454.1 million in 2018, and $316.9 million in 2017, representing year-over-year increases of 30% in 2019 and 43% in 2018. A significant portion of our revenue is recurring due to the subscription nature of our products. In 2019, 2018, and 2017, dealer marketplace subscription revenue from our Listings packages, our Dealer Display advertising and audience targeting products, and our Dealer Search Engine Marketing product, all of which we consider to constitute recurring revenue, comprised 89% of total revenue in each year. Furthermore, our revenue base is highly diversified due to the fragmented nature of the automotive dealer industry. We also have been able to grow and invest in our future growth while improving profitability due to the operating leverage in our business model. On a consolidated basis, while our revenue grew 30% in 2019 and 43% in 2018, our Adjusted EBITDA grew 55% in 2019 and 106% in 2018. As a percentage of revenue, our Adjusted EBITDA margin expanded to 13% in 2019 from 11% in 2018 and from 8% in 2017. In the United States, which is our most developed market, we grew our revenue by 27% in 2019 and 42% in 2018 while increasing our income from operations to $73.9 million in 2019 from $58.4 million in 2018 and $41.6 million in 2017.</w:t>
      </w:r>
    </w:p>
    <w:p>
      <w:pPr>
        <w:spacing w:after="0" w:line="178"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8"/>
          <w:szCs w:val="18"/>
          <w:b w:val="1"/>
          <w:bCs w:val="1"/>
          <w:i w:val="1"/>
          <w:iCs w:val="1"/>
          <w:color w:val="auto"/>
        </w:rPr>
        <w:t>Founder</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Led Management Team with Culture of Innovation. </w:t>
      </w:r>
      <w:r>
        <w:rPr>
          <w:rFonts w:ascii="Arial" w:cs="Arial" w:eastAsia="Arial" w:hAnsi="Arial"/>
          <w:sz w:val="18"/>
          <w:szCs w:val="18"/>
          <w:color w:val="auto"/>
        </w:rPr>
        <w:t>Our founder, Chief Executive Officer and Chairman, Langley Steinert, co</w:t>
      </w:r>
      <w:r>
        <w:rPr>
          <w:rFonts w:ascii="MS PGothic" w:cs="MS PGothic" w:eastAsia="MS PGothic" w:hAnsi="MS PGothic"/>
          <w:sz w:val="18"/>
          <w:szCs w:val="18"/>
          <w:color w:val="auto"/>
        </w:rPr>
        <w:t>‑</w:t>
      </w:r>
      <w:r>
        <w:rPr>
          <w:rFonts w:ascii="Arial" w:cs="Arial" w:eastAsia="Arial" w:hAnsi="Arial"/>
          <w:sz w:val="18"/>
          <w:szCs w:val="18"/>
          <w:color w:val="auto"/>
        </w:rPr>
        <w:t>founded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was previously chairman of TripAdvisor, an online marketplace for travel</w:t>
      </w:r>
      <w:r>
        <w:rPr>
          <w:rFonts w:ascii="MS PGothic" w:cs="MS PGothic" w:eastAsia="MS PGothic" w:hAnsi="MS PGothic"/>
          <w:sz w:val="18"/>
          <w:szCs w:val="18"/>
          <w:color w:val="auto"/>
        </w:rPr>
        <w:t>‑</w:t>
      </w:r>
      <w:r>
        <w:rPr>
          <w:rFonts w:ascii="Arial" w:cs="Arial" w:eastAsia="Arial" w:hAnsi="Arial"/>
          <w:sz w:val="18"/>
          <w:szCs w:val="18"/>
          <w:color w:val="auto"/>
        </w:rPr>
        <w:t>related content based on the mission of using technology and a data</w:t>
      </w:r>
      <w:r>
        <w:rPr>
          <w:rFonts w:ascii="MS PGothic" w:cs="MS PGothic" w:eastAsia="MS PGothic" w:hAnsi="MS PGothic"/>
          <w:sz w:val="18"/>
          <w:szCs w:val="18"/>
          <w:color w:val="auto"/>
        </w:rPr>
        <w:t>‑</w:t>
      </w:r>
      <w:r>
        <w:rPr>
          <w:rFonts w:ascii="Arial" w:cs="Arial" w:eastAsia="Arial" w:hAnsi="Arial"/>
          <w:sz w:val="18"/>
          <w:szCs w:val="18"/>
          <w:color w:val="auto"/>
        </w:rPr>
        <w:t>driven approach to provide transparency for consumers’ travel planning. Led by Mr. Steinert and a management team with extensive experience guiding technology companies in evolving industries, we bring the same commitment to fostering a culture of innovation and delivering data-driven transparency to the automotive market.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Marketplace</w:t>
      </w:r>
    </w:p>
    <w:p>
      <w:pPr>
        <w:spacing w:after="0" w:line="117"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color w:val="auto"/>
        </w:rPr>
        <w:t>We provide consumers an online automotive marketplace where they can search for new and used car listings from our dealers. With our U.S. marketplace’s peer-to-peer offering, consumers also have access to additional car listings from private sellers, and are able to sell their car to other consumers. Through our marketplace, we provide consumers with information that helps them find the most relevant car for their needs. A user accesses our marketplace through our websites or, in the U.S. and certain international markets, by using our mobile applications. Most users specify whether they are searching for used, certified pre</w:t>
      </w:r>
      <w:r>
        <w:rPr>
          <w:rFonts w:ascii="MS PGothic" w:cs="MS PGothic" w:eastAsia="MS PGothic" w:hAnsi="MS PGothic"/>
          <w:sz w:val="17"/>
          <w:szCs w:val="17"/>
          <w:color w:val="auto"/>
        </w:rPr>
        <w:t>‑</w:t>
      </w:r>
      <w:r>
        <w:rPr>
          <w:rFonts w:ascii="Arial" w:cs="Arial" w:eastAsia="Arial" w:hAnsi="Arial"/>
          <w:sz w:val="17"/>
          <w:szCs w:val="17"/>
          <w:color w:val="auto"/>
        </w:rPr>
        <w:t>owned, or new cars and then provide their desired vehicle make and model and their postal code. Our product offerings described below are available through our U.S. marketplace; their availability internationally varies by country. We also offer paid listings subscriptions for dealers and display advertising products through the PistonHeads website.</w:t>
      </w:r>
    </w:p>
    <w:p>
      <w:pPr>
        <w:spacing w:after="0" w:line="31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Used and Certified Pre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Owned Cars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Using our proprietary search algorithms, we immediately display the results of the consumer’s search, ranked by Deal Rating, on a search results page, or SRP. Eligible used car listings in our marketplace are assigned one of five Deal Ratings: Great Deal, Good Deal, Fair Deal, High Priced, or Overpriced. Deal Rating illustrates how competitive a listing is compared to similar cars sold in the same region in recent history. A listing’s Deal Rating is based primarily upon the IMV of the vehicle and the Dealer Rating of the dealer.</w:t>
      </w:r>
    </w:p>
    <w:p>
      <w:pPr>
        <w:spacing w:after="0" w:line="187" w:lineRule="exact"/>
        <w:rPr>
          <w:sz w:val="20"/>
          <w:szCs w:val="20"/>
          <w:color w:val="auto"/>
        </w:rPr>
      </w:pPr>
    </w:p>
    <w:p>
      <w:pPr>
        <w:jc w:val="both"/>
        <w:ind w:right="20" w:firstLine="555"/>
        <w:spacing w:after="0" w:line="257" w:lineRule="auto"/>
        <w:rPr>
          <w:sz w:val="20"/>
          <w:szCs w:val="20"/>
          <w:color w:val="auto"/>
        </w:rPr>
      </w:pPr>
      <w:r>
        <w:rPr>
          <w:rFonts w:ascii="Arial" w:cs="Arial" w:eastAsia="Arial" w:hAnsi="Arial"/>
          <w:sz w:val="18"/>
          <w:szCs w:val="18"/>
          <w:i w:val="1"/>
          <w:iCs w:val="1"/>
          <w:color w:val="auto"/>
        </w:rPr>
        <w:t xml:space="preserve">Instant Market Value. </w:t>
      </w:r>
      <w:r>
        <w:rPr>
          <w:rFonts w:ascii="Arial" w:cs="Arial" w:eastAsia="Arial" w:hAnsi="Arial"/>
          <w:sz w:val="18"/>
          <w:szCs w:val="18"/>
          <w:color w:val="auto"/>
        </w:rPr>
        <w:t>IMV is a proprietary algorithm that determines the market value of a used vehicle in a local market and is a key input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a vehicle’s Deal Rating. The IMV algorithm is the product of many years of regression modeling utilizing millions of used car data points. IMV takes into account a number of factors, including comparable currently listed and previously sold used cars in the local market and vehicle details including make, model, trim, year, features, condition, history, and mileage. Our algorithm uses more than 20 ranking signals and more than 100 normalization rules that distill unstructured data from hundreds of sources across thousands of dealers.</w:t>
      </w:r>
    </w:p>
    <w:p>
      <w:pPr>
        <w:spacing w:after="0" w:line="188"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i w:val="1"/>
          <w:iCs w:val="1"/>
          <w:color w:val="auto"/>
        </w:rPr>
        <w:t xml:space="preserve">Dealer Ratings. </w:t>
      </w:r>
      <w:r>
        <w:rPr>
          <w:rFonts w:ascii="Arial" w:cs="Arial" w:eastAsia="Arial" w:hAnsi="Arial"/>
          <w:sz w:val="18"/>
          <w:szCs w:val="18"/>
          <w:color w:val="auto"/>
        </w:rPr>
        <w:t>Dealer Ratings are derived from user</w:t>
      </w:r>
      <w:r>
        <w:rPr>
          <w:rFonts w:ascii="MS PGothic" w:cs="MS PGothic" w:eastAsia="MS PGothic" w:hAnsi="MS PGothic"/>
          <w:sz w:val="18"/>
          <w:szCs w:val="18"/>
          <w:color w:val="auto"/>
        </w:rPr>
        <w:t>‑</w:t>
      </w:r>
      <w:r>
        <w:rPr>
          <w:rFonts w:ascii="Arial" w:cs="Arial" w:eastAsia="Arial" w:hAnsi="Arial"/>
          <w:sz w:val="18"/>
          <w:szCs w:val="18"/>
          <w:color w:val="auto"/>
        </w:rPr>
        <w:t>generated content from our users’ experiences with dealers with which they have connected.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promote high</w:t>
      </w:r>
      <w:r>
        <w:rPr>
          <w:rFonts w:ascii="MS PGothic" w:cs="MS PGothic" w:eastAsia="MS PGothic" w:hAnsi="MS PGothic"/>
          <w:sz w:val="18"/>
          <w:szCs w:val="18"/>
          <w:color w:val="auto"/>
        </w:rPr>
        <w:t>‑</w:t>
      </w:r>
      <w:r>
        <w:rPr>
          <w:rFonts w:ascii="Arial" w:cs="Arial" w:eastAsia="Arial" w:hAnsi="Arial"/>
          <w:sz w:val="18"/>
          <w:szCs w:val="18"/>
          <w:color w:val="auto"/>
        </w:rPr>
        <w:t>quality reviews, we require that a user have interacted with the dealer via our marketplace to submit a review. We believe this requirement, together with additional qualification standards, results in a more valuable Dealer Rating. Dealer Rating is an important component of a listing’s Deal Rating and as a result can impact the organic search position of a listing.</w:t>
      </w:r>
    </w:p>
    <w:p>
      <w:pPr>
        <w:spacing w:after="0" w:line="204"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i w:val="1"/>
          <w:iCs w:val="1"/>
          <w:color w:val="auto"/>
        </w:rPr>
        <w:t>Search Results Page</w:t>
      </w:r>
      <w:r>
        <w:rPr>
          <w:rFonts w:ascii="Arial" w:cs="Arial" w:eastAsia="Arial" w:hAnsi="Arial"/>
          <w:sz w:val="17"/>
          <w:szCs w:val="17"/>
          <w:color w:val="auto"/>
        </w:rPr>
        <w:t>. In addition to each car’s Deal Rating, our SRP provides users with other useful information, including the difference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the listing price and the IMV that we have determined for the car, mileage, Dealer Rating, and dealer location for paying dealers. We provide in</w:t>
      </w:r>
      <w:r>
        <w:rPr>
          <w:rFonts w:ascii="MS PGothic" w:cs="MS PGothic" w:eastAsia="MS PGothic" w:hAnsi="MS PGothic"/>
          <w:sz w:val="17"/>
          <w:szCs w:val="17"/>
          <w:color w:val="auto"/>
        </w:rPr>
        <w:t>‑</w:t>
      </w:r>
      <w:r>
        <w:rPr>
          <w:rFonts w:ascii="Arial" w:cs="Arial" w:eastAsia="Arial" w:hAnsi="Arial"/>
          <w:sz w:val="17"/>
          <w:szCs w:val="17"/>
          <w:color w:val="auto"/>
        </w:rPr>
        <w:t>depth search filters, including price, year, mileage, trim, color, options, condition, body style, miles per gallon, seating capacity, vehicle ownership history, usage history, seller type, and days on market, among others, which we believe deliver the most comprehensive search capability among major U.S. online automotive marketplaces. We also provide our users with additional features to aid their search, including similar vehicle recommendations, side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side vehicle comparisons, expert reviews, and user rankings. Our platform also gives users the ability to save searches and receive alerts that keep them informed of relevant developments in the market, including newly available inventory and price changes to cars they are monitoring.</w:t>
      </w:r>
    </w:p>
    <w:p>
      <w:pPr>
        <w:spacing w:after="0" w:line="206"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i w:val="1"/>
          <w:iCs w:val="1"/>
          <w:color w:val="auto"/>
        </w:rPr>
        <w:t>Vehicle Detail Page</w:t>
      </w:r>
      <w:r>
        <w:rPr>
          <w:rFonts w:ascii="Arial" w:cs="Arial" w:eastAsia="Arial" w:hAnsi="Arial"/>
          <w:sz w:val="17"/>
          <w:szCs w:val="17"/>
          <w:color w:val="auto"/>
        </w:rPr>
        <w:t>. If a user clicks on one of the listings on the SRP, the user is taken to that listing’s vehicle detail page, or VDP. VDPs are</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numerous photos and a comprehensive description of the vehicle, dealer name, address, and dealership information for paying dealers, detailed dealer reviews, methods to contact the dealer, payment calculators, and helpful information about the vehicle, including:</w:t>
      </w:r>
    </w:p>
    <w:p>
      <w:pPr>
        <w:spacing w:after="0" w:line="57" w:lineRule="exact"/>
        <w:rPr>
          <w:sz w:val="20"/>
          <w:szCs w:val="20"/>
          <w:color w:val="auto"/>
        </w:rPr>
      </w:pPr>
    </w:p>
    <w:p>
      <w:pPr>
        <w:ind w:left="960" w:hanging="398"/>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Price History. </w:t>
      </w:r>
      <w:r>
        <w:rPr>
          <w:rFonts w:ascii="Arial" w:cs="Arial" w:eastAsia="Arial" w:hAnsi="Arial"/>
          <w:sz w:val="18"/>
          <w:szCs w:val="18"/>
          <w:color w:val="auto"/>
        </w:rPr>
        <w:t>Changes to a vehicle’s price on our platform. We also offer price change alerts to consumers on searches they have saved,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 them to respond quickly to changes in the market.</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Time on Site. </w:t>
      </w:r>
      <w:r>
        <w:rPr>
          <w:rFonts w:ascii="Arial" w:cs="Arial" w:eastAsia="Arial" w:hAnsi="Arial"/>
          <w:sz w:val="18"/>
          <w:szCs w:val="18"/>
          <w:color w:val="auto"/>
        </w:rPr>
        <w:t>Length of time a vehicle has been on our platform and how many users have saved the vehicle to their list of favorite listings,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indicators of the likely demand for the car.</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Vehicle History. </w:t>
      </w:r>
      <w:r>
        <w:rPr>
          <w:rFonts w:ascii="Arial" w:cs="Arial" w:eastAsia="Arial" w:hAnsi="Arial"/>
          <w:sz w:val="18"/>
          <w:szCs w:val="18"/>
          <w:color w:val="auto"/>
        </w:rPr>
        <w:t>Title check, accident check, number of owners, and fleet status of the vehicle, giving consumers data that helps them better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 the car’s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New Cars</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Search results for new car listings are sorted by price of inventory matching the user’s search, with the lowest priced listings sorted first. Our new car VDPs include our Dealer Rating and many of the other features of our used car listings, such as Price History and Time on Site. Deal Rating is not applicable to new car listings because it utilizes data not relevant to new cars. Instead, we analyze data on manufacturers’ suggested retail prices, or MSRPs, and recent sales of similar new vehicles, accounting for trade-ins, incentives, and other factors that can affect the price of a new car, to provide users with comparative price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 My Car</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also allow our consumer users to list their cars in our peer-to-peer marketplace in the United States. Our Sell My Car offering enables individual car owners to easily merchandise their vehicles, determine an appropriate selling price with our proprietary price guidance, and manage their listings and communications with prospective buyers from our audience. We offer services to facilitate financing, processing payment, titling, and other aspects of the private-sale transaction. We collect a fee from the selling consumer for these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Marketplace</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marketplace connects dealers to a large audience of informed and engaged consumers. We offer multiple types of marketplace Listings subscriptions to dealers through our platform: Restricted Listings, which is free, and various levels of Listings packages, each of which requires a paid subscription. We price our paid Listings packages as a monthly, quarterly, semiannual, or annual subscription based on the dealer’s inventory size, region, and our assessment of the return on investment, or ROI, our solution will provide them.</w:t>
      </w:r>
    </w:p>
    <w:p>
      <w:pPr>
        <w:spacing w:after="0" w:line="79" w:lineRule="exact"/>
        <w:rPr>
          <w:sz w:val="20"/>
          <w:szCs w:val="20"/>
          <w:color w:val="auto"/>
        </w:rPr>
      </w:pPr>
    </w:p>
    <w:p>
      <w:pPr>
        <w:jc w:val="both"/>
        <w:ind w:left="960" w:hanging="398"/>
        <w:spacing w:after="0" w:line="220" w:lineRule="exact"/>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Restricted Listings. </w:t>
      </w:r>
      <w:r>
        <w:rPr>
          <w:rFonts w:ascii="Arial" w:cs="Arial" w:eastAsia="Arial" w:hAnsi="Arial"/>
          <w:sz w:val="18"/>
          <w:szCs w:val="18"/>
          <w:color w:val="auto"/>
        </w:rPr>
        <w:t>We allow non</w:t>
      </w:r>
      <w:r>
        <w:rPr>
          <w:rFonts w:ascii="MS PGothic" w:cs="MS PGothic" w:eastAsia="MS PGothic" w:hAnsi="MS PGothic"/>
          <w:sz w:val="18"/>
          <w:szCs w:val="18"/>
          <w:color w:val="auto"/>
        </w:rPr>
        <w:t>‑</w:t>
      </w:r>
      <w:r>
        <w:rPr>
          <w:rFonts w:ascii="Arial" w:cs="Arial" w:eastAsia="Arial" w:hAnsi="Arial"/>
          <w:sz w:val="18"/>
          <w:szCs w:val="18"/>
          <w:color w:val="auto"/>
        </w:rPr>
        <w:t>paying dealers to list their inventory in our marketplace as Restricted Listings (formerly referred to as Basic</w:t>
      </w:r>
      <w:r>
        <w:rPr>
          <w:rFonts w:ascii="Arial" w:cs="Arial" w:eastAsia="Arial" w:hAnsi="Arial"/>
          <w:sz w:val="18"/>
          <w:szCs w:val="18"/>
          <w:i w:val="1"/>
          <w:iCs w:val="1"/>
          <w:color w:val="auto"/>
        </w:rPr>
        <w:t xml:space="preserve"> </w:t>
      </w:r>
      <w:r>
        <w:rPr>
          <w:rFonts w:ascii="Arial" w:cs="Arial" w:eastAsia="Arial" w:hAnsi="Arial"/>
          <w:sz w:val="18"/>
          <w:szCs w:val="18"/>
          <w:color w:val="auto"/>
        </w:rPr>
        <w:t>Listings). Restricted Listings do not display the name, address, website URL, or phone number of the relevant dealer and are subject to other limitations. Consumers can contact these dealers only through an anonymous, CarGurus</w:t>
      </w:r>
      <w:r>
        <w:rPr>
          <w:rFonts w:ascii="MS PGothic" w:cs="MS PGothic" w:eastAsia="MS PGothic" w:hAnsi="MS PGothic"/>
          <w:sz w:val="18"/>
          <w:szCs w:val="18"/>
          <w:color w:val="auto"/>
        </w:rPr>
        <w:t>‑</w:t>
      </w:r>
      <w:r>
        <w:rPr>
          <w:rFonts w:ascii="Arial" w:cs="Arial" w:eastAsia="Arial" w:hAnsi="Arial"/>
          <w:sz w:val="18"/>
          <w:szCs w:val="18"/>
          <w:color w:val="auto"/>
        </w:rPr>
        <w:t>branded email address so the dealer does not receive any of the consumer’s personal contact information from our platform.</w:t>
      </w:r>
    </w:p>
    <w:p>
      <w:pPr>
        <w:spacing w:after="0" w:line="96" w:lineRule="exact"/>
        <w:rPr>
          <w:rFonts w:ascii="Arial" w:cs="Arial" w:eastAsia="Arial" w:hAnsi="Arial"/>
          <w:sz w:val="18"/>
          <w:szCs w:val="18"/>
          <w:color w:val="auto"/>
        </w:rPr>
      </w:pPr>
    </w:p>
    <w:p>
      <w:pPr>
        <w:jc w:val="both"/>
        <w:ind w:left="960" w:hanging="398"/>
        <w:spacing w:after="0" w:line="217" w:lineRule="exact"/>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Listings Paid Subscriptions. </w:t>
      </w:r>
      <w:r>
        <w:rPr>
          <w:rFonts w:ascii="Arial" w:cs="Arial" w:eastAsia="Arial" w:hAnsi="Arial"/>
          <w:sz w:val="16"/>
          <w:szCs w:val="16"/>
          <w:color w:val="auto"/>
        </w:rPr>
        <w:t>Paying dealers are able to subscribe to one of four Listings package levels: Standard, Enhanced, Featured or</w:t>
      </w:r>
      <w:r>
        <w:rPr>
          <w:rFonts w:ascii="Arial" w:cs="Arial" w:eastAsia="Arial" w:hAnsi="Arial"/>
          <w:sz w:val="16"/>
          <w:szCs w:val="16"/>
          <w:i w:val="1"/>
          <w:iCs w:val="1"/>
          <w:color w:val="auto"/>
        </w:rPr>
        <w:t xml:space="preserve"> </w:t>
      </w:r>
      <w:r>
        <w:rPr>
          <w:rFonts w:ascii="Arial" w:cs="Arial" w:eastAsia="Arial" w:hAnsi="Arial"/>
          <w:sz w:val="16"/>
          <w:szCs w:val="16"/>
          <w:color w:val="auto"/>
        </w:rPr>
        <w:t>Featured Priority. These paid Listings packages are designed to provide dealers with a higher volume and quality of connections and leads from consumers than our Restricted Listings option. Dealers that subscribe to a paid Listings package gain the opportunity to connect with consumers directly through email, phone, and – excluding Standard Listings subscriptions – managed text and chat. Listings for all paying dealers on our websites include a link to their website, dealership branding and information such as name, address, and hours of operation, and map directions to their dealership, helping consumers easily contact or visit the dealer, which we believe results in increased local brand awareness and walk</w:t>
      </w:r>
      <w:r>
        <w:rPr>
          <w:rFonts w:ascii="MS PGothic" w:cs="MS PGothic" w:eastAsia="MS PGothic" w:hAnsi="MS PGothic"/>
          <w:sz w:val="16"/>
          <w:szCs w:val="16"/>
          <w:color w:val="auto"/>
        </w:rPr>
        <w:t>‑</w:t>
      </w:r>
      <w:r>
        <w:rPr>
          <w:rFonts w:ascii="Arial" w:cs="Arial" w:eastAsia="Arial" w:hAnsi="Arial"/>
          <w:sz w:val="16"/>
          <w:szCs w:val="16"/>
          <w:color w:val="auto"/>
        </w:rPr>
        <w:t>in traffic. A dealer that subscribes to our Featured or Featured Priority Listings package receives the same benefits of the Standard and Enhanced Listings packages, as well as opportunities for promotion of their Great Deal, Good Deal, and Fair Deal inventory in a clearly labeled section at the top of the SRP. Featured Priority listings are specifically promoted in the first position of the SRP. This premium placement for Featured and Featured Priority listings generates increased connection volume relative to Standard or Enhanced Listings. In addition, a dealer that pays for our Enhanced, Featured or Featured Priority Listings packages may subscribe to our Delivery feature, which expands the visibility of a dealer’s inventory in the search results beyond its local market.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Dashboard and Merchandising Tools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dealers with inventory on CarGurus may access the following Dealer Dashboard features and merchandising tools:</w:t>
      </w:r>
    </w:p>
    <w:p>
      <w:pPr>
        <w:spacing w:after="0" w:line="117" w:lineRule="exact"/>
        <w:rPr>
          <w:sz w:val="20"/>
          <w:szCs w:val="20"/>
          <w:color w:val="auto"/>
        </w:rPr>
      </w:pPr>
    </w:p>
    <w:p>
      <w:pPr>
        <w:jc w:val="both"/>
        <w:ind w:left="960" w:hanging="398"/>
        <w:spacing w:after="0" w:line="221" w:lineRule="exact"/>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Summary. </w:t>
      </w:r>
      <w:r>
        <w:rPr>
          <w:rFonts w:ascii="Arial" w:cs="Arial" w:eastAsia="Arial" w:hAnsi="Arial"/>
          <w:sz w:val="18"/>
          <w:szCs w:val="18"/>
          <w:color w:val="auto"/>
        </w:rPr>
        <w:t>Provides dealers with real</w:t>
      </w:r>
      <w:r>
        <w:rPr>
          <w:rFonts w:ascii="MS PGothic" w:cs="MS PGothic" w:eastAsia="MS PGothic" w:hAnsi="MS PGothic"/>
          <w:sz w:val="18"/>
          <w:szCs w:val="18"/>
          <w:color w:val="auto"/>
        </w:rPr>
        <w:t>‑</w:t>
      </w:r>
      <w:r>
        <w:rPr>
          <w:rFonts w:ascii="Arial" w:cs="Arial" w:eastAsia="Arial" w:hAnsi="Arial"/>
          <w:sz w:val="18"/>
          <w:szCs w:val="18"/>
          <w:color w:val="auto"/>
        </w:rPr>
        <w:t>time and historical data concerning the connections and consumer exposure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in our marketplace and through our digital marketing products. This enables dealers to analyze connections and SRP and VDP views at a granular level to inform the dealer’s sales and merchandising efforts.</w:t>
      </w:r>
    </w:p>
    <w:p>
      <w:pPr>
        <w:spacing w:after="0" w:line="93"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Dealer Insights. </w:t>
      </w:r>
      <w:r>
        <w:rPr>
          <w:rFonts w:ascii="Arial" w:cs="Arial" w:eastAsia="Arial" w:hAnsi="Arial"/>
          <w:sz w:val="18"/>
          <w:szCs w:val="18"/>
          <w:color w:val="auto"/>
        </w:rPr>
        <w:t>Provides pricing analysis of the dealer’s inventory, as well as a summary of a vehicle’s missing information such as price,</w:t>
      </w:r>
      <w:r>
        <w:rPr>
          <w:rFonts w:ascii="Arial" w:cs="Arial" w:eastAsia="Arial" w:hAnsi="Arial"/>
          <w:sz w:val="18"/>
          <w:szCs w:val="18"/>
          <w:i w:val="1"/>
          <w:iCs w:val="1"/>
          <w:color w:val="auto"/>
        </w:rPr>
        <w:t xml:space="preserve"> </w:t>
      </w:r>
      <w:r>
        <w:rPr>
          <w:rFonts w:ascii="Arial" w:cs="Arial" w:eastAsia="Arial" w:hAnsi="Arial"/>
          <w:sz w:val="18"/>
          <w:szCs w:val="18"/>
          <w:color w:val="auto"/>
        </w:rPr>
        <w:t>photos, or trim. This information helps dealers better merchandise their vehicles.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left="960" w:hanging="398"/>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User Review Management. </w:t>
      </w:r>
      <w:r>
        <w:rPr>
          <w:rFonts w:ascii="Arial" w:cs="Arial" w:eastAsia="Arial" w:hAnsi="Arial"/>
          <w:sz w:val="18"/>
          <w:szCs w:val="18"/>
          <w:color w:val="auto"/>
        </w:rPr>
        <w:t>Allows dealers to track and manage their dealership reviews from our users. Dealers can respond to users, report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fraudulent reviews, and publish positive reviews to social media platforms for broader exposure.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Dealers subscribing to a paid Listings package also have access to the following additional features and tools:</w:t>
      </w:r>
    </w:p>
    <w:p>
      <w:pPr>
        <w:spacing w:after="0" w:line="117" w:lineRule="exact"/>
        <w:rPr>
          <w:sz w:val="20"/>
          <w:szCs w:val="20"/>
          <w:color w:val="auto"/>
        </w:rPr>
      </w:pPr>
    </w:p>
    <w:p>
      <w:pPr>
        <w:ind w:left="960" w:hanging="398"/>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Pricing Tool. </w:t>
      </w:r>
      <w:r>
        <w:rPr>
          <w:rFonts w:ascii="Arial" w:cs="Arial" w:eastAsia="Arial" w:hAnsi="Arial"/>
          <w:sz w:val="18"/>
          <w:szCs w:val="18"/>
          <w:color w:val="auto"/>
        </w:rPr>
        <w:t>Helps dealers evaluate the impact of pricing changes for each used vehicle in their inventory and the resulting impact on the car’s</w:t>
      </w:r>
      <w:r>
        <w:rPr>
          <w:rFonts w:ascii="Arial" w:cs="Arial" w:eastAsia="Arial" w:hAnsi="Arial"/>
          <w:sz w:val="18"/>
          <w:szCs w:val="18"/>
          <w:i w:val="1"/>
          <w:iCs w:val="1"/>
          <w:color w:val="auto"/>
        </w:rPr>
        <w:t xml:space="preserve"> </w:t>
      </w:r>
      <w:r>
        <w:rPr>
          <w:rFonts w:ascii="Arial" w:cs="Arial" w:eastAsia="Arial" w:hAnsi="Arial"/>
          <w:sz w:val="18"/>
          <w:szCs w:val="18"/>
          <w:color w:val="auto"/>
        </w:rPr>
        <w:t>Deal Rating, empowering dealers to make informed pricing decisions based on market data in their local area.</w:t>
      </w:r>
    </w:p>
    <w:p>
      <w:pPr>
        <w:spacing w:after="0" w:line="62" w:lineRule="exact"/>
        <w:rPr>
          <w:rFonts w:ascii="Arial" w:cs="Arial" w:eastAsia="Arial" w:hAnsi="Arial"/>
          <w:sz w:val="18"/>
          <w:szCs w:val="18"/>
          <w:color w:val="auto"/>
        </w:rPr>
      </w:pPr>
    </w:p>
    <w:p>
      <w:pPr>
        <w:jc w:val="both"/>
        <w:ind w:left="960" w:hanging="398"/>
        <w:spacing w:after="0" w:line="264"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Market Analysis. </w:t>
      </w:r>
      <w:r>
        <w:rPr>
          <w:rFonts w:ascii="Arial" w:cs="Arial" w:eastAsia="Arial" w:hAnsi="Arial"/>
          <w:sz w:val="18"/>
          <w:szCs w:val="18"/>
          <w:color w:val="auto"/>
        </w:rPr>
        <w:t>Informs dealers of local market trends in used cars, such as the most searched makes and models in their local market. This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helps dealers align with local consumer preferences and inform strategies for increasing inventory turnover and efficient vehicle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Digital Marketing and Customer Acquisition Products</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We offer dealers subscribing to one of our Enhanced, Featured or Featured Priority Listings packages the following additional advertising and customer acquisition products and enhancements marketed under our Real-time Performance Marketing suite:</w:t>
      </w:r>
    </w:p>
    <w:p>
      <w:pPr>
        <w:spacing w:after="0" w:line="62" w:lineRule="exact"/>
        <w:rPr>
          <w:sz w:val="20"/>
          <w:szCs w:val="20"/>
          <w:color w:val="auto"/>
        </w:rPr>
      </w:pPr>
    </w:p>
    <w:p>
      <w:pPr>
        <w:jc w:val="both"/>
        <w:ind w:left="960" w:hanging="398"/>
        <w:spacing w:after="0" w:line="25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Dealer Display Advertising and Audience Targeting. </w:t>
      </w:r>
      <w:r>
        <w:rPr>
          <w:rFonts w:ascii="Arial" w:cs="Arial" w:eastAsia="Arial" w:hAnsi="Arial"/>
          <w:sz w:val="18"/>
          <w:szCs w:val="18"/>
          <w:color w:val="auto"/>
        </w:rPr>
        <w:t>Dealers are able to buy display advertising that appears in our marketplace, on other sites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internet, and/or on Facebook, a high-converting social platform, to build brand awareness and acquire customers. Advertisements can be targeted by the user’s geography, search history, CarGurus website activity (including showing users relevant vehicles from a dealer’s inventory that they have not yet discovered on our marketplace), and a number of other targeting factors, allowing dealers to increase their visibility with in-market consumers and drive qualified traffic to their websites.</w:t>
      </w:r>
    </w:p>
    <w:p>
      <w:pPr>
        <w:spacing w:after="0" w:line="80" w:lineRule="exact"/>
        <w:rPr>
          <w:rFonts w:ascii="Arial" w:cs="Arial" w:eastAsia="Arial" w:hAnsi="Arial"/>
          <w:sz w:val="18"/>
          <w:szCs w:val="18"/>
          <w:color w:val="auto"/>
        </w:rPr>
      </w:pPr>
    </w:p>
    <w:p>
      <w:pPr>
        <w:jc w:val="both"/>
        <w:ind w:left="960" w:hanging="398"/>
        <w:spacing w:after="0" w:line="286"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Dealer Search Engine Marketing. </w:t>
      </w:r>
      <w:r>
        <w:rPr>
          <w:rFonts w:ascii="Arial" w:cs="Arial" w:eastAsia="Arial" w:hAnsi="Arial"/>
          <w:sz w:val="17"/>
          <w:szCs w:val="17"/>
          <w:color w:val="auto"/>
        </w:rPr>
        <w:t>Leveraging the capabilities that we have developed for our own algorithmic traffic acquisition, we offer a</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that delivers search engine marketing, social media advertising, and retargeting to programmatically drive qualified traffic to dealer websites. Utilizing algorithmic bidding strategies and automated keyword list management, we help dealers to optimize traffic acquisition.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 Manufacturer and Other Advertiser Products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platform offers auto manufacturers and others the ability to purchase display advertising on our sites to execute targeted marketing strategies:</w:t>
      </w:r>
    </w:p>
    <w:p>
      <w:pPr>
        <w:spacing w:after="0" w:line="140" w:lineRule="exact"/>
        <w:rPr>
          <w:sz w:val="20"/>
          <w:szCs w:val="20"/>
          <w:color w:val="auto"/>
        </w:rPr>
      </w:pPr>
    </w:p>
    <w:p>
      <w:pPr>
        <w:ind w:left="960" w:hanging="398"/>
        <w:spacing w:after="0" w:line="308"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Brand Reinforcement. </w:t>
      </w:r>
      <w:r>
        <w:rPr>
          <w:rFonts w:ascii="Arial" w:cs="Arial" w:eastAsia="Arial" w:hAnsi="Arial"/>
          <w:sz w:val="17"/>
          <w:szCs w:val="17"/>
          <w:color w:val="auto"/>
        </w:rPr>
        <w:t>We allow auto manufacturers to buy advertising on our sites and target consumers based on the make, model, and postal</w:t>
      </w:r>
      <w:r>
        <w:rPr>
          <w:rFonts w:ascii="Arial" w:cs="Arial" w:eastAsia="Arial" w:hAnsi="Arial"/>
          <w:sz w:val="17"/>
          <w:szCs w:val="17"/>
          <w:i w:val="1"/>
          <w:iCs w:val="1"/>
          <w:color w:val="auto"/>
        </w:rPr>
        <w:t xml:space="preserve"> </w:t>
      </w:r>
      <w:r>
        <w:rPr>
          <w:rFonts w:ascii="Arial" w:cs="Arial" w:eastAsia="Arial" w:hAnsi="Arial"/>
          <w:sz w:val="17"/>
          <w:szCs w:val="17"/>
          <w:color w:val="auto"/>
        </w:rPr>
        <w:t>code of the cars that a specific consumer is searching for, in order to increase exposure to interested consumers.</w:t>
      </w:r>
    </w:p>
    <w:p>
      <w:pPr>
        <w:spacing w:after="0" w:line="38" w:lineRule="exact"/>
        <w:rPr>
          <w:rFonts w:ascii="Arial" w:cs="Arial" w:eastAsia="Arial" w:hAnsi="Arial"/>
          <w:sz w:val="17"/>
          <w:szCs w:val="17"/>
          <w:color w:val="auto"/>
        </w:rPr>
      </w:pPr>
    </w:p>
    <w:p>
      <w:pPr>
        <w:ind w:left="960" w:right="20" w:hanging="398"/>
        <w:spacing w:after="0" w:line="308"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Category Sponsorship. </w:t>
      </w:r>
      <w:r>
        <w:rPr>
          <w:rFonts w:ascii="Arial" w:cs="Arial" w:eastAsia="Arial" w:hAnsi="Arial"/>
          <w:sz w:val="17"/>
          <w:szCs w:val="17"/>
          <w:color w:val="auto"/>
        </w:rPr>
        <w:t>To address evolving priorities influenced by industry dynamics, seasonality, and other factors, we offer the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exclusively prominent high traffic pages on our sites, such as the New Car front page, Used Car front page, and Research Center.</w:t>
      </w:r>
    </w:p>
    <w:p>
      <w:pPr>
        <w:spacing w:after="0" w:line="38" w:lineRule="exact"/>
        <w:rPr>
          <w:rFonts w:ascii="Arial" w:cs="Arial" w:eastAsia="Arial" w:hAnsi="Arial"/>
          <w:sz w:val="17"/>
          <w:szCs w:val="17"/>
          <w:color w:val="auto"/>
        </w:rPr>
      </w:pPr>
    </w:p>
    <w:p>
      <w:pPr>
        <w:ind w:left="960" w:right="20" w:hanging="398"/>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Automobile Segment Exclusivity. </w:t>
      </w:r>
      <w:r>
        <w:rPr>
          <w:rFonts w:ascii="Arial" w:cs="Arial" w:eastAsia="Arial" w:hAnsi="Arial"/>
          <w:sz w:val="18"/>
          <w:szCs w:val="18"/>
          <w:color w:val="auto"/>
        </w:rPr>
        <w:t>To support the introduction of new models or the success of existing models, we allow manufacturers to target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automobile segments, such as SUV, sedan, hybrid, luxury, truck, and minivan.</w:t>
      </w:r>
    </w:p>
    <w:p>
      <w:pPr>
        <w:spacing w:after="0" w:line="62" w:lineRule="exact"/>
        <w:rPr>
          <w:rFonts w:ascii="Arial" w:cs="Arial" w:eastAsia="Arial" w:hAnsi="Arial"/>
          <w:sz w:val="18"/>
          <w:szCs w:val="18"/>
          <w:color w:val="auto"/>
        </w:rPr>
      </w:pPr>
    </w:p>
    <w:p>
      <w:pPr>
        <w:ind w:left="960" w:right="20" w:hanging="398"/>
        <w:spacing w:after="0" w:line="223" w:lineRule="exact"/>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Consumer Segment Exposure. </w:t>
      </w:r>
      <w:r>
        <w:rPr>
          <w:rFonts w:ascii="Arial" w:cs="Arial" w:eastAsia="Arial" w:hAnsi="Arial"/>
          <w:sz w:val="18"/>
          <w:szCs w:val="18"/>
          <w:color w:val="auto"/>
        </w:rPr>
        <w:t>Auto manufacturers can target consumers both on CarGurus and third</w:t>
      </w:r>
      <w:r>
        <w:rPr>
          <w:rFonts w:ascii="MS PGothic" w:cs="MS PGothic" w:eastAsia="MS PGothic" w:hAnsi="MS PGothic"/>
          <w:sz w:val="18"/>
          <w:szCs w:val="18"/>
          <w:color w:val="auto"/>
        </w:rPr>
        <w:t>‑</w:t>
      </w:r>
      <w:r>
        <w:rPr>
          <w:rFonts w:ascii="Arial" w:cs="Arial" w:eastAsia="Arial" w:hAnsi="Arial"/>
          <w:sz w:val="18"/>
          <w:szCs w:val="18"/>
          <w:color w:val="auto"/>
        </w:rPr>
        <w:t>party websites based on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estimated household income and vehicle specifications, such as make or model, and postal codes.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Financing Partnerships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Through our partnerships with automotive lending companies, we allow eligible consumers on our U.S. website to pre-qualify for financing on cars from dealerships that offer financing from these partners. We primarily generate revenue from these partnerships based on the number of funded loans from consumers who pre-qualify with our lending partners through our site.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Our marketing initiatives aim to drive brand awareness and engagement among consumers and dealers and to position us as a trusted online automotive marketplace.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Marketing</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We have built our audience on the strength of our user experience, and we remain focused on delivering an engaging consumer marketplace. The strength of the consumer experience that we offer is one of our most powerful marketing tools. By providing an intuitive search experience in our marketplace and relevant content, updates, and tools to consumers during their car search, we believe that the users who comprise our large and engaged audience provide informal endorsements to other consumers, more powerful than most marketing messages.</w:t>
      </w:r>
    </w:p>
    <w:p>
      <w:pPr>
        <w:spacing w:after="0" w:line="171"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Historically, our consumer marketing efforts were focused primarily on algorithmic traffic acquisition. We employ a team of strategists, engineers and data scientists that optimizes our user acquisition through search engines, social media, and other digital marketing channels and has tested over 1 billion keywords on various search engines as well as sophisticated, personalized remarketing, to nurture consumers toward finding the right car for them. We believe our expertise in this area constitutes a competitive advantage over less sophisticated competitors and those who outsource these capabilities.</w:t>
      </w:r>
    </w:p>
    <w:p>
      <w:pPr>
        <w:spacing w:after="0" w:line="154"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We augment our marketing efforts with brand</w:t>
      </w:r>
      <w:r>
        <w:rPr>
          <w:rFonts w:ascii="MS PGothic" w:cs="MS PGothic" w:eastAsia="MS PGothic" w:hAnsi="MS PGothic"/>
          <w:sz w:val="17"/>
          <w:szCs w:val="17"/>
          <w:color w:val="auto"/>
        </w:rPr>
        <w:t>‑</w:t>
      </w:r>
      <w:r>
        <w:rPr>
          <w:rFonts w:ascii="Arial" w:cs="Arial" w:eastAsia="Arial" w:hAnsi="Arial"/>
          <w:sz w:val="17"/>
          <w:szCs w:val="17"/>
          <w:color w:val="auto"/>
        </w:rPr>
        <w:t>building investments in media, including television and online video, as well as ongoing efforts to convey our unique brand value proposition throughout our core site experience. These brand efforts launched more recently than our algorithmic traffic acquisition efforts, resulting in brand awareness that remains lower than some other major U.S. online automotive marketplaces in the United States despite our large monthly audience and high user engagement. We have made significant progress in closing our brand awareness gaps since launching brand marketing in 2017 and believe that we are well</w:t>
      </w:r>
      <w:r>
        <w:rPr>
          <w:rFonts w:ascii="MS PGothic" w:cs="MS PGothic" w:eastAsia="MS PGothic" w:hAnsi="MS PGothic"/>
          <w:sz w:val="17"/>
          <w:szCs w:val="17"/>
          <w:color w:val="auto"/>
        </w:rPr>
        <w:t>‑</w:t>
      </w:r>
      <w:r>
        <w:rPr>
          <w:rFonts w:ascii="Arial" w:cs="Arial" w:eastAsia="Arial" w:hAnsi="Arial"/>
          <w:sz w:val="17"/>
          <w:szCs w:val="17"/>
          <w:color w:val="auto"/>
        </w:rPr>
        <w:t>positioned to continue to strengthen our brand by continuing to invest in brand building efforts, particularly given our trusted product, which delivers well on the brand promises we convey.</w:t>
      </w:r>
    </w:p>
    <w:p>
      <w:pPr>
        <w:spacing w:after="0" w:line="203"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7"/>
          <w:szCs w:val="17"/>
          <w:color w:val="auto"/>
        </w:rPr>
        <w:t>Our vehicle listing data, on</w:t>
      </w:r>
      <w:r>
        <w:rPr>
          <w:rFonts w:ascii="MS PGothic" w:cs="MS PGothic" w:eastAsia="MS PGothic" w:hAnsi="MS PGothic"/>
          <w:sz w:val="17"/>
          <w:szCs w:val="17"/>
          <w:color w:val="auto"/>
        </w:rPr>
        <w:t>‑</w:t>
      </w:r>
      <w:r>
        <w:rPr>
          <w:rFonts w:ascii="Arial" w:cs="Arial" w:eastAsia="Arial" w:hAnsi="Arial"/>
          <w:sz w:val="17"/>
          <w:szCs w:val="17"/>
          <w:color w:val="auto"/>
        </w:rPr>
        <w:t>site user behavior, connections between consumers and dealers, and opinion data from our users create significant opportunities for us to develop and publish car shopping insights and information about industry trends. We consistently gain earned media coverage in national, regional, and trade press outlets as well as social channels by leveraging our proprietary data to inform newsworthy content.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Marketing</w:t>
      </w:r>
    </w:p>
    <w:p>
      <w:pPr>
        <w:spacing w:after="0" w:line="117" w:lineRule="exact"/>
        <w:rPr>
          <w:sz w:val="20"/>
          <w:szCs w:val="20"/>
          <w:color w:val="auto"/>
        </w:rPr>
      </w:pPr>
    </w:p>
    <w:p>
      <w:pPr>
        <w:jc w:val="both"/>
        <w:ind w:firstLine="555"/>
        <w:spacing w:after="0" w:line="224" w:lineRule="exact"/>
        <w:rPr>
          <w:sz w:val="20"/>
          <w:szCs w:val="20"/>
          <w:color w:val="auto"/>
        </w:rPr>
      </w:pPr>
      <w:r>
        <w:rPr>
          <w:rFonts w:ascii="Arial" w:cs="Arial" w:eastAsia="Arial" w:hAnsi="Arial"/>
          <w:sz w:val="17"/>
          <w:szCs w:val="17"/>
          <w:color w:val="auto"/>
        </w:rPr>
        <w:t>The primary goals of our dealer marketing initiatives are to acquire dealers not yet in our marketplace, convert non</w:t>
      </w:r>
      <w:r>
        <w:rPr>
          <w:rFonts w:ascii="MS PGothic" w:cs="MS PGothic" w:eastAsia="MS PGothic" w:hAnsi="MS PGothic"/>
          <w:sz w:val="17"/>
          <w:szCs w:val="17"/>
          <w:color w:val="auto"/>
        </w:rPr>
        <w:t>‑</w:t>
      </w:r>
      <w:r>
        <w:rPr>
          <w:rFonts w:ascii="Arial" w:cs="Arial" w:eastAsia="Arial" w:hAnsi="Arial"/>
          <w:sz w:val="17"/>
          <w:szCs w:val="17"/>
          <w:color w:val="auto"/>
        </w:rPr>
        <w:t>paying dealers into paying dealers, retain our existing paying dealers, and increase annual subscription revenues from our paying dealers. Our dealer marketing efforts aim to:</w:t>
      </w:r>
    </w:p>
    <w:p>
      <w:pPr>
        <w:spacing w:after="0" w:line="94" w:lineRule="exact"/>
        <w:rPr>
          <w:sz w:val="20"/>
          <w:szCs w:val="20"/>
          <w:color w:val="auto"/>
        </w:rPr>
      </w:pPr>
    </w:p>
    <w:p>
      <w:pPr>
        <w:jc w:val="both"/>
        <w:ind w:left="960" w:hanging="398"/>
        <w:spacing w:after="0" w:line="220" w:lineRule="exact"/>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Educate Dealers on the Quality of Our Audience and Attractive ROI. </w:t>
      </w:r>
      <w:r>
        <w:rPr>
          <w:rFonts w:ascii="Arial" w:cs="Arial" w:eastAsia="Arial" w:hAnsi="Arial"/>
          <w:sz w:val="16"/>
          <w:szCs w:val="16"/>
          <w:color w:val="auto"/>
        </w:rPr>
        <w:t>We educate dealers on our industry</w:t>
      </w:r>
      <w:r>
        <w:rPr>
          <w:rFonts w:ascii="MS PGothic" w:cs="MS PGothic" w:eastAsia="MS PGothic" w:hAnsi="MS PGothic"/>
          <w:sz w:val="16"/>
          <w:szCs w:val="16"/>
          <w:color w:val="auto"/>
        </w:rPr>
        <w:t>‑</w:t>
      </w:r>
      <w:r>
        <w:rPr>
          <w:rFonts w:ascii="Arial" w:cs="Arial" w:eastAsia="Arial" w:hAnsi="Arial"/>
          <w:sz w:val="16"/>
          <w:szCs w:val="16"/>
          <w:color w:val="auto"/>
        </w:rPr>
        <w:t>leading monthly visits in the U.S., our</w:t>
      </w:r>
      <w:r>
        <w:rPr>
          <w:rFonts w:ascii="Arial" w:cs="Arial" w:eastAsia="Arial" w:hAnsi="Arial"/>
          <w:sz w:val="16"/>
          <w:szCs w:val="16"/>
          <w:i w:val="1"/>
          <w:iCs w:val="1"/>
          <w:color w:val="auto"/>
        </w:rPr>
        <w:t xml:space="preserve"> </w:t>
      </w:r>
      <w:r>
        <w:rPr>
          <w:rFonts w:ascii="Arial" w:cs="Arial" w:eastAsia="Arial" w:hAnsi="Arial"/>
          <w:sz w:val="16"/>
          <w:szCs w:val="16"/>
          <w:color w:val="auto"/>
        </w:rPr>
        <w:t>strong user engagement, and the large number of connections that we facilitate through our marketplace. We also highlight to dealers how unique features of our platform, such as our intuitive user interface and our proprietary technology and data analytics, yield consumers that we believe are more informed and better prepared to purchase at the dealership, which can lead to a higher ROI for the dealers’ marketing spend.</w:t>
      </w:r>
    </w:p>
    <w:p>
      <w:pPr>
        <w:spacing w:after="0" w:line="95" w:lineRule="exact"/>
        <w:rPr>
          <w:rFonts w:ascii="Arial" w:cs="Arial" w:eastAsia="Arial" w:hAnsi="Arial"/>
          <w:sz w:val="16"/>
          <w:szCs w:val="16"/>
          <w:color w:val="auto"/>
        </w:rPr>
      </w:pPr>
    </w:p>
    <w:p>
      <w:pPr>
        <w:jc w:val="both"/>
        <w:ind w:left="960" w:hanging="398"/>
        <w:spacing w:after="0" w:line="259"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Provide Best Practices to Assist Dealers in Becoming Successful in Our Marketplace. </w:t>
      </w:r>
      <w:r>
        <w:rPr>
          <w:rFonts w:ascii="Arial" w:cs="Arial" w:eastAsia="Arial" w:hAnsi="Arial"/>
          <w:sz w:val="18"/>
          <w:szCs w:val="18"/>
          <w:color w:val="auto"/>
        </w:rPr>
        <w:t>We provide ongoing communications through email,</w:t>
      </w:r>
      <w:r>
        <w:rPr>
          <w:rFonts w:ascii="Arial" w:cs="Arial" w:eastAsia="Arial" w:hAnsi="Arial"/>
          <w:sz w:val="18"/>
          <w:szCs w:val="18"/>
          <w:i w:val="1"/>
          <w:iCs w:val="1"/>
          <w:color w:val="auto"/>
        </w:rPr>
        <w:t xml:space="preserve"> </w:t>
      </w:r>
      <w:r>
        <w:rPr>
          <w:rFonts w:ascii="Arial" w:cs="Arial" w:eastAsia="Arial" w:hAnsi="Arial"/>
          <w:sz w:val="18"/>
          <w:szCs w:val="18"/>
          <w:color w:val="auto"/>
        </w:rPr>
        <w:t>webinars, white papers, testimonials, and videos, which show dealers how to use our products to position their inventory for success on our platform and beyond. We maintain consistent communication with dealers via email, events and our Dealer Dashboard to ensure awareness of account performance and recent product updates.</w:t>
      </w:r>
    </w:p>
    <w:p>
      <w:pPr>
        <w:spacing w:after="0" w:line="78" w:lineRule="exact"/>
        <w:rPr>
          <w:rFonts w:ascii="Arial" w:cs="Arial" w:eastAsia="Arial" w:hAnsi="Arial"/>
          <w:sz w:val="18"/>
          <w:szCs w:val="18"/>
          <w:color w:val="auto"/>
        </w:rPr>
      </w:pPr>
    </w:p>
    <w:p>
      <w:pPr>
        <w:jc w:val="both"/>
        <w:ind w:left="960" w:hanging="398"/>
        <w:spacing w:after="0" w:line="259"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Provide Thought Leadership that Educates Dealers on Marketplace Trends. </w:t>
      </w:r>
      <w:r>
        <w:rPr>
          <w:rFonts w:ascii="Arial" w:cs="Arial" w:eastAsia="Arial" w:hAnsi="Arial"/>
          <w:sz w:val="18"/>
          <w:szCs w:val="18"/>
          <w:color w:val="auto"/>
        </w:rPr>
        <w:t>We generate insightful content on market trends and best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in digital advertising that are shared through webinars, dealer forums, dealer advisory councils, and our participation in industry conferences and events. We also from time to time host thought leadership events in local markets and an automotive conference, Navigate, to continue to share our insights and help build our brand among dealerships.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sales team is responsible for bringing dealers onto our marketplace and converting non-paying dealers to paid subscriptions. We have built an efficient inside sales and account management team of approximately 350 employees worldwide who sell our marketplace products to franchise and independent dealers. We have built a field sales team that works with strategic franchise and national dealership groups in large metropolitan areas in the U.S., Canada and the U.K. In addition, we have advertising sales employees based in Cambridge, Massachusetts; Detroit, Michigan; Los Angeles, California; and certain foreign locations.</w:t>
      </w:r>
    </w:p>
    <w:p>
      <w:pPr>
        <w:spacing w:after="0" w:line="188"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We have a comprehensive dealer account management process to assist dealers in becoming successful in our marketplace. We assign a Customer Success Associate to every new paying dealer to assist with onboarding and integration with any relevant software systems. The designated Customer Success Associate spends time educating dealers on a range of topics, including effectively using the Dealer Dashboard, tracking sales, and measuring ROI for their marketing spend. After the onboarding period, a Dealer Relations Account Manager is designated to assist the dealer in utilizing our tools and maximizing ROI from our offerings, including optimizing inventory acquisition, effectively pricing vehicles, vehicle merchandising, and keeping inventory up to date with complete vehicle information. We believe this active communication with our dealers fosters customer satisfaction and increases customer retention.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Culture and Employees</w:t>
      </w:r>
    </w:p>
    <w:p>
      <w:pPr>
        <w:spacing w:after="0" w:line="121"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6"/>
          <w:szCs w:val="16"/>
          <w:color w:val="auto"/>
        </w:rPr>
        <w:t>Our company culture has developed out of our data</w:t>
      </w:r>
      <w:r>
        <w:rPr>
          <w:rFonts w:ascii="MS PGothic" w:cs="MS PGothic" w:eastAsia="MS PGothic" w:hAnsi="MS PGothic"/>
          <w:sz w:val="16"/>
          <w:szCs w:val="16"/>
          <w:color w:val="auto"/>
        </w:rPr>
        <w:t>‑</w:t>
      </w:r>
      <w:r>
        <w:rPr>
          <w:rFonts w:ascii="Arial" w:cs="Arial" w:eastAsia="Arial" w:hAnsi="Arial"/>
          <w:sz w:val="16"/>
          <w:szCs w:val="16"/>
          <w:color w:val="auto"/>
        </w:rPr>
        <w:t>driven and innovative approach to the automotive market. We leverage data to drive innovation across all facets of our business and continuously optimize our products and processes to serve our consumers, dealers, advertisers, and partners. Our approach emphasizes original thought, impact, and collaboration across our organization, and we recognize and award employees who drive positive impact across these constituencies. We encourage collaboration across our entire workforce and invest in creating a work environment that facilitates partnership among our employees and promotes diversity, equity and inclusion. In that spirit, we have identified our core values as follows:</w:t>
      </w:r>
    </w:p>
    <w:p>
      <w:pPr>
        <w:spacing w:after="0" w:line="92" w:lineRule="exact"/>
        <w:rPr>
          <w:sz w:val="20"/>
          <w:szCs w:val="20"/>
          <w:color w:val="auto"/>
        </w:rPr>
      </w:pPr>
    </w:p>
    <w:p>
      <w:pPr>
        <w:ind w:left="960" w:hanging="398"/>
        <w:spacing w:after="0" w:line="282" w:lineRule="auto"/>
        <w:tabs>
          <w:tab w:leader="none" w:pos="960" w:val="left"/>
        </w:tabs>
        <w:numPr>
          <w:ilvl w:val="0"/>
          <w:numId w:val="13"/>
        </w:numPr>
        <w:rPr>
          <w:rFonts w:ascii="Arial" w:cs="Arial" w:eastAsia="Arial" w:hAnsi="Arial"/>
          <w:sz w:val="18"/>
          <w:szCs w:val="18"/>
          <w:color w:val="333333"/>
        </w:rPr>
      </w:pPr>
      <w:r>
        <w:rPr>
          <w:rFonts w:ascii="Arial" w:cs="Arial" w:eastAsia="Arial" w:hAnsi="Arial"/>
          <w:sz w:val="18"/>
          <w:szCs w:val="18"/>
          <w:b w:val="1"/>
          <w:bCs w:val="1"/>
          <w:color w:val="auto"/>
        </w:rPr>
        <w:t xml:space="preserve">We are pioneering. </w:t>
      </w:r>
      <w:r>
        <w:rPr>
          <w:rFonts w:ascii="Arial" w:cs="Arial" w:eastAsia="Arial" w:hAnsi="Arial"/>
          <w:sz w:val="18"/>
          <w:szCs w:val="18"/>
          <w:color w:val="auto"/>
        </w:rPr>
        <w:t>From the beginning, we set out to radically change how people buy and sell cars. We tackle difficult problems head on. We</w:t>
      </w:r>
      <w:r>
        <w:rPr>
          <w:rFonts w:ascii="Arial" w:cs="Arial" w:eastAsia="Arial" w:hAnsi="Arial"/>
          <w:sz w:val="18"/>
          <w:szCs w:val="18"/>
          <w:b w:val="1"/>
          <w:bCs w:val="1"/>
          <w:color w:val="auto"/>
        </w:rPr>
        <w:t xml:space="preserve"> </w:t>
      </w:r>
      <w:r>
        <w:rPr>
          <w:rFonts w:ascii="Arial" w:cs="Arial" w:eastAsia="Arial" w:hAnsi="Arial"/>
          <w:sz w:val="18"/>
          <w:szCs w:val="18"/>
          <w:color w:val="auto"/>
        </w:rPr>
        <w:t>are curious. We are risk takers. We embrace change even if it’s uncomfortable.</w:t>
      </w:r>
    </w:p>
    <w:p>
      <w:pPr>
        <w:spacing w:after="0" w:line="53" w:lineRule="exact"/>
        <w:rPr>
          <w:rFonts w:ascii="Arial" w:cs="Arial" w:eastAsia="Arial" w:hAnsi="Arial"/>
          <w:sz w:val="18"/>
          <w:szCs w:val="18"/>
          <w:color w:val="333333"/>
        </w:rPr>
      </w:pPr>
    </w:p>
    <w:p>
      <w:pPr>
        <w:ind w:left="960" w:right="20" w:hanging="398"/>
        <w:spacing w:after="0" w:line="28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We are transparent. </w:t>
      </w:r>
      <w:r>
        <w:rPr>
          <w:rFonts w:ascii="Arial" w:cs="Arial" w:eastAsia="Arial" w:hAnsi="Arial"/>
          <w:sz w:val="18"/>
          <w:szCs w:val="18"/>
          <w:color w:val="auto"/>
        </w:rPr>
        <w:t>We believe transparency is the foundation of trust and enables better decision making. We communicate clearly and</w:t>
      </w:r>
      <w:r>
        <w:rPr>
          <w:rFonts w:ascii="Arial" w:cs="Arial" w:eastAsia="Arial" w:hAnsi="Arial"/>
          <w:sz w:val="18"/>
          <w:szCs w:val="18"/>
          <w:b w:val="1"/>
          <w:bCs w:val="1"/>
          <w:color w:val="auto"/>
        </w:rPr>
        <w:t xml:space="preserve"> </w:t>
      </w:r>
      <w:r>
        <w:rPr>
          <w:rFonts w:ascii="Arial" w:cs="Arial" w:eastAsia="Arial" w:hAnsi="Arial"/>
          <w:sz w:val="18"/>
          <w:szCs w:val="18"/>
          <w:color w:val="auto"/>
        </w:rPr>
        <w:t>honestly. We deliver unbiased guidance. Our products, services and company culture are built on these principles.</w:t>
      </w:r>
    </w:p>
    <w:p>
      <w:pPr>
        <w:spacing w:after="0" w:line="53" w:lineRule="exact"/>
        <w:rPr>
          <w:rFonts w:ascii="Arial" w:cs="Arial" w:eastAsia="Arial" w:hAnsi="Arial"/>
          <w:sz w:val="18"/>
          <w:szCs w:val="18"/>
          <w:color w:val="auto"/>
        </w:rPr>
      </w:pPr>
    </w:p>
    <w:p>
      <w:pPr>
        <w:ind w:left="960" w:hanging="398"/>
        <w:spacing w:after="0" w:line="282" w:lineRule="auto"/>
        <w:tabs>
          <w:tab w:leader="none" w:pos="960" w:val="left"/>
        </w:tabs>
        <w:numPr>
          <w:ilvl w:val="0"/>
          <w:numId w:val="13"/>
        </w:numPr>
        <w:rPr>
          <w:rFonts w:ascii="Arial" w:cs="Arial" w:eastAsia="Arial" w:hAnsi="Arial"/>
          <w:sz w:val="18"/>
          <w:szCs w:val="18"/>
          <w:color w:val="333333"/>
        </w:rPr>
      </w:pPr>
      <w:r>
        <w:rPr>
          <w:rFonts w:ascii="Arial" w:cs="Arial" w:eastAsia="Arial" w:hAnsi="Arial"/>
          <w:sz w:val="18"/>
          <w:szCs w:val="18"/>
          <w:b w:val="1"/>
          <w:bCs w:val="1"/>
          <w:color w:val="auto"/>
        </w:rPr>
        <w:t xml:space="preserve">We are data-driven. </w:t>
      </w:r>
      <w:r>
        <w:rPr>
          <w:rFonts w:ascii="Arial" w:cs="Arial" w:eastAsia="Arial" w:hAnsi="Arial"/>
          <w:sz w:val="18"/>
          <w:szCs w:val="18"/>
          <w:color w:val="auto"/>
        </w:rPr>
        <w:t>We rely on data, not hunches, to make decisions. We listen to our instincts but we validate through rapid testing, learning</w:t>
      </w:r>
      <w:r>
        <w:rPr>
          <w:rFonts w:ascii="Arial" w:cs="Arial" w:eastAsia="Arial" w:hAnsi="Arial"/>
          <w:sz w:val="18"/>
          <w:szCs w:val="18"/>
          <w:b w:val="1"/>
          <w:bCs w:val="1"/>
          <w:color w:val="auto"/>
        </w:rPr>
        <w:t xml:space="preserve"> </w:t>
      </w:r>
      <w:r>
        <w:rPr>
          <w:rFonts w:ascii="Arial" w:cs="Arial" w:eastAsia="Arial" w:hAnsi="Arial"/>
          <w:sz w:val="18"/>
          <w:szCs w:val="18"/>
          <w:color w:val="auto"/>
        </w:rPr>
        <w:t>and optimizing. We translate complex data into actionable insights for our users, our customers and our people.</w:t>
      </w:r>
    </w:p>
    <w:p>
      <w:pPr>
        <w:spacing w:after="0" w:line="53" w:lineRule="exact"/>
        <w:rPr>
          <w:rFonts w:ascii="Arial" w:cs="Arial" w:eastAsia="Arial" w:hAnsi="Arial"/>
          <w:sz w:val="18"/>
          <w:szCs w:val="18"/>
          <w:color w:val="333333"/>
        </w:rPr>
      </w:pPr>
    </w:p>
    <w:p>
      <w:pPr>
        <w:ind w:left="960" w:hanging="398"/>
        <w:spacing w:after="0" w:line="28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We are collaborative. </w:t>
      </w:r>
      <w:r>
        <w:rPr>
          <w:rFonts w:ascii="Arial" w:cs="Arial" w:eastAsia="Arial" w:hAnsi="Arial"/>
          <w:sz w:val="18"/>
          <w:szCs w:val="18"/>
          <w:color w:val="auto"/>
        </w:rPr>
        <w:t>We celebrate our individual strengths and perspectives but know that our success requires teamwork. We partner, we</w:t>
      </w:r>
      <w:r>
        <w:rPr>
          <w:rFonts w:ascii="Arial" w:cs="Arial" w:eastAsia="Arial" w:hAnsi="Arial"/>
          <w:sz w:val="18"/>
          <w:szCs w:val="18"/>
          <w:b w:val="1"/>
          <w:bCs w:val="1"/>
          <w:color w:val="auto"/>
        </w:rPr>
        <w:t xml:space="preserve"> </w:t>
      </w:r>
      <w:r>
        <w:rPr>
          <w:rFonts w:ascii="Arial" w:cs="Arial" w:eastAsia="Arial" w:hAnsi="Arial"/>
          <w:sz w:val="18"/>
          <w:szCs w:val="18"/>
          <w:color w:val="auto"/>
        </w:rPr>
        <w:t>listen and we leverage feedback from each other, our users and our customers.</w:t>
      </w:r>
    </w:p>
    <w:p>
      <w:pPr>
        <w:spacing w:after="0" w:line="53" w:lineRule="exact"/>
        <w:rPr>
          <w:rFonts w:ascii="Arial" w:cs="Arial" w:eastAsia="Arial" w:hAnsi="Arial"/>
          <w:sz w:val="18"/>
          <w:szCs w:val="18"/>
          <w:color w:val="auto"/>
        </w:rPr>
      </w:pPr>
    </w:p>
    <w:p>
      <w:pPr>
        <w:ind w:left="960" w:hanging="398"/>
        <w:spacing w:after="0" w:line="282" w:lineRule="auto"/>
        <w:tabs>
          <w:tab w:leader="none" w:pos="960" w:val="left"/>
        </w:tabs>
        <w:numPr>
          <w:ilvl w:val="0"/>
          <w:numId w:val="13"/>
        </w:numPr>
        <w:rPr>
          <w:rFonts w:ascii="Arial" w:cs="Arial" w:eastAsia="Arial" w:hAnsi="Arial"/>
          <w:sz w:val="18"/>
          <w:szCs w:val="18"/>
          <w:color w:val="333333"/>
        </w:rPr>
      </w:pPr>
      <w:r>
        <w:rPr>
          <w:rFonts w:ascii="Arial" w:cs="Arial" w:eastAsia="Arial" w:hAnsi="Arial"/>
          <w:sz w:val="18"/>
          <w:szCs w:val="18"/>
          <w:b w:val="1"/>
          <w:bCs w:val="1"/>
          <w:color w:val="auto"/>
        </w:rPr>
        <w:t xml:space="preserve">We move quickly. </w:t>
      </w:r>
      <w:r>
        <w:rPr>
          <w:rFonts w:ascii="Arial" w:cs="Arial" w:eastAsia="Arial" w:hAnsi="Arial"/>
          <w:sz w:val="18"/>
          <w:szCs w:val="18"/>
          <w:color w:val="auto"/>
        </w:rPr>
        <w:t>We believe there’s power in speed. We iterate quickly and often, continuously improving as we go. We are not afraid to break</w:t>
      </w:r>
      <w:r>
        <w:rPr>
          <w:rFonts w:ascii="Arial" w:cs="Arial" w:eastAsia="Arial" w:hAnsi="Arial"/>
          <w:sz w:val="18"/>
          <w:szCs w:val="18"/>
          <w:b w:val="1"/>
          <w:bCs w:val="1"/>
          <w:color w:val="auto"/>
        </w:rPr>
        <w:t xml:space="preserve"> </w:t>
      </w:r>
      <w:r>
        <w:rPr>
          <w:rFonts w:ascii="Arial" w:cs="Arial" w:eastAsia="Arial" w:hAnsi="Arial"/>
          <w:sz w:val="18"/>
          <w:szCs w:val="18"/>
          <w:color w:val="auto"/>
        </w:rPr>
        <w:t>things. If we fail, we do it fast, learn from it and move on.</w:t>
      </w:r>
    </w:p>
    <w:p>
      <w:pPr>
        <w:spacing w:after="0" w:line="53" w:lineRule="exact"/>
        <w:rPr>
          <w:rFonts w:ascii="Arial" w:cs="Arial" w:eastAsia="Arial" w:hAnsi="Arial"/>
          <w:sz w:val="18"/>
          <w:szCs w:val="18"/>
          <w:color w:val="333333"/>
        </w:rPr>
      </w:pPr>
    </w:p>
    <w:p>
      <w:pPr>
        <w:ind w:left="960" w:hanging="398"/>
        <w:spacing w:after="0" w:line="313" w:lineRule="auto"/>
        <w:tabs>
          <w:tab w:leader="none" w:pos="960" w:val="left"/>
        </w:tabs>
        <w:numPr>
          <w:ilvl w:val="0"/>
          <w:numId w:val="13"/>
        </w:numPr>
        <w:rPr>
          <w:rFonts w:ascii="Arial" w:cs="Arial" w:eastAsia="Arial" w:hAnsi="Arial"/>
          <w:sz w:val="17"/>
          <w:szCs w:val="17"/>
          <w:color w:val="333333"/>
        </w:rPr>
      </w:pPr>
      <w:r>
        <w:rPr>
          <w:rFonts w:ascii="Arial" w:cs="Arial" w:eastAsia="Arial" w:hAnsi="Arial"/>
          <w:sz w:val="17"/>
          <w:szCs w:val="17"/>
          <w:b w:val="1"/>
          <w:bCs w:val="1"/>
          <w:color w:val="auto"/>
        </w:rPr>
        <w:t xml:space="preserve">We have integrity. </w:t>
      </w:r>
      <w:r>
        <w:rPr>
          <w:rFonts w:ascii="Arial" w:cs="Arial" w:eastAsia="Arial" w:hAnsi="Arial"/>
          <w:sz w:val="17"/>
          <w:szCs w:val="17"/>
          <w:color w:val="auto"/>
        </w:rPr>
        <w:t>We act responsibly and consider the impact of our actions on each other, our partners and the world around us. 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empathy, respect and fairness are essential. We set high ethical standards and expect principled leadership from our people.</w:t>
      </w:r>
    </w:p>
    <w:p>
      <w:pPr>
        <w:spacing w:after="0" w:line="14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 xml:space="preserve">We have won a number of awards recognizing our strong culture, including </w:t>
      </w:r>
      <w:r>
        <w:rPr>
          <w:rFonts w:ascii="Arial" w:cs="Arial" w:eastAsia="Arial" w:hAnsi="Arial"/>
          <w:sz w:val="18"/>
          <w:szCs w:val="18"/>
          <w:i w:val="1"/>
          <w:iCs w:val="1"/>
          <w:color w:val="auto"/>
        </w:rPr>
        <w:t>Fortune</w:t>
      </w:r>
      <w:r>
        <w:rPr>
          <w:rFonts w:ascii="Arial" w:cs="Arial" w:eastAsia="Arial" w:hAnsi="Arial"/>
          <w:sz w:val="18"/>
          <w:szCs w:val="18"/>
          <w:color w:val="auto"/>
        </w:rPr>
        <w:t xml:space="preserve">’s “Best Places to Work” in 2019, </w:t>
      </w:r>
      <w:r>
        <w:rPr>
          <w:rFonts w:ascii="Arial" w:cs="Arial" w:eastAsia="Arial" w:hAnsi="Arial"/>
          <w:sz w:val="18"/>
          <w:szCs w:val="18"/>
          <w:i w:val="1"/>
          <w:iCs w:val="1"/>
          <w:color w:val="auto"/>
        </w:rPr>
        <w:t>Computerworld</w:t>
      </w:r>
      <w:r>
        <w:rPr>
          <w:rFonts w:ascii="Arial" w:cs="Arial" w:eastAsia="Arial" w:hAnsi="Arial"/>
          <w:sz w:val="18"/>
          <w:szCs w:val="18"/>
          <w:color w:val="auto"/>
        </w:rPr>
        <w:t xml:space="preserve">’s “Best Places to Work in IT” in 2019, </w:t>
      </w:r>
      <w:r>
        <w:rPr>
          <w:rFonts w:ascii="Arial" w:cs="Arial" w:eastAsia="Arial" w:hAnsi="Arial"/>
          <w:sz w:val="18"/>
          <w:szCs w:val="18"/>
          <w:i w:val="1"/>
          <w:iCs w:val="1"/>
          <w:color w:val="auto"/>
        </w:rPr>
        <w:t>Boston Business Journal</w:t>
      </w:r>
      <w:r>
        <w:rPr>
          <w:rFonts w:ascii="Arial" w:cs="Arial" w:eastAsia="Arial" w:hAnsi="Arial"/>
          <w:sz w:val="18"/>
          <w:szCs w:val="18"/>
          <w:color w:val="auto"/>
        </w:rPr>
        <w:t xml:space="preserve">’s “Best Places to Work” for five years in a row from 2015 to 2019, </w:t>
      </w:r>
      <w:r>
        <w:rPr>
          <w:rFonts w:ascii="Arial" w:cs="Arial" w:eastAsia="Arial" w:hAnsi="Arial"/>
          <w:sz w:val="18"/>
          <w:szCs w:val="18"/>
          <w:i w:val="1"/>
          <w:iCs w:val="1"/>
          <w:color w:val="auto"/>
        </w:rPr>
        <w:t>Boston Globe</w:t>
      </w:r>
      <w:r>
        <w:rPr>
          <w:rFonts w:ascii="Arial" w:cs="Arial" w:eastAsia="Arial" w:hAnsi="Arial"/>
          <w:sz w:val="18"/>
          <w:szCs w:val="18"/>
          <w:color w:val="auto"/>
        </w:rPr>
        <w:t>’s “Top Place to Work” in 2014, 2015, 2016 and 2018 and the Mass TLC Company of the Year award in 2018.</w:t>
      </w:r>
    </w:p>
    <w:p>
      <w:pPr>
        <w:spacing w:after="0" w:line="181"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As of December 31, 2019, we had 921 full</w:t>
      </w:r>
      <w:r>
        <w:rPr>
          <w:rFonts w:ascii="MS PGothic" w:cs="MS PGothic" w:eastAsia="MS PGothic" w:hAnsi="MS PGothic"/>
          <w:sz w:val="18"/>
          <w:szCs w:val="18"/>
          <w:color w:val="auto"/>
        </w:rPr>
        <w:t>‑</w:t>
      </w:r>
      <w:r>
        <w:rPr>
          <w:rFonts w:ascii="Arial" w:cs="Arial" w:eastAsia="Arial" w:hAnsi="Arial"/>
          <w:sz w:val="18"/>
          <w:szCs w:val="18"/>
          <w:color w:val="auto"/>
        </w:rPr>
        <w:t>time employees, 105 of whom were based outside the United States. None of our employees is represented by a labor union or covered by a collective bargaining agreement. We have not experienced any work stoppages, and we consider our relations with our employees to be good.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Technology and Product Development</w:t>
      </w:r>
    </w:p>
    <w:p>
      <w:pPr>
        <w:spacing w:after="0" w:line="121"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We are a technology company focused on innovative, actionable data analysis. We design our mobile and web products to create an unbiased, transparent experience for both consumers and dealers. We believe in rapid development, release frequent updates and have internal tools and automation that allow us to efficiently evolve our products. Our software is built using a combination of internally developed software, third</w:t>
      </w:r>
      <w:r>
        <w:rPr>
          <w:rFonts w:ascii="MS PGothic" w:cs="MS PGothic" w:eastAsia="MS PGothic" w:hAnsi="MS PGothic"/>
          <w:sz w:val="18"/>
          <w:szCs w:val="18"/>
          <w:color w:val="auto"/>
        </w:rPr>
        <w:t>‑</w:t>
      </w:r>
      <w:r>
        <w:rPr>
          <w:rFonts w:ascii="Arial" w:cs="Arial" w:eastAsia="Arial" w:hAnsi="Arial"/>
          <w:sz w:val="18"/>
          <w:szCs w:val="18"/>
          <w:color w:val="auto"/>
        </w:rPr>
        <w:t>party software and services, and open source software.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Search Technology</w:t>
      </w:r>
    </w:p>
    <w:p>
      <w:pPr>
        <w:spacing w:after="0" w:line="117"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Our search and ranking technology is served by a proprietary in</w:t>
      </w:r>
      <w:r>
        <w:rPr>
          <w:rFonts w:ascii="MS PGothic" w:cs="MS PGothic" w:eastAsia="MS PGothic" w:hAnsi="MS PGothic"/>
          <w:sz w:val="18"/>
          <w:szCs w:val="18"/>
          <w:color w:val="auto"/>
        </w:rPr>
        <w:t>‑</w:t>
      </w:r>
      <w:r>
        <w:rPr>
          <w:rFonts w:ascii="Arial" w:cs="Arial" w:eastAsia="Arial" w:hAnsi="Arial"/>
          <w:sz w:val="18"/>
          <w:szCs w:val="18"/>
          <w:color w:val="auto"/>
        </w:rPr>
        <w:t>memory search index solution that is scalable, fast, and extensible, allowing us to expand more easily into new markets, as demonstrated by our international marketplace launches. We have highly flexible interfaces that allow dealers to automatically add their inventory to our index, enabling us to quickly integrate hundreds of inventory sources with minimal effort and easily support inventory growth.</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Mobile Technology</w:t>
      </w:r>
    </w:p>
    <w:p>
      <w:pPr>
        <w:spacing w:after="0" w:line="117"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We have designed our marketplace to appeal to mobile users by developing our products with a mobile</w:t>
      </w:r>
      <w:r>
        <w:rPr>
          <w:rFonts w:ascii="MS PGothic" w:cs="MS PGothic" w:eastAsia="MS PGothic" w:hAnsi="MS PGothic"/>
          <w:sz w:val="18"/>
          <w:szCs w:val="18"/>
          <w:color w:val="auto"/>
        </w:rPr>
        <w:t>‑</w:t>
      </w:r>
      <w:r>
        <w:rPr>
          <w:rFonts w:ascii="Arial" w:cs="Arial" w:eastAsia="Arial" w:hAnsi="Arial"/>
          <w:sz w:val="18"/>
          <w:szCs w:val="18"/>
          <w:color w:val="auto"/>
        </w:rPr>
        <w:t>first mindset. All of our search results pages use a single</w:t>
      </w:r>
      <w:r>
        <w:rPr>
          <w:rFonts w:ascii="MS PGothic" w:cs="MS PGothic" w:eastAsia="MS PGothic" w:hAnsi="MS PGothic"/>
          <w:sz w:val="18"/>
          <w:szCs w:val="18"/>
          <w:color w:val="auto"/>
        </w:rPr>
        <w:t>‑</w:t>
      </w:r>
      <w:r>
        <w:rPr>
          <w:rFonts w:ascii="Arial" w:cs="Arial" w:eastAsia="Arial" w:hAnsi="Arial"/>
          <w:sz w:val="18"/>
          <w:szCs w:val="18"/>
          <w:color w:val="auto"/>
        </w:rPr>
        <w:t>page application type approach to eliminate page reloads and improve responsiveness. We also use techniques to load content onto a user’s mobile device more efficiently.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Integrations</w:t>
      </w:r>
    </w:p>
    <w:p>
      <w:pPr>
        <w:spacing w:after="0" w:line="117"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7"/>
          <w:szCs w:val="17"/>
          <w:color w:val="auto"/>
        </w:rPr>
        <w:t>We make available several application program interfaces and web widgets that integrate with customer relationship management and inventory management solutions, among other platforms. These integrations allow dealers to incorporate designated data and tools into the fabric of their marketing and customer engagement strategies. For example, our Deal Rating Badges are used on dealer websites, which show our Deal Rating for cars that have been rated as a Great Deal, Good Deal, or Fair Deal. Our Deal Rating serves as trusted, third</w:t>
      </w:r>
      <w:r>
        <w:rPr>
          <w:rFonts w:ascii="MS PGothic" w:cs="MS PGothic" w:eastAsia="MS PGothic" w:hAnsi="MS PGothic"/>
          <w:sz w:val="17"/>
          <w:szCs w:val="17"/>
          <w:color w:val="auto"/>
        </w:rPr>
        <w:t>‑</w:t>
      </w:r>
      <w:r>
        <w:rPr>
          <w:rFonts w:ascii="Arial" w:cs="Arial" w:eastAsia="Arial" w:hAnsi="Arial"/>
          <w:sz w:val="17"/>
          <w:szCs w:val="17"/>
          <w:color w:val="auto"/>
        </w:rPr>
        <w:t>party validation on dealer websites.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development servers and U.S. and Canadian websites are hosted at third-party data centers near Boston, Massachusetts, as well as through third-party cloud services in the U.S. Our European websites are hosted on third-party cloud computing services near London, England. We use third-party content distribution networks to cache and serve many portions of our sites at locations across the globe. We monitor and test at the application, host, network, and full site levels to maintain availability and promote performance. We use third-party cloud computing services for many data processing jobs and backup/recovery services.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We face competition to attract consumers and paying dealers to our marketplace and to attract advertisers to purchase our advertising products and services. Our competitors offer various marketplaces, products, and services that compete with us. Some of these competitors include:</w:t>
      </w:r>
    </w:p>
    <w:p>
      <w:pPr>
        <w:spacing w:after="0" w:line="38" w:lineRule="exact"/>
        <w:rPr>
          <w:sz w:val="20"/>
          <w:szCs w:val="20"/>
          <w:color w:val="auto"/>
        </w:rPr>
      </w:pPr>
    </w:p>
    <w:p>
      <w:pPr>
        <w:ind w:left="960" w:hanging="39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 U.S. online automotive marketplaces: AutoTrader.com, Cars.com, and TrueCar.com;</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U.S. automotive websites, such as Edmunds.com, KBB.com and Carfax.com;</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online automotive marketplaces and websites in international markets;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digital marketing providers;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peer to peer marketplaces, such as Craigslist;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sites operated by individual automobile dealers;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online dealerships, such as Carvana and Vroom.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Competition for Consumers and Dealers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compete for consumer visits with other online automotive marketplaces, free listing services, general search engines, and dealers’ websites. We compete for consumers primarily on the basis of the quality of the consumer experience. We believe we compete favorably on user experience due to the number of our vehicle listings, the unbiased transparency of the information we provide on cars, prices, and dealers, the intuitive nature of our user interface, and our mobile user experience, among other factors.</w:t>
      </w:r>
    </w:p>
    <w:p>
      <w:pPr>
        <w:spacing w:after="0" w:line="187"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We compete for dealers’ marketing spend with offline customer acquisition channels, other online automotive marketplaces, dealers’ own customer acquisition efforts on search engines, and other internet sites that attract consumers searching for vehicles. We compete primarily on the basis of the ROI that our marketplace provides. We believe we compete favorably due to our large user audience, high user engagement, and the volume and quality of connections we provide to well</w:t>
      </w:r>
      <w:r>
        <w:rPr>
          <w:rFonts w:ascii="MS PGothic" w:cs="MS PGothic" w:eastAsia="MS PGothic" w:hAnsi="MS PGothic"/>
          <w:sz w:val="18"/>
          <w:szCs w:val="18"/>
          <w:color w:val="auto"/>
        </w:rPr>
        <w:t>‑</w:t>
      </w:r>
      <w:r>
        <w:rPr>
          <w:rFonts w:ascii="Arial" w:cs="Arial" w:eastAsia="Arial" w:hAnsi="Arial"/>
          <w:sz w:val="18"/>
          <w:szCs w:val="18"/>
          <w:color w:val="auto"/>
        </w:rPr>
        <w:t>informed consumers, which results in an attractive ROI for dealers.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Advertisers</w:t>
      </w:r>
    </w:p>
    <w:p>
      <w:pPr>
        <w:spacing w:after="0" w:line="11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compete for a share of advertisers’ total marketing budgets against media sites, websites dedicated to helping consumers shop for cars, major internet portals, search engines, and social media sites, among others. We also compete for a share of advertisers’ overall marketing budgets with traditional media, such as television, radio, magazines, newspapers, automotive guide publications, billboards, and other offline advertising channels. We compete for advertising spend based on the marketing ROI that our marketplace provides. We believe we compete favorably due to our large user audience size, high user engagement, and the effectiveness and relevance of our advertising products.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We protect our intellectual property through a combination of patents, copyrights, trademarks, service marks, domain names, trade secret protections, confidentiality procedures, and contractual restrictions.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have three pending U.S. patent applications and one pending international patent application. These applications cover proprietary technology that relates to various functionalities on our platform, generally in connection with pricing, ranking and detecting fraud in online listings. We intend to pursue additional patent protection to the extent we believe it would be beneficial to our competitive position.</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have a number of registered and unregistered trademarks, including “CarGurus,” the CarGurus logo, the CG logo, and related marks, which we have registered as trademarks in the United States and certain other jurisdictions. We pursue additional trademark registrations to the extent we believe doing so would be beneficial to our competitive position.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are the registered holder of several domestic and international domain names that include “CarGurus” and variations of our trade names.</w:t>
      </w:r>
    </w:p>
    <w:p>
      <w:pPr>
        <w:spacing w:after="0" w:line="23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In addition to the protection provided by our intellectual property rights, we enter into confidentiality and proprietary rights agreements with our employees and relevant consultants, contractors, and business partners. We control the use of our proprietary technology and intellectual property through provisions in contracts with our customers and partners and our general and product-specific terms of use on our websites.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color w:val="auto"/>
        </w:rPr>
        <w:t>Various aspects of our business are, may become, or may be viewed by regulators from time to time as subject, directly or indirectly, to U.S. federal, state, local and foreign laws and regulations. In particular, the advertising and sale of new or used motor vehicles is highly regulated by the states and jurisdictions in which we do business. Although we do not sell motor vehicles and we believe that vehicle listings on our sites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which often originated decades before the emergence of the internet, are frequently subject to multiple interpretations, are not uniform across jurisdictions, sometimes impose inconsistent requirements with respect to new or used motor vehicles, and the manner in which they should be applied to our business model is not always clear. Regulators or other third parties could take, and on some occasions have taken, the position that our marketplace or related products violate applicable brokering, bird</w:t>
      </w:r>
      <w:r>
        <w:rPr>
          <w:rFonts w:ascii="MS PGothic" w:cs="MS PGothic" w:eastAsia="MS PGothic" w:hAnsi="MS PGothic"/>
          <w:sz w:val="17"/>
          <w:szCs w:val="17"/>
          <w:color w:val="auto"/>
        </w:rPr>
        <w:t>‑</w:t>
      </w:r>
      <w:r>
        <w:rPr>
          <w:rFonts w:ascii="Arial" w:cs="Arial" w:eastAsia="Arial" w:hAnsi="Arial"/>
          <w:sz w:val="17"/>
          <w:szCs w:val="17"/>
          <w:color w:val="auto"/>
        </w:rPr>
        <w:t>dog, consumer protection, or advertising laws or regulations.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jc w:val="both"/>
        <w:ind w:right="20" w:firstLine="555"/>
        <w:spacing w:after="0" w:line="277" w:lineRule="auto"/>
        <w:rPr>
          <w:sz w:val="20"/>
          <w:szCs w:val="20"/>
          <w:color w:val="auto"/>
        </w:rPr>
      </w:pPr>
      <w:r>
        <w:rPr>
          <w:rFonts w:ascii="Arial" w:cs="Arial" w:eastAsia="Arial" w:hAnsi="Arial"/>
          <w:sz w:val="18"/>
          <w:szCs w:val="18"/>
          <w:color w:val="auto"/>
        </w:rPr>
        <w:t>In order to operate in this regulated environment, we develop our products and services with a view toward appropriately managing the risk that our regulatory compliance, or the regulatory compliance of the dealers whose inventory is listed on our websites, could be challenged.</w:t>
      </w:r>
    </w:p>
    <w:p>
      <w:pPr>
        <w:spacing w:after="0" w:line="170"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consider applicable advertising and consumer protection laws and regulations in designing our products and services. With respect to paid advertising, other than Featured Listings, Featured Priority Listings and Dealer Display advertising and audience targeting products marketed under our Real-time Performance Marketing suite, we believe that most of the content displayed on the websites we operate does not constitute paid advertising for the sale of motor vehicles. Nevertheless, we endeavor to design the content in a manner that would comply with relevant advertising regulations and consumer protection laws if, and to the extent that, the content is considered to be vehicle sales advertising.</w:t>
      </w:r>
    </w:p>
    <w:p>
      <w:pPr>
        <w:spacing w:after="0" w:line="173"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websites and mobile applications enable us, dealers, and users to send and receive text messages and other mobile phone communications, which requires us to comply with the Telephone Consumer Protection Act, or TCPA, in the U.S. The TCPA, as interpreted and implemented by the Federal Communications Commission and federal and state courts, imposes significant restrictions on utilization of telephone calls and text messages to residential and mobile telephone numbers as a means of communication, particularly when the prior express consent of the person being contacted has not been obtained.</w:t>
      </w:r>
    </w:p>
    <w:p>
      <w:pPr>
        <w:spacing w:after="0" w:line="18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In addition, we are subject to numerous federal, national, state, and local laws and regulations in the United States and around the world regarding privacy and the collection, processing, storage, sharing, disclosure, use, cross-border transfer, and protection of personal information and other data. While the scope of these laws and regulations is changing and remains subject to differing interpretations, we seek to comply with industry standards and all applicable laws, policies, legal obligations, and industry codes of conduct relating to privacy and data protection. We are also subject to the terms of our privacy policies and privacy-related obligations to third 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We were originally organized on November 10, 2005 as a Massachusetts limited liability company under the name “Nimalex LLC.” Effective July 15, 2006, we changed our name to “CarGurus LLC.” On June 26, 2015, we converted into a Delaware corporation and changed our name to “CarGurus, Inc.”</w:t>
      </w:r>
    </w:p>
    <w:p>
      <w:pPr>
        <w:spacing w:after="0" w:line="124"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Our principal executive offices are located at 2 Canal Park, 4th Floor, Cambridge, Massachusetts 02141, and our telephone number is (617) 354-0068. Our U.S. website is www.cargurus.com. Information that is contained on, or that can be accessed through, our websites is not incorporated by reference into this Annual Report on Form 10-K, and you should not consider information on our websites to be part of this Annual Report on Form 10-K.</w:t>
      </w:r>
    </w:p>
    <w:p>
      <w:pPr>
        <w:spacing w:after="0" w:line="147" w:lineRule="exact"/>
        <w:rPr>
          <w:sz w:val="20"/>
          <w:szCs w:val="20"/>
          <w:color w:val="auto"/>
        </w:rPr>
      </w:pPr>
    </w:p>
    <w:p>
      <w:pPr>
        <w:jc w:val="both"/>
        <w:ind w:right="20" w:firstLine="555"/>
        <w:spacing w:after="0" w:line="312" w:lineRule="auto"/>
        <w:rPr>
          <w:sz w:val="20"/>
          <w:szCs w:val="20"/>
          <w:color w:val="auto"/>
        </w:rPr>
      </w:pPr>
      <w:r>
        <w:rPr>
          <w:rFonts w:ascii="Arial" w:cs="Arial" w:eastAsia="Arial" w:hAnsi="Arial"/>
          <w:sz w:val="16"/>
          <w:szCs w:val="16"/>
          <w:color w:val="auto"/>
        </w:rPr>
        <w:t>CarGurus, the CarGurus logo, and other trademarks or service marks of CarGurus appearing in this Annual Report on Form 10-K are the property of CarGurus, Inc. Trade names, trademarks, and service marks of other companies appearing in this Annual Report on Form 10-K are the property of their respective holders. We have omitted the ® and ™ designations, as applicable, for the trademarks used in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following filings are available on our investor relations website after we file them with the Securities and Exchange Commission, or the SEC: Annual Reports on Form 10-K, Quarterly Reports on Form 10-Q and Proxy Statements for our annual meetings of stockholders. These filings are also available for download free of charge on our investor relations website. Our investor relations website is located at http://investors.cargurus.com. You may obtain copies of these documents by mail from the Public Reference Section of the SEC, 100 F Street, N.E., Room 1580, Washington, D.C. 20549. The SEC also maintains a website that contains reports, proxy statements and other information about issuers, like us, that file electronically with the SEC. The address of that website is https://www.sec.gov.</w:t>
      </w:r>
    </w:p>
    <w:p>
      <w:pPr>
        <w:spacing w:after="0" w:line="19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webcast our earnings calls and certain events that we participate in or host with members of the investment community on our investor relations website. Additionally, we provide news and announcements regarding our financial performance, including SEC filings, investor events, press and earnings releases, on our investor relations website. Corporate governance information, including our policies concerning business conduct and ethics, is also available on our investor relations website under the heading “Governance.” No content from any of our websites is intended to be incorporated by reference into this Annual Report on Form 10-K or in any other report or document we file with the SEC, and any reference to our websites is intended to be an inactive textual reference only.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Annual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73"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at the end of the committed term. While we are transitioning many of these dealers to contracts with one-year committed terms, the majority of our contracts with dealers currently provide for one-month committed terms. The contracts do not contain contractual obligations requiring a dealer to maintain its relationship with us beyond the committed term. Accordingly, these dealers may cancel their subscriptions with us in accordance with the terms of their subscription agreements. If a significant number of our paying dealers terminate their subscriptions with us, our business and financial results would be materially and adversely affected.</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If paying dealers do not experience the volume of consumer connections that they expect during their subscription period, or do not experience the level of car sales they expect from those connections, they may terminate their subscriptions at the conclusion of the committed term or may only be willing to renew their subscriptions at a lower level of fees. Even if dealers do experience increased consumer connections or sales, they may not attribute such increases to our platform. If we fail to maintain or expand our base of paying dealers or fail to maintain or increase the level of fees that we receive from them, our business and financial results would be materially and adversely affected.</w:t>
      </w:r>
    </w:p>
    <w:p>
      <w:pPr>
        <w:spacing w:after="0" w:line="18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allow dealers to list their inventory in the CarGurus marketplace for free; however, we impose certain limitations on such free listings, such as excluding dealer identity and contact information, and these dealers do not receive access to the paid features of our marketplace. In the future we may decide to impose additional restrictions on free listings. Many dealers start with us on a non-paying basis and then become paying customers in order to take advantage of the features of our paid Listings packages. If dealers do not subscribe to our paid offerings at the rates we expect, or if a greater than expected number of paying dealers elect to terminate their subscriptions or reduce their fees, our business and financial results would be materially and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dealers or other advertisers reduce their advertising spending with us and we are unable to attract new advertisers, our business would be harmed.</w:t>
      </w:r>
    </w:p>
    <w:p>
      <w:pPr>
        <w:spacing w:after="0" w:line="14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 significant amount of our revenue is derived from advertising revenues generated primarily through advertising sales, including display advertising and audience 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79" w:lineRule="exact"/>
        <w:rPr>
          <w:sz w:val="20"/>
          <w:szCs w:val="20"/>
          <w:color w:val="auto"/>
        </w:rPr>
      </w:pPr>
    </w:p>
    <w:p>
      <w:pPr>
        <w:ind w:left="960" w:hanging="39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increase the number of consumers using our marketplace;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effectively for advertising spending with other online automotive marketplaces;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continue to develop our advertising products;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the practices and offerings of our competitors;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offer an attractive ROI to our advertisers for their advertising spend with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both"/>
        <w:ind w:firstLine="555"/>
        <w:spacing w:after="0" w:line="272" w:lineRule="auto"/>
        <w:rPr>
          <w:sz w:val="20"/>
          <w:szCs w:val="20"/>
          <w:color w:val="auto"/>
        </w:rPr>
      </w:pPr>
      <w:r>
        <w:rPr>
          <w:rFonts w:ascii="Arial" w:cs="Arial" w:eastAsia="Arial" w:hAnsi="Arial"/>
          <w:sz w:val="17"/>
          <w:szCs w:val="17"/>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Our other advertising contracts, including those with auto manufacturers, are typically for a defined period of time and do not have ongoing commitments to advertise in our marketplace beyond the committed term.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28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16"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If we fail to continue to provide a compelling vehicle search experience to consumers, the number of connections between consumers and dealers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materially and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84" w:lineRule="exact"/>
        <w:rPr>
          <w:sz w:val="20"/>
          <w:szCs w:val="20"/>
          <w:color w:val="auto"/>
        </w:rPr>
      </w:pPr>
    </w:p>
    <w:p>
      <w:pPr>
        <w:ind w:left="960" w:hanging="398"/>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an attractive marketplace for consumers and dealers, including on mobile platforms;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continue to innovate and introduce products for our marketplace on mobile platforms;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launch new products that are effective and have a high degree of consumer engagement;</w:t>
      </w:r>
    </w:p>
    <w:p>
      <w:pPr>
        <w:spacing w:after="0" w:line="117"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the compatibility of our mobile applications with operating systems, such as iOS and Android, and with popular mobile devices running such operating systems; and</w:t>
      </w:r>
    </w:p>
    <w:p>
      <w:pPr>
        <w:spacing w:after="0" w:line="62"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access and analyze a sufficient amount of data to enable us to provide relevant information to consumers, including pricing information and accurate vehicle details.</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use of our marketplace, particularly on mobile devices, does not continue to grow, our business and operating results would be harmed.</w:t>
      </w:r>
    </w:p>
    <w:p>
      <w:pPr>
        <w:spacing w:after="0" w:line="3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We depend, in part, on internet search engines such as Google, Bing, and Yahoo! to drive traffic to our websites.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methodologies in ways that are detrimental to us, or if our competitors’ internet search engine optimization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websites have experienced fluctuations in search result rankings in the past, and we anticipate fluctuations in the future. Any reduction in the number of consumers directed to our websites through internet search engines could harm our business and operating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2"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6"/>
          <w:szCs w:val="16"/>
          <w:color w:val="auto"/>
        </w:rPr>
        <w:t>Our success depends on our continued innovation to provide products and services that make our marketplace, websites, and mobile applications useful for consumers and dealers or that otherwise provide value to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negatively impact our business and financial results.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2"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 could be negatively affected if any current provider terminates its relationship with us or our service from any provider is interrupted.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negatively affect our business and operating results.</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build, maintain and protect our brand would harm our ability to grow our audience and to expand the use of our marketplace by consumers and dealers.</w:t>
      </w:r>
    </w:p>
    <w:p>
      <w:pPr>
        <w:spacing w:after="0" w:line="62"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Our ability to protect our brand is also impacted by the success of our efforts to optimize our significant brand spend and overcome the intense competition in brand marketing across our industry, including competitors that may imitate our messaging in response to our success. If consumers were to believe that we are not focused on providing them with a better automobile shopping experience, or if we fail to overcome brand marketing competition and maintain a differentiated value proposition in consumers’ minds, our reputation and the strength of our brand may be adversely affected.</w:t>
      </w:r>
    </w:p>
    <w:p>
      <w:pPr>
        <w:spacing w:after="0" w:line="17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Complaints or negative publicity about our business practices,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jc w:val="both"/>
        <w:ind w:firstLine="555"/>
        <w:spacing w:after="0" w:line="259" w:lineRule="auto"/>
        <w:rPr>
          <w:sz w:val="20"/>
          <w:szCs w:val="20"/>
          <w:color w:val="auto"/>
        </w:rPr>
      </w:pPr>
      <w:r>
        <w:rPr>
          <w:rFonts w:ascii="Arial" w:cs="Arial" w:eastAsia="Arial" w:hAnsi="Arial"/>
          <w:sz w:val="18"/>
          <w:szCs w:val="18"/>
          <w:color w:val="auto"/>
        </w:rPr>
        <w:t>Portions of our platform enable consumers and dealers using our sites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will continue to decline in the future.</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revenue increased to $588.9 million for the year ended December 31, 2019 from $454.1 million for the year ended December 31, 2018, representing a 30% increase between such periods, and increased to $454.1 million for the year ended December 31, 2018 from $316.9 million for the year ended December 31, 2017, representing a 43% increase between such periods. In the future, our revenue growth rates will continue to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85" w:lineRule="exact"/>
        <w:rPr>
          <w:sz w:val="20"/>
          <w:szCs w:val="20"/>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number of consumers using our marketplace;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 and expand the number of dealers that subscribe to our marketplace and maintain and increase the fees that they are paying;</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advertisers placing advertisements in our marketplace;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improve the quality of our marketplace and introduce high quality new products;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number of connections between consumers and dealers using our marketplace.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expand effectively into new markets, both domestically and abroad, our revenue, business, and financial results will be harmed.</w:t>
      </w:r>
    </w:p>
    <w:p>
      <w:pPr>
        <w:spacing w:after="0" w:line="129"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We intend to continue to expand our operations to target new markets, both domestically and abroad, and there can be no assurance that our expansion into these new markets will be successful. Our expansion into new markets places us in unfamiliar competitive environments and involves various risks, including the need to invest significant resources and the likelihood that returns on such investments will not be achieved for several years, or possibly at all. In attempting to establish a presence in new markets, we expect, as we have in the past, to incur significant losses in those markets and face various other challenges, such as obtaining and maintaining access to data, competition for consumers and dealers using our products, new and different competitors, monetizing dealers and other customers, new regulatory environments and laws, different consumer behavior than we are familiar with, and our ability to expand the number of our account managers to cover those new markets. Our current and any future expansion plans will require significant resources and management attention. Furthermore, expansion into international markets may not yield results similar to those we have achieved in the United States.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risks that are different from, or in addition to, the risks we may experience as a result of our domestic operations, and our exposure to these risks will increase if we continue to expand internationally.</w:t>
      </w:r>
    </w:p>
    <w:p>
      <w:pPr>
        <w:spacing w:after="0" w:line="62"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may expand our international operations by continuing to enter new markets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 Dealers may also be parties to agreements with other dealers and syndicates that prevent them from being able to access our marketplace. In addition, we may also face litigation from competitors in new markets. Any of these barriers could impede our expansion into additional international markets, which could affect our business and potential growth.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both"/>
        <w:ind w:firstLine="555"/>
        <w:spacing w:after="0" w:line="255" w:lineRule="auto"/>
        <w:rPr>
          <w:sz w:val="20"/>
          <w:szCs w:val="20"/>
          <w:color w:val="auto"/>
        </w:rPr>
      </w:pPr>
      <w:r>
        <w:rPr>
          <w:rFonts w:ascii="Arial" w:cs="Arial" w:eastAsia="Arial" w:hAnsi="Arial"/>
          <w:sz w:val="18"/>
          <w:szCs w:val="18"/>
          <w:color w:val="auto"/>
        </w:rPr>
        <w:t>In addition to English, we have made portions of our platform available in French, German, Italian, and Spanish, and we will need to make all or portions of our platform available in additional languages as we launch in new countries. We may have difficulty modifying our technology and content for use in non-English-speaking markets or fostering new communities in non-English-speaking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resolution systems, and commercial infrastructures. Expanding internationally may subject us to new risks or increase our exposure in connection with current risks, including risks associated with:</w:t>
      </w:r>
    </w:p>
    <w:p>
      <w:pPr>
        <w:spacing w:after="0" w:line="81" w:lineRule="exact"/>
        <w:rPr>
          <w:sz w:val="20"/>
          <w:szCs w:val="20"/>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managing and retaining qualified multilingual employees, including sales personnel;</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adapting our websites and mobile applications to conform to local consumer behavior;</w:t>
      </w:r>
    </w:p>
    <w:p>
      <w:pPr>
        <w:spacing w:after="0" w:line="117"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from local websites, mobile applications and periodicals and potential preferences by local populations for local providers;</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different privacy, censorship, and liability standards and regulations, and different intellectual property laws;</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solutions in different languages and for different cultures, which may require that we modify our solutions and features so they are culturally relevant in different countries;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enforceability of our intellectual property rights;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anti-bribery laws, including compliance with the Foreign Corrupt Practices Act and the United Kingdom Bribery Act;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exchange controls that might prevent us from repatriating cash earned outside the United States;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changes in trade relationships among foreign countries and/or between the United States and such countries;</w:t>
      </w:r>
    </w:p>
    <w:p>
      <w:pPr>
        <w:spacing w:after="0" w:line="117"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arising from the tax laws of the United States or the foreign jurisdictions in which we operate; and</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costs of doing business internationally.</w:t>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face significant competition from companies that provide listings, information, lead generation, marketing, and car-buying services designed to help consumers shop for cars and to enable dealers to reach these consumers. Our competitors offer various marketplaces, products, and services that compete with us. Some of these competitors include:</w:t>
      </w:r>
    </w:p>
    <w:p>
      <w:pPr>
        <w:spacing w:after="0" w:line="73" w:lineRule="exact"/>
        <w:rPr>
          <w:sz w:val="20"/>
          <w:szCs w:val="20"/>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United States online automotive marketplaces: AutoTrader.com, Cars.com, and TrueCar.com;</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United States automotive websites, such as Edmunds.com, KBB.com, and Carfax.com;</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online automotive marketplaces and websites in international markets;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digital marketing providers;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peer to peer marketplaces, such as Craigslist;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sites operated by individual automobile dealers;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online dealerships, such as Carvana and Vroom.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both"/>
        <w:ind w:firstLine="555"/>
        <w:spacing w:after="0" w:line="286" w:lineRule="auto"/>
        <w:rPr>
          <w:sz w:val="20"/>
          <w:szCs w:val="20"/>
          <w:color w:val="auto"/>
        </w:rPr>
      </w:pPr>
      <w:r>
        <w:rPr>
          <w:rFonts w:ascii="Arial" w:cs="Arial" w:eastAsia="Arial" w:hAnsi="Arial"/>
          <w:sz w:val="17"/>
          <w:szCs w:val="17"/>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adversely affected.</w:t>
      </w:r>
    </w:p>
    <w:p>
      <w:pPr>
        <w:spacing w:after="0" w:line="166" w:lineRule="exact"/>
        <w:rPr>
          <w:sz w:val="20"/>
          <w:szCs w:val="20"/>
          <w:color w:val="auto"/>
        </w:rPr>
      </w:pPr>
    </w:p>
    <w:p>
      <w:pPr>
        <w:jc w:val="both"/>
        <w:ind w:right="20" w:firstLine="555"/>
        <w:spacing w:after="0" w:line="342" w:lineRule="auto"/>
        <w:rPr>
          <w:sz w:val="20"/>
          <w:szCs w:val="20"/>
          <w:color w:val="auto"/>
        </w:rPr>
      </w:pPr>
      <w:r>
        <w:rPr>
          <w:rFonts w:ascii="Arial" w:cs="Arial" w:eastAsia="Arial" w:hAnsi="Arial"/>
          <w:sz w:val="16"/>
          <w:szCs w:val="16"/>
          <w:color w:val="auto"/>
        </w:rPr>
        <w:t>We also expect that new competitors will continue to enter the online automotive retail industry with competing marketplaces, products, and services, or that existing competitors will expand to offer competing products or services, which could have an adverse effect on our business and financial results.</w:t>
      </w:r>
    </w:p>
    <w:p>
      <w:pPr>
        <w:spacing w:after="0" w:line="124"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competitors could significantly impede our ability to expand the number of dealers using our marketplace. Our competitors may also develop and market new technologies that render our existing or future platform and associated products less competitive, unmarketable, or obsolete. In addition, if our competitors develop platforms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8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89"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6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Although the dealership industry is highly fragmented, a small number of interested parties have significant influence over the industry. These parties include national and regional dealership associations, national and local regulators, automotive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8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Furthermore, auto manufacturers may provide their franchise dealers with financial or other marketing support conditioned upon such dealers’ adherence to certain marketing guidelines. Auto manufacturers may determine that the manner in which certain of their franchise dealers use our platform is inconsistent with the terms of such marketing guidelines, which determination could result in potential or actual loss of the manufacturers’ financial or other marketing support to the dealers whose use of our platform is deemed objectionable. The potential or actual loss of such marketing support may cause such dealers to cease paying for our paid features, which may adversely affect our ability to maintain or grow the number of our paying dealers.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In the past, the number of United States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2"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6"/>
          <w:szCs w:val="16"/>
          <w:color w:val="auto"/>
        </w:rPr>
        <w:t>Our success will depend upon our relationships with third parties, including our payment processor, our data center hosts, our information technology providers, our data providers for inventory and vehicle information, our human resources information system provider, our billing subscription software provider, our customer relationship management software provider, our financial planning and analysis software provider, our information integration platform providers, our marketing platform providers, our business intelligence and data analytics providers, our search engine and social media advertising providers, our invoice and expense provider, our equity administration provider, and our general ledger provider, as well as our strategic partners, including consumer lenders. If these third parties experience difficulty meeting our requirements or standards, have adverse audit results, violate the terms of our relationship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7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continue to grow rapidly, we may not be able to manage our growth effectively.</w:t>
      </w:r>
    </w:p>
    <w:p>
      <w:pPr>
        <w:spacing w:after="0" w:line="11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have experienced rapid growth in our headcount and operations, which places substantial demand on management and our operational infrastructure. In addition, with further growth and expansion, our employee base will continue to spread outside of our headquarters in Cambridge, Massachusetts.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materially and adversely affected.</w:t>
      </w:r>
    </w:p>
    <w:p>
      <w:pPr>
        <w:spacing w:after="0" w:line="62"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If we are unable to successfully respond to changes in the market, our business could be harmed.</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Values, Deal Ratings, Dealer Ratings, New Car Price Guidance and other features of our marketplace.</w:t>
      </w:r>
    </w:p>
    <w:p>
      <w:pPr>
        <w:spacing w:after="0" w:line="62"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We provide consumers using our marketplace with our proprietary Instant Market Values, or IMV, Deal Ratings, and Dealer Ratings, as well as other features to help them evaluate vehicle listings, including price guidance for new car listings, or New Car Price Guidance. Revisions to or errors in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 and could result in legal disputes.</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we acquire other companies or technologies, such activities could divert our management’s attention, result in additional dilution to our stockholders, and otherwise disrupt our operations and harm our operating results.</w:t>
      </w:r>
    </w:p>
    <w:p>
      <w:pPr>
        <w:spacing w:after="0" w:line="62"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dealers, and other constituents within the automotive industry as well as competitive pressures. In some circumstances, we will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46" w:lineRule="exact"/>
        <w:rPr>
          <w:sz w:val="20"/>
          <w:szCs w:val="20"/>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coordination of technology, product, research, and development, and sales and marketing functions;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transition of the acquired company’s consumers and data to our marketplace and products;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on our operating results in a given period;</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62"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consumers, former stockholders, and other third parties.</w:t>
      </w:r>
    </w:p>
    <w:p>
      <w:pPr>
        <w:spacing w:after="0" w:line="19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cause us to be reluctant to engage in future transactions, and harm our business generally. Acquisitions could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result in dilutive issuances of our equity securities, the incurrence of debt, contingent liabilities, amortization expense, and impairment charges associated with acquired intangible assets or goodwill, any of which could harm our financial condition. Also, the anticipated benefits of any acquisitions may not materialize.</w:t>
      </w:r>
    </w:p>
    <w:p>
      <w:pPr>
        <w:spacing w:after="0" w:line="2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6"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 Motor Vehicle Sales, Advertising and Brokering, and Consumer Protection Laws</w:t>
      </w:r>
    </w:p>
    <w:p>
      <w:pPr>
        <w:spacing w:after="0" w:line="117"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The advertising and sale of new and used motor vehicles is highly regulated by the jurisdictions in which we do business. Although we do not sell motor vehicles, and although we believe that vehicle listings on our site are not themselves advertisements,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jurisdiction to jurisdiction,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6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If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jurisdictions, or could require us to make adjustments to our marketplace and related products or the manner in which we derive revenue from dealers using our platform, any or all of which could result in substantial adverse publicity, termination of subscriptions by dealers, decreased revenues, distraction for our employees, increased expenses, and decreased profitability.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United States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93"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both"/>
        <w:ind w:firstLine="555"/>
        <w:spacing w:after="0" w:line="293" w:lineRule="auto"/>
        <w:rPr>
          <w:sz w:val="20"/>
          <w:szCs w:val="20"/>
          <w:color w:val="auto"/>
        </w:rPr>
      </w:pPr>
      <w:r>
        <w:rPr>
          <w:rFonts w:ascii="Arial" w:cs="Arial" w:eastAsia="Arial" w:hAnsi="Arial"/>
          <w:sz w:val="16"/>
          <w:szCs w:val="16"/>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Laws</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Antitrust and competition laws prohibit, among other things, any joint conduct among competitors that would lessen competition in the marketplace. We believe that we are in compliance with the legal requirements imposed by such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Claims could be made against us under both United States and foreign laws, including claims for defamation, libel, invasion of privacy, false advertising, intellectual property infringement, or claims based on other theories related to the nature and content of the materials disseminated by users of our marketplace and portions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65"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continuous change. As we expand our operations internationally,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including consumer demand, global supply chain challenges, trade relations between the United States and China and other macroeconomic issues, which could have a material adverse effect on our business, revenue, results of operations, and financial condition.</w:t>
      </w:r>
    </w:p>
    <w:p>
      <w:pPr>
        <w:spacing w:after="0" w:line="73"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rising interest rates, which may reduce the demand for consumer credit due to the higher cost of borrowing; reductions in business and consumer confidence; stock market volatility; increased unemployment; and changing trade barriers, including increased tariff rates or custom duties.</w:t>
      </w:r>
    </w:p>
    <w:p>
      <w:pPr>
        <w:spacing w:after="0" w:line="17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jc w:val="both"/>
        <w:ind w:firstLine="555"/>
        <w:spacing w:after="0" w:line="264" w:lineRule="auto"/>
        <w:rPr>
          <w:sz w:val="20"/>
          <w:szCs w:val="20"/>
          <w:color w:val="auto"/>
        </w:rPr>
      </w:pPr>
      <w:r>
        <w:rPr>
          <w:rFonts w:ascii="Arial" w:cs="Arial" w:eastAsia="Arial" w:hAnsi="Arial"/>
          <w:sz w:val="18"/>
          <w:szCs w:val="18"/>
          <w:color w:val="auto"/>
        </w:rPr>
        <w:t>In addition, our business may be negatively affected by challenges to the larger automotive industry ecosystem, including global supply chain challenges, changes to trade policies, trade relations between the United States and China and other macroeconomic issues. These factors could have a material adverse effect on our business, revenue, results of operations, and financial condition.</w:t>
      </w:r>
    </w:p>
    <w:p>
      <w:pPr>
        <w:spacing w:after="0" w:line="3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consequences we may face from the exit of the United Kingdom from the European Union could have a material adverse effect on our business, revenue, results of operations, and financial condition.</w:t>
      </w:r>
    </w:p>
    <w:p>
      <w:pPr>
        <w:spacing w:after="0" w:line="6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United Kingdom’s exit from the European Union, or the EU, commonly referred to as “Brexit”, could adversely affect European and global economic or market conditions, contribute to instability in global financial markets</w:t>
      </w:r>
      <w:r>
        <w:rPr>
          <w:rFonts w:ascii="Arial" w:cs="Arial" w:eastAsia="Arial" w:hAnsi="Arial"/>
          <w:sz w:val="18"/>
          <w:szCs w:val="18"/>
          <w:color w:val="212529"/>
        </w:rPr>
        <w:t>, create uncertainty in the wider commercial, legal, and regulatory</w:t>
      </w:r>
      <w:r>
        <w:rPr>
          <w:rFonts w:ascii="Arial" w:cs="Arial" w:eastAsia="Arial" w:hAnsi="Arial"/>
          <w:sz w:val="18"/>
          <w:szCs w:val="18"/>
          <w:color w:val="auto"/>
        </w:rPr>
        <w:t xml:space="preserve"> </w:t>
      </w:r>
      <w:r>
        <w:rPr>
          <w:rFonts w:ascii="Arial" w:cs="Arial" w:eastAsia="Arial" w:hAnsi="Arial"/>
          <w:sz w:val="18"/>
          <w:szCs w:val="18"/>
          <w:color w:val="212529"/>
        </w:rPr>
        <w:t>environment</w:t>
      </w:r>
      <w:r>
        <w:rPr>
          <w:rFonts w:ascii="Arial" w:cs="Arial" w:eastAsia="Arial" w:hAnsi="Arial"/>
          <w:sz w:val="18"/>
          <w:szCs w:val="18"/>
          <w:color w:val="000000"/>
        </w:rPr>
        <w:t>, and cause disruptions to our business and operations in the United Kingdom</w:t>
      </w:r>
      <w:r>
        <w:rPr>
          <w:rFonts w:ascii="Arial" w:cs="Arial" w:eastAsia="Arial" w:hAnsi="Arial"/>
          <w:sz w:val="18"/>
          <w:szCs w:val="18"/>
          <w:color w:val="212529"/>
        </w:rPr>
        <w:t xml:space="preserve">, including with respect to our customers, suppliers, and consumers in the United Kingdom. As a result of this economic uncertainty, our dealer customers in particular may be unwilling to subscribe to our websites or renew or increase their existing subscriptions, as applicable. We may also face new regulatory costs and challenges that could have an adverse effect on our operations. Brexit has created economic uncertainty and its consequences </w:t>
      </w:r>
      <w:r>
        <w:rPr>
          <w:rFonts w:ascii="Arial" w:cs="Arial" w:eastAsia="Arial" w:hAnsi="Arial"/>
          <w:sz w:val="18"/>
          <w:szCs w:val="18"/>
          <w:color w:val="000000"/>
        </w:rPr>
        <w:t>could have a material adverse effect on our business, revenue, results of operations, and</w:t>
      </w:r>
      <w:r>
        <w:rPr>
          <w:rFonts w:ascii="Arial" w:cs="Arial" w:eastAsia="Arial" w:hAnsi="Arial"/>
          <w:sz w:val="18"/>
          <w:szCs w:val="18"/>
          <w:color w:val="212529"/>
        </w:rPr>
        <w:t xml:space="preserve"> </w:t>
      </w:r>
      <w:r>
        <w:rPr>
          <w:rFonts w:ascii="Arial" w:cs="Arial" w:eastAsia="Arial" w:hAnsi="Arial"/>
          <w:sz w:val="18"/>
          <w:szCs w:val="18"/>
          <w:color w:val="000000"/>
        </w:rPr>
        <w:t>financial condition.</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 may cause us to forgo short-term gains in pursuit of potential but uncertain long-term growth.</w:t>
      </w:r>
    </w:p>
    <w:p>
      <w:pPr>
        <w:spacing w:after="0" w:line="62"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websites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 However, this strategy may not result in the long-term benefits that we expect, in which case our user traffic and engagement, business, and financial results could be harmed.</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or mobile applications could damage our reputation and result in a loss of consumers, which could harm our business, brand, operating results, and financial condition.</w:t>
      </w:r>
    </w:p>
    <w:p>
      <w:pPr>
        <w:spacing w:after="0" w:line="62"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Our brand, reputation, and ability to attract consumers, dealers, and advertisers depend on the reliable performance of our technology infrastructure and content delivery. We have experienced, and we may in the future experience, interruptions with our systems. Interruptions in these systems, whether due to system failures, computer viruses, ransomware, or physical or electronic break-ins, could affect the security or availability of our marketplace on our websites and mobile applications, and prevent or inhibit the ability of dealers and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92"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Substantially all of the communications, network, and computer hardware used to operate our platform is located in the United States near Boston, Massachusetts, and internationally near London, England. Although we have two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A disruption to one or more of these systems may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9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providers whose services they use may have negative effects on our business, the nature and extent of which are difficult to predict. If our third-party web hosting providers are unable to keep up with our growing capacity needs, our business could be harmed.</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Although we carry insurance, it may not be sufficient to compensate us for the potentially significant losses, including the potential harm to the future growth of our business, that may result from interruptions in our service as a result of system failures.</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 and harm our business and operating results.</w:t>
      </w:r>
    </w:p>
    <w:p>
      <w:pPr>
        <w:spacing w:after="0" w:line="16" w:lineRule="exact"/>
        <w:rPr>
          <w:sz w:val="20"/>
          <w:szCs w:val="20"/>
          <w:color w:val="auto"/>
        </w:rPr>
      </w:pPr>
    </w:p>
    <w:p>
      <w:pPr>
        <w:jc w:val="both"/>
        <w:ind w:firstLine="555"/>
        <w:spacing w:after="0" w:line="268" w:lineRule="auto"/>
        <w:rPr>
          <w:sz w:val="20"/>
          <w:szCs w:val="20"/>
          <w:color w:val="auto"/>
        </w:rPr>
      </w:pPr>
      <w:r>
        <w:rPr>
          <w:rFonts w:ascii="Arial" w:cs="Arial" w:eastAsia="Arial" w:hAnsi="Arial"/>
          <w:sz w:val="17"/>
          <w:szCs w:val="17"/>
          <w:color w:val="auto"/>
        </w:rPr>
        <w:t>Some functions of our marketplace involve the storage and transmission of consumers’ information, such as IP addresses, contact information of users who connect with dealers and profile information of users who create accounts on our marketplace, as well as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185"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Further, outside parties have attempted and will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7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Any or all of the issues above could adversely affect our brand reputation, negatively impact our ability to attract new consumers and increase engagement by existing consumers, cause existing consumers to curtail or stop use of our marketplace or close their accounts, cause existing dealers and advertisers to cancel their contracts, cause employees to terminate their employment, cause employment candidates to be unwilling to pursue employment opportunities or accept employment offers, and or subject us to governmental or third-party lawsuits, investigations, regulatory fines, or other actions or liability, thereby harming our business, results of operations, and financial condition.</w:t>
      </w:r>
    </w:p>
    <w:p>
      <w:pPr>
        <w:spacing w:after="0" w:line="188"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ind w:firstLine="555"/>
        <w:spacing w:after="0" w:line="286" w:lineRule="auto"/>
        <w:rPr>
          <w:sz w:val="20"/>
          <w:szCs w:val="20"/>
          <w:color w:val="auto"/>
        </w:rPr>
      </w:pPr>
      <w:r>
        <w:rPr>
          <w:rFonts w:ascii="Arial" w:cs="Arial" w:eastAsia="Arial" w:hAnsi="Arial"/>
          <w:sz w:val="16"/>
          <w:szCs w:val="16"/>
          <w:color w:val="auto"/>
        </w:rPr>
        <w:t>We seek to comply with industry standards and are subject to the terms of our privacy policies and privacy-related obligations to third parties, as well as all applicable laws, policies, legal obligations, and industry codes of conduct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and the California Consumer Privacy Act, or the CCPA, which went into effect on January 1, 2020. The CCPA, among other things, contains new disclosure obligations for businesses that collect personal information about California residents and provides California residents with additional rights relating to their personal information. The GDPR and CCPA in particular have already required, and may further require, us to change our policies and procedures and may in the future require us to make changes to our marketplace and other products. These and other requirements could reduce demand for our marketplace and other offerings, require us to take on more onerous obligations in our contracts and restrict our ability to store, transfer, and process data, which may seriously harm our business. Similarly, Brexit may require us to change our policies and procedures and, if we are not in compliance, may also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GDPR or CCPA requirements.</w:t>
      </w:r>
    </w:p>
    <w:p>
      <w:pPr>
        <w:spacing w:after="0" w:line="172"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Any failure or perceived failure by us to comply with United States and international data protection laws and regulations, our privacy policies, or our privacy-related obligations to consumers, customers, employees and other third parties, or any compromise of security that results in the unauthorized release or transfer of sensitive information,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or regulatory fines or penalties and harm our reputation, business, and operating results.</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attract consumers to our own websites and for our advertising clients depends on the collection of consumer data from various sources, which may be restricted by consumer choice, privacy restrictions imposed by advertising partners, web browsers or other software, and developments in laws, regulations and industry standards.</w:t>
      </w:r>
    </w:p>
    <w:p>
      <w:pPr>
        <w:spacing w:after="0" w:line="7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success of our consumer marketing and the delivery of internet advertisements for our clients depends on our ability to leverage data, including data that we collect from our clients, data we receive from our publisher partners and third parties, and data from our operations. Using cookies and non-cookie-based technologies, such as mobile advertising identifiers, we collect information about the interactions of users with our clients’ and publishers’ digital properties (including, for example, information about the placement of advertisements and users’ shopping or other interactions with our clients’ websites or advertisements). Our ability to successfully leverage such data depends on our continued ability to access and use such data, which could be restricted by a number of factors, including:</w:t>
      </w:r>
    </w:p>
    <w:p>
      <w:pPr>
        <w:spacing w:after="0" w:line="85" w:lineRule="exact"/>
        <w:rPr>
          <w:sz w:val="20"/>
          <w:szCs w:val="20"/>
          <w:color w:val="auto"/>
        </w:rPr>
      </w:pPr>
    </w:p>
    <w:p>
      <w:pPr>
        <w:ind w:left="960" w:hanging="39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consumer adoption of “do not track” mechanisms as a result of legislation including GDPR and CCPA;</w:t>
      </w:r>
    </w:p>
    <w:p>
      <w:pPr>
        <w:spacing w:after="0" w:line="117" w:lineRule="exact"/>
        <w:rPr>
          <w:rFonts w:ascii="Arial" w:cs="Arial" w:eastAsia="Arial" w:hAnsi="Arial"/>
          <w:sz w:val="18"/>
          <w:szCs w:val="18"/>
          <w:color w:val="auto"/>
        </w:rPr>
      </w:pPr>
    </w:p>
    <w:p>
      <w:pPr>
        <w:jc w:val="both"/>
        <w:ind w:left="960" w:hanging="398"/>
        <w:spacing w:after="0" w:line="264"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w:t>
      </w:r>
    </w:p>
    <w:p>
      <w:pPr>
        <w:spacing w:after="0" w:line="73" w:lineRule="exact"/>
        <w:rPr>
          <w:rFonts w:ascii="Arial" w:cs="Arial" w:eastAsia="Arial" w:hAnsi="Arial"/>
          <w:sz w:val="18"/>
          <w:szCs w:val="18"/>
          <w:color w:val="auto"/>
        </w:rPr>
      </w:pPr>
    </w:p>
    <w:p>
      <w:pPr>
        <w:ind w:left="960" w:hanging="39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developments in, or new interpretations of, privacy laws, regulations and industry standards.</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Each of these developments could materially impact our ability to collect consumer data and deliver relevant internet advertisements to attract consumers to our websites or to deliver targeted advertising for our advertising clients. If we are unsuccessful in evolving our advertising and marketing strategies to adapt to and mitigate these evolving consumer data limitations, our business results could be materially impacted.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i w:val="1"/>
          <w:iCs w:val="1"/>
          <w:color w:val="auto"/>
        </w:rPr>
        <w:t>We have been, and may again be, subject to intellectual property disputes, which are costly to defend and could harm our business and operating results.</w:t>
      </w:r>
    </w:p>
    <w:p>
      <w:pPr>
        <w:spacing w:after="0" w:line="15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are subject to claims and litigation by third parties that we infringe their intellectual property rights, and we may face allegations in the future that we have infringed the trademarks, copyrights, patents, and other intellectual property rights of third parties, including from our competitors or non-practicing entities. We may also learn of possible infringement to our trademarks, copyrights, patents, and other intellectual property. In addition, we could be subject to lawsuits where consumers and dealers posting content on our websites disseminate materials that infringe the intellectual property rights of third parties. We have encountered lawsuits in the past containing such allegations.</w:t>
      </w:r>
    </w:p>
    <w:p>
      <w:pPr>
        <w:spacing w:after="0" w:line="188"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Patent and other intellectual property litigation may be protracted and expensive, and the results are difficult to predict and may result in significant settlement costs or payment of substantial damages.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 and features while we develop non-infringing substitutes, which could require significant effort and expense and may ultimately not be successful.</w:t>
      </w:r>
    </w:p>
    <w:p>
      <w:pPr>
        <w:spacing w:after="0" w:line="178"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73"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spacing w:after="0" w:line="193"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Competitors may adopt service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the term “CarGurus.” If we are restricted in any way in registering our CARGURUS mark in international markets, it could impact our ability to establish and grow our business internationally. Also, while we have registered the CARGURUS and CG logos in the EU and the United Kingdom, as well as the word-mark CARGURUS in Italy, France, Spain, the United Kingdom and, for a subset of services, Ireland, we were not able to register the word-mark CARGURUS in the EU and Germany as the mark was deemed to be non-distinctive, and thus not registerable. We may be unable to register CARGURUS, the word-mark, in certain other countries in the EU. If we are unable to register the CARGURUS word-mark in any country, it may limit our ability to challenge unauthorized users of marks that are the same as or similar to CARGURUS.</w:t>
      </w:r>
    </w:p>
    <w:p>
      <w:pPr>
        <w:spacing w:after="0" w:line="173"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have created and may in the future create copycat or squatter domains to deceive consumers, which could harm our brand, interfere with our ability to register domain names, and result in additional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websites.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 and business could be harmed.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in the future if we fail to sufficiently grow our revenue or manage our costs effectively.</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Although we have experienced significant growth in revenue on a year-over-year basis, our annual revenue growth rate is likely to continue to decline in the future as a result of a variety of factors. Our international expansion and new product launches will cause our costs to increase in future periods as we continue to expend substantial financial resources to enter into those markets and promote the new products, as applicable. If we fail to increase our revenue or manage these additional costs, we may incur losses in the future.</w:t>
      </w: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has increased and may continue to increase our costs and the demands on management and could harm our operating results.</w:t>
      </w:r>
    </w:p>
    <w:p>
      <w:pPr>
        <w:spacing w:after="0" w:line="62"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As a public company, and particularly since December 31, 2018 when we ceased being an “emerging growth company,” as defined in the Jumpstart Our Business Startups Act of 2012, or the JOBS Act, we incur significant legal, accounting, and other expenses to comply with applicable laws and regulations. In addition, the Sarbanes-Oxley Act of 2002, or the Sarbanes-Oxley Act, and rules subsequently implemented by the SEC and the Nasdaq Stock Market, or Nasdaq, impose various requirements on public companies, including requiring certain corporate governance practices. Our management and other personnel devote and expect to continue to devote a substantial amount of time to these compliance initiatives. Moreover, these rules and regulations have increased and may continue to increase our legal, accounting, and financial compliance costs and have made and will continue to make some activities more time consuming and costly. These rules and regulations could also make it more difficult for us to attract and retain qualified persons to serve on our board of directors or our board committees or as executive officers.</w:t>
      </w:r>
    </w:p>
    <w:p>
      <w:pPr>
        <w:spacing w:after="0" w:line="179"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In addition, the Sarbanes-Oxley Act requires, among other things, that we assess the effectiveness of our internal control over financial reporting annually and the effectiveness of our disclosure controls and procedures quarterly. In particular, as we are a large accelerated filer, our independent registered public accounting firm is required to attest to the effectiveness of our internal control over financial reporting, pursuant to Section 404 of the Sarbanes-Oxley Act, or Section 404, and we now incur the cost of our compliance with Section 404. Our compliance with applicable provisions of Section 404 requires that we incur substantial accounting expense and expend significant management time on compliance-related issues as we implement additional corporate governance practices and comply with reporting requirements.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jc w:val="both"/>
        <w:spacing w:after="0" w:line="308" w:lineRule="auto"/>
        <w:rPr>
          <w:sz w:val="20"/>
          <w:szCs w:val="20"/>
          <w:color w:val="auto"/>
        </w:rPr>
      </w:pPr>
      <w:r>
        <w:rPr>
          <w:rFonts w:ascii="Arial" w:cs="Arial" w:eastAsia="Arial" w:hAnsi="Arial"/>
          <w:sz w:val="17"/>
          <w:szCs w:val="17"/>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 could decline.</w:t>
      </w:r>
    </w:p>
    <w:p>
      <w:pPr>
        <w:spacing w:after="0" w:line="38"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154"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any required remediation in a timely fashion. We are also required to disclose significant changes made to our internal control procedures on a quarterly basis. Our compliance with Section 404 requires that we incur substantial accounting expense and expend significant management efforts.</w:t>
      </w:r>
    </w:p>
    <w:p>
      <w:pPr>
        <w:spacing w:after="0" w:line="15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Across the retail automotive industry, consumer purchases are typically greatest in the first three quarters of each year, due in part to the introduction of new vehicle models from manufacturers, and our consumer-marketing spend generally fluctuates accordingly. As consumer automotive purchases slow in the fourth quarter, our rate of marketing spend typically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the trading price of our Class A common stock.</w:t>
      </w:r>
    </w:p>
    <w:p>
      <w:pPr>
        <w:spacing w:after="0" w:line="30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require additional capital to pursue our business objectives and respond to business opportunities, challenges, or unforeseen circumstances. If capital is not available to us, our business, operating results, financial condition, and prospects could be adversely affected.</w:t>
      </w:r>
    </w:p>
    <w:p>
      <w:pPr>
        <w:spacing w:after="0" w:line="16"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intend to continue to make investments to support our growth and may require additional capital to pursue our business objectives and respond to business opportunities, challenges, or unforeseen circumstances, including to increase our marketing expenditures to improve our brand awareness, develop new products, further improve our platform and existing products, enhance our operating infrastructure, expand internationally,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may also have an adverse effect on our ability to obtain debt financing.</w:t>
      </w:r>
    </w:p>
    <w:p>
      <w:pPr>
        <w:spacing w:after="0" w:line="193"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jc w:val="both"/>
        <w:spacing w:after="0" w:line="342" w:lineRule="auto"/>
        <w:rPr>
          <w:sz w:val="20"/>
          <w:szCs w:val="20"/>
          <w:color w:val="auto"/>
        </w:rPr>
      </w:pPr>
      <w:r>
        <w:rPr>
          <w:rFonts w:ascii="Arial" w:cs="Arial" w:eastAsia="Arial" w:hAnsi="Arial"/>
          <w:sz w:val="16"/>
          <w:szCs w:val="16"/>
          <w:color w:val="auto"/>
        </w:rPr>
        <w:t>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adverse changes in applicable tax laws, regulations and interpretations, as well as challenges to our tax positions.</w:t>
      </w:r>
    </w:p>
    <w:p>
      <w:pPr>
        <w:spacing w:after="0" w:line="14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w:t>
      </w:r>
    </w:p>
    <w:p>
      <w:pPr>
        <w:spacing w:after="0" w:line="18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 xml:space="preserve">In addition, tax laws and regulations are complex and subject to varying interpretations. For instance, on June 21, 2018, the United States Supreme Court issued its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or the Wayfair Decision, which overturned prior case law that held that out-of-state merchants were not required to collect sales taxes unless they had a physical presence in the buyer’s state. Although we currently believe that the Wayfair Decision is unlikely to have a material effect on our business, it has created uncertainty over sales tax liability, and could precipitate reactions by legislators, regulators and courts that could adversely increase our tax administrative costs and tax risk, and negatively affect our overall business, results of operations, financial condition and cash flows.</w:t>
      </w:r>
    </w:p>
    <w:p>
      <w:pPr>
        <w:spacing w:after="0" w:line="193" w:lineRule="exact"/>
        <w:rPr>
          <w:sz w:val="20"/>
          <w:szCs w:val="20"/>
          <w:color w:val="auto"/>
        </w:rPr>
      </w:pPr>
    </w:p>
    <w:p>
      <w:pPr>
        <w:jc w:val="both"/>
        <w:ind w:firstLine="555"/>
        <w:spacing w:after="0" w:line="303" w:lineRule="auto"/>
        <w:rPr>
          <w:sz w:val="20"/>
          <w:szCs w:val="20"/>
          <w:color w:val="auto"/>
        </w:rPr>
      </w:pPr>
      <w:r>
        <w:rPr>
          <w:rFonts w:ascii="Arial" w:cs="Arial" w:eastAsia="Arial" w:hAnsi="Arial"/>
          <w:sz w:val="17"/>
          <w:szCs w:val="17"/>
          <w:color w:val="auto"/>
        </w:rPr>
        <w:t>We are also regularly subject to audits by tax authorities. For example, we are currently under audit by the Internal Revenue Service with respect to our 2016, 2017 and 2018 federal employment taxes. Any adverse development or outcome in connection with these tax audits, and any other audits or litigation, could materially and adversely impact our effective tax rate, tax payments, results of operations, financial condition and cash flows.</w:t>
      </w: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deal effectively with fraud or other illegal activity could lead to potential legal liability, harm our business, cause us to lose paying dealer customers and adversely affect our reputation, financial performance and growth.</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Based on the nature of our business we are exposed to potential fraudulent and illegal activity in our marketplace, including:</w:t>
      </w:r>
    </w:p>
    <w:p>
      <w:pPr>
        <w:spacing w:after="0" w:line="117" w:lineRule="exact"/>
        <w:rPr>
          <w:sz w:val="20"/>
          <w:szCs w:val="20"/>
          <w:color w:val="auto"/>
        </w:rPr>
      </w:pPr>
    </w:p>
    <w:p>
      <w:pPr>
        <w:ind w:left="960" w:hanging="39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listings of automobiles that are not owned by the purported dealer or that the dealer has no intention of selling at the listed price;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fraudulent leads that we may send to our dealers; and</w:t>
      </w:r>
    </w:p>
    <w:p>
      <w:pPr>
        <w:spacing w:after="0" w:line="117"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deceptive practices in our peer-to-peer marketplace, including through the seller’s listing of inventory without intent to sell or improper use of the private payment platform.</w:t>
      </w:r>
    </w:p>
    <w:p>
      <w:pPr>
        <w:spacing w:after="0" w:line="170"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measures we have in place to detect and limit the occurrence of such fraudulent and illegal activity in our marketplace may not always be effective or account for all types of fraudulent or other illegal activity. Further, the measures that we use to detect and limit the occurrence of fraudulent and illegal activity must be dynamic, as technologies and ways to commit fraud and illegal activity are continually evolving. Failure to limit the impact of fraudulent and illegal activity on our websites could lead to potential legal liability, harm our business, cause us to lose paying dealer customers and adversely affect our reputation, financial performance and growth.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Chief Executive Officer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jc w:val="both"/>
        <w:spacing w:after="0" w:line="270" w:lineRule="auto"/>
        <w:rPr>
          <w:sz w:val="20"/>
          <w:szCs w:val="20"/>
          <w:color w:val="auto"/>
        </w:rPr>
      </w:pPr>
      <w:r>
        <w:rPr>
          <w:rFonts w:ascii="Arial" w:cs="Arial" w:eastAsia="Arial" w:hAnsi="Arial"/>
          <w:sz w:val="17"/>
          <w:szCs w:val="17"/>
          <w:color w:val="auto"/>
        </w:rPr>
        <w:t>of our company as a result of his positions as our Chief Executive Officer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82"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2"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stockholders to influence corporate matters for the foreseeable future.</w:t>
      </w:r>
    </w:p>
    <w:p>
      <w:pPr>
        <w:spacing w:after="0" w:line="165"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may continue to be volatile and the value of our stockholders’ investment in our stock could decline.</w:t>
      </w:r>
    </w:p>
    <w:p>
      <w:pPr>
        <w:spacing w:after="0" w:line="62"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39" w:lineRule="exact"/>
        <w:rPr>
          <w:sz w:val="20"/>
          <w:szCs w:val="20"/>
          <w:color w:val="auto"/>
        </w:rPr>
      </w:pPr>
    </w:p>
    <w:p>
      <w:pPr>
        <w:ind w:left="960" w:hanging="39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960" w:hanging="39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public’s reaction to our issuances of earnings guidance, as well as our press releases, other public announcements, and filings with the SEC;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in the automobile industry;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positive or negative growth of our markets.</w:t>
      </w:r>
    </w:p>
    <w:p>
      <w:pPr>
        <w:spacing w:after="0" w:line="225"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these companies. Litigation of this type, if instituted against us, could result in substantial costs and a diversion of our management’s attention and resources.</w:t>
      </w:r>
    </w:p>
    <w:p>
      <w:pPr>
        <w:spacing w:after="0" w:line="2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business could be negatively affected as a result of actions of activist stockholders, which could be disruptive and potentially costly, and such activism could impact the trading value of our common stock and cause uncertainty about the strategic direction of our business.</w:t>
      </w:r>
    </w:p>
    <w:p>
      <w:pPr>
        <w:spacing w:after="0" w:line="52"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212529"/>
        </w:rPr>
        <w:t xml:space="preserve">Even though we are a controlled company, the actions of activist stockholders could nevertheless adversely affect our business. Activist stockholders may from time to time attempt to effect changes in our strategic direction, and in furtherance thereof, may seek changes in how our company is governed. </w:t>
      </w:r>
      <w:r>
        <w:rPr>
          <w:rFonts w:ascii="Arial" w:cs="Arial" w:eastAsia="Arial" w:hAnsi="Arial"/>
          <w:sz w:val="17"/>
          <w:szCs w:val="17"/>
          <w:color w:val="000000"/>
        </w:rPr>
        <w:t>Responding to strategic proposals by activist stockholders related to our business, strategy, management or operations, or the composition of our</w:t>
      </w:r>
      <w:r>
        <w:rPr>
          <w:rFonts w:ascii="Arial" w:cs="Arial" w:eastAsia="Arial" w:hAnsi="Arial"/>
          <w:sz w:val="17"/>
          <w:szCs w:val="17"/>
          <w:color w:val="212529"/>
        </w:rPr>
        <w:t xml:space="preserve"> </w:t>
      </w:r>
      <w:r>
        <w:rPr>
          <w:rFonts w:ascii="Arial" w:cs="Arial" w:eastAsia="Arial" w:hAnsi="Arial"/>
          <w:sz w:val="17"/>
          <w:szCs w:val="17"/>
          <w:color w:val="000000"/>
        </w:rPr>
        <w:t>board of directors, could disrupt our operations, be costly and time-consuming, or divert the attention of our board of directors and senior management from the pursuit of business strategies. In addition, perceived uncertainties as to the future strategic direction of our business in relation to the actions of an activist stockholder may be exploited by our competitors, cause concern to current or potential customers, result in the loss of potential business opportunities, make it more difficult to attract and retain qualified personnel and/or affect our relationships with vendors, customers and other third parties. Actions of an activist stockholder may also cause fluctuations in the trading price of our Class A common stock based on temporary or speculative market perceptions or other factors that do not necessarily reflect the underlying fundamentals and prospects of our business.</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exclusion of our Class A common stock from major stock indexes could adversely affect the trading market and price of our Class A common stock.</w:t>
      </w:r>
    </w:p>
    <w:p>
      <w:pPr>
        <w:spacing w:after="0" w:line="152"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jc w:val="both"/>
        <w:ind w:left="960" w:hanging="398"/>
        <w:spacing w:after="0" w:line="279"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spacing w:after="0" w:line="63" w:lineRule="exact"/>
        <w:rPr>
          <w:rFonts w:ascii="Arial" w:cs="Arial" w:eastAsia="Arial" w:hAnsi="Arial"/>
          <w:sz w:val="17"/>
          <w:szCs w:val="17"/>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limiting the ability, from and after the threshold date, of stockholders to amend our amended and restated certificate of incorporation;</w:t>
      </w:r>
    </w:p>
    <w:p>
      <w:pPr>
        <w:spacing w:after="0" w:line="128" w:lineRule="exact"/>
        <w:rPr>
          <w:rFonts w:ascii="Arial" w:cs="Arial" w:eastAsia="Arial" w:hAnsi="Arial"/>
          <w:sz w:val="17"/>
          <w:szCs w:val="17"/>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fill vacant directorships and remove directors; and</w:t>
      </w:r>
    </w:p>
    <w:p>
      <w:pPr>
        <w:spacing w:after="0" w:line="117" w:lineRule="exact"/>
        <w:rPr>
          <w:rFonts w:ascii="Arial" w:cs="Arial" w:eastAsia="Arial" w:hAnsi="Arial"/>
          <w:sz w:val="18"/>
          <w:szCs w:val="18"/>
          <w:color w:val="auto"/>
        </w:rPr>
      </w:pPr>
    </w:p>
    <w:p>
      <w:pPr>
        <w:ind w:left="960" w:hanging="39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prohibiting cumulative voting by stockholders.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2"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have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amended and restated certificate of incorporation, a court could rule that such a provision is inapplicable or unenforceable.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change their recommendations regarding our stock adversely, the trading price and trading volume of our Class A common stock could decline.</w:t>
      </w:r>
    </w:p>
    <w:p>
      <w:pPr>
        <w:spacing w:after="0" w:line="16"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and our competitors. If any of the analysts that covers us changes its recommendation regarding our stock adversely, or provides more 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our stockholders may only receive a return on their investment in our Class A common stock if the trading price of their shares increases.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status as a “controlled company” could make our Class A common stock less attractive to some investors or otherwise harm the trading price of our Class A common stock.</w:t>
      </w:r>
    </w:p>
    <w:p>
      <w:pPr>
        <w:spacing w:after="0" w:line="6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73" w:lineRule="exact"/>
        <w:rPr>
          <w:sz w:val="20"/>
          <w:szCs w:val="20"/>
          <w:color w:val="auto"/>
        </w:rPr>
      </w:pPr>
    </w:p>
    <w:p>
      <w:pPr>
        <w:ind w:left="960" w:hanging="398"/>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960" w:right="20" w:hanging="398"/>
        <w:spacing w:after="0" w:line="308"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38" w:lineRule="exact"/>
        <w:rPr>
          <w:rFonts w:ascii="Arial" w:cs="Arial" w:eastAsia="Arial" w:hAnsi="Arial"/>
          <w:sz w:val="17"/>
          <w:szCs w:val="17"/>
          <w:color w:val="auto"/>
        </w:rPr>
      </w:pPr>
    </w:p>
    <w:p>
      <w:pPr>
        <w:ind w:left="960" w:right="20" w:hanging="398"/>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62" w:lineRule="exact"/>
        <w:rPr>
          <w:rFonts w:ascii="Arial" w:cs="Arial" w:eastAsia="Arial" w:hAnsi="Arial"/>
          <w:sz w:val="18"/>
          <w:szCs w:val="18"/>
          <w:color w:val="auto"/>
        </w:rPr>
      </w:pPr>
    </w:p>
    <w:p>
      <w:pPr>
        <w:jc w:val="both"/>
        <w:ind w:left="960" w:hanging="398"/>
        <w:spacing w:after="0" w:line="264"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23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do not own any real property. Our principal executive offices are located in Cambridge, Massachusetts where we lease a total of approximately 163,675 square feet of space in various parcels in three buildings with lease terms that expire in November 2022, August 2023, January 2025, and December 2033, as applicable. We also lease office space in Dublin, Ireland for our European operations. In 2019 we entered into (i) an amendment of an existing lease to increase our leased office space at 55 Cambridge Parkway in Cambridge, Massachusetts, which additional space we expect to occupy in 2020, and (ii) a lease for office space at 1001 Boylston Street in Boston, Massachusetts, which we expect to occupy in 2023.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individually, or taken together, would reasonably be expected to have a material adverse effect on our business or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00"/>
        <w:spacing w:after="0" w:line="385"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 for Common Stock</w:t>
      </w:r>
    </w:p>
    <w:p>
      <w:pPr>
        <w:spacing w:after="0" w:line="2"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Our Class A common stock has been listed on the Nasdaq Global Select Market under the symbol “CARG” since October 12, 2017. Prior to that date, there was no public trading market for our Class A common stock. Our initial public offering, or IPO, was priced at $16.00 per share on October 11, 2017.</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February 13, 2020, the last reported sale price of our Class A common stock on the Nasdaq Global Select Market was $34.10 per share.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of February 6, 2020, we had 19 holders of record of our Class A common stock. The actual number of stockholders is greater than this number of record holders, and includes stockholders who are beneficial owners but whose shares are held in street name by brokers and other nominees. The number of holders of record does not include stockholders whose shares may be held in trust by other entities.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to fund development and growth of our business, and we do not anticipate paying cash dividends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for purposes of Section 18 of the Securities Exchange Act of 1934, as amended, or the Exchange Act, or otherwise be subject to the liabilities under that section, and shall not be deemed to be incorporated by reference into any filing of CarGurus, Inc. under the Exchange Act or the Securities Act of 1933, as amended.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both"/>
        <w:ind w:firstLine="555"/>
        <w:spacing w:after="0" w:line="279" w:lineRule="auto"/>
        <w:rPr>
          <w:sz w:val="20"/>
          <w:szCs w:val="20"/>
          <w:color w:val="auto"/>
        </w:rPr>
      </w:pPr>
      <w:r>
        <w:rPr>
          <w:rFonts w:ascii="Arial" w:cs="Arial" w:eastAsia="Arial" w:hAnsi="Arial"/>
          <w:sz w:val="17"/>
          <w:szCs w:val="17"/>
          <w:color w:val="auto"/>
        </w:rPr>
        <w:t>The following graph shows a comparison from October 12, 2017 (the date our Class A common stock commenced trading on the Nasdaq Global Select Market) through December 31, 2019 of the cumulative total return for our Class A common stock, the Nasdaq Composite Index and the S&amp;P 500 Index. All values assume a $100 initial cash investment and data for the Nasdaq Composite Index and the S&amp;P 500 Index assume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118110</wp:posOffset>
            </wp:positionV>
            <wp:extent cx="4227830" cy="254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2783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10/12/2017</w:t>
            </w:r>
          </w:p>
        </w:tc>
        <w:tc>
          <w:tcPr>
            <w:tcW w:w="26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12/31/2017</w:t>
            </w:r>
          </w:p>
        </w:tc>
        <w:tc>
          <w:tcPr>
            <w:tcW w:w="26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3/31/2018</w:t>
            </w:r>
          </w:p>
        </w:tc>
        <w:tc>
          <w:tcPr>
            <w:tcW w:w="26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6/30/2018</w:t>
            </w:r>
          </w:p>
        </w:tc>
        <w:tc>
          <w:tcPr>
            <w:tcW w:w="26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9"/>
              </w:rPr>
              <w:t>9/30/2018</w:t>
            </w:r>
          </w:p>
        </w:tc>
        <w:tc>
          <w:tcPr>
            <w:tcW w:w="26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12/31/2018</w:t>
            </w:r>
          </w:p>
        </w:tc>
        <w:tc>
          <w:tcPr>
            <w:tcW w:w="26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3/31/2019</w:t>
            </w:r>
          </w:p>
        </w:tc>
        <w:tc>
          <w:tcPr>
            <w:tcW w:w="26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6/30/2019</w:t>
            </w:r>
          </w:p>
        </w:tc>
        <w:tc>
          <w:tcPr>
            <w:tcW w:w="26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9/30/2019</w:t>
            </w:r>
          </w:p>
        </w:tc>
        <w:tc>
          <w:tcPr>
            <w:tcW w:w="24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12/31/2019</w:t>
            </w:r>
          </w:p>
        </w:tc>
        <w:tc>
          <w:tcPr>
            <w:tcW w:w="120" w:type="dxa"/>
            <w:vAlign w:val="bottom"/>
            <w:tcBorders>
              <w:bottom w:val="single" w:sz="8" w:color="CFF0FC"/>
            </w:tcBorders>
          </w:tcPr>
          <w:p>
            <w:pPr>
              <w:spacing w:after="0"/>
              <w:rPr>
                <w:sz w:val="14"/>
                <w:szCs w:val="14"/>
                <w:color w:val="auto"/>
              </w:rPr>
            </w:pPr>
          </w:p>
        </w:tc>
      </w:tr>
      <w:tr>
        <w:trPr>
          <w:trHeight w:val="156"/>
        </w:trPr>
        <w:tc>
          <w:tcPr>
            <w:tcW w:w="1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CARG</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109</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139</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126</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202</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122</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145</w:t>
            </w: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131</w:t>
            </w: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112</w:t>
            </w: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128</w:t>
            </w:r>
          </w:p>
        </w:tc>
        <w:tc>
          <w:tcPr>
            <w:tcW w:w="120" w:type="dxa"/>
            <w:vAlign w:val="bottom"/>
            <w:shd w:val="clear" w:color="auto" w:fill="CFF0FC"/>
          </w:tcPr>
          <w:p>
            <w:pPr>
              <w:spacing w:after="0"/>
              <w:rPr>
                <w:sz w:val="13"/>
                <w:szCs w:val="13"/>
                <w:color w:val="auto"/>
              </w:rPr>
            </w:pPr>
          </w:p>
        </w:tc>
      </w:tr>
      <w:tr>
        <w:trPr>
          <w:trHeight w:val="162"/>
        </w:trPr>
        <w:tc>
          <w:tcPr>
            <w:tcW w:w="1580" w:type="dxa"/>
            <w:vAlign w:val="bottom"/>
          </w:tcPr>
          <w:p>
            <w:pPr>
              <w:spacing w:after="0"/>
              <w:rPr>
                <w:sz w:val="20"/>
                <w:szCs w:val="20"/>
                <w:color w:val="auto"/>
              </w:rPr>
            </w:pPr>
            <w:r>
              <w:rPr>
                <w:rFonts w:ascii="Arial" w:cs="Arial" w:eastAsia="Arial" w:hAnsi="Arial"/>
                <w:sz w:val="14"/>
                <w:szCs w:val="14"/>
                <w:color w:val="auto"/>
              </w:rPr>
              <w:t>S&amp;P 500 Index</w:t>
            </w: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4"/>
                <w:szCs w:val="14"/>
                <w:color w:val="auto"/>
              </w:rPr>
            </w:pPr>
          </w:p>
        </w:tc>
      </w:tr>
      <w:tr>
        <w:trPr>
          <w:trHeight w:val="162"/>
        </w:trPr>
        <w:tc>
          <w:tcPr>
            <w:tcW w:w="1580" w:type="dxa"/>
            <w:vAlign w:val="bottom"/>
            <w:shd w:val="clear" w:color="auto" w:fill="CFF0FC"/>
          </w:tcPr>
          <w:p>
            <w:pPr>
              <w:spacing w:after="0"/>
              <w:rPr>
                <w:sz w:val="20"/>
                <w:szCs w:val="20"/>
                <w:color w:val="auto"/>
              </w:rPr>
            </w:pPr>
            <w:r>
              <w:rPr>
                <w:rFonts w:ascii="Arial" w:cs="Arial" w:eastAsia="Arial" w:hAnsi="Arial"/>
                <w:sz w:val="14"/>
                <w:szCs w:val="14"/>
                <w:color w:val="auto"/>
              </w:rPr>
              <w:t>Nasdaq Computer Index</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FF0FC"/>
          </w:tcPr>
          <w:p>
            <w:pPr>
              <w:spacing w:after="0"/>
              <w:rPr>
                <w:sz w:val="14"/>
                <w:szCs w:val="14"/>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the consolidated financial statements and related notes, and other financial information included in this Annual Report on Form 10-K.</w:t>
      </w:r>
    </w:p>
    <w:p>
      <w:pPr>
        <w:spacing w:after="0" w:line="18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derived the consolidated statements of operations data for the years ended December 31, 2019, 2018, and 2017 and the consolidated balance sheet data as of December 31, 2019 and 2018 from our audited consolidated financial statements, which are included elsewhere in this Annual Report on Form 10-K. We derived the consolidated statement of operations data for the year ended December 31, 2016 and 2015 and the consolidated balance sheet data as of December 31, 2017, 2016 and 2015 from our audited consolidated financial statements, which are not included in this Annual Report on Form 10-K. Historical results are not necessarily indicative of the results to be expected in future periods.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(4)</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60" w:type="dxa"/>
            <w:vAlign w:val="bottom"/>
            <w:gridSpan w:val="8"/>
          </w:tcPr>
          <w:p>
            <w:pPr>
              <w:jc w:val="center"/>
              <w:ind w:right="340"/>
              <w:spacing w:after="0" w:line="155"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Marketplace subscription</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526,043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405,780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Advertising and other</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588,916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552,616</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429,275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299,252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188,566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315,939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Product, technology, and development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69,462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518,294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406,084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283,978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179,995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23,191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(39,686)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gridSpan w:val="2"/>
            <w:vMerge w:val="continue"/>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to compute net</w:t>
            </w: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(loss) per share attributable to common</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w:t>
            </w:r>
            <w:r>
              <w:rPr>
                <w:rFonts w:ascii="Arial" w:cs="Arial" w:eastAsia="Arial" w:hAnsi="Arial"/>
                <w:sz w:val="15"/>
                <w:szCs w:val="15"/>
                <w:color w:val="auto"/>
              </w:rPr>
              <w:t>(2)</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111,450,443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108,833,028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55,835,265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44,138,922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43,141,236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113,431,850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113,364,712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60,637,584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44,138,922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43,141,236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Financial Information:</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76,989</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49,658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24,097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10,965</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0" w:hanging="552"/>
        <w:spacing w:after="0" w:line="277"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depreciation and amortization expense for the years ended December 31, 2019, 2018, 2017, 2016 and 2015 of $3,263, $2,225, $1,140, $438, and $153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both"/>
        <w:ind w:left="560" w:hanging="552"/>
        <w:spacing w:after="0" w:line="25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years ended December 31, 2019, 2018, and 2017, see Note 11 of the notes to our consolidated financial statements included elsewhere in this Annual Report on Form 10-K for an explanation of the calculations of our net income (loss) per share attributable to common stockholders. For years ended December 31, 2016 and 2015, see our Annual Report on Form 10-K for the year ended December 31, 2017 for an explanation of the calculations of our net income (loss) per share attributable to common stockholders.</w:t>
      </w:r>
    </w:p>
    <w:p>
      <w:pPr>
        <w:spacing w:after="0" w:line="78"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 Adjusted EBITDA” below for more information and for a reconciliation of Adjusted EBITDA to net income (loss), the most directly comparable financial measure calculated and presented in accordance with GAAP.</w:t>
      </w:r>
    </w:p>
    <w:p>
      <w:pPr>
        <w:spacing w:after="0" w:line="62"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2 of the notes to our consolidated financial statements included elsewhere in this Annual Report on Form 10-K for an explanation of the impact of adoption of ASC 606.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(1)</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r>
      <w:tr>
        <w:trPr>
          <w:trHeight w:val="156"/>
        </w:trPr>
        <w:tc>
          <w:tcPr>
            <w:tcW w:w="4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171,612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157,687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137,709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74,250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61,363</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27,950</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24,269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16,563</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12,780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Working capital</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145,196</w:t>
            </w:r>
          </w:p>
        </w:tc>
        <w:tc>
          <w:tcPr>
            <w:tcW w:w="3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131,355</w:t>
            </w:r>
          </w:p>
        </w:tc>
        <w:tc>
          <w:tcPr>
            <w:tcW w:w="2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114,238</w:t>
            </w:r>
          </w:p>
        </w:tc>
        <w:tc>
          <w:tcPr>
            <w:tcW w:w="3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56,547</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52,751</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393,623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268,290</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176,594</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100,331</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77,781</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136,768</w:t>
            </w:r>
          </w:p>
        </w:tc>
        <w:tc>
          <w:tcPr>
            <w:tcW w:w="3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74,179</w:t>
            </w:r>
          </w:p>
        </w:tc>
        <w:tc>
          <w:tcPr>
            <w:tcW w:w="2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49,569</w:t>
            </w:r>
          </w:p>
        </w:tc>
        <w:tc>
          <w:tcPr>
            <w:tcW w:w="3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35,605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20,534</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132,698</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73,378</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256,855</w:t>
            </w:r>
          </w:p>
        </w:tc>
        <w:tc>
          <w:tcPr>
            <w:tcW w:w="3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194,111</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127,025</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(67,972)</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(16,131)</w:t>
            </w:r>
          </w:p>
        </w:tc>
      </w:tr>
    </w:tbl>
    <w:p>
      <w:pPr>
        <w:spacing w:after="0" w:line="228" w:lineRule="exact"/>
        <w:rPr>
          <w:sz w:val="20"/>
          <w:szCs w:val="20"/>
          <w:color w:val="auto"/>
        </w:rPr>
      </w:pPr>
    </w:p>
    <w:p>
      <w:pPr>
        <w:ind w:left="560" w:hanging="552"/>
        <w:spacing w:after="0" w:line="277"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2 of the notes to our consolidated financial statements included elsewhere in this Annual Report on Form 10-K for an explanation of the impact of adoption of ASC 606.</w:t>
      </w:r>
    </w:p>
    <w:p>
      <w:pPr>
        <w:spacing w:after="0" w:line="62"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8"/>
          <w:szCs w:val="18"/>
          <w:color w:val="auto"/>
        </w:rPr>
        <w:t>See Note 2 of the notes to our consolidated financial statements included elsewhere in this Annual Report on Form 10-K for an explanation of the impact of adoption of ASC 842.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Annual Report on Form 10-K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U.S. generally accepted accounting principles, or GAAP, and is not necessarily comparable to similarly titled measures presented by other companies.</w:t>
      </w:r>
    </w:p>
    <w:p>
      <w:pPr>
        <w:spacing w:after="0" w:line="204"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We define Adjusted EBITDA as net income (loss), adjusted to exclude: depreciation and amortization,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acquisition-related expenses, other (income) expense, net, and the (benefit from) provision for income taxes. We have presented Adjusted EBITDA in this Annual Report on Form 10-K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comparisons of our business.</w:t>
      </w:r>
    </w:p>
    <w:p>
      <w:pPr>
        <w:spacing w:after="0" w:line="205"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both"/>
        <w:ind w:firstLine="555"/>
        <w:spacing w:after="0" w:line="264"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(loss), which is the most directly comparable GAAP equivalent. Some of these limitations are:</w:t>
      </w:r>
    </w:p>
    <w:p>
      <w:pPr>
        <w:spacing w:after="0" w:line="73" w:lineRule="exact"/>
        <w:rPr>
          <w:sz w:val="20"/>
          <w:szCs w:val="20"/>
          <w:color w:val="auto"/>
        </w:rPr>
      </w:pPr>
    </w:p>
    <w:p>
      <w:pPr>
        <w:ind w:left="960" w:hanging="398"/>
        <w:spacing w:after="0" w:line="223" w:lineRule="exact"/>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95" w:lineRule="exact"/>
        <w:rPr>
          <w:rFonts w:ascii="Arial" w:cs="Arial" w:eastAsia="Arial" w:hAnsi="Arial"/>
          <w:sz w:val="18"/>
          <w:szCs w:val="18"/>
          <w:color w:val="auto"/>
        </w:rPr>
      </w:pPr>
    </w:p>
    <w:p>
      <w:pPr>
        <w:ind w:left="960" w:hanging="398"/>
        <w:spacing w:after="0" w:line="223" w:lineRule="exact"/>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95" w:lineRule="exact"/>
        <w:rPr>
          <w:rFonts w:ascii="Arial" w:cs="Arial" w:eastAsia="Arial" w:hAnsi="Arial"/>
          <w:sz w:val="18"/>
          <w:szCs w:val="18"/>
          <w:color w:val="auto"/>
        </w:rPr>
      </w:pPr>
    </w:p>
    <w:p>
      <w:pPr>
        <w:jc w:val="both"/>
        <w:ind w:left="960" w:hanging="398"/>
        <w:spacing w:after="0" w:line="264"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excludes acquisition-related expenses incurred by us during a reporting period, which may not be reflective of our operational performance during such period, for acquisitions that have been completed as of the filing date of our annual or quarterly report (as applicable) relating to such period;</w:t>
      </w:r>
    </w:p>
    <w:p>
      <w:pPr>
        <w:spacing w:after="0" w:line="73"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does not reflect other (income) expense, net which primarily includes interest income earned on our cash, cash equivalents, and investments, sublease income and net foreign exchange gains and losses;</w:t>
      </w:r>
    </w:p>
    <w:p>
      <w:pPr>
        <w:spacing w:after="0" w:line="62" w:lineRule="exact"/>
        <w:rPr>
          <w:rFonts w:ascii="Arial" w:cs="Arial" w:eastAsia="Arial" w:hAnsi="Arial"/>
          <w:sz w:val="18"/>
          <w:szCs w:val="18"/>
          <w:color w:val="auto"/>
        </w:rPr>
      </w:pPr>
    </w:p>
    <w:p>
      <w:pPr>
        <w:ind w:left="960" w:hanging="39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does not reflect the (benefit from) provision for income taxes; and</w:t>
      </w:r>
    </w:p>
    <w:p>
      <w:pPr>
        <w:spacing w:after="0" w:line="117" w:lineRule="exact"/>
        <w:rPr>
          <w:rFonts w:ascii="Arial" w:cs="Arial" w:eastAsia="Arial" w:hAnsi="Arial"/>
          <w:sz w:val="18"/>
          <w:szCs w:val="18"/>
          <w:color w:val="auto"/>
        </w:rPr>
      </w:pPr>
    </w:p>
    <w:p>
      <w:pPr>
        <w:ind w:left="960" w:right="20" w:hanging="398"/>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0"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measure calculated in accordance with GAAP, for each of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center"/>
              <w:ind w:left="57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(2)(3)</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r>
      <w:tr>
        <w:trPr>
          <w:trHeight w:val="156"/>
        </w:trPr>
        <w:tc>
          <w:tcPr>
            <w:tcW w:w="4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42,146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65,170</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13,199</w:t>
            </w:r>
          </w:p>
        </w:tc>
        <w:tc>
          <w:tcPr>
            <w:tcW w:w="16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6,497</w:t>
            </w:r>
          </w:p>
        </w:tc>
        <w:tc>
          <w:tcPr>
            <w:tcW w:w="24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(1,636)</w:t>
            </w: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expenses</w:t>
            </w:r>
            <w:r>
              <w:rPr>
                <w:rFonts w:ascii="Arial" w:cs="Arial" w:eastAsia="Arial" w:hAnsi="Arial"/>
                <w:sz w:val="15"/>
                <w:szCs w:val="15"/>
                <w:color w:val="auto"/>
              </w:rPr>
              <w:t>(1)</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(3,441)</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(39,686)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(904)</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Adjusted EBITDA</w:t>
            </w:r>
          </w:p>
        </w:tc>
        <w:tc>
          <w:tcPr>
            <w:tcW w:w="1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76,989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hanging="552"/>
        <w:spacing w:after="0" w:line="277"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Acquisition-related expenses relate to acquisition costs incurred during the years ended December 31, 2019 and 2018. Refer to Note 3 and Note 16 to our consolidated financial statements appearing elsewhere in this Annual Report on Form 10-K for further information.</w:t>
      </w:r>
    </w:p>
    <w:p>
      <w:pPr>
        <w:spacing w:after="0" w:line="62" w:lineRule="exact"/>
        <w:rPr>
          <w:rFonts w:ascii="Arial" w:cs="Arial" w:eastAsia="Arial" w:hAnsi="Arial"/>
          <w:sz w:val="18"/>
          <w:szCs w:val="18"/>
          <w:color w:val="auto"/>
        </w:rPr>
      </w:pPr>
    </w:p>
    <w:p>
      <w:pPr>
        <w:jc w:val="both"/>
        <w:ind w:left="560" w:hanging="552"/>
        <w:spacing w:after="0" w:line="312"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December 2019, we revised our definition of Adjusted EBITDA to exclude the impact of acquisition-related expenses. This changed definition more accurately reflects management’s view of our business and financial performance. Adjusted EBITDA for the year ended December 31, 2018 has been restated for comparison purposes. There were no acquisition-related expenses incurred during the years ended December 31, 2017, 2016 or 2015.</w:t>
      </w:r>
    </w:p>
    <w:p>
      <w:pPr>
        <w:spacing w:after="0" w:line="38" w:lineRule="exact"/>
        <w:rPr>
          <w:rFonts w:ascii="Arial" w:cs="Arial" w:eastAsia="Arial" w:hAnsi="Arial"/>
          <w:sz w:val="16"/>
          <w:szCs w:val="16"/>
          <w:color w:val="auto"/>
        </w:rPr>
      </w:pPr>
    </w:p>
    <w:p>
      <w:pPr>
        <w:ind w:left="560" w:hanging="552"/>
        <w:spacing w:after="0" w:line="277"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 Note 2 of the notes to our consolidated financial statements included elsewhere in this Annual Report on Form 10-K for an explanation of the impact of adoption of ASC 606.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report. Some of the information contained in this discussion and analysis or elsewhere in this report, including information with respect to our plans and strategy for our business and our performance and future success, includes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involve risks and uncertainties. See “Special Note Regarding Forward-Looking Statements.” You should review the “Risk Factors” section of this Annual Report on Form 10-K for a discussion of important factors that could cause actual results to differ materially from the results described in or implied by the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contained in the following discussion and analysis. In this discussion, we use financial measures that are considered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GAAP financial measures under Securities and Exchange Commission rules. These rules regarding non-GAAP financial measures require supplemental explanation and reconciliation, which is included elsewhere in this Annual Report on Form 10-K. Investors should not consider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GAAP financial measures in isolation from or in substitution for, financial information presented in compliance with U.S. generally accepted accounting principles, or GAAP.</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6"/>
          <w:szCs w:val="16"/>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6"/>
          <w:szCs w:val="16"/>
          <w:color w:val="auto"/>
        </w:rPr>
        <w:t>‑</w:t>
      </w:r>
      <w:r>
        <w:rPr>
          <w:rFonts w:ascii="Arial" w:cs="Arial" w:eastAsia="Arial" w:hAnsi="Arial"/>
          <w:sz w:val="16"/>
          <w:szCs w:val="16"/>
          <w:color w:val="auto"/>
        </w:rPr>
        <w:t>party validation on pricing and dealer reputation as well as other information that aids them in finding “Great Deals from Top-Rated Dealers.” In addition to the United States, we operate online marketplaces under the CarGurus brand in Canada, the United Kingdom, Germany, Italy, and Spain. In the United Kingdom, we also operate the PistonHeads online marketplace as an independent brand.</w:t>
      </w:r>
    </w:p>
    <w:p>
      <w:pPr>
        <w:spacing w:after="0" w:line="204"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We generate marketplace subscription revenue from dealers primarily through Listings, and Dealer Display subscriptions, and advertising and other revenue from automobile manufacturers and other auto</w:t>
      </w:r>
      <w:r>
        <w:rPr>
          <w:rFonts w:ascii="MS PGothic" w:cs="MS PGothic" w:eastAsia="MS PGothic" w:hAnsi="MS PGothic"/>
          <w:sz w:val="18"/>
          <w:szCs w:val="18"/>
          <w:color w:val="auto"/>
        </w:rPr>
        <w:t>‑</w:t>
      </w:r>
      <w:r>
        <w:rPr>
          <w:rFonts w:ascii="Arial" w:cs="Arial" w:eastAsia="Arial" w:hAnsi="Arial"/>
          <w:sz w:val="18"/>
          <w:szCs w:val="18"/>
          <w:color w:val="auto"/>
        </w:rPr>
        <w:t>related brand advertisers as well as partnerships with financing services companies. We generated revenue of $588.9 million in 2019, $454.1 million in 2018, and $316.9 million in 2017, representing year-over-year increases of 30% in 2019 and 43% in 2018.</w:t>
      </w:r>
    </w:p>
    <w:p>
      <w:pPr>
        <w:spacing w:after="0" w:line="204"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2019, we generated net income of $42.1 million and our Adjusted EBITDA was $77.0 million, compared to a net income of $65.2 million and Adjusted EBITDA of $49.7 million in 2018, and a net income of $13.2 million and Adjusted EBITDA of $24.1 million in 2017. See “Selected Consolidated Financial Data — Adjusted EBITDA” for more information regarding our use of Adjusted EBITDA, a non-GAAP financial measure, and a reconciliation of Adjusted EBITDA to our net income.</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have two reportable segments, United States and International. See Note 13 of our consolidated financial statements included in Item 8 of this Annual Report on Form 10-K for more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perform differently from the United States market due to a variety of factors, including our operating history in the market, our rate of investment, market size, market maturity, competition and other dynamics unique to each country.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For each of our websites, we define a monthly unique user as an individual who has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one of our websites during a calendar month. If an individual accesses a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2800" w:type="dxa"/>
            <w:vAlign w:val="bottom"/>
            <w:tcBorders>
              <w:bottom w:val="single" w:sz="8" w:color="auto"/>
            </w:tcBorders>
            <w:gridSpan w:val="5"/>
          </w:tcPr>
          <w:p>
            <w:pPr>
              <w:jc w:val="center"/>
              <w:ind w:left="75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gridSpan w:val="3"/>
            <w:vMerge w:val="continue"/>
          </w:tcPr>
          <w:p>
            <w:pPr>
              <w:spacing w:after="0"/>
              <w:rPr>
                <w:sz w:val="13"/>
                <w:szCs w:val="13"/>
                <w:color w:val="auto"/>
              </w:rPr>
            </w:pPr>
          </w:p>
        </w:tc>
        <w:tc>
          <w:tcPr>
            <w:tcW w:w="10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106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center"/>
              <w:ind w:right="4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36,804</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47,157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users from the PistonHeads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(ii) Greenwich Mean Time for our U.K. websites and (iii) Central European Time (or Central European Summer Time when daylight savings is observed) for our Germany, Italy, and Spain websites, as applicable.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2800" w:type="dxa"/>
            <w:vAlign w:val="bottom"/>
            <w:tcBorders>
              <w:bottom w:val="single" w:sz="8" w:color="auto"/>
            </w:tcBorders>
            <w:gridSpan w:val="5"/>
          </w:tcPr>
          <w:p>
            <w:pPr>
              <w:jc w:val="center"/>
              <w:ind w:left="75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gridSpan w:val="3"/>
            <w:vMerge w:val="continue"/>
          </w:tcPr>
          <w:p>
            <w:pPr>
              <w:spacing w:after="0"/>
              <w:rPr>
                <w:sz w:val="13"/>
                <w:szCs w:val="13"/>
                <w:color w:val="auto"/>
              </w:rPr>
            </w:pPr>
          </w:p>
        </w:tc>
        <w:tc>
          <w:tcPr>
            <w:tcW w:w="10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106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center"/>
              <w:ind w:right="4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99,412</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91,798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24,955</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124,367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sessions from the PistonHeads website.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 paying dealer is a dealer, based on a distinct associated inventory feed, that subscribes to one of our paid Listings packages or Dealer Display advertising and audience targeting products at the end of a defined period. The number of paying dealers we have is important to us and we believe it provides valuable information to investors because it is indicative of the value proposition of our marketplace products, as well as our sales and marketing success, including our ability to retain paying dealers and develop new dealer relationships.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Paying Dealers</w:t>
            </w: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gridSpan w:val="3"/>
            <w:vMerge w:val="continue"/>
          </w:tcPr>
          <w:p>
            <w:pPr>
              <w:spacing w:after="0"/>
              <w:rPr>
                <w:sz w:val="13"/>
                <w:szCs w:val="13"/>
                <w:color w:val="auto"/>
              </w:rPr>
            </w:pPr>
          </w:p>
        </w:tc>
        <w:tc>
          <w:tcPr>
            <w:tcW w:w="10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10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0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27,534</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36,115</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31,472</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60" w:hanging="55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paying dealers from the PistonHeads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Annual Revenue per Subscribing Dealer (AARSD)</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measure the average annual revenue we receive from each paying dealer. We define AARSD, which is measured at the end of a defined period, as the total marketplace subscription revenue during the trailing 12 months divided by the average number of paying dealers during the same trailing 12-month period. This information is important to us, and we believe it provides useful information to investors because we believe that our ability to grow AARSD is an indicator of the value proposition of our products and the return on investment, or ROI, our paying dealers realize from our products. In addition, increases in AARSD, which we believe reflect the value of exposure to our engaged audience in relation to subscription cost, are driven by our ability to grow the volume of connections to our users and the quality of those connections, which result in increased opportunity to upsell package levels and cross-sell additional products to our paying dealers.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Annual Revenue per Subscribing Dealer (AARSD)</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8"/>
              </w:rPr>
              <w:t>As of December 31,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International</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5,399</w:t>
            </w: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15,757</w:t>
            </w: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560" w:hanging="552"/>
        <w:spacing w:after="0" w:line="264"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Excludes revenue and dealers for dealers that subscribe to the (i) PistonHeads website as it was acquired on January 8, 2019, and therefore, data for the trailing 12-month revenue calculation is not available and (ii) Italy website as it began earning marketplace subscription revenue in April 2019, and therefore, data for the trailing 12-month revenue calculation is not available.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8"/>
          <w:szCs w:val="18"/>
          <w:color w:val="auto"/>
        </w:rPr>
        <w:t>We define Adjusted EBITDA as net income, adjusted to exclude: depreciation and 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acquisition-related expense, other (income) expense, net, and the (benefit from) provision for income taxes. We monitor and have presented Adjusted EBITDA in this Annual Report on Form 10-K as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to supplement the financial information we present on a GAAP basis to provide investors with additional information regarding our financial results. Adjusted EBITDA, as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should not be considered in isolation from, or as an alternative to, measures prepared in accordance with GAAP. We consider, and you should consider, Adjusted EBITDA together with other operating and financial performance measures presented in accordance with GAAP. Also, our non</w:t>
      </w:r>
      <w:r>
        <w:rPr>
          <w:rFonts w:ascii="MS PGothic" w:cs="MS PGothic" w:eastAsia="MS PGothic" w:hAnsi="MS PGothic"/>
          <w:sz w:val="18"/>
          <w:szCs w:val="18"/>
          <w:color w:val="auto"/>
        </w:rPr>
        <w:t>‑</w:t>
      </w:r>
      <w:r>
        <w:rPr>
          <w:rFonts w:ascii="Arial" w:cs="Arial" w:eastAsia="Arial" w:hAnsi="Arial"/>
          <w:sz w:val="18"/>
          <w:szCs w:val="18"/>
          <w:color w:val="auto"/>
        </w:rPr>
        <w:t>GAAP measure may not necessarily be comparable to similarly titled measures presented by other companies.</w:t>
      </w:r>
    </w:p>
    <w:p>
      <w:pPr>
        <w:spacing w:after="0" w:line="20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believe that Adjusted EBITDA is a key indicator of our operating results. For further explanation of the uses and limitations of this measure and a reconciliation of our Adjusted EBITDA to the most directly comparable GAAP measure, net income, please see “Selected Consolidated Financial Data — Adjusted EBITDA.”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We derive revenue from two primary sources: (1) marketplace subscription revenue, which consists primarily of Listings, and Dealer Display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Arial" w:cs="Arial" w:eastAsia="Arial" w:hAnsi="Arial"/>
          <w:sz w:val="18"/>
          <w:szCs w:val="18"/>
          <w:color w:val="auto"/>
        </w:rPr>
        <w:t>related brand advertisers as well as partnerships with financing services companies.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offer multiple types of marketplace Listings packages to our dealers through our platform: Restricted Listings (formerly referred to as Basic Listings), which is free; and various levels of Listings packages, which each require a paid subscription under a monthly, quarterly, semiannual, or annual subscription basis. Contractual subscriptions for customers generally auto-renew on a monthly basis and are cancellable by dealers with 30 days’ advance notice at the end of the committed term. We also offer all dealers on our platform access to our Dealer Dashboard, which includes a performance summary, Dealer Insights tool, and user review management platform. Dealers subscribing to a paid Listings package also have access to the Pricing Tool and Market Analysis tool. The Pricing Tool and Market Analysis tool are available only to paying dealers. Subscription pricing is determined based on a dealer’s inventory size, region, and our assessment of the connections and ROI the platform will provide them.</w:t>
      </w:r>
    </w:p>
    <w:p>
      <w:pPr>
        <w:spacing w:after="0" w:line="17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addition to listing inventory in our marketplace and providing access to the Dealer Dashboard, we offer dealers subscribing to one of our Enhanced, Featured, or Featured Priority Listings packages other subscription advertising and customer acquisition products, including Dealer Display, pursuant to which dealers can buy display advertising that appears in our marketplace, and on other sites on the internet, and for which such advertisements can be targeted by the user’s geography, search history, CarGurus website activity (including showing users relevant vehicles from a dealer’s inventory that they have not yet discovered on our marketplace), and a number of other targeting factors, allowing dealers to increase their visibility with in-market consumers and drive qualified traffic for dealers.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offer paid listings and display products through the PistonHeads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w:t>
      </w:r>
    </w:p>
    <w:p>
      <w:pPr>
        <w:spacing w:after="0" w:line="18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Advertising and other revenue also includes revenue from partnerships with certain financing services companies pursuant to which we enable eligible consumers on our United States website to pre-qualify for financing on cars from dealerships that offer financing through such companies. Our revenues from these financing partnerships are based on a funded-loan basis.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description of our revenue accounting policies, see “— Critical Accounting Policies and Significant Estimates.”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Cost of revenue primarily consists of costs related to supporting and hosting our product offerings. These costs include salaries, benefits, incentive compensation, and stock-based compensation for our customer support team and third-party service provider costs such as data center and networking expenses, allocated overhead costs, depreciation and amortization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Sales and marketing expenses consist primarily of personnel and related expenses for our sales and marketing team,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amortization of internal-use software; and allocated overhead costs. For periods subsequent to the adoption of ASC 606, a portion of our commissions that are related to obtaining a new contract is capitalized and amortized over the estimated benefit period of customer relationships. All other sales and marketing costs are expensed as incurred.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Product, technology, and development expenses, which include research and development costs, consist primarily of personnel and related expenses for our development team, including salaries, benefits, incentive compensation, stock-based compensation and allocated overhead costs. Other than website development and internal-use software costs as well as other costs that qualify for capitalization, research and development costs are expensed as incurred. We expect product, technology, and development expenses to increase as we develop new solutions and make improvements to our existing platform.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expenses for our executive, finance, legal, human resources, and administrative teams, including salaries, benefits, incentive compensation, and stock-based compensation, in addition to the costs associated with professional fees for external legal, accounting and other consulting services, insurance premiums, payment processing and billing costs, and allocated overhead costs. We expect general and administrative expenses to increase as we grow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Depreciation and amortization expenses consist of depreciation on property and equipment, which includes leasehold improvements, and amortization of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Other income, net consists primarily of interest income earned on our cash, cash equivalents, and investments, sublease income and net foreign exchange gains and losses.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 xml:space="preserve">We are subject to federal and state income taxes in the United States and taxes in foreign jurisdictions in which we operate. We have recognized a benefit from income taxes for the years ended December 31, 2019 and 2018 as a result of stock-based compensation benefits recorded and a provision for income taxes for the year ended December 31, 2017 as a result of our consolidated taxable income position.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w:t>
      </w:r>
      <w:r>
        <w:rPr>
          <w:rFonts w:ascii="Arial" w:cs="Arial" w:eastAsia="Arial" w:hAnsi="Arial"/>
          <w:sz w:val="17"/>
          <w:szCs w:val="17"/>
          <w:color w:val="212529"/>
        </w:rPr>
        <w:t>Our valuation allowance against our net deferred tax assets as of December 31, 2019 was immaterial.</w:t>
      </w:r>
      <w:r>
        <w:rPr>
          <w:rFonts w:ascii="Arial" w:cs="Arial" w:eastAsia="Arial" w:hAnsi="Arial"/>
          <w:sz w:val="17"/>
          <w:szCs w:val="17"/>
          <w:color w:val="auto"/>
        </w:rPr>
        <w:t xml:space="preserve"> We have not provided a valuation allowance against our net deferred tax assets at December 31, 2018 or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55"/>
        <w:spacing w:after="0" w:line="223" w:lineRule="exact"/>
        <w:rPr>
          <w:sz w:val="20"/>
          <w:szCs w:val="20"/>
          <w:color w:val="auto"/>
        </w:rPr>
      </w:pPr>
      <w:r>
        <w:rPr>
          <w:rFonts w:ascii="Arial" w:cs="Arial" w:eastAsia="Arial" w:hAnsi="Arial"/>
          <w:sz w:val="18"/>
          <w:szCs w:val="18"/>
          <w:color w:val="auto"/>
        </w:rPr>
        <w:t>The following table sets forth our selected consolidated statements of operations data for each of the periods indicated. The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 of financial results is not necessarily indicative of future results.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513"/>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18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526,043</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405,780</w:t>
            </w:r>
          </w:p>
        </w:tc>
        <w:tc>
          <w:tcPr>
            <w:tcW w:w="22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282,664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1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Total revenue</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588,916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454,086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316,861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552,616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429,275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299,252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393,844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315,939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236,165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39,475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22,688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Total operating expenses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518,294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406,084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283,978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15,274</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income, net:</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16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15,837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(3,441)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(39,686)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140"/>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center"/>
              <w:ind w:left="513"/>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8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555,007</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437,166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307,472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6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9,389</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588,916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454,086</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316,861</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Income (Loss) from Operations</w:t>
            </w: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8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International</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(39,550)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(35,196)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(26,312)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40" w:type="dxa"/>
            <w:vAlign w:val="bottom"/>
            <w:vMerge w:val="restart"/>
          </w:tcPr>
          <w:p>
            <w:pPr>
              <w:jc w:val="right"/>
              <w:ind w:right="650"/>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7" w:name="page48"/>
    <w:bookmarkEnd w:id="47"/>
    <w:p>
      <w:pPr>
        <w:ind w:left="56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pacing w:after="0" w:line="334"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5220" w:type="dxa"/>
            <w:vAlign w:val="bottom"/>
            <w:gridSpan w:val="2"/>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ind w:left="240"/>
              <w:spacing w:after="0"/>
              <w:rPr>
                <w:sz w:val="20"/>
                <w:szCs w:val="20"/>
                <w:color w:val="auto"/>
              </w:rPr>
            </w:pPr>
            <w:r>
              <w:rPr>
                <w:rFonts w:ascii="Arial" w:cs="Arial" w:eastAsia="Arial" w:hAnsi="Arial"/>
                <w:sz w:val="18"/>
                <w:szCs w:val="18"/>
                <w:color w:val="auto"/>
              </w:rPr>
              <w:t>Marketplace subscription</w:t>
            </w:r>
          </w:p>
        </w:tc>
        <w:tc>
          <w:tcPr>
            <w:tcW w:w="660" w:type="dxa"/>
            <w:vAlign w:val="bottom"/>
            <w:gridSpan w:val="2"/>
          </w:tcPr>
          <w:p>
            <w:pPr>
              <w:jc w:val="right"/>
              <w:ind w:right="88"/>
              <w:spacing w:after="0"/>
              <w:rPr>
                <w:sz w:val="20"/>
                <w:szCs w:val="20"/>
                <w:color w:val="auto"/>
              </w:rPr>
            </w:pPr>
            <w:r>
              <w:rPr>
                <w:rFonts w:ascii="Arial" w:cs="Arial" w:eastAsia="Arial" w:hAnsi="Arial"/>
                <w:sz w:val="18"/>
                <w:szCs w:val="18"/>
                <w:color w:val="auto"/>
              </w:rPr>
              <w:t>89%</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00" w:type="dxa"/>
            <w:vAlign w:val="bottom"/>
          </w:tcPr>
          <w:p>
            <w:pPr>
              <w:spacing w:after="0"/>
              <w:rPr>
                <w:sz w:val="19"/>
                <w:szCs w:val="19"/>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20" w:type="dxa"/>
            <w:vAlign w:val="bottom"/>
            <w:gridSpan w:val="2"/>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10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94%</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Operations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International</w:t>
            </w:r>
          </w:p>
        </w:tc>
        <w:tc>
          <w:tcPr>
            <w:tcW w:w="700" w:type="dxa"/>
            <w:vAlign w:val="bottom"/>
          </w:tcPr>
          <w:p>
            <w:pPr>
              <w:spacing w:after="0"/>
              <w:rPr>
                <w:sz w:val="19"/>
                <w:szCs w:val="19"/>
                <w:color w:val="auto"/>
              </w:rPr>
            </w:pPr>
          </w:p>
        </w:tc>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7"/>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7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526,043</w:t>
            </w:r>
          </w:p>
        </w:tc>
        <w:tc>
          <w:tcPr>
            <w:tcW w:w="2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405,780</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120,263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30%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30</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588,916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454,086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134,830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30%</w:t>
            </w:r>
          </w:p>
        </w:tc>
        <w:tc>
          <w:tcPr>
            <w:tcW w:w="560" w:type="dxa"/>
            <w:vAlign w:val="bottom"/>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34"/>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80" w:type="dxa"/>
            <w:vAlign w:val="bottom"/>
            <w:gridSpan w:val="2"/>
          </w:tcPr>
          <w:p>
            <w:pPr>
              <w:jc w:val="right"/>
              <w:ind w:right="85"/>
              <w:spacing w:after="0"/>
              <w:rPr>
                <w:sz w:val="20"/>
                <w:szCs w:val="20"/>
                <w:color w:val="auto"/>
              </w:rPr>
            </w:pPr>
            <w:r>
              <w:rPr>
                <w:rFonts w:ascii="Arial" w:cs="Arial" w:eastAsia="Arial" w:hAnsi="Arial"/>
                <w:sz w:val="18"/>
                <w:szCs w:val="18"/>
                <w:color w:val="auto"/>
              </w:rPr>
              <w:t>46</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both"/>
        <w:ind w:firstLine="555"/>
        <w:spacing w:after="0" w:line="277" w:lineRule="auto"/>
        <w:rPr>
          <w:sz w:val="20"/>
          <w:szCs w:val="20"/>
          <w:color w:val="auto"/>
        </w:rPr>
      </w:pPr>
      <w:r>
        <w:rPr>
          <w:rFonts w:ascii="Arial" w:cs="Arial" w:eastAsia="Arial" w:hAnsi="Arial"/>
          <w:sz w:val="18"/>
          <w:szCs w:val="18"/>
          <w:color w:val="auto"/>
        </w:rPr>
        <w:t>Overall revenue increased $134.8 million, or 30%, in the year ended December 31, 2019 compared to the year ended December 31, 2018. Both marketplace subscription revenue and advertising and other revenue increased by 30%.</w:t>
      </w:r>
    </w:p>
    <w:p>
      <w:pPr>
        <w:spacing w:after="0" w:line="170"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Marketplace subscription revenue increased $120.3 million in the year ended December 31, 2019 compared to the year ended December 31, 2018 and represented 89% of total revenue in both 2019 and 2018. This increase in marketplace subscription revenue was attributable primarily to a 19% growth in our AARSD for United States dealers to $17,576 as of December 31, 2019 from $14,819 as of December 31, 2018 and to a 15% growth in the number of United States and International paying dealers, to 36,115 as of December 31, 2019 from 31,472 as of December 31, 2018. The increase in our AARSD for United States dealers was driven by new products, unit pricing and packaging as well as the investments made in building our brand and growing our audience, which resulted in growth in volume of connections. The increase in paying dealers was driven by the efforts of our sales and marketing teams to subscribe dealers to our Listings packages as well as by the acquisition of PistonHeads.</w:t>
      </w:r>
    </w:p>
    <w:p>
      <w:pPr>
        <w:spacing w:after="0" w:line="178"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Advertising and other revenue increased $14.6 million in the year ended December 31, 2019 compared to the year ended December 31, 2018 and represented 11% of total revenue in both 2019 and 2018. The increase in advertising and other revenue was driven by a 31% increase in the number of impressions delivered, which was partially offset by a 12% decline in the average price per thousand impressions over the same period. The increase was also attributable to a $5.0 million increase in revenue earned from partnerships with financing services companies.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7"/>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555,007</w:t>
            </w:r>
          </w:p>
        </w:tc>
        <w:tc>
          <w:tcPr>
            <w:tcW w:w="2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437,166</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117,841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588,916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454,086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134,830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United States revenue increased $117.8 million, or 27%, in the year ended December 31, 2019 compared to the year ended December 31, 2018, due primarily to a 19% increase in AARSD for United States dealers and a 5% increase in the number of United States paying dealers.</w:t>
      </w:r>
    </w:p>
    <w:p>
      <w:pPr>
        <w:spacing w:after="0" w:line="14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International revenue increased $17.0 million, or 100%, in the year ended December 31, 2019 compared to the year ended December 31, 2018, due primarily to an 81% increase in the number of International paying dealers and a 13% increase in AARSD for International dealers. The increase in International revenue was also partially attributable to revenue from PistonHeads, which was acquired in January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36,300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24,811</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11,489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Cost of revenue increased $11.5 million, or 46%, in the year ended December 31, 2019 compared to the year ended December 31, 2018. The increase was due primarily to a $4.4 million increase in fees related to provisioning advertising campaigns on our websites, a $3.1 million increase in data center and hosting costs, a $1.9 million increase in costs related to connecting consumers with dealers through a variety of methods, including phone calls, email, and managed text and chat, a $1.0 million increase in costs to improve the content on our websites and a $1.0 million increase in amortization and depreciation.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393,844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315,939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77,905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Sales and marketing expenses increased $77.9 million, or 25%, in the year ended December 31, 2019 compared to the year ended December 31, 2018. This increase was due primarily to an increase in advertising and search engine marketing costs of $48.5 million as well as an increase of $11.6 million in salaries and employee-related costs, exclusive of stock-based compensation expense and commissions expense, which increased $4.9 million and $4.5 million, respectively. The increase in salaries and employee-related costs, stock-based compensation expense and commissions expense was due primarily to a 25% increase in headcount. This increase for the year ended December 31, 2019 was also due in part to a $2.4 million increase in marketing events and market research due to efforts to increase brand awareness, a $1.9 million increase in consulting fees, a $1.6 million increase in software subscriptions, and a $0.9 million increase in lease costs due to new office facilities at 121 First St. in Cambridge, Massachusetts. The increase for the year ended December 31, 2019 was also partially attributable to sales and marketing expenses associated with the acquisition of PistonHeads.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69,462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47,866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21,596</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Product, technology, and development expenses increased $21.6 million, or 45%, in the year ended December 31, 2019 compared to the year ended December 31, 2018. The increase was due primarily to a $13.7 million increase in salaries and employee-related costs, exclusive of stock-based compensation expense, which increased $5.3 million. The increase in salaries and employee-related costs and stock-based compensation expense was due primarily to a 32% increase in headcount to support our growth and product innovations. This increase for the year ended December 31, 2019 was also due in part to a $1.2 million increase in lease costs due to new office facilities at 121 First St. in Cambridge, Massachusetts, and a $0.9 million increase in software subscriptions. The increase for the year ended December 31, 2019 was also partially attributable to product, technology, and development expenses associated with the acquisition of PistonHeads.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50,434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39,475</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10,959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General and administrative expenses increased $11.0 million, or 28%, in the year ended December 31, 2019 compared to the year ended December 31, 2018. The increase was due to a $3.7 million increase in salaries and employee-related costs, exclusive of stock-based compensation expense, which increased $3.3 million. The increase in salaries and employee-related costs and stock-based compensation expense was due primarily to a 30% increase in headcount to support our expanded operations as we continue to grow our business. This increase for the year ended December 31, 2019 was also due in part to a $2.1 million increase in payment processing and billing costs due to increased customer transactions driven by an increase in number of paying dealers, a $1.3 million increase in recruiting, insurance, and professional service fees, a $0.7 million increase in software subscriptions, and a $0.5 million increase in lease costs due to new office facilities at 121 First St. in Cambridge, Massachusetts, offset by a $0.6 million decrease in bad debt expense due to improved collections and focus on reducing churn.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4,554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1,750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expenses increased $1.8 million, or 62%, in the year ended December 31, 2019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due primarily to an increase in depreciation related to the additional leasehold improvements required for new office facilities at 121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St. in Cambridge, Massachusetts as well as amortization of intangible assets.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7"/>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2,984</w:t>
            </w:r>
          </w:p>
        </w:tc>
        <w:tc>
          <w:tcPr>
            <w:tcW w:w="22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2,283</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FF0FC"/>
          </w:tcPr>
          <w:p>
            <w:pPr>
              <w:spacing w:after="0"/>
              <w:rPr>
                <w:sz w:val="19"/>
                <w:szCs w:val="19"/>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 other income, net</w:t>
            </w:r>
          </w:p>
        </w:tc>
        <w:tc>
          <w:tcPr>
            <w:tcW w:w="150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4,383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2,293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 other income, net</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Other income, net increased $2.1 million, or 91%, in the year ended December 31, 2019 compared to the year ended December 31, 2018. The $0.7 million increase in interest income is primarily due to the higher monthly average of investment of cash in certificates of deposit and money market funds over the course of 2019 arising from our increased cash from operations. The $1.4 million increase in other income, net was primarily due to $0.8 million of sublease income, as well as a $0.6 million increase in realized foreign currency gain mainly resulting from the settlement of an intercompany note payable in connection with the PistonHeads acquisition during the year ended December 31,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jc w:val="right"/>
              <w:ind w:right="10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(3,441)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(39,686)</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(36,245)</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2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difference in benefit from income taxes recorded during the years ended December 31, 2019 and 2018, was principally due to $40.8 million of tax benefits related to excess stock-based compensation benefits recorded during the year ended December 31 2018, as compared to $10.9 million of tax benefits related to excess stock-based compensation benefits recorded during 2019, as well as an increase in federal and state research and development tax credits during 2019 as compared to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7"/>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73,872</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(39,550)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(35,196)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(4,354)</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34,322</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23,191</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United States income from operations increased $15.5 million, or 27%, in the year ended December 31, 2019 compared to the year ended December 31, 2018. This increase was due to an increase in revenue of $117.8 million, offset in part by the increases in operating expenses of $92.5 million and cost of revenue of $9.8 million.</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International loss from operations increased $4.4 million, or 12% in the year ended December 31, 2019 compared to the year ended December 31, 2018. The increase in International loss from operations reflects our continued investment into international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405,780</w:t>
            </w:r>
          </w:p>
        </w:tc>
        <w:tc>
          <w:tcPr>
            <w:tcW w:w="22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282,664</w:t>
            </w:r>
          </w:p>
        </w:tc>
        <w:tc>
          <w:tcPr>
            <w:tcW w:w="2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123,116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2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454,086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316,861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137,225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Overall revenue increased $137.2 million, or 43%, in the year ended December 31, 2018 compared to the year ended December 31,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Marketplace subscription revenue increased by 44% while advertising and other revenue grew by 41%.</w:t>
      </w:r>
    </w:p>
    <w:p>
      <w:pPr>
        <w:spacing w:after="0" w:line="278"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Marketplace subscription revenue increased $123.1 million in the year ended December 31, 2018 compared to the year ended December 31, 2017, and represented 89% of total revenue in both 2018 and 2017. This increase in marketplace subscription revenue was attributable primarily to a 14% growth in the number of United States and International paying dealers, to 31,472 as of December 31, 2018 from 27,670 as of December 31, 2017, and to a 23% growth in our AARSD for United States dealers to $14,819 as of December 31, 2018 from $12,055 as of December 31, 2017. The increase in paying dealers was driven by the efforts of our sales and marketing teams to subscribe dealers to our Listings packages. The increase in our AARSD for United States dealers was driven by the investments made in building our brand and growing our audience which resulted in growth in volume of connections.</w:t>
      </w:r>
    </w:p>
    <w:p>
      <w:pPr>
        <w:spacing w:after="0" w:line="219"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Advertising and other revenue increased $14.1 million in the year ended December 31, 2018 compared to the year ended December 31, 2017, and represented 11% of total revenue in 2018 and 2017. The increase in advertising and other revenue was due primarily to a 70% increase in the number of impressions, which was partially offset by a 17% decrease in the average price per thousand impressions, in 2018 compared to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Revenue by Segment</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437,166</w:t>
            </w:r>
          </w:p>
        </w:tc>
        <w:tc>
          <w:tcPr>
            <w:tcW w:w="22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307,472</w:t>
            </w:r>
          </w:p>
        </w:tc>
        <w:tc>
          <w:tcPr>
            <w:tcW w:w="220" w:type="dxa"/>
            <w:vAlign w:val="bottom"/>
          </w:tcPr>
          <w:p>
            <w:pPr>
              <w:spacing w:after="0"/>
              <w:rPr>
                <w:sz w:val="19"/>
                <w:szCs w:val="19"/>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129,694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80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2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454,086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316,861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137,225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United States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United States revenue increased $129.7 million, or 42%, in the year ended December 31, 2018 compared to the year ended December 31, 2017, due primarily to a 10% increase in the number of United States paying dealers and a 23% increase in AARSD for United States dealers.</w:t>
      </w:r>
    </w:p>
    <w:p>
      <w:pPr>
        <w:spacing w:after="0" w:line="201"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International revenue increased $7.5 million, or 80%, in the year ended December 31, 2018 compared to the year ended December 31, 2017, due primarily to a 55% increase in the number of International paying dealers. International paying dealers grew to 3,938 at December 31, 2018 from 2,548 at December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24,811</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7,202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5 %</w:t>
            </w:r>
          </w:p>
        </w:tc>
        <w:tc>
          <w:tcPr>
            <w:tcW w:w="4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Cost of revenue increased $7.2 million, or 41%, in the year ended December 31, 2018 compared to the year ended December 31, 2017. The increase was due primarily to a $2.7 million increase in costs related to connecting consumers with dealers through a variety of methods, including phone calls, email, and managed text and chat, a $1.7 million increase in fees related to provisioning advertising campaigns on our websites, a $1.4 million increase in data center and hosting costs, and a $1.2 million increase in amortization and depreciation.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315,939</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236,165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79,774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Sales and marketing expenses increased $79.8 million, or 34%, in the year ended December 31, 2018 compared to the year ended December 31, 2017. The increase was due primarily to an increase in advertising costs of $65.5 million as well as an increase of $8.1 million in salaries and employee-related costs (excluding commission expense) resulting from a 25% increase in headcount and payroll taxes of $0.9 million driven by the employer portion of FICA taxes on the exercise of stock awards and vesting of restricted stock units, or RSUs. This increase for the year ended December 31, 2018 was also due in part to a $3.2 million increase in stock-based compensation expense related to RSUs resulting from the increase in headcount, a $1.7 million increase in marketing events and market research due to efforts to increase brand awareness, a $0.8 million increase in rent due to a new office building in Cambridge and rent increase in Ireland, and a $0.8 million increase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jc w:val="both"/>
        <w:spacing w:after="0" w:line="308" w:lineRule="auto"/>
        <w:rPr>
          <w:sz w:val="20"/>
          <w:szCs w:val="20"/>
          <w:color w:val="auto"/>
        </w:rPr>
      </w:pPr>
      <w:r>
        <w:rPr>
          <w:rFonts w:ascii="Arial" w:cs="Arial" w:eastAsia="Arial" w:hAnsi="Arial"/>
          <w:sz w:val="17"/>
          <w:szCs w:val="17"/>
          <w:color w:val="auto"/>
        </w:rPr>
        <w:t xml:space="preserve">software subscriptions. These increases were partially offset by a $2.7 million decrease in commission expense driven by our adoption of Accounting Standards Codification, or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during the year ended December 31,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47,866</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22,470</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25,396</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Product, technology, and development expenses increased $25.4 million, or 113%, in the year ended December 31, 2018 compared to the year ended December 31, 2017. The increase was due primarily to a $13.8 million increase in salaries and employee-related costs resulting from a 59% increase in headcount and payroll taxes of $1.2 million driven by the employer portion of FICA taxes on the exercise of stock awards and vesting of RSUs. This increase for the year ended December 31, 2018 was also due in part to an $8.1 million increase in stock-based compensation expense related to RSUs resulting from the increase in headcount, $0.8 million increase in rent due to a new office building in Cambridge, a $0.5 million increase in software subscriptions and a $0.5 million increase in consulting fees.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39,475</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22,688</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16,787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General and administrative expenses increased $16.8 million, or 74%, in the year ended December 31, 2018 compared to the year ended December 31, 2017. The increase was due primarily to an increase of $4.7 million of insurance, legal, consulting and external reporting fees driven by costs incurred to comply with public company requirements as well as an increase of $4.4 million in salaries and employee-related costs resulting from a 45% increase in headcount and payroll taxes of $0.3 million driven by the employer portion of FICA taxes on the exercise of stock awards and vesting of RSUs. This increase for the year ended December 31, 2018 was also due in part to a $4.1 million increase in stock-based compensation expense related to RSUs due to the increase in headcount, a $1.8 million increase in payment processing and billing costs due to increased customer transactions with higher billings resulting from revenue growth and a $0.6 million increase in bad debt expense.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2,804</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149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Depreciation and amortization expenses increased $0.1 million, or 6%, in the year ended December 31, 2018 compared to the year ended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7"/>
          </w:tcPr>
          <w:p>
            <w:pPr>
              <w:ind w:left="1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Interest income</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2,283</w:t>
            </w:r>
          </w:p>
        </w:tc>
        <w:tc>
          <w:tcPr>
            <w:tcW w:w="22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3"/>
              </w:rPr>
              <w:t>103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net</w:t>
            </w:r>
          </w:p>
        </w:tc>
        <w:tc>
          <w:tcPr>
            <w:tcW w:w="15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2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2,293</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1,730</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w w:val="99"/>
              </w:rPr>
              <w:t>307%</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net</w:t>
            </w:r>
          </w:p>
        </w:tc>
        <w:tc>
          <w:tcPr>
            <w:tcW w:w="1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Other income, net increased $1.7 million, or 307%, in the year ended December 31, 2018 compared to the year ended December 31, 2017. The $1.4 million increase in interest income is primarily due to the investment of cash in certificates of deposit, money market funds arising from our increased cash from operations, and an increase in interest rates. The $0.3 million increase in other income (expense) is primarily due the Euro strengthening against the U.S. Dollar in 2017 and remaining relatively flat in 2018.</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42"/>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40" w:type="dxa"/>
            <w:vAlign w:val="bottom"/>
            <w:gridSpan w:val="5"/>
          </w:tcPr>
          <w:p>
            <w:pPr>
              <w:jc w:val="right"/>
              <w:ind w:right="1022"/>
              <w:spacing w:after="0" w:line="155"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(39,686)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(42,324)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benefit from income taxes recorded during the year ended December 31, 2018, as compared to the provision for income taxes recorded during the year ended December 31, 2017, was principally due to $40.8 million in stock-based compensation benefits recorded during the year ended December 31, 2018, as well as an increase in federal and state research and development tax credits and a lower federal statutory tax rate due to The Tax Cuts and Jobs Act, or the TCJA, as compared to year ended December 31, 2017.</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58,387</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41,586</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(35,196)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(8,884)</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23,191</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15,274</w:t>
            </w:r>
          </w:p>
        </w:tc>
        <w:tc>
          <w:tcPr>
            <w:tcW w:w="22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United States income from operations increased $16.8 million, or 40%, in the year ended December 31, 2018 compared to the year ended December 31, 2017. This increase was due to an increase in revenue of $129.7 million, offset in part by the increases in cost of revenue of $6.8 million and operating expenses of $106.1 million.</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jc w:val="both"/>
        <w:ind w:firstLine="555"/>
        <w:spacing w:after="0" w:line="342" w:lineRule="auto"/>
        <w:rPr>
          <w:sz w:val="20"/>
          <w:szCs w:val="20"/>
          <w:color w:val="auto"/>
        </w:rPr>
      </w:pPr>
      <w:r>
        <w:rPr>
          <w:rFonts w:ascii="Arial" w:cs="Arial" w:eastAsia="Arial" w:hAnsi="Arial"/>
          <w:sz w:val="16"/>
          <w:szCs w:val="16"/>
          <w:color w:val="auto"/>
        </w:rPr>
        <w:t>International loss from operations increased $8.9 million, or 34% in the year ended December 31, 2018 compared to the year ended December 31, 2017. The increase in International loss from operations reflects our continued investment into international markets and expansion into new countries.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7" w:lineRule="exact"/>
        <w:rPr>
          <w:sz w:val="20"/>
          <w:szCs w:val="20"/>
          <w:color w:val="auto"/>
        </w:rPr>
      </w:pPr>
    </w:p>
    <w:p>
      <w:pPr>
        <w:jc w:val="both"/>
        <w:ind w:right="20" w:firstLine="555"/>
        <w:spacing w:after="0" w:line="342" w:lineRule="auto"/>
        <w:rPr>
          <w:sz w:val="20"/>
          <w:szCs w:val="20"/>
          <w:color w:val="auto"/>
        </w:rPr>
      </w:pPr>
      <w:r>
        <w:rPr>
          <w:rFonts w:ascii="Arial" w:cs="Arial" w:eastAsia="Arial" w:hAnsi="Arial"/>
          <w:sz w:val="16"/>
          <w:szCs w:val="16"/>
          <w:color w:val="auto"/>
        </w:rPr>
        <w:t>At December 31, 2019 and 2018, our principal sources of liquidity were cash and cash equivalents of $59.9 million and $34.9 million, respectively, and investments in certificates of deposit with terms of greater than 90 days but less than one year of $111.7 million and $122.8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Statements of Cash Flows, are summarized in the following table:</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51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51,723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(22,257)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(80,278)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(12,598)</w:t>
            </w: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(14,693)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(23,395)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w:t>
            </w:r>
          </w:p>
        </w:tc>
        <w:tc>
          <w:tcPr>
            <w:tcW w:w="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33,165</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(51,994)</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58,032</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Our operations have been financed primarily from operating activities and our IPO. We generated cash from operating activities of $70.1 million during 2019, $51.7 million during 2018, and $25.7 million during 2017, and we expect to generate cash from operations for the foreseeable future.</w:t>
      </w:r>
    </w:p>
    <w:p>
      <w:pPr>
        <w:spacing w:after="0" w:line="14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believe that our existing sources of liquidity will be sufficient to fund our operations for at least the next 12 months from the date of the filing of this Annual Report on Form 10-K. However, our future capital requirements will depend on many factors, including our rate of revenue growth, the expansion of our sales and marketing activities, the support of our product, technology, and development efforts, the timing and extent of our investment in international markets and mergers and acquisitions. To the extent that existing cash, cash equivalents, and investments and cash from operations are insufficient to fund our future activities, we may need to raise additional funds through a public or private equity or debt financing. Additional funds may not be available on terms favorable to us, or at all.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 xml:space="preserve">Cash provided by operating activities of $70.1 million during 2019 </w:t>
      </w:r>
      <w:r>
        <w:rPr>
          <w:rFonts w:ascii="Arial" w:cs="Arial" w:eastAsia="Arial" w:hAnsi="Arial"/>
          <w:sz w:val="17"/>
          <w:szCs w:val="17"/>
          <w:color w:val="212529"/>
        </w:rPr>
        <w:t>was</w:t>
      </w:r>
      <w:r>
        <w:rPr>
          <w:rFonts w:ascii="Arial" w:cs="Arial" w:eastAsia="Arial" w:hAnsi="Arial"/>
          <w:sz w:val="17"/>
          <w:szCs w:val="17"/>
          <w:color w:val="auto"/>
        </w:rPr>
        <w:t xml:space="preserve"> due primarily to net income of $42.1 </w:t>
      </w:r>
      <w:r>
        <w:rPr>
          <w:rFonts w:ascii="Arial" w:cs="Arial" w:eastAsia="Arial" w:hAnsi="Arial"/>
          <w:sz w:val="17"/>
          <w:szCs w:val="17"/>
          <w:color w:val="212529"/>
        </w:rPr>
        <w:t>million, adjusted for $34.3 million of</w:t>
      </w:r>
      <w:r>
        <w:rPr>
          <w:rFonts w:ascii="Arial" w:cs="Arial" w:eastAsia="Arial" w:hAnsi="Arial"/>
          <w:sz w:val="17"/>
          <w:szCs w:val="17"/>
          <w:color w:val="auto"/>
        </w:rPr>
        <w:t xml:space="preserve"> </w:t>
      </w:r>
      <w:r>
        <w:rPr>
          <w:rFonts w:ascii="Arial" w:cs="Arial" w:eastAsia="Arial" w:hAnsi="Arial"/>
          <w:sz w:val="17"/>
          <w:szCs w:val="17"/>
          <w:color w:val="212529"/>
        </w:rPr>
        <w:t>stock-based compensation expense, $8.4 million of amortization of deferred contract costs and $7.8 million of depreciation and amortization, partially offset by $3.7 million of deferred taxes. Cash provided by operating activities was also attributable to a $4.3 million increase in accounts payable, a $2.2 million increase in accrued expenses, accrued income taxes, and other current liabilities and a $1.2 million increase in deferred revenue, partially offset by a $16.0 million increase in deferred contract costs, a $9.6 million increase in accounts receivable, and a $1.5 million decrease in lease obligations.</w:t>
      </w:r>
    </w:p>
    <w:p>
      <w:pPr>
        <w:spacing w:after="0" w:line="173"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Cash provided by operating activities of $51.7 million during 2018 was due primarily to net income of $65.2 million, adjusted for $20.8 million of stock-based compensation expense, $5.0 million of depreciation and amortization and $3.7 of amortization of deferred contract costs, partially offset by $39.0 million of deferred taxes. Cash provided by operating activities was also attributable to a $9.3 million increase in accounts payable, a $4.5 million increase in deferred revenue, a $4.3 million increase in lease obligations, a $2.7 million increase in accrued expenses, accrued income taxes, and other current liabilities, partially offset by a $13.0 million increase in deferred contract costs, and an $11.8 million increase prepaid expenses, prepaid income taxes, and other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jc w:val="both"/>
        <w:ind w:firstLine="555"/>
        <w:spacing w:after="0" w:line="257" w:lineRule="auto"/>
        <w:rPr>
          <w:sz w:val="20"/>
          <w:szCs w:val="20"/>
          <w:color w:val="auto"/>
        </w:rPr>
      </w:pPr>
      <w:r>
        <w:rPr>
          <w:rFonts w:ascii="Arial" w:cs="Arial" w:eastAsia="Arial" w:hAnsi="Arial"/>
          <w:sz w:val="18"/>
          <w:szCs w:val="18"/>
          <w:color w:val="auto"/>
        </w:rPr>
        <w:t>Cash provided by operating activities of $25.7 million during 2017 was due primarily to net income of $13.2 million, adjusted for $5.0 million of stock-based compensation expense and $3.8 million of depreciation and amortization, partially offset by $1.1 million of deferred taxes. Cash provided by operating activities was also attributable to a $6.2 million increase in accounts payable and a $5.2 million increase in accrued expenses, accrued income taxes and other current liabilities, partially offset by a $7.0 million increase in accounts receivable and a $2.3 million increase in prepaid expenses, prepaid income taxes, and other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 xml:space="preserve">Cash used in investing activities of $22.3 million during 2019 </w:t>
      </w:r>
      <w:r>
        <w:rPr>
          <w:rFonts w:ascii="Arial" w:cs="Arial" w:eastAsia="Arial" w:hAnsi="Arial"/>
          <w:sz w:val="18"/>
          <w:szCs w:val="18"/>
          <w:color w:val="212529"/>
        </w:rPr>
        <w:t>was due to $19.2 million of acquisition cash payments, $11.2 million of purchases of</w:t>
      </w:r>
      <w:r>
        <w:rPr>
          <w:rFonts w:ascii="Arial" w:cs="Arial" w:eastAsia="Arial" w:hAnsi="Arial"/>
          <w:sz w:val="18"/>
          <w:szCs w:val="18"/>
          <w:color w:val="auto"/>
        </w:rPr>
        <w:t xml:space="preserve"> </w:t>
      </w:r>
      <w:r>
        <w:rPr>
          <w:rFonts w:ascii="Arial" w:cs="Arial" w:eastAsia="Arial" w:hAnsi="Arial"/>
          <w:sz w:val="18"/>
          <w:szCs w:val="18"/>
          <w:color w:val="212529"/>
        </w:rPr>
        <w:t>property and equipment and $3.0 million related to the capitalization of website development costs. This was offset by $188.9 million of maturities of certificates of deposit, net of investments in certificates of deposit of $177.8 million.</w:t>
      </w:r>
    </w:p>
    <w:p>
      <w:pPr>
        <w:spacing w:after="0" w:line="181"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 xml:space="preserve">Cash used in investing activities of $80.3 million during 2018 was due to $212.8 million of investments in certificates of deposit, net of maturities of $140.0 million, $6.0 million of </w:t>
      </w:r>
      <w:r>
        <w:rPr>
          <w:rFonts w:ascii="Arial" w:cs="Arial" w:eastAsia="Arial" w:hAnsi="Arial"/>
          <w:sz w:val="17"/>
          <w:szCs w:val="17"/>
          <w:color w:val="212529"/>
        </w:rPr>
        <w:t>purchases of property and equipment</w:t>
      </w:r>
      <w:r>
        <w:rPr>
          <w:rFonts w:ascii="Arial" w:cs="Arial" w:eastAsia="Arial" w:hAnsi="Arial"/>
          <w:sz w:val="17"/>
          <w:szCs w:val="17"/>
          <w:color w:val="auto"/>
        </w:rPr>
        <w:t>, and $1.5 million related to the capitalization of website development costs.</w:t>
      </w:r>
    </w:p>
    <w:p>
      <w:pPr>
        <w:spacing w:after="0" w:line="14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 xml:space="preserve">Cash used in investing activities of $12.6 million during 2017 was due to $50.0 million of investments in certificates of deposit, net of maturities of $44.8 million, $5.2 million of </w:t>
      </w:r>
      <w:r>
        <w:rPr>
          <w:rFonts w:ascii="Arial" w:cs="Arial" w:eastAsia="Arial" w:hAnsi="Arial"/>
          <w:sz w:val="17"/>
          <w:szCs w:val="17"/>
          <w:color w:val="212529"/>
        </w:rPr>
        <w:t>purchases of property and equipment</w:t>
      </w:r>
      <w:r>
        <w:rPr>
          <w:rFonts w:ascii="Arial" w:cs="Arial" w:eastAsia="Arial" w:hAnsi="Arial"/>
          <w:sz w:val="17"/>
          <w:szCs w:val="17"/>
          <w:color w:val="auto"/>
        </w:rPr>
        <w:t>, and $2.2 million related to the capitalization of website development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 xml:space="preserve">Cash used in financing activities of $14.7 million during 2019 </w:t>
      </w:r>
      <w:r>
        <w:rPr>
          <w:rFonts w:ascii="Arial" w:cs="Arial" w:eastAsia="Arial" w:hAnsi="Arial"/>
          <w:sz w:val="18"/>
          <w:szCs w:val="18"/>
          <w:color w:val="212529"/>
        </w:rPr>
        <w:t>was due primarily to the payment of withholding taxes and option costs on net share</w:t>
      </w:r>
      <w:r>
        <w:rPr>
          <w:rFonts w:ascii="Arial" w:cs="Arial" w:eastAsia="Arial" w:hAnsi="Arial"/>
          <w:sz w:val="18"/>
          <w:szCs w:val="18"/>
          <w:color w:val="auto"/>
        </w:rPr>
        <w:t xml:space="preserve"> </w:t>
      </w:r>
      <w:r>
        <w:rPr>
          <w:rFonts w:ascii="Arial" w:cs="Arial" w:eastAsia="Arial" w:hAnsi="Arial"/>
          <w:sz w:val="18"/>
          <w:szCs w:val="18"/>
          <w:color w:val="212529"/>
        </w:rPr>
        <w:t>settlements of restricted stock units and stock options of $16.5 million, partially offset by $1.8 million related to the proceeds from the exercise of stock options.</w:t>
      </w:r>
    </w:p>
    <w:p>
      <w:pPr>
        <w:spacing w:after="0" w:line="181"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Cash used in financing activities of $23.4 million during 2018 reflects $25.9 million of payment of withholding taxes on net share settlements of restricted stock units, and a $1.1 million payment of IPO costs, partially offset by $3.6 million related to the proceeds from the exercise of stock options.</w:t>
      </w:r>
    </w:p>
    <w:p>
      <w:pPr>
        <w:spacing w:after="0" w:line="14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Cash provided by financing activities of $44.8 million during 2017 primarily reflects $44.4 million of IPO proceeds, net of offering costs, and $0.4 million related to the proceeds from the exercise of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Our operating lease obligations consist of various leases for office space in: Boston, Massachusetts; Cambridge, Massachusetts; Detroit, Michigan; Los Angeles, California; Dublin, Ireland; and London, United Kingdom with various lease terms expected to continue through 2038. The terms of our Massachusetts lease agreements provide for rental payments that increase on an annual basis. We recognize rent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period.</w:t>
      </w:r>
    </w:p>
    <w:p>
      <w:pPr>
        <w:spacing w:after="0" w:line="204"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7"/>
          <w:szCs w:val="17"/>
          <w:color w:val="auto"/>
        </w:rPr>
        <w:t>We do not have any debt or material finance obligations as of December 31, 2019. All of our property, equipment, and internal-use software have been purchased with cash, with the exception of $0.6 million of unpaid property and equipment and immaterial amounts related to obligations under one finance lease as of December 31, 2019. We have no material long</w:t>
      </w:r>
      <w:r>
        <w:rPr>
          <w:rFonts w:ascii="MS PGothic" w:cs="MS PGothic" w:eastAsia="MS PGothic" w:hAnsi="MS PGothic"/>
          <w:sz w:val="17"/>
          <w:szCs w:val="17"/>
          <w:color w:val="auto"/>
        </w:rPr>
        <w:t>‑</w:t>
      </w:r>
      <w:r>
        <w:rPr>
          <w:rFonts w:ascii="Arial" w:cs="Arial" w:eastAsia="Arial" w:hAnsi="Arial"/>
          <w:sz w:val="17"/>
          <w:szCs w:val="17"/>
          <w:color w:val="auto"/>
        </w:rPr>
        <w:t>term purchase obligations outstanding with any vendors or third parties.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below is information concerning our known contractual obligations at December 31, 2019 that are fixed and determinable.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1 to 3 years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to 5 years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59"/>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8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409,257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44,981</w:t>
            </w:r>
          </w:p>
        </w:tc>
        <w:tc>
          <w:tcPr>
            <w:tcW w:w="2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409,257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44,981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The table above includes leases signed but not yet commenced as of December 31, 2019 and is based on expected commencement dates.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jc w:val="both"/>
        <w:ind w:right="20" w:firstLine="555"/>
        <w:spacing w:after="0" w:line="277" w:lineRule="auto"/>
        <w:rPr>
          <w:sz w:val="20"/>
          <w:szCs w:val="20"/>
          <w:color w:val="auto"/>
        </w:rPr>
      </w:pPr>
      <w:r>
        <w:rPr>
          <w:rFonts w:ascii="Arial" w:cs="Arial" w:eastAsia="Arial" w:hAnsi="Arial"/>
          <w:sz w:val="18"/>
          <w:szCs w:val="18"/>
          <w:color w:val="auto"/>
        </w:rPr>
        <w:t>On January 16, 2020 we completed an acquisition which is described in Note 16 of our consolidated financial statements included in Item 8 of this Annual Report on Form 10-K.</w:t>
      </w:r>
    </w:p>
    <w:p>
      <w:pPr>
        <w:spacing w:after="0" w:line="27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21"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7"/>
          <w:szCs w:val="17"/>
          <w:color w:val="auto"/>
        </w:rPr>
        <w:t>As of December 31, 2019 and 2018, we did not have any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other than those entered into prior to the adoption of ASC 842 and leases that are less than twelve months in duration, that have or are reasonably likely to have a current or future material effect on our financial condition, changes in financial condition, revenues or expenses, results of operations, liquidity, capital expenditures, or capital resources.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preparing our consolidated financial statements in accordance with GAAP, we are required to make estimates and assumptions that affect the amounts of assets, liabilities, revenue, costs and expenses, and disclosure of contingent assets and liabilities that are reported in the consolidated financial statements and accompanying disclosures. We evaluate our estimates and assumptions on an ongoing basis. Our actual results may differ from these estimates.</w:t>
      </w:r>
    </w:p>
    <w:p>
      <w:pPr>
        <w:spacing w:after="0" w:line="187"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We believe that of our significant accounting policies, which are described in Note 2 to the notes to our consolidated financial statements included elsewhere in this Annual Report on Form 10-K, the following accounting policies involve a greater degree of judgment and complexity. Accordingly, these are the policies we believe are the most critical to aid in fully understanding and evaluating our consolidated financial condition and results of our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We derive revenue from two primary sources: (1) marketplace subscription revenue, which consists primarily of Listings, and Dealer Display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Arial" w:cs="Arial" w:eastAsia="Arial" w:hAnsi="Arial"/>
          <w:sz w:val="18"/>
          <w:szCs w:val="18"/>
          <w:color w:val="auto"/>
        </w:rPr>
        <w:t>related brand advertisers as well as partnerships with financing services companies.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offer multiple types of marketplace Listings packages to our dealers through our platform: Restricted Listings (formerly referred to as Basic Listings), which is free; and various levels of Listings packages, which each require a paid subscription under a monthly, quarterly, semiannual, or annual subscription basis. Contractual subscriptions for customers generally auto-renew on a monthly basis and are cancellable by dealers with 30 days’ advance notice at the end of the committed term. We also offer all dealers on our platform access to our Dealer Dashboard, which includes a performance summary, Dealer Insights tool, and user review management platform. Dealers subscribing to a paid Listings package also have access to the Pricing Tool and Market Analysis tool. The Pricing Tool and Market Analysis tool are available only to paying dealers. Subscription pricing is determined based on a dealer’s inventory size, region, and our assessment of the connections and ROI the platform will provide them.</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Customers do not have the right to take possession of our software.</w:t>
      </w:r>
    </w:p>
    <w:p>
      <w:pPr>
        <w:spacing w:after="0" w:line="225"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addition to listing inventory in our marketplace and providing access to the Dealer Dashboard, we offer dealers subscribing to one of our Enhanced, Featured, or Featured Priority Listings packages other subscription advertising and customer acquisition products, including Dealer Display, pursuant to which dealers can buy display advertising that appears in our marketplace, and on other sites on the internet, and for which such advertisements can be targeted by the user’s geography, search history, CarGurus website activity (including showing users relevant vehicles from a dealer’s inventory that they have not yet discovered on our marketplace), and a number of other targeting factors, allowing dealers to increase their visibility with in-market consumers and drive qualified traffic for dealers.</w:t>
      </w:r>
    </w:p>
    <w:p>
      <w:pPr>
        <w:spacing w:after="0" w:line="19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Payment is typically due on first day of each calendar month and is recorded as accounts receivable or short-term deferred revenue when payment is received in advance of services being delivered to the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Pricing is primarily based on advertisement size and position on our websites and mobile applications, and fees are billed monthly in arrears. Unbilled accounts receivables relate to services rendered in the current period, but generally not invoiced until the subsequent period.</w:t>
      </w:r>
    </w:p>
    <w:p>
      <w:pPr>
        <w:spacing w:after="0" w:line="16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sell advertising directly to auto manufacturers and other auto related brand advertisers, as well as indirectly through revenue sharing arrangements with advertising exchange partners. Company-sold advertising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Revenue from advertising sold directly by us is recorded on a gross basis because we are the principal in the arrangement, control the ad placement and timing of the campaign, and establish the selling price. We enter into contractual arrangements directly with advertisers and are directly responsible for the fulfillment of the contractual terms including any remedy for issues with such fulfillment.</w:t>
      </w:r>
    </w:p>
    <w:p>
      <w:pPr>
        <w:spacing w:after="0" w:line="181"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Advertising revenue subject to revenue sharing agreements between us and advertising exchange partners is recognized based on the net amount of revenue received from the partner. The advertising partner is responsible for fulfillment, including the acceptability of the services delivered. In partner-sold advertising arrangements, the advertising partner has a direct contractual relationship with the advertiser. There is no contractual relationship between us and the advertiser for partner-sold transactions. When an advertising exchange partner sells advertisements, the partner is responsible for fulfilling the advertisements, and accordingly, we have determined the advertising partner is the principal in the arrangement. Additionally, for auction-based partner agreements, we have latitude in establishing the floor price, but the final price established by the exchange server is at market rates.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Customers are billed monthly in arrears and payment terms are generally thirty to sixty days from the date invoiced.</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Advertising and other revenue also includes revenue from partnerships with certain financing services companies pursuant to which we enable eligible consumers on our United States website to pre-qualify for financing on cars from dealerships that offer financing through such companies. Our revenues from these financing partnerships are based on a funded-loan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to adoption of ASC 606</w:t>
      </w:r>
    </w:p>
    <w:p>
      <w:pPr>
        <w:spacing w:after="0" w:line="117"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We recognize revenue when all of the following conditions are satisfied: (1) there is persuasive evidence of an arrangement; (2) the service has been provided to the customer; (3) the collection of fees is reasonably assured; and (4) the amount of fees to be paid by the customer is fixed or determinable.</w:t>
      </w:r>
    </w:p>
    <w:p>
      <w:pPr>
        <w:spacing w:after="0" w:line="124"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recognize marketplace subscription revenue on a monthly basis as revenue is earned and advertising and other revenue as impressions are delivered. Revenue is presented net of any taxes collected from customers.</w:t>
      </w:r>
    </w:p>
    <w:p>
      <w:pPr>
        <w:spacing w:after="0" w:line="170"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color w:val="auto"/>
        </w:rPr>
        <w:t>We assess arrangements with multiple deliverables under ASU No. 2009</w:t>
      </w:r>
      <w:r>
        <w:rPr>
          <w:rFonts w:ascii="MS PGothic" w:cs="MS PGothic" w:eastAsia="MS PGothic" w:hAnsi="MS PGothic"/>
          <w:sz w:val="17"/>
          <w:szCs w:val="17"/>
          <w:color w:val="auto"/>
        </w:rPr>
        <w:t>‑</w:t>
      </w:r>
      <w:r>
        <w:rPr>
          <w:rFonts w:ascii="Arial" w:cs="Arial" w:eastAsia="Arial" w:hAnsi="Arial"/>
          <w:sz w:val="17"/>
          <w:szCs w:val="17"/>
          <w:color w:val="auto"/>
        </w:rPr>
        <w:t xml:space="preserve">13, Revenue Recognition (Topic 605), </w:t>
      </w:r>
      <w:r>
        <w:rPr>
          <w:rFonts w:ascii="Arial" w:cs="Arial" w:eastAsia="Arial" w:hAnsi="Arial"/>
          <w:sz w:val="17"/>
          <w:szCs w:val="17"/>
          <w:i w:val="1"/>
          <w:iCs w:val="1"/>
          <w:color w:val="auto"/>
        </w:rPr>
        <w:t>Multiple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Deliverable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 — a Consensus of the FASB Emerging Issues Task Force</w:t>
      </w:r>
      <w:r>
        <w:rPr>
          <w:rFonts w:ascii="Arial" w:cs="Arial" w:eastAsia="Arial" w:hAnsi="Arial"/>
          <w:sz w:val="17"/>
          <w:szCs w:val="17"/>
          <w:color w:val="auto"/>
        </w:rPr>
        <w:t>. Pursuant to ASU 2009</w:t>
      </w:r>
      <w:r>
        <w:rPr>
          <w:rFonts w:ascii="MS PGothic" w:cs="MS PGothic" w:eastAsia="MS PGothic" w:hAnsi="MS PGothic"/>
          <w:sz w:val="17"/>
          <w:szCs w:val="17"/>
          <w:color w:val="auto"/>
        </w:rPr>
        <w:t>‑</w:t>
      </w:r>
      <w:r>
        <w:rPr>
          <w:rFonts w:ascii="Arial" w:cs="Arial" w:eastAsia="Arial" w:hAnsi="Arial"/>
          <w:sz w:val="17"/>
          <w:szCs w:val="17"/>
          <w:color w:val="auto"/>
        </w:rPr>
        <w:t>13, in order to treat deliverables in a multiple</w:t>
      </w:r>
      <w:r>
        <w:rPr>
          <w:rFonts w:ascii="MS PGothic" w:cs="MS PGothic" w:eastAsia="MS PGothic" w:hAnsi="MS PGothic"/>
          <w:sz w:val="17"/>
          <w:szCs w:val="17"/>
          <w:color w:val="auto"/>
        </w:rPr>
        <w:t>‑</w:t>
      </w:r>
      <w:r>
        <w:rPr>
          <w:rFonts w:ascii="Arial" w:cs="Arial" w:eastAsia="Arial" w:hAnsi="Arial"/>
          <w:sz w:val="17"/>
          <w:szCs w:val="17"/>
          <w:color w:val="auto"/>
        </w:rPr>
        <w:t>element</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as separate units of accounting, the deliverables must have stand</w:t>
      </w:r>
      <w:r>
        <w:rPr>
          <w:rFonts w:ascii="MS PGothic" w:cs="MS PGothic" w:eastAsia="MS PGothic" w:hAnsi="MS PGothic"/>
          <w:sz w:val="17"/>
          <w:szCs w:val="17"/>
          <w:color w:val="auto"/>
        </w:rPr>
        <w:t>‑</w:t>
      </w:r>
      <w:r>
        <w:rPr>
          <w:rFonts w:ascii="Arial" w:cs="Arial" w:eastAsia="Arial" w:hAnsi="Arial"/>
          <w:sz w:val="17"/>
          <w:szCs w:val="17"/>
          <w:color w:val="auto"/>
        </w:rPr>
        <w:t>alone value upon delivery. If the deliverables have stand</w:t>
      </w:r>
      <w:r>
        <w:rPr>
          <w:rFonts w:ascii="MS PGothic" w:cs="MS PGothic" w:eastAsia="MS PGothic" w:hAnsi="MS PGothic"/>
          <w:sz w:val="17"/>
          <w:szCs w:val="17"/>
          <w:color w:val="auto"/>
        </w:rPr>
        <w:t>‑</w:t>
      </w:r>
      <w:r>
        <w:rPr>
          <w:rFonts w:ascii="Arial" w:cs="Arial" w:eastAsia="Arial" w:hAnsi="Arial"/>
          <w:sz w:val="17"/>
          <w:szCs w:val="17"/>
          <w:color w:val="auto"/>
        </w:rPr>
        <w:t>alone value upon delivery, we account for each deliverable separately. We have concluded that each element in the arrangement has stand</w:t>
      </w:r>
      <w:r>
        <w:rPr>
          <w:rFonts w:ascii="MS PGothic" w:cs="MS PGothic" w:eastAsia="MS PGothic" w:hAnsi="MS PGothic"/>
          <w:sz w:val="17"/>
          <w:szCs w:val="17"/>
          <w:color w:val="auto"/>
        </w:rPr>
        <w:t>‑</w:t>
      </w:r>
      <w:r>
        <w:rPr>
          <w:rFonts w:ascii="Arial" w:cs="Arial" w:eastAsia="Arial" w:hAnsi="Arial"/>
          <w:sz w:val="17"/>
          <w:szCs w:val="17"/>
          <w:color w:val="auto"/>
        </w:rPr>
        <w:t>alone value as the individual services can be sold separately. In addition, there is no right of refund once a service has been delivered. Therefore, we have concluded that each element of the arrangement is a separate unit of accounting. While these arrangements are considered multiple element</w:t>
      </w:r>
      <w:r>
        <w:rPr>
          <w:rFonts w:ascii="MS PGothic" w:cs="MS PGothic" w:eastAsia="MS PGothic" w:hAnsi="MS PGothic"/>
          <w:sz w:val="17"/>
          <w:szCs w:val="17"/>
          <w:color w:val="auto"/>
        </w:rPr>
        <w:t>‑</w:t>
      </w:r>
      <w:r>
        <w:rPr>
          <w:rFonts w:ascii="Arial" w:cs="Arial" w:eastAsia="Arial" w:hAnsi="Arial"/>
          <w:sz w:val="17"/>
          <w:szCs w:val="17"/>
          <w:color w:val="auto"/>
        </w:rPr>
        <w:t>arrangements, the recognition of the units of accounting follow a consistent ratable recognition given the pattern over which services are provided.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9" w:name="page60"/>
    <w:bookmarkEnd w:id="59"/>
    <w:p>
      <w:pPr>
        <w:jc w:val="both"/>
        <w:ind w:firstLine="555"/>
        <w:spacing w:after="0" w:line="276" w:lineRule="auto"/>
        <w:rPr>
          <w:sz w:val="20"/>
          <w:szCs w:val="20"/>
          <w:color w:val="auto"/>
        </w:rPr>
      </w:pPr>
      <w:r>
        <w:rPr>
          <w:rFonts w:ascii="Arial" w:cs="Arial" w:eastAsia="Arial" w:hAnsi="Arial"/>
          <w:sz w:val="17"/>
          <w:szCs w:val="17"/>
          <w:color w:val="auto"/>
        </w:rPr>
        <w:t>We establish sales allowances at the time of revenue recognition based on our history of adjustments and credits provided to our customers. Sales allowances relate primarily to credits issued for service interruption. In assessing the adequacy of the sales allowance, we evaluate our history of adjustments and credits made through the date of the issuance of the financial statements. Estimated sales adjustments and credits and ultimate losses may vary from actual results which could be material to the financial statements; however, to date, actual sales allowances have been materially consistent with our estimates. Sales allowances are recorded as a reduction to revenue in the consolidated statements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Following adoption of ASC 606</w:t>
      </w:r>
    </w:p>
    <w:p>
      <w:pPr>
        <w:spacing w:after="0" w:line="117"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 xml:space="preserve">In May 2014, the Financial Accounting Standards Board, or FASB, issued ASU No. 2014-09, </w:t>
      </w:r>
      <w:r>
        <w:rPr>
          <w:rFonts w:ascii="Arial" w:cs="Arial" w:eastAsia="Arial" w:hAnsi="Arial"/>
          <w:sz w:val="18"/>
          <w:szCs w:val="18"/>
          <w:i w:val="1"/>
          <w:iCs w:val="1"/>
          <w:color w:val="auto"/>
        </w:rPr>
        <w:t>Revenue from Contracts with Customers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which modifies how all entities recognize revenue, and consolidates revenue recognition guidance into one ASC Topic (ASC Topic 606,</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 Since we ceased to be an emerging growth company as of December 31, 2018, we adopted the standard during the fourth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2018 and applied the modified retrospective method of adoption with a cumulative catch-up adjustment to the opening balance of retained earnings at January 1, 2018. Under this method, we applied the revised guidance for the year of adoption and applied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in the prior years. As a result, we applied ASC 606 only to contracts that were not yet completed as of January 1, 2018. We recognized a cumulative catch-up adjustment to the opening balance of retained earnings at the effective date for contracts that still required performance by us on January 1, 2018. For contracts that were modified before the effective date, we exercised the use of the practical expedient and reflected the aggregate effect of all modifications when identifying performance obligations, determining the transaction price and allocating transaction price, which did not have a material effect on the adjustment to retained earnings.</w:t>
      </w:r>
    </w:p>
    <w:p>
      <w:pPr>
        <w:spacing w:after="0" w:line="19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we apply the following five steps:</w:t>
      </w:r>
    </w:p>
    <w:p>
      <w:pPr>
        <w:spacing w:after="0" w:line="73" w:lineRule="exact"/>
        <w:rPr>
          <w:sz w:val="20"/>
          <w:szCs w:val="20"/>
          <w:color w:val="auto"/>
        </w:rPr>
      </w:pPr>
    </w:p>
    <w:p>
      <w:pPr>
        <w:ind w:left="960" w:hanging="398"/>
        <w:spacing w:after="0"/>
        <w:tabs>
          <w:tab w:leader="none" w:pos="9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Identify the contract with a customer</w:t>
      </w:r>
    </w:p>
    <w:p>
      <w:pPr>
        <w:spacing w:after="0" w:line="117" w:lineRule="exact"/>
        <w:rPr>
          <w:rFonts w:ascii="Arial" w:cs="Arial" w:eastAsia="Arial" w:hAnsi="Arial"/>
          <w:sz w:val="18"/>
          <w:szCs w:val="18"/>
          <w:i w:val="1"/>
          <w:iCs w:val="1"/>
          <w:color w:val="auto"/>
        </w:rPr>
      </w:pPr>
    </w:p>
    <w:p>
      <w:pPr>
        <w:ind w:left="960" w:hanging="398"/>
        <w:spacing w:after="0"/>
        <w:tabs>
          <w:tab w:leader="none" w:pos="9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Identify the performance obligations in the contract</w:t>
      </w:r>
    </w:p>
    <w:p>
      <w:pPr>
        <w:spacing w:after="0" w:line="117" w:lineRule="exact"/>
        <w:rPr>
          <w:rFonts w:ascii="Arial" w:cs="Arial" w:eastAsia="Arial" w:hAnsi="Arial"/>
          <w:sz w:val="18"/>
          <w:szCs w:val="18"/>
          <w:i w:val="1"/>
          <w:iCs w:val="1"/>
          <w:color w:val="auto"/>
        </w:rPr>
      </w:pPr>
    </w:p>
    <w:p>
      <w:pPr>
        <w:ind w:left="960" w:hanging="398"/>
        <w:spacing w:after="0"/>
        <w:tabs>
          <w:tab w:leader="none" w:pos="9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Determine the transaction price</w:t>
      </w:r>
    </w:p>
    <w:p>
      <w:pPr>
        <w:spacing w:after="0" w:line="117" w:lineRule="exact"/>
        <w:rPr>
          <w:rFonts w:ascii="Arial" w:cs="Arial" w:eastAsia="Arial" w:hAnsi="Arial"/>
          <w:sz w:val="18"/>
          <w:szCs w:val="18"/>
          <w:i w:val="1"/>
          <w:iCs w:val="1"/>
          <w:color w:val="auto"/>
        </w:rPr>
      </w:pPr>
    </w:p>
    <w:p>
      <w:pPr>
        <w:ind w:left="960" w:hanging="398"/>
        <w:spacing w:after="0"/>
        <w:tabs>
          <w:tab w:leader="none" w:pos="9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Allocate the transaction price to performance obligations in the contract</w:t>
      </w:r>
    </w:p>
    <w:p>
      <w:pPr>
        <w:spacing w:after="0" w:line="117" w:lineRule="exact"/>
        <w:rPr>
          <w:rFonts w:ascii="Arial" w:cs="Arial" w:eastAsia="Arial" w:hAnsi="Arial"/>
          <w:sz w:val="18"/>
          <w:szCs w:val="18"/>
          <w:i w:val="1"/>
          <w:iCs w:val="1"/>
          <w:color w:val="auto"/>
        </w:rPr>
      </w:pPr>
    </w:p>
    <w:p>
      <w:pPr>
        <w:ind w:left="960" w:hanging="398"/>
        <w:spacing w:after="0"/>
        <w:tabs>
          <w:tab w:leader="none" w:pos="9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Recognize revenue when or as we satisfy a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revenue from contracts with customers by revenue source for the years ended December 31, 2019, 2018 and 2017.</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 by Revenue Stream</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060" w:type="dxa"/>
            <w:vAlign w:val="bottom"/>
          </w:tcPr>
          <w:p>
            <w:pPr>
              <w:ind w:left="380"/>
              <w:spacing w:after="0"/>
              <w:rPr>
                <w:sz w:val="20"/>
                <w:szCs w:val="20"/>
                <w:color w:val="auto"/>
              </w:rPr>
            </w:pPr>
            <w:r>
              <w:rPr>
                <w:rFonts w:ascii="Arial" w:cs="Arial" w:eastAsia="Arial" w:hAnsi="Arial"/>
                <w:sz w:val="18"/>
                <w:szCs w:val="18"/>
                <w:color w:val="auto"/>
              </w:rPr>
              <w:t>Marketplace subscription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526,043</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405,780</w:t>
            </w:r>
          </w:p>
        </w:tc>
        <w:tc>
          <w:tcPr>
            <w:tcW w:w="1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282,664</w:t>
            </w:r>
          </w:p>
        </w:tc>
        <w:tc>
          <w:tcPr>
            <w:tcW w:w="60" w:type="dxa"/>
            <w:vAlign w:val="bottom"/>
          </w:tcPr>
          <w:p>
            <w:pPr>
              <w:spacing w:after="0"/>
              <w:rPr>
                <w:sz w:val="19"/>
                <w:szCs w:val="19"/>
                <w:color w:val="auto"/>
              </w:rPr>
            </w:pPr>
          </w:p>
        </w:tc>
      </w:tr>
      <w:tr>
        <w:trPr>
          <w:trHeight w:val="230"/>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Advertising and other revenue</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62,873</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48,306</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34,197</w:t>
            </w:r>
          </w:p>
        </w:tc>
        <w:tc>
          <w:tcPr>
            <w:tcW w:w="60" w:type="dxa"/>
            <w:vAlign w:val="bottom"/>
            <w:shd w:val="clear" w:color="auto" w:fill="CFF0FC"/>
          </w:tcPr>
          <w:p>
            <w:pPr>
              <w:spacing w:after="0"/>
              <w:rPr>
                <w:sz w:val="19"/>
                <w:szCs w:val="19"/>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588,916</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454,086</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316,861</w:t>
            </w:r>
          </w:p>
        </w:tc>
        <w:tc>
          <w:tcPr>
            <w:tcW w:w="6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provide disaggregation of revenue based on the marketplace subscription versus advertising and other revenue classification in the table above and based on geographic region (see Note 13) as we believe these categories best depict how the nature, amount, timing and uncertainty of revenue and cash flows are affected by economic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For dealer listings, we provide a single similar service each day for a period of time. Each time increment (i.e. day), rather than the underlying activities, is distinct and substantially the same and therefore our performance obligation is to provide a series of daily activities over the contract term. Similar to the dealer listings, the dealer display advertising is considered a promise to provide a single similar service each day. Each time increment is distinct and substantially the same and therefore our performance obligation is to provide a series of daily activities over the contract term.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jc w:val="both"/>
        <w:ind w:firstLine="555"/>
        <w:spacing w:after="0" w:line="270" w:lineRule="auto"/>
        <w:rPr>
          <w:sz w:val="20"/>
          <w:szCs w:val="20"/>
          <w:color w:val="auto"/>
        </w:rPr>
      </w:pPr>
      <w:r>
        <w:rPr>
          <w:rFonts w:ascii="Arial" w:cs="Arial" w:eastAsia="Arial" w:hAnsi="Arial"/>
          <w:sz w:val="17"/>
          <w:szCs w:val="17"/>
          <w:color w:val="auto"/>
        </w:rPr>
        <w:t>Total consideration for marketplace subscription revenue is stated within the contracts. There are no contractual cash refund rights, but credits may be issued to a customer at our sole discretion. At an individual contract level, there is also no variable consideration, such as sales allowance, that needs to be included in the transaction price. However, at a portfolio level, we recognize that there are times when there is a customer satisfaction issue or other circumstance that will lead to a credit. Due to the known possibility of future credits, a monthly sales allowance review is performed to defer revenue at a portfolio level for such future adjustments in the period of incurrence. We establish sales allowances at the time of revenue recognition based on our history of adjustments and credits provided to our customers. In assessing the adequacy of the sales allowance, we evaluate our history of adjustments and credits made through the date of the issuance of the financial statements. Estimated sales adjustments, credits and losses may vary from actual results which could lead to material adjustments to the financial statements. To date, actual sales allowances have been materially consistent with our estimates. Sales allowances are recorded as a reduction to revenue in the consolidated statements of operations.</w:t>
      </w:r>
    </w:p>
    <w:p>
      <w:pPr>
        <w:spacing w:after="0" w:line="18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Performance obligations are satisfied over time as the customer simultaneously receives and consumes the benefit of the service. Revenue is recognized ratably over the subscription period beginning on the date we start providing services to the customer under the contract. Revenue is presented net of any taxes collected from customers.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advertising revenue, the performance obligation is to publish the agreed upon campaign on our websites and load the related impressions.</w:t>
      </w:r>
    </w:p>
    <w:p>
      <w:pPr>
        <w:spacing w:after="0" w:line="23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Advertising contracts state the transaction price within the agreement with payment being based on the number of clicks or impressions delivered on our websites. Total consideration is based on output and deemed variable consideration constrained by an agreed upon delivery schedule. Additionally, there are generally no contractual cash refund rights. Certain contracts do contain the right for credits in situations in which impressions are not displayed in compliance with contractual specifications. At an individual contract level, we may give a credit for a customer satisfaction issue or other circumstance. Due to the known possibility of future credits, a monthly review is performed to defer revenue at an individual contract level for such future adjustments in the period of incurrence.</w:t>
      </w:r>
    </w:p>
    <w:p>
      <w:pPr>
        <w:spacing w:after="0" w:line="19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As consideration is driven by the number of impressions delivered on the CarGurus websites, the consideration for each period is allocated to the period in which the service was rendered.</w:t>
      </w:r>
    </w:p>
    <w:p>
      <w:pPr>
        <w:spacing w:after="0" w:line="170"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us is recognized based on the gross amount charged to the advertiser and advertising revenue sold by partners is recognized based on the net amount of revenue received from the content partners. Revenue is presented net of any taxes collected from customers.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revenue includes revenue from contracts for which the performance obligation is a series of distinct services with the same level of effort daily.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these contracts, we estimate the value of the variable consideration in determining the transaction price and allocates it to the performance obligation.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is estimated and recognized on a ratable basis over the contractual term. We reassess the estimate of variable consideration at each reporting period.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periodically enter into arrangements that include Listings and Dealer Display within marketplace subscription revenue. These contracts include multiple promises that we evaluate to determine if the promises are separate performance obligations. Performance obligations are identified based on services to be transferred to a customer that are distinct within the context of the contractual terms. Once the performance obligations have been identified, we determine the transaction price, which includes estimating the amount of variable consideration to be included in the transaction price, if any. If required, the transaction price is allocated to each performance obligation in the contract based on a relative standalone selling price (“SSP”) method as the performance obligation is being satisfied. For our arrangements that include Listings and Dealer Display, the performance obligations were satisfied over a consistent period of time and therefore the allocations did not impact the revenue recognized.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Costs to Obtain a Contract</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Commissions paid to sales representatives and payroll taxes are considered costs to obtain a contract. Under ASC 606, the costs to obtain a contract require capitalization and amortization of those costs over the period of benefit. Although the guidance specifies the accounting for an individual contract with a customer, as a practical expedient, we have opted to apply the guidance to a portfolio of contracts with similar characteristics. We have opted to apply another practical expedient to immediately expense the incremental cost of obtaining a contract when the underlying related asset would have been amortized over one year or less. As such, we applied this practical expedient to advertising contracts as the term is one year or less and these contracts do not renew automatically. The practical expedient is not applicable to marketplace subscription contracts as the period of benefit including renewals is anticipated to be greater than one year as commissions paid on contract renewals are not commensurate with the commissions paid on the initial contract. The assets are periodically assessed for impairment.</w:t>
      </w:r>
    </w:p>
    <w:p>
      <w:pPr>
        <w:spacing w:after="0" w:line="179"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For marketplace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our own historical data. Commissions paid that are not directly related to obtaining a new contract are expensed as incurred.</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Additionally, we allocate employer payroll tax expense to the commission expense in proportion to the overall payroll taxes paid during the respective period. As such, capitalized payroll taxes are amortized in the same manner as the underlying capitalized commissions.</w:t>
      </w:r>
    </w:p>
    <w:p>
      <w:pPr>
        <w:spacing w:after="0" w:line="170"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8"/>
          <w:szCs w:val="18"/>
          <w:color w:val="auto"/>
        </w:rPr>
        <w:t>The assets recognized for costs to obtain a contract were $3.2 million, $12.5 million and $20.1 million as of January 1, 2018, December 31, 2018 and December 31, 2019, respectively. Amortization expense recognized during the years ended December 31, 2019 and 2018 related to costs to obtain a contract was $8.4 million and $3.7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Website Development and Internal-Use Software Costs</w:t>
      </w:r>
    </w:p>
    <w:p>
      <w:pPr>
        <w:spacing w:after="0" w:line="117"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color w:val="auto"/>
        </w:rPr>
        <w:t>We capitalize certain costs associated with the development of our websites and internal</w:t>
      </w:r>
      <w:r>
        <w:rPr>
          <w:rFonts w:ascii="MS PGothic" w:cs="MS PGothic" w:eastAsia="MS PGothic" w:hAnsi="MS PGothic"/>
          <w:sz w:val="17"/>
          <w:szCs w:val="17"/>
          <w:color w:val="auto"/>
        </w:rPr>
        <w:t>‑</w:t>
      </w:r>
      <w:r>
        <w:rPr>
          <w:rFonts w:ascii="Arial" w:cs="Arial" w:eastAsia="Arial" w:hAnsi="Arial"/>
          <w:sz w:val="17"/>
          <w:szCs w:val="17"/>
          <w:color w:val="auto"/>
        </w:rPr>
        <w:t>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software project with the required authority, it is probable the project will be completed, the software will be used to perform the functions intended and certain functional and quality standards have been met. Qualified costs incurred during the operating stage of our software applications relating to upgrades and enhancements are capitalized to the extent it is probable that they will result in added functionality, while costs that cannot be separated between maintenance of, and minor upgrades and enhancements to, internal</w:t>
      </w:r>
      <w:r>
        <w:rPr>
          <w:rFonts w:ascii="MS PGothic" w:cs="MS PGothic" w:eastAsia="MS PGothic" w:hAnsi="MS PGothic"/>
          <w:sz w:val="17"/>
          <w:szCs w:val="17"/>
          <w:color w:val="auto"/>
        </w:rPr>
        <w:t>‑</w:t>
      </w:r>
      <w:r>
        <w:rPr>
          <w:rFonts w:ascii="Arial" w:cs="Arial" w:eastAsia="Arial" w:hAnsi="Arial"/>
          <w:sz w:val="17"/>
          <w:szCs w:val="17"/>
          <w:color w:val="auto"/>
        </w:rPr>
        <w:t>use software are expensed as incurred.</w:t>
      </w:r>
    </w:p>
    <w:p>
      <w:pPr>
        <w:spacing w:after="0" w:line="205"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Capitalized website and software development costs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life of three years beginning with the time when it is ready for intended use. Capitalized internal-use software costs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life of the term of the hosting arrangement, taking into consideration several other factors such as, but not limited to, options to extend the hosting arrangement or options to terminate the hosting arrangement, beginning with the time when it is ready for intended use. Amounts amortized are presented through operating expense, rather than depreciation or amortization. Management evaluates the useful lives of these assets on an annual basis and tests for impairment whenever events or changes in circumstances occur that could impact the recoverability of these assets.</w:t>
      </w:r>
    </w:p>
    <w:p>
      <w:pPr>
        <w:spacing w:after="0" w:line="20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During the years ended December 31, 2019 and 2018, we capitalized $4.2 million and $2.0 million of website development costs, respectively. We recorded amortization expense associated with our capitalized website development costs of $1.6 million, $1.5 million and $0.8 million for the years ended December 31, 2019, 2018, and 2017, respectively.</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During the year ended December 31, 2019, we capitalized $2.6 million and $0.6 million of internal-use software in other non-current assets and in prepaid expenses and prepaid income taxes, respectively. We recorded amortization expense associated with its internal-use software of $0.1 million for the year ended December 31,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Acquired Assets and Liabilities</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measure all consideration transferred in a business combination at its acquisition-date fair value. Consideration transferred is determined by the acquisition-date fair value of assets transferred, liabilities assumed, including contingent consideration obligations, as applicable. We measure goodwill as the excess of the consideration transferred over the net of the acquisition-date amounts of assets acquired less liabilities assumed.</w:t>
      </w:r>
    </w:p>
    <w:p>
      <w:pPr>
        <w:spacing w:after="0" w:line="166"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We make significant assumptions and estimates in determining the fair value of the acquired assets and liabilities as of the acquisition date, especially the valuation of intangible assets and certain tax positions. We record estimates as of the acquisition date and reassess the estimates at each reporting period up to one year after the acquisition date. Changes in estimates made prior to finalization of purchase accounting are recorded to goodwill.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Intangible assets are recorded at their estimated fair value at the date of acquisition. We amortize intangible assets over their estimated useful lives on a straight-line basis. Amortization is recorded over the relevant estimated useful lives ranging from three to eleven years.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evaluate the useful lives of these assets on an annual basis and test for impairment whenever events or changes in circumstances occur that could impact the recoverability of these assets. If the estimate of an intangible asset’s remaining useful life is changed, we amortize the remaining carrying value of the intangible asset prospectively over the revised remaining useful life.</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For the year ended December 31, 2019, we did not identify any impairment of our intangible assets. We did not have intangible assets prior to the closing of the PistonHeads acquisition on January 8,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Goodwill is recorded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our stock price for a sustained period or a reduction of our market capitalization relative to net book value.</w:t>
      </w:r>
    </w:p>
    <w:p>
      <w:pPr>
        <w:spacing w:after="0" w:line="17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have determined that we have two reporting units, United States and International, as of and for the year ended December 31, 2019. We evaluate impairment annually on October 1 by comparing the estimated fair value of each reporting unit to its carrying value. We estimate fair value using a discounted cash flow model based on our most recent forecast at the time of our annual impairment test.</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For the year ended December 31, 2019, we did not recognize an impairment charge. We did not have goodwill prior to the closing of the PistonHeads acquisition on January 8,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account for income taxes in accordance with the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87"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We account for uncertain tax positions recognized in the consolidated financial statements by prescribing a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threshold for financial statement recognition and measurement of a tax position taken or expected to be taken in a tax return. Interest and penalties, if applicable, related to uncertain tax positions would be recognized as a component of income tax expense. We have no recorded liabilities for uncertain tax positions as of December 31, 2019 or 2018.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jc w:val="both"/>
        <w:ind w:firstLine="555"/>
        <w:spacing w:after="0" w:line="279" w:lineRule="auto"/>
        <w:rPr>
          <w:sz w:val="20"/>
          <w:szCs w:val="20"/>
          <w:color w:val="auto"/>
        </w:rPr>
      </w:pPr>
      <w:r>
        <w:rPr>
          <w:rFonts w:ascii="Arial" w:cs="Arial" w:eastAsia="Arial" w:hAnsi="Arial"/>
          <w:sz w:val="17"/>
          <w:szCs w:val="17"/>
          <w:color w:val="auto"/>
        </w:rPr>
        <w:t>The Tax Cuts and Jobs Act subjects a U.S. shareholder to tax on global intangible low-taxed income, or GILTI, earned by certain foreign subsidiaries. An entity can make an accounting policy election, per the FASB Staff Q&amp;A, Topic 740, No. 5, Accounting for Global Intangible Low-Taxed Income, either to recognize deferred taxes for temporary basis differences expected to reverse as GILTI in future years or to provide for the tax expense related to GILTI in the year the tax is incurred as a period expense only. We elected to account for GILTI as a period cost in the year the tax is incurred.</w:t>
      </w:r>
    </w:p>
    <w:p>
      <w:pPr>
        <w:spacing w:after="0" w:line="28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For stock-based awards issued under our stock-based compensation plans, the fair value of each award is determined on the date of grant. We recognize compensation expense for service-based awards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87"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Certain awards granted prior to the IPO were subject to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and a performance</w:t>
      </w:r>
      <w:r>
        <w:rPr>
          <w:rFonts w:ascii="MS PGothic" w:cs="MS PGothic" w:eastAsia="MS PGothic" w:hAnsi="MS PGothic"/>
          <w:sz w:val="17"/>
          <w:szCs w:val="17"/>
          <w:color w:val="auto"/>
        </w:rPr>
        <w:t>‑</w:t>
      </w:r>
      <w:r>
        <w:rPr>
          <w:rFonts w:ascii="Arial" w:cs="Arial" w:eastAsia="Arial" w:hAnsi="Arial"/>
          <w:sz w:val="17"/>
          <w:szCs w:val="17"/>
          <w:color w:val="auto"/>
        </w:rPr>
        <w:t>based vesting condition achieved upon a liquidity event, defined as either a change of control or an initial public offering. The SEC’s declaration of effectiveness of the registration statement on Form S-1 on October 11, 2017 satisfied the liquidity event performance condition. Upon the achievement of the liquidity event, we recorded previously unrecognized cumulative stock-based compensation expense of $2.5 million related to these awards. Although the performance-based vesting condition was satisfied, under the terms of the awards, the settlement of such vested RSUs and the issuance of common stock with respect to such vested RSUs, occurred on April 10, 2018, one hundred eighty-one days after the satisfaction of the performance condition.</w:t>
      </w:r>
    </w:p>
    <w:p>
      <w:pPr>
        <w:spacing w:after="0" w:line="203"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6"/>
          <w:szCs w:val="16"/>
          <w:color w:val="auto"/>
        </w:rPr>
        <w:t>Given the absence of an active market for our common stock prior to the IPO, our board of directors was required to estimate the fair value of our stock at the time of each grant of a stock</w:t>
      </w:r>
      <w:r>
        <w:rPr>
          <w:rFonts w:ascii="MS PGothic" w:cs="MS PGothic" w:eastAsia="MS PGothic" w:hAnsi="MS PGothic"/>
          <w:sz w:val="16"/>
          <w:szCs w:val="16"/>
          <w:color w:val="auto"/>
        </w:rPr>
        <w:t>‑</w:t>
      </w:r>
      <w:r>
        <w:rPr>
          <w:rFonts w:ascii="Arial" w:cs="Arial" w:eastAsia="Arial" w:hAnsi="Arial"/>
          <w:sz w:val="16"/>
          <w:szCs w:val="16"/>
          <w:color w:val="auto"/>
        </w:rPr>
        <w:t xml:space="preserve">based award. We believe that the members of our board of directors at all relevant times had sufficient business, finance or venture capital experience to make such estimates. We and our board of directors utilized various valuation methodologies in accordance with the framework of the American Institute of Certified Public Accountants’ Technical Practice Aid, </w:t>
      </w:r>
      <w:r>
        <w:rPr>
          <w:rFonts w:ascii="Arial" w:cs="Arial" w:eastAsia="Arial" w:hAnsi="Arial"/>
          <w:sz w:val="16"/>
          <w:szCs w:val="16"/>
          <w:i w:val="1"/>
          <w:iCs w:val="1"/>
          <w:color w:val="auto"/>
        </w:rPr>
        <w:t>Valuation of Privately</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Held Company Equity Securities Issued</w:t>
      </w:r>
      <w:r>
        <w:rPr>
          <w:rFonts w:ascii="Arial" w:cs="Arial" w:eastAsia="Arial" w:hAnsi="Arial"/>
          <w:sz w:val="16"/>
          <w:szCs w:val="16"/>
          <w:color w:val="auto"/>
        </w:rPr>
        <w:t xml:space="preserve"> </w:t>
      </w:r>
      <w:r>
        <w:rPr>
          <w:rFonts w:ascii="Arial" w:cs="Arial" w:eastAsia="Arial" w:hAnsi="Arial"/>
          <w:sz w:val="16"/>
          <w:szCs w:val="16"/>
          <w:i w:val="1"/>
          <w:iCs w:val="1"/>
          <w:color w:val="auto"/>
        </w:rPr>
        <w:t>as Compensation</w:t>
      </w:r>
      <w:r>
        <w:rPr>
          <w:rFonts w:ascii="Arial" w:cs="Arial" w:eastAsia="Arial" w:hAnsi="Arial"/>
          <w:sz w:val="16"/>
          <w:szCs w:val="16"/>
          <w:color w:val="auto"/>
        </w:rPr>
        <w:t>, to estimate the fair value of our common stock. Each valuation methodology includes estimates and assumptions that required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estimates and assumptions include a number of objective and subjective factors used to determine the value of our common stock at each grant date, including the following factors: (1) prices paid for our convertible preferred stock, which we had sold to outside investors in arm’s</w:t>
      </w:r>
      <w:r>
        <w:rPr>
          <w:rFonts w:ascii="MS PGothic" w:cs="MS PGothic" w:eastAsia="MS PGothic" w:hAnsi="MS PGothic"/>
          <w:sz w:val="16"/>
          <w:szCs w:val="16"/>
          <w:color w:val="auto"/>
        </w:rPr>
        <w:t>‑</w:t>
      </w:r>
      <w:r>
        <w:rPr>
          <w:rFonts w:ascii="Arial" w:cs="Arial" w:eastAsia="Arial" w:hAnsi="Arial"/>
          <w:sz w:val="16"/>
          <w:szCs w:val="16"/>
          <w:color w:val="auto"/>
        </w:rPr>
        <w:t>length transactions, and the rights, preferences, and privileges of our convertible preferred stock and common stock; (2) valuations performed by an independent valuation specialist;</w:t>
      </w:r>
    </w:p>
    <w:p>
      <w:pPr>
        <w:spacing w:after="0" w:line="1" w:lineRule="exact"/>
        <w:rPr>
          <w:sz w:val="20"/>
          <w:szCs w:val="20"/>
          <w:color w:val="auto"/>
        </w:rPr>
      </w:pPr>
    </w:p>
    <w:p>
      <w:pPr>
        <w:ind w:left="280" w:hanging="272"/>
        <w:spacing w:after="0" w:line="184" w:lineRule="exact"/>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stage of development and revenue growth; (4) the fact that the grants of stock</w:t>
      </w:r>
      <w:r>
        <w:rPr>
          <w:rFonts w:ascii="MS PGothic" w:cs="MS PGothic" w:eastAsia="MS PGothic" w:hAnsi="MS PGothic"/>
          <w:sz w:val="16"/>
          <w:szCs w:val="16"/>
          <w:color w:val="auto"/>
        </w:rPr>
        <w:t>‑</w:t>
      </w:r>
      <w:r>
        <w:rPr>
          <w:rFonts w:ascii="Arial" w:cs="Arial" w:eastAsia="Arial" w:hAnsi="Arial"/>
          <w:sz w:val="16"/>
          <w:szCs w:val="16"/>
          <w:color w:val="auto"/>
        </w:rPr>
        <w:t>based awards involved illiquid securities in a private company; and</w:t>
      </w:r>
    </w:p>
    <w:p>
      <w:pPr>
        <w:spacing w:after="0" w:line="32" w:lineRule="exact"/>
        <w:rPr>
          <w:rFonts w:ascii="Arial" w:cs="Arial" w:eastAsia="Arial" w:hAnsi="Arial"/>
          <w:sz w:val="16"/>
          <w:szCs w:val="16"/>
          <w:color w:val="auto"/>
        </w:rPr>
      </w:pPr>
    </w:p>
    <w:p>
      <w:pPr>
        <w:ind w:firstLine="8"/>
        <w:spacing w:after="0" w:line="216" w:lineRule="exact"/>
        <w:tabs>
          <w:tab w:leader="none" w:pos="2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common stock underlying the stock</w:t>
      </w:r>
      <w:r>
        <w:rPr>
          <w:rFonts w:ascii="MS PGothic" w:cs="MS PGothic" w:eastAsia="MS PGothic" w:hAnsi="MS PGothic"/>
          <w:sz w:val="18"/>
          <w:szCs w:val="18"/>
          <w:color w:val="auto"/>
        </w:rPr>
        <w:t>‑</w:t>
      </w:r>
      <w:r>
        <w:rPr>
          <w:rFonts w:ascii="Arial" w:cs="Arial" w:eastAsia="Arial" w:hAnsi="Arial"/>
          <w:sz w:val="18"/>
          <w:szCs w:val="18"/>
          <w:color w:val="auto"/>
        </w:rPr>
        <w:t>based awards, such as an IPO or sale of the Company, given prevailing market conditions.</w:t>
      </w:r>
    </w:p>
    <w:p>
      <w:pPr>
        <w:spacing w:after="0" w:line="203"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We believe this methodology was reasonable based upon our internal peer company analyses, and further supported by arm’s</w:t>
      </w:r>
      <w:r>
        <w:rPr>
          <w:rFonts w:ascii="MS PGothic" w:cs="MS PGothic" w:eastAsia="MS PGothic" w:hAnsi="MS PGothic"/>
          <w:sz w:val="18"/>
          <w:szCs w:val="18"/>
          <w:color w:val="auto"/>
        </w:rPr>
        <w:t>‑</w:t>
      </w:r>
      <w:r>
        <w:rPr>
          <w:rFonts w:ascii="Arial" w:cs="Arial" w:eastAsia="Arial" w:hAnsi="Arial"/>
          <w:sz w:val="18"/>
          <w:szCs w:val="18"/>
          <w:color w:val="auto"/>
        </w:rPr>
        <w:t>length transactions involving our convertible preferred stock. As our common stock was not actively traded, the determination of fair value involved assumptions, judgments, and estimates. If different assumptions had been made,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consolidated net income, and consolidated net income per share could have been significantly different.</w:t>
      </w:r>
    </w:p>
    <w:p>
      <w:pPr>
        <w:spacing w:after="0" w:line="204"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For RSUs issued under the stock-based compensation plans prior to the IPO, the fair value of each grant was calculated based on the estimated fair value of our common stock on the date of grant. We estimated the fair value of most stock option awards on the date of grant using the Black-Scholes option-pricing model.</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For RSUs granted subsequent to the IPO, the fair value is determined based on the closing price of our Class A common stock as reported on the Nasdaq Global Select Market on the date of grant.</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issue shares for stock option exercises and RSUs out of our shares available for issuance. No options were granted during the years ended December 31, 2019, 2018, and 2017.</w:t>
      </w:r>
    </w:p>
    <w:p>
      <w:pPr>
        <w:spacing w:after="0" w:line="170"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We account for forfeitures when they occur. The tax effect of differences between tax deductions related to stock compensation and the corresponding financial statement expense compensation are recorded to tax expense. Excess tax benefits recognized 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are classified as an operating activity in the consolidated statements of cash flows.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firstLine="555"/>
        <w:spacing w:after="0" w:line="277" w:lineRule="auto"/>
        <w:rPr>
          <w:sz w:val="20"/>
          <w:szCs w:val="20"/>
          <w:color w:val="auto"/>
        </w:rPr>
      </w:pPr>
      <w:r>
        <w:rPr>
          <w:rFonts w:ascii="Arial" w:cs="Arial" w:eastAsia="Arial" w:hAnsi="Arial"/>
          <w:sz w:val="18"/>
          <w:szCs w:val="18"/>
          <w:color w:val="auto"/>
        </w:rPr>
        <w:t>During 2019, 2018 and 2017, we recorded tax benefits of $11.1 million, $40.8 million and $0.7 million, respectively, related to differences between tax deductions related to stock compensation and the corresponding financial statement expense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consolidated financial statements appearing elsewhere in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We did not have any long</w:t>
      </w:r>
      <w:r>
        <w:rPr>
          <w:rFonts w:ascii="MS PGothic" w:cs="MS PGothic" w:eastAsia="MS PGothic" w:hAnsi="MS PGothic"/>
          <w:sz w:val="18"/>
          <w:szCs w:val="18"/>
          <w:color w:val="auto"/>
        </w:rPr>
        <w:t>‑</w:t>
      </w:r>
      <w:r>
        <w:rPr>
          <w:rFonts w:ascii="Arial" w:cs="Arial" w:eastAsia="Arial" w:hAnsi="Arial"/>
          <w:sz w:val="18"/>
          <w:szCs w:val="18"/>
          <w:color w:val="auto"/>
        </w:rPr>
        <w:t>term borrowings as of December 31, 2019 or 2018.</w:t>
      </w:r>
    </w:p>
    <w:p>
      <w:pPr>
        <w:spacing w:after="0" w:line="225"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7"/>
          <w:szCs w:val="17"/>
          <w:color w:val="auto"/>
        </w:rPr>
        <w:t>We had cash, cash equivalents, and investments of $171.6 million and $157.7 million at December 31, 2019 and 2018, respectively, which consist of bank deposits, money market funds and certificates of deposit with maturity dates ranging from six to nine months. Such interest</w:t>
      </w:r>
      <w:r>
        <w:rPr>
          <w:rFonts w:ascii="MS PGothic" w:cs="MS PGothic" w:eastAsia="MS PGothic" w:hAnsi="MS PGothic"/>
          <w:sz w:val="17"/>
          <w:szCs w:val="17"/>
          <w:color w:val="auto"/>
        </w:rPr>
        <w:t>‑</w:t>
      </w:r>
      <w:r>
        <w:rPr>
          <w:rFonts w:ascii="Arial" w:cs="Arial" w:eastAsia="Arial" w:hAnsi="Arial"/>
          <w:sz w:val="17"/>
          <w:szCs w:val="17"/>
          <w:color w:val="auto"/>
        </w:rPr>
        <w:t>earning instruments carry a degree of interest rate risk. To date, fluctuations in interest income have not been material to the operations of the business.</w:t>
      </w:r>
    </w:p>
    <w:p>
      <w:pPr>
        <w:spacing w:after="0" w:line="202"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Historically, because our operations and sales have been primarily in the United States, we have not faced any significant foreign currency risk. As of December 31, 2019 and 2018, we have foreign currency exposures in the British pound, the Euro and the Canadian dollar, although such exposure is not significant. During the year ended December 31, 2019, our foreign currency exposure increased due to an intercompany note payable in connection with the PistonHeads acquisition. The intercompany note payable was settled during the year ended December 31, 2019.</w:t>
      </w:r>
    </w:p>
    <w:p>
      <w:pPr>
        <w:spacing w:after="0" w:line="171"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7"/>
          <w:szCs w:val="17"/>
          <w:color w:val="auto"/>
        </w:rPr>
        <w:t>Our foreign subsidiaries have intercompany accounts that are eliminated upon consolidation, and these accounts expose us to foreign currency exchange rate fluctuations. Exchange rate fluctuations on short</w:t>
      </w:r>
      <w:r>
        <w:rPr>
          <w:rFonts w:ascii="MS PGothic" w:cs="MS PGothic" w:eastAsia="MS PGothic" w:hAnsi="MS PGothic"/>
          <w:sz w:val="17"/>
          <w:szCs w:val="17"/>
          <w:color w:val="auto"/>
        </w:rPr>
        <w:t>‑</w:t>
      </w:r>
      <w:r>
        <w:rPr>
          <w:rFonts w:ascii="Arial" w:cs="Arial" w:eastAsia="Arial" w:hAnsi="Arial"/>
          <w:sz w:val="17"/>
          <w:szCs w:val="17"/>
          <w:color w:val="auto"/>
        </w:rPr>
        <w:t>term intercompany accounts are recorded in our consolidated statements of operations under the heading other income (expense), net. Long-term intercompany accounts are recorded at their historical rates.</w:t>
      </w:r>
    </w:p>
    <w:p>
      <w:pPr>
        <w:spacing w:after="0" w:line="202"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As we expand internationally, our risks associated with fluctuation in currency rates will become greater, and we will continue to reassess our approach to managing these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720" w:type="dxa"/>
            <w:vAlign w:val="bottom"/>
            <w:gridSpan w:val="10"/>
            <w:vMerge w:val="restart"/>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169"/>
        </w:trPr>
        <w:tc>
          <w:tcPr>
            <w:tcW w:w="10720" w:type="dxa"/>
            <w:vAlign w:val="bottom"/>
            <w:gridSpan w:val="10"/>
            <w:vMerge w:val="continue"/>
          </w:tcPr>
          <w:p>
            <w:pPr>
              <w:spacing w:after="0"/>
              <w:rPr>
                <w:sz w:val="14"/>
                <w:szCs w:val="14"/>
                <w:color w:val="auto"/>
              </w:rPr>
            </w:pPr>
          </w:p>
        </w:tc>
        <w:tc>
          <w:tcPr>
            <w:tcW w:w="72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Balance Sheets as of December 31, 2019 and 2018</w:t>
              </w:r>
            </w:hyperlink>
          </w:p>
        </w:tc>
        <w:tc>
          <w:tcPr>
            <w:tcW w:w="6060" w:type="dxa"/>
            <w:vAlign w:val="bottom"/>
            <w:gridSpan w:val="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Operations for the Years Ended December 31, 2019, 2018, and 2017</w:t>
              </w:r>
            </w:hyperlink>
          </w:p>
        </w:tc>
        <w:tc>
          <w:tcPr>
            <w:tcW w:w="3760" w:type="dxa"/>
            <w:vAlign w:val="bottom"/>
            <w:gridSpan w:val="4"/>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720" w:type="dxa"/>
            <w:vAlign w:val="bottom"/>
            <w:gridSpan w:val="1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Comprehensive Income for the Years Ended December 31, 2019, 2018, and 2017</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10"/>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Consolidated Statements of Convertible Preferred Stock and Stockholders’ Equity (Deficit) for the Years Ended December 31, 2019, 2018, and</w:t>
              </w:r>
            </w:hyperlink>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2017</w:t>
              </w:r>
            </w:hyperlink>
          </w:p>
        </w:tc>
        <w:tc>
          <w:tcPr>
            <w:tcW w:w="25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Cash Flows for the Years Ended December 31, 2019, 2018, and 2017</w:t>
              </w:r>
            </w:hyperlink>
          </w:p>
        </w:tc>
        <w:tc>
          <w:tcPr>
            <w:tcW w:w="3700" w:type="dxa"/>
            <w:vAlign w:val="bottom"/>
            <w:gridSpan w:val="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Notes to Consolidated Financial Statements</w:t>
              </w:r>
            </w:hyperlink>
          </w:p>
        </w:tc>
        <w:tc>
          <w:tcPr>
            <w:tcW w:w="7560" w:type="dxa"/>
            <w:vAlign w:val="bottom"/>
            <w:gridSpan w:val="7"/>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696"/>
        </w:trPr>
        <w:tc>
          <w:tcPr>
            <w:tcW w:w="6960" w:type="dxa"/>
            <w:vAlign w:val="bottom"/>
            <w:gridSpan w:val="6"/>
          </w:tcPr>
          <w:p>
            <w:pPr>
              <w:ind w:left="562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7" w:name="page68"/>
    <w:bookmarkEnd w:id="67"/>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CarGurus,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have audited the accompanying consolidated balance sheets of CarGurus, Inc. (the Company) as of December 31, 2019 and 2018, the related consolidated statements of operations, comprehensive income, convertible preferred stock and stockholders' equity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14, 2020 expressed an unqualified opinion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 due to the adoption of Accounting Standards Update (ASU) No. 2016-02, Leases (Topic 842), and the related amendments.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revenue and the capitalization and amortization of certain contract acquisition costs in 2018 due to the adoption of Accounting Standards Update (ASU) No. 2014-09, Revenue from Contracts with Customers (Topic 606), and the related amendments.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Revenue Recognition</w:t>
            </w:r>
          </w:p>
        </w:tc>
      </w:tr>
      <w:tr>
        <w:trPr>
          <w:trHeight w:val="418"/>
        </w:trPr>
        <w:tc>
          <w:tcPr>
            <w:tcW w:w="980" w:type="dxa"/>
            <w:vAlign w:val="bottom"/>
          </w:tcPr>
          <w:p>
            <w:pPr>
              <w:spacing w:after="0"/>
              <w:rPr>
                <w:sz w:val="20"/>
                <w:szCs w:val="20"/>
                <w:color w:val="auto"/>
              </w:rPr>
            </w:pPr>
            <w:r>
              <w:rPr>
                <w:rFonts w:ascii="Arial" w:cs="Arial" w:eastAsia="Arial" w:hAnsi="Arial"/>
                <w:sz w:val="18"/>
                <w:szCs w:val="18"/>
                <w:i w:val="1"/>
                <w:iCs w:val="1"/>
                <w:color w:val="auto"/>
              </w:rPr>
              <w:t>Description</w:t>
            </w:r>
          </w:p>
        </w:tc>
        <w:tc>
          <w:tcPr>
            <w:tcW w:w="480" w:type="dxa"/>
            <w:vAlign w:val="bottom"/>
          </w:tcPr>
          <w:p>
            <w:pPr>
              <w:ind w:left="120"/>
              <w:spacing w:after="0"/>
              <w:rPr>
                <w:sz w:val="20"/>
                <w:szCs w:val="20"/>
                <w:color w:val="auto"/>
              </w:rPr>
            </w:pPr>
            <w:r>
              <w:rPr>
                <w:rFonts w:ascii="Arial" w:cs="Arial" w:eastAsia="Arial" w:hAnsi="Arial"/>
                <w:sz w:val="18"/>
                <w:szCs w:val="18"/>
                <w:i w:val="1"/>
                <w:iCs w:val="1"/>
                <w:color w:val="auto"/>
              </w:rPr>
              <w:t>of</w:t>
            </w:r>
          </w:p>
        </w:tc>
        <w:tc>
          <w:tcPr>
            <w:tcW w:w="38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9580" w:type="dxa"/>
            <w:vAlign w:val="bottom"/>
          </w:tcPr>
          <w:p>
            <w:pPr>
              <w:ind w:left="160"/>
              <w:spacing w:after="0"/>
              <w:rPr>
                <w:sz w:val="20"/>
                <w:szCs w:val="20"/>
                <w:color w:val="auto"/>
              </w:rPr>
            </w:pPr>
            <w:r>
              <w:rPr>
                <w:rFonts w:ascii="Arial" w:cs="Arial" w:eastAsia="Arial" w:hAnsi="Arial"/>
                <w:sz w:val="18"/>
                <w:szCs w:val="18"/>
                <w:color w:val="auto"/>
                <w:w w:val="96"/>
              </w:rPr>
              <w:t>For the year ended December 31, 2019, the Company recognized revenue of $588.9 million. As explained in Note 2 to the</w:t>
            </w:r>
          </w:p>
        </w:tc>
      </w:tr>
      <w:tr>
        <w:trPr>
          <w:trHeight w:val="216"/>
        </w:trPr>
        <w:tc>
          <w:tcPr>
            <w:tcW w:w="98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1"/>
              </w:rPr>
              <w:t xml:space="preserve">consolidated financial statements, the Company recognizes revenue in accordance with ASC Topic 606, </w:t>
            </w:r>
            <w:r>
              <w:rPr>
                <w:rFonts w:ascii="Arial" w:cs="Arial" w:eastAsia="Arial" w:hAnsi="Arial"/>
                <w:sz w:val="18"/>
                <w:szCs w:val="18"/>
                <w:i w:val="1"/>
                <w:iCs w:val="1"/>
                <w:color w:val="auto"/>
                <w:w w:val="91"/>
              </w:rPr>
              <w:t>Revenue from Contracts</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i w:val="1"/>
                <w:iCs w:val="1"/>
                <w:color w:val="auto"/>
                <w:w w:val="96"/>
              </w:rPr>
              <w:t xml:space="preserve">with Customers, </w:t>
            </w:r>
            <w:r>
              <w:rPr>
                <w:rFonts w:ascii="Arial" w:cs="Arial" w:eastAsia="Arial" w:hAnsi="Arial"/>
                <w:sz w:val="18"/>
                <w:szCs w:val="18"/>
                <w:color w:val="auto"/>
                <w:w w:val="96"/>
              </w:rPr>
              <w:t>upon transfer of control of promised services to customers in an amount that reflects the consideration the</w:t>
            </w: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Company expects to receive in exchange for those services.</w:t>
            </w:r>
          </w:p>
        </w:tc>
      </w:tr>
      <w:tr>
        <w:trPr>
          <w:trHeight w:val="418"/>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5"/>
              </w:rPr>
              <w:t>Auditing management’s recognition of revenue was challenging because of the higher extent of audit effort and because the</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amounts are material to the consolidated financial statements and related disclosures. During our risk assessment process, we</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identified a higher inherent risk related to revenue primarily due to the size of the account and the volume of activity, as well as</w:t>
            </w: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the focus on revenue from readers of the financial statements.</w:t>
            </w:r>
          </w:p>
        </w:tc>
      </w:tr>
      <w:tr>
        <w:trPr>
          <w:trHeight w:val="418"/>
        </w:trPr>
        <w:tc>
          <w:tcPr>
            <w:tcW w:w="1840" w:type="dxa"/>
            <w:vAlign w:val="bottom"/>
            <w:gridSpan w:val="3"/>
          </w:tcPr>
          <w:p>
            <w:pPr>
              <w:spacing w:after="0"/>
              <w:rPr>
                <w:sz w:val="20"/>
                <w:szCs w:val="20"/>
                <w:color w:val="auto"/>
              </w:rPr>
            </w:pPr>
            <w:r>
              <w:rPr>
                <w:rFonts w:ascii="Arial" w:cs="Arial" w:eastAsia="Arial" w:hAnsi="Arial"/>
                <w:sz w:val="18"/>
                <w:szCs w:val="18"/>
                <w:i w:val="1"/>
                <w:iCs w:val="1"/>
                <w:color w:val="auto"/>
                <w:w w:val="96"/>
              </w:rPr>
              <w:t>How We Addressed the</w:t>
            </w:r>
          </w:p>
        </w:tc>
        <w:tc>
          <w:tcPr>
            <w:tcW w:w="9580" w:type="dxa"/>
            <w:vAlign w:val="bottom"/>
          </w:tcPr>
          <w:p>
            <w:pPr>
              <w:ind w:left="160"/>
              <w:spacing w:after="0"/>
              <w:rPr>
                <w:sz w:val="20"/>
                <w:szCs w:val="20"/>
                <w:color w:val="auto"/>
              </w:rPr>
            </w:pPr>
            <w:r>
              <w:rPr>
                <w:rFonts w:ascii="Arial" w:cs="Arial" w:eastAsia="Arial" w:hAnsi="Arial"/>
                <w:sz w:val="18"/>
                <w:szCs w:val="18"/>
                <w:color w:val="auto"/>
                <w:w w:val="89"/>
              </w:rPr>
              <w:t>We obtained an understanding, evaluated the design and tested the operating effectiveness of controls over the Company’s revenue</w:t>
            </w: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i w:val="1"/>
                <w:iCs w:val="1"/>
                <w:color w:val="auto"/>
                <w:w w:val="95"/>
              </w:rPr>
              <w:t>Matter in Our Audit</w:t>
            </w: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4"/>
              </w:rPr>
              <w:t>recognition process, including controls designed to mitigate the risk of override of controls. This included testing controls over</w:t>
            </w: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management’s review of manual journal entries and revenue related account reconciliations.</w:t>
            </w:r>
          </w:p>
        </w:tc>
      </w:tr>
      <w:tr>
        <w:trPr>
          <w:trHeight w:val="418"/>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0"/>
              </w:rPr>
              <w:t>We substantively tested the Company’s revenue recognized for the year ended December 31, 2019, through a combination of data</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1"/>
              </w:rPr>
              <w:t>analytics and tests of details. Our audit procedures included, among others, performing a correlation analysis between the related</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89"/>
              </w:rPr>
              <w:t>accounts (i.e., revenue, deferred revenue, account receivables, and cash) and testing the existence of cash receipts tied to revenue</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1"/>
              </w:rPr>
              <w:t>recognition. Additionally, we reconciled revenue recognized to the Company’s general ledger to test completeness and performed</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6"/>
              </w:rPr>
              <w:t>substantive test of details over significant customers deemed to be key items and a representative sample of the remaining</w:t>
            </w: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transactions.</w:t>
            </w:r>
          </w:p>
        </w:tc>
      </w:tr>
      <w:tr>
        <w:trPr>
          <w:trHeight w:val="432"/>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Realizability of Deferred Tax Assets</w:t>
            </w:r>
          </w:p>
        </w:tc>
      </w:tr>
      <w:tr>
        <w:trPr>
          <w:trHeight w:val="418"/>
        </w:trPr>
        <w:tc>
          <w:tcPr>
            <w:tcW w:w="980" w:type="dxa"/>
            <w:vAlign w:val="bottom"/>
          </w:tcPr>
          <w:p>
            <w:pPr>
              <w:spacing w:after="0"/>
              <w:rPr>
                <w:sz w:val="20"/>
                <w:szCs w:val="20"/>
                <w:color w:val="auto"/>
              </w:rPr>
            </w:pPr>
            <w:r>
              <w:rPr>
                <w:rFonts w:ascii="Arial" w:cs="Arial" w:eastAsia="Arial" w:hAnsi="Arial"/>
                <w:sz w:val="18"/>
                <w:szCs w:val="18"/>
                <w:i w:val="1"/>
                <w:iCs w:val="1"/>
                <w:color w:val="auto"/>
              </w:rPr>
              <w:t>Description</w:t>
            </w:r>
          </w:p>
        </w:tc>
        <w:tc>
          <w:tcPr>
            <w:tcW w:w="480" w:type="dxa"/>
            <w:vAlign w:val="bottom"/>
          </w:tcPr>
          <w:p>
            <w:pPr>
              <w:ind w:left="120"/>
              <w:spacing w:after="0"/>
              <w:rPr>
                <w:sz w:val="20"/>
                <w:szCs w:val="20"/>
                <w:color w:val="auto"/>
              </w:rPr>
            </w:pPr>
            <w:r>
              <w:rPr>
                <w:rFonts w:ascii="Arial" w:cs="Arial" w:eastAsia="Arial" w:hAnsi="Arial"/>
                <w:sz w:val="18"/>
                <w:szCs w:val="18"/>
                <w:i w:val="1"/>
                <w:iCs w:val="1"/>
                <w:color w:val="auto"/>
              </w:rPr>
              <w:t>of</w:t>
            </w:r>
          </w:p>
        </w:tc>
        <w:tc>
          <w:tcPr>
            <w:tcW w:w="380" w:type="dxa"/>
            <w:vAlign w:val="bottom"/>
          </w:tcPr>
          <w:p>
            <w:pPr>
              <w:spacing w:after="0"/>
              <w:rPr>
                <w:sz w:val="20"/>
                <w:szCs w:val="20"/>
                <w:color w:val="auto"/>
              </w:rPr>
            </w:pPr>
            <w:r>
              <w:rPr>
                <w:rFonts w:ascii="Arial" w:cs="Arial" w:eastAsia="Arial" w:hAnsi="Arial"/>
                <w:sz w:val="18"/>
                <w:szCs w:val="18"/>
                <w:i w:val="1"/>
                <w:iCs w:val="1"/>
                <w:color w:val="auto"/>
              </w:rPr>
              <w:t>the</w:t>
            </w:r>
          </w:p>
        </w:tc>
        <w:tc>
          <w:tcPr>
            <w:tcW w:w="9580" w:type="dxa"/>
            <w:vAlign w:val="bottom"/>
          </w:tcPr>
          <w:p>
            <w:pPr>
              <w:ind w:left="160"/>
              <w:spacing w:after="0"/>
              <w:rPr>
                <w:sz w:val="20"/>
                <w:szCs w:val="20"/>
                <w:color w:val="auto"/>
              </w:rPr>
            </w:pPr>
            <w:r>
              <w:rPr>
                <w:rFonts w:ascii="Arial" w:cs="Arial" w:eastAsia="Arial" w:hAnsi="Arial"/>
                <w:sz w:val="18"/>
                <w:szCs w:val="18"/>
                <w:color w:val="auto"/>
                <w:w w:val="91"/>
              </w:rPr>
              <w:t>As explained in Note 12 to the consolidated financial statements, the Company had gross deferred tax assets of $68.6 million and</w:t>
            </w:r>
          </w:p>
        </w:tc>
      </w:tr>
      <w:tr>
        <w:trPr>
          <w:trHeight w:val="216"/>
        </w:trPr>
        <w:tc>
          <w:tcPr>
            <w:tcW w:w="98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2"/>
              </w:rPr>
              <w:t>gross deferred tax liabilities of $26.1 million, resulting in net deferred tax assets of $42.5 million as of December 31, 2019. As of</w:t>
            </w: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7"/>
              </w:rPr>
              <w:t>December 31, 2019, the Company has significant deferred tax assets, including those generated as a result of excess tax</w:t>
            </w:r>
          </w:p>
        </w:tc>
      </w:tr>
      <w:tr>
        <w:trPr>
          <w:trHeight w:val="230"/>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0"/>
              </w:rPr>
              <w:t>deductions related to stock-based compensation awards. Deferred tax assets are reduced by a valuation allowance if, based upon</w:t>
            </w:r>
          </w:p>
        </w:tc>
      </w:tr>
    </w:tbl>
    <w:p>
      <w:pPr>
        <w:jc w:val="both"/>
        <w:ind w:left="2000"/>
        <w:spacing w:after="0" w:line="254" w:lineRule="auto"/>
        <w:rPr>
          <w:sz w:val="20"/>
          <w:szCs w:val="20"/>
          <w:color w:val="auto"/>
        </w:rPr>
      </w:pPr>
      <w:r>
        <w:rPr>
          <w:rFonts w:ascii="Arial" w:cs="Arial" w:eastAsia="Arial" w:hAnsi="Arial"/>
          <w:sz w:val="18"/>
          <w:szCs w:val="18"/>
          <w:color w:val="auto"/>
        </w:rPr>
        <w:t>the weight of all available evidence, it is more likely than not that some portion, or all, of the deferred tax assets will not be realized. Based upon the level of historical U.S. earnings and future projections over the period in which the net deferred tax assets are deductible, at this time, management believes it is more likely than not that the Company will realize the benefits of these deductible differences.</w:t>
      </w:r>
    </w:p>
    <w:p>
      <w:pPr>
        <w:spacing w:after="0" w:line="190" w:lineRule="exact"/>
        <w:rPr>
          <w:sz w:val="20"/>
          <w:szCs w:val="20"/>
          <w:color w:val="auto"/>
        </w:rPr>
      </w:pPr>
    </w:p>
    <w:p>
      <w:pPr>
        <w:jc w:val="both"/>
        <w:ind w:left="2000" w:right="60"/>
        <w:spacing w:after="0" w:line="279" w:lineRule="auto"/>
        <w:rPr>
          <w:sz w:val="20"/>
          <w:szCs w:val="20"/>
          <w:color w:val="auto"/>
        </w:rPr>
      </w:pPr>
      <w:r>
        <w:rPr>
          <w:rFonts w:ascii="Arial" w:cs="Arial" w:eastAsia="Arial" w:hAnsi="Arial"/>
          <w:sz w:val="17"/>
          <w:szCs w:val="17"/>
          <w:color w:val="auto"/>
        </w:rPr>
        <w:t>Auditing management’s assessment of the realizability of its deferred tax assets (including the recognition, measurement, and disclosure of deferred tax assets) was subjective because the assessment process is complex, involves judgment and includes assumptions about the Company’s ability to generate sufficient taxable income in future periods to realize these benefits. The Company’s ability to generate taxable income may be impacted by various economic and industry conditions.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i w:val="1"/>
                <w:iCs w:val="1"/>
                <w:color w:val="auto"/>
                <w:w w:val="96"/>
              </w:rPr>
              <w:t>How We Addressed the</w:t>
            </w:r>
          </w:p>
        </w:tc>
        <w:tc>
          <w:tcPr>
            <w:tcW w:w="9580" w:type="dxa"/>
            <w:vAlign w:val="bottom"/>
          </w:tcPr>
          <w:p>
            <w:pPr>
              <w:ind w:left="160"/>
              <w:spacing w:after="0"/>
              <w:rPr>
                <w:sz w:val="20"/>
                <w:szCs w:val="20"/>
                <w:color w:val="auto"/>
              </w:rPr>
            </w:pPr>
            <w:r>
              <w:rPr>
                <w:rFonts w:ascii="Arial" w:cs="Arial" w:eastAsia="Arial" w:hAnsi="Arial"/>
                <w:sz w:val="18"/>
                <w:szCs w:val="18"/>
                <w:color w:val="auto"/>
                <w:w w:val="89"/>
              </w:rPr>
              <w:t>We obtained an understanding, evaluated the design and tested the operating effectiveness of controls over the Company’s income</w:t>
            </w:r>
          </w:p>
        </w:tc>
      </w:tr>
      <w:tr>
        <w:trPr>
          <w:trHeight w:val="216"/>
        </w:trPr>
        <w:tc>
          <w:tcPr>
            <w:tcW w:w="1840" w:type="dxa"/>
            <w:vAlign w:val="bottom"/>
          </w:tcPr>
          <w:p>
            <w:pPr>
              <w:spacing w:after="0"/>
              <w:rPr>
                <w:sz w:val="20"/>
                <w:szCs w:val="20"/>
                <w:color w:val="auto"/>
              </w:rPr>
            </w:pPr>
            <w:r>
              <w:rPr>
                <w:rFonts w:ascii="Arial" w:cs="Arial" w:eastAsia="Arial" w:hAnsi="Arial"/>
                <w:sz w:val="18"/>
                <w:szCs w:val="18"/>
                <w:i w:val="1"/>
                <w:iCs w:val="1"/>
                <w:color w:val="auto"/>
              </w:rPr>
              <w:t>Matter in Our Audit</w:t>
            </w: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tax process, including the Company’s assessment of the realizability of deferred tax assets. This included testing controls over</w:t>
            </w:r>
          </w:p>
        </w:tc>
      </w:tr>
      <w:tr>
        <w:trPr>
          <w:trHeight w:val="230"/>
        </w:trPr>
        <w:tc>
          <w:tcPr>
            <w:tcW w:w="184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management’s review of the deferred tax rollforward and valuation allowance position.</w:t>
            </w:r>
          </w:p>
        </w:tc>
      </w:tr>
      <w:tr>
        <w:trPr>
          <w:trHeight w:val="418"/>
        </w:trPr>
        <w:tc>
          <w:tcPr>
            <w:tcW w:w="184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5"/>
              </w:rPr>
              <w:t>We tested management’s assessment of the realizability of deferred tax assets, including future taxable income exclusive of</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9"/>
              </w:rPr>
              <w:t>reversing temporary differences and carryforwards. Audit procedures performed, among others, included evaluating the</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9"/>
              </w:rPr>
              <w:t>assumptions used by the Company to determine the projections of future taxable income by jurisdiction and testing the</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0"/>
              </w:rPr>
              <w:t>completeness and accuracy of the underlying data used in its projections. For example, we tested the Company’s scheduling of the</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1"/>
              </w:rPr>
              <w:t>reversal of existing temporary taxable differences and compared the projections of future taxable income with the actual results of</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2"/>
              </w:rPr>
              <w:t>prior periods as well as management’s consideration of current industry and economic trends. In addition, we also assessed the</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4"/>
              </w:rPr>
              <w:t>historical accuracy of management’s projections and reconciled the projections of future taxable income with other forecasted</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1"/>
              </w:rPr>
              <w:t>consolidated financial information prepared by the Company. This analysis is subjective because of the Company’s limited history</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8"/>
              </w:rPr>
              <w:t>and limited opportunity to implement tax planning strategies at this point in the life cycle of the Company. In addition, we</w:t>
            </w:r>
          </w:p>
        </w:tc>
      </w:tr>
      <w:tr>
        <w:trPr>
          <w:trHeight w:val="230"/>
        </w:trPr>
        <w:tc>
          <w:tcPr>
            <w:tcW w:w="184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6"/>
              </w:rPr>
              <w:t>involved our tax professionals to evaluate the application of tax law in the Company’s projections of future taxable income.</w:t>
            </w:r>
          </w:p>
        </w:tc>
      </w:tr>
      <w:tr>
        <w:trPr>
          <w:trHeight w:val="432"/>
        </w:trPr>
        <w:tc>
          <w:tcPr>
            <w:tcW w:w="184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Business Combinations</w:t>
            </w:r>
          </w:p>
        </w:tc>
      </w:tr>
      <w:tr>
        <w:trPr>
          <w:trHeight w:val="418"/>
        </w:trPr>
        <w:tc>
          <w:tcPr>
            <w:tcW w:w="184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9580" w:type="dxa"/>
            <w:vAlign w:val="bottom"/>
          </w:tcPr>
          <w:p>
            <w:pPr>
              <w:ind w:left="160"/>
              <w:spacing w:after="0"/>
              <w:rPr>
                <w:sz w:val="20"/>
                <w:szCs w:val="20"/>
                <w:color w:val="auto"/>
              </w:rPr>
            </w:pPr>
            <w:r>
              <w:rPr>
                <w:rFonts w:ascii="Arial" w:cs="Arial" w:eastAsia="Arial" w:hAnsi="Arial"/>
                <w:sz w:val="18"/>
                <w:szCs w:val="18"/>
                <w:color w:val="auto"/>
                <w:w w:val="92"/>
              </w:rPr>
              <w:t>As described in Note 3 to the consolidated financial statements, the Company completed one acquisition during fiscal year 2019</w:t>
            </w:r>
          </w:p>
        </w:tc>
      </w:tr>
      <w:tr>
        <w:trPr>
          <w:trHeight w:val="216"/>
        </w:trPr>
        <w:tc>
          <w:tcPr>
            <w:tcW w:w="184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9580" w:type="dxa"/>
            <w:vAlign w:val="bottom"/>
          </w:tcPr>
          <w:p>
            <w:pPr>
              <w:ind w:left="160"/>
              <w:spacing w:after="0"/>
              <w:rPr>
                <w:sz w:val="20"/>
                <w:szCs w:val="20"/>
                <w:color w:val="auto"/>
              </w:rPr>
            </w:pPr>
            <w:r>
              <w:rPr>
                <w:rFonts w:ascii="Arial" w:cs="Arial" w:eastAsia="Arial" w:hAnsi="Arial"/>
                <w:sz w:val="18"/>
                <w:szCs w:val="18"/>
                <w:color w:val="auto"/>
                <w:w w:val="95"/>
              </w:rPr>
              <w:t>for net consideration of $19.1 million. The acquisition of PistonHeads Holdco Limited consisted of acquiring the entire issued</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5"/>
              </w:rPr>
              <w:t>share capital of Haymarket New4 Ltd. (a company incorporated in England &amp; Wales and now known as PistonHeads Holdco</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5"/>
              </w:rPr>
              <w:t>Limited) from Haymarket Media Group Ltd. The transaction was accounted for as a business combination whereby the total</w:t>
            </w:r>
          </w:p>
        </w:tc>
      </w:tr>
      <w:tr>
        <w:trPr>
          <w:trHeight w:val="230"/>
        </w:trPr>
        <w:tc>
          <w:tcPr>
            <w:tcW w:w="184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purchase price was allocated to assets acquired and liabilities assumed based on the respective fair values.</w:t>
            </w:r>
          </w:p>
        </w:tc>
      </w:tr>
      <w:tr>
        <w:trPr>
          <w:trHeight w:val="418"/>
        </w:trPr>
        <w:tc>
          <w:tcPr>
            <w:tcW w:w="184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1"/>
              </w:rPr>
              <w:t>Auditing the Company's accounting for its acquisition of PistonHeads was complex due to the significant estimation uncertainty in</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the Company’s determination of the fair value of identified intangible assets of $4.5 million, which consisted of brand name and</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7"/>
              </w:rPr>
              <w:t>customer relationships. The significant estimation uncertainty was primarily due to the complexity of the valuation models</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2"/>
              </w:rPr>
              <w:t>prepared by management to measure the fair value of the intangible assets and the sensitivity of the respective fair values to the</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2"/>
              </w:rPr>
              <w:t>significant underlying assumptions. The significant assumptions used to estimate the fair value of the intangible assets included</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0"/>
              </w:rPr>
              <w:t>the discount rates and revenue growth rates. These significant assumptions are especially challenging to audit as they are forward</w:t>
            </w:r>
          </w:p>
        </w:tc>
      </w:tr>
      <w:tr>
        <w:trPr>
          <w:trHeight w:val="230"/>
        </w:trPr>
        <w:tc>
          <w:tcPr>
            <w:tcW w:w="184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looking and could be affected by future economic and market conditions.</w:t>
            </w:r>
          </w:p>
        </w:tc>
      </w:tr>
      <w:tr>
        <w:trPr>
          <w:trHeight w:val="418"/>
        </w:trPr>
        <w:tc>
          <w:tcPr>
            <w:tcW w:w="1840" w:type="dxa"/>
            <w:vAlign w:val="bottom"/>
          </w:tcPr>
          <w:p>
            <w:pPr>
              <w:spacing w:after="0"/>
              <w:rPr>
                <w:sz w:val="20"/>
                <w:szCs w:val="20"/>
                <w:color w:val="auto"/>
              </w:rPr>
            </w:pPr>
            <w:r>
              <w:rPr>
                <w:rFonts w:ascii="Arial" w:cs="Arial" w:eastAsia="Arial" w:hAnsi="Arial"/>
                <w:sz w:val="18"/>
                <w:szCs w:val="18"/>
                <w:i w:val="1"/>
                <w:iCs w:val="1"/>
                <w:color w:val="auto"/>
                <w:w w:val="96"/>
              </w:rPr>
              <w:t>How We Addressed the</w:t>
            </w:r>
          </w:p>
        </w:tc>
        <w:tc>
          <w:tcPr>
            <w:tcW w:w="9580" w:type="dxa"/>
            <w:vAlign w:val="bottom"/>
          </w:tcPr>
          <w:p>
            <w:pPr>
              <w:ind w:left="160"/>
              <w:spacing w:after="0"/>
              <w:rPr>
                <w:sz w:val="20"/>
                <w:szCs w:val="20"/>
                <w:color w:val="auto"/>
              </w:rPr>
            </w:pPr>
            <w:r>
              <w:rPr>
                <w:rFonts w:ascii="Arial" w:cs="Arial" w:eastAsia="Arial" w:hAnsi="Arial"/>
                <w:sz w:val="18"/>
                <w:szCs w:val="18"/>
                <w:color w:val="auto"/>
                <w:w w:val="95"/>
              </w:rPr>
              <w:t>We obtained an understanding, evaluated the design and tested the operating effectiveness of controls over the Company’s</w:t>
            </w:r>
          </w:p>
        </w:tc>
      </w:tr>
      <w:tr>
        <w:trPr>
          <w:trHeight w:val="216"/>
        </w:trPr>
        <w:tc>
          <w:tcPr>
            <w:tcW w:w="1840" w:type="dxa"/>
            <w:vAlign w:val="bottom"/>
          </w:tcPr>
          <w:p>
            <w:pPr>
              <w:spacing w:after="0"/>
              <w:rPr>
                <w:sz w:val="20"/>
                <w:szCs w:val="20"/>
                <w:color w:val="auto"/>
              </w:rPr>
            </w:pPr>
            <w:r>
              <w:rPr>
                <w:rFonts w:ascii="Arial" w:cs="Arial" w:eastAsia="Arial" w:hAnsi="Arial"/>
                <w:sz w:val="18"/>
                <w:szCs w:val="18"/>
                <w:i w:val="1"/>
                <w:iCs w:val="1"/>
                <w:color w:val="auto"/>
              </w:rPr>
              <w:t>Matter in Our Audit</w:t>
            </w:r>
          </w:p>
        </w:tc>
        <w:tc>
          <w:tcPr>
            <w:tcW w:w="9580" w:type="dxa"/>
            <w:vAlign w:val="bottom"/>
          </w:tcPr>
          <w:p>
            <w:pPr>
              <w:ind w:left="160"/>
              <w:spacing w:after="0"/>
              <w:rPr>
                <w:sz w:val="20"/>
                <w:szCs w:val="20"/>
                <w:color w:val="auto"/>
              </w:rPr>
            </w:pPr>
            <w:r>
              <w:rPr>
                <w:rFonts w:ascii="Arial" w:cs="Arial" w:eastAsia="Arial" w:hAnsi="Arial"/>
                <w:sz w:val="18"/>
                <w:szCs w:val="18"/>
                <w:color w:val="auto"/>
                <w:w w:val="95"/>
              </w:rPr>
              <w:t>valuation of acquired intangible assets. This included testing controls over the Company’s estimation process supporting the</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0"/>
              </w:rPr>
              <w:t>recognition and measurement of intangible assets, as well as controls over management’s judgments and evaluation of underlying</w:t>
            </w:r>
          </w:p>
        </w:tc>
      </w:tr>
      <w:tr>
        <w:trPr>
          <w:trHeight w:val="230"/>
        </w:trPr>
        <w:tc>
          <w:tcPr>
            <w:tcW w:w="184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assumptions regarding the valuation.</w:t>
            </w:r>
          </w:p>
        </w:tc>
      </w:tr>
      <w:tr>
        <w:trPr>
          <w:trHeight w:val="418"/>
        </w:trPr>
        <w:tc>
          <w:tcPr>
            <w:tcW w:w="184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4"/>
              </w:rPr>
              <w:t>Our audit procedures to test the estimated fair value of the acquired intangible assets included, among others, evaluating the</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1"/>
              </w:rPr>
              <w:t>Company’s valuation methodology used to estimate the fair value of the brand name and customer relationship intangible assets.</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6"/>
              </w:rPr>
              <w:t>We involved our valuation professionals to assist with our evaluation of the methodology used by the Company and certain</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assumptions included in the fair value estimates. For example, our valuation professionals performed independent comparative</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calculations to estimate the acquired entities’ discount rate. Additionally, we evaluated the significant assumptions used by the</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1"/>
              </w:rPr>
              <w:t>Company, primarily consisting of projected financial information of the acquired entity (e.g., revenue growth rates), and evaluated</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2"/>
              </w:rPr>
              <w:t>the completeness and accuracy of the underlying data supporting the significant assumptions and estimates. Specifically, when</w:t>
            </w:r>
          </w:p>
        </w:tc>
      </w:tr>
      <w:tr>
        <w:trPr>
          <w:trHeight w:val="216"/>
        </w:trPr>
        <w:tc>
          <w:tcPr>
            <w:tcW w:w="184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evaluating the assumptions related to the revenue growth rates and changes in the business that would drive these forecasted</w:t>
            </w:r>
          </w:p>
        </w:tc>
      </w:tr>
      <w:tr>
        <w:trPr>
          <w:trHeight w:val="230"/>
        </w:trPr>
        <w:tc>
          <w:tcPr>
            <w:tcW w:w="184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2"/>
              </w:rPr>
              <w:t>growth rates, we compared the assumptions to historical results of the acquired entity and current industry and economic trends.</w:t>
            </w:r>
          </w:p>
        </w:tc>
      </w:tr>
      <w:tr>
        <w:trPr>
          <w:trHeight w:val="662"/>
        </w:trPr>
        <w:tc>
          <w:tcPr>
            <w:tcW w:w="1840" w:type="dxa"/>
            <w:vAlign w:val="bottom"/>
          </w:tcPr>
          <w:p>
            <w:pPr>
              <w:spacing w:after="0"/>
              <w:rPr>
                <w:sz w:val="24"/>
                <w:szCs w:val="24"/>
                <w:color w:val="auto"/>
              </w:rPr>
            </w:pPr>
          </w:p>
        </w:tc>
        <w:tc>
          <w:tcPr>
            <w:tcW w:w="9580" w:type="dxa"/>
            <w:vAlign w:val="bottom"/>
          </w:tcPr>
          <w:p>
            <w:pPr>
              <w:ind w:left="3780"/>
              <w:spacing w:after="0"/>
              <w:rPr>
                <w:sz w:val="20"/>
                <w:szCs w:val="20"/>
                <w:color w:val="auto"/>
              </w:rPr>
            </w:pPr>
            <w:r>
              <w:rPr>
                <w:rFonts w:ascii="Arial" w:cs="Arial" w:eastAsia="Arial" w:hAnsi="Arial"/>
                <w:sz w:val="18"/>
                <w:szCs w:val="18"/>
                <w:color w:val="auto"/>
              </w:rPr>
              <w:t>68</w:t>
            </w:r>
          </w:p>
        </w:tc>
      </w:tr>
      <w:tr>
        <w:trPr>
          <w:trHeight w:val="115"/>
        </w:trPr>
        <w:tc>
          <w:tcPr>
            <w:tcW w:w="1840" w:type="dxa"/>
            <w:vAlign w:val="bottom"/>
            <w:tcBorders>
              <w:bottom w:val="single" w:sz="8" w:color="9A9A9A"/>
            </w:tcBorders>
          </w:tcPr>
          <w:p>
            <w:pPr>
              <w:spacing w:after="0"/>
              <w:rPr>
                <w:sz w:val="10"/>
                <w:szCs w:val="10"/>
                <w:color w:val="auto"/>
              </w:rPr>
            </w:pPr>
          </w:p>
        </w:tc>
        <w:tc>
          <w:tcPr>
            <w:tcW w:w="9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66"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At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Current assets: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59,920</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Investments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111,692</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 for doubtful accounts of $240 and</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$479, respectively</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22,124</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Prepaid expenses and prepaid income taxes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10,452</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contract costs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9,544</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4,972</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cash</w:t>
            </w: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3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Total current assets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218,954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194,858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27,950</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Intangible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3,920</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15,207</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59,986</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10,553</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Deferred tax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42,713</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Deferred contract costs, net of current portion</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10,514</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assets</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3,826</w:t>
            </w:r>
          </w:p>
        </w:tc>
        <w:tc>
          <w:tcPr>
            <w:tcW w:w="3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393,623</w:t>
            </w: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268,290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36,731</w:t>
            </w:r>
          </w:p>
        </w:tc>
        <w:tc>
          <w:tcPr>
            <w:tcW w:w="320" w:type="dxa"/>
            <w:vAlign w:val="bottom"/>
          </w:tcPr>
          <w:p>
            <w:pPr>
              <w:spacing w:after="0"/>
              <w:rPr>
                <w:sz w:val="18"/>
                <w:szCs w:val="18"/>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 accrued income taxes and other current liabilities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18,262</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9,984</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rent</w:t>
            </w:r>
          </w:p>
        </w:tc>
        <w:tc>
          <w:tcPr>
            <w:tcW w:w="10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Operating lease liabilities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8,781</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73,758</w:t>
            </w:r>
          </w:p>
        </w:tc>
        <w:tc>
          <w:tcPr>
            <w:tcW w:w="3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63,503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Deferred rent</w:t>
            </w:r>
          </w:p>
        </w:tc>
        <w:tc>
          <w:tcPr>
            <w:tcW w:w="10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60,818</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284</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1,908</w:t>
            </w:r>
          </w:p>
        </w:tc>
        <w:tc>
          <w:tcPr>
            <w:tcW w:w="3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Total liabilities</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136,768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8)</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Stockholders’ equity:</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 10,000,000 shares authorized;</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no shares issued and outstanding</w:t>
            </w:r>
          </w:p>
        </w:tc>
        <w:tc>
          <w:tcPr>
            <w:tcW w:w="10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820" w:type="dxa"/>
            <w:vAlign w:val="bottom"/>
          </w:tcPr>
          <w:p>
            <w:pPr>
              <w:ind w:left="260"/>
              <w:spacing w:after="0"/>
              <w:rPr>
                <w:sz w:val="20"/>
                <w:szCs w:val="20"/>
                <w:color w:val="auto"/>
              </w:rPr>
            </w:pPr>
            <w:r>
              <w:rPr>
                <w:rFonts w:ascii="Arial" w:cs="Arial" w:eastAsia="Arial" w:hAnsi="Arial"/>
                <w:sz w:val="16"/>
                <w:szCs w:val="16"/>
                <w:color w:val="auto"/>
              </w:rPr>
              <w:t>Class A common stock, $0.001 par value; 500,000,000 shares authorized;</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380"/>
              <w:spacing w:after="0"/>
              <w:rPr>
                <w:sz w:val="20"/>
                <w:szCs w:val="20"/>
                <w:color w:val="auto"/>
              </w:rPr>
            </w:pPr>
            <w:r>
              <w:rPr>
                <w:rFonts w:ascii="Arial" w:cs="Arial" w:eastAsia="Arial" w:hAnsi="Arial"/>
                <w:sz w:val="16"/>
                <w:szCs w:val="16"/>
                <w:color w:val="auto"/>
              </w:rPr>
              <w:t>91,819,649 and 89,728,223 shares issued and outstanding at</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380"/>
              <w:spacing w:after="0"/>
              <w:rPr>
                <w:sz w:val="20"/>
                <w:szCs w:val="20"/>
                <w:color w:val="auto"/>
              </w:rPr>
            </w:pPr>
            <w:r>
              <w:rPr>
                <w:rFonts w:ascii="Arial" w:cs="Arial" w:eastAsia="Arial" w:hAnsi="Arial"/>
                <w:sz w:val="16"/>
                <w:szCs w:val="16"/>
                <w:color w:val="auto"/>
              </w:rPr>
              <w:t>December 31, 2019 and 2018, respectively</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B common stock, $0.001 par value; 100,000,000 shares authorized;</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20,314,644 and 20,702,084 shares issued and outstanding at</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December 31, 2019 and 2018, respectively</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205,234</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51,859</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Accumulated other comprehensive (loss) income</w:t>
            </w:r>
          </w:p>
        </w:tc>
        <w:tc>
          <w:tcPr>
            <w:tcW w:w="10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(350)</w:t>
            </w: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256,855</w:t>
            </w:r>
          </w:p>
        </w:tc>
        <w:tc>
          <w:tcPr>
            <w:tcW w:w="3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194,111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393,623</w:t>
            </w:r>
          </w:p>
        </w:tc>
        <w:tc>
          <w:tcPr>
            <w:tcW w:w="320" w:type="dxa"/>
            <w:vAlign w:val="bottom"/>
          </w:tcPr>
          <w:p>
            <w:pPr>
              <w:spacing w:after="0"/>
              <w:rPr>
                <w:sz w:val="17"/>
                <w:szCs w:val="17"/>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588,916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429,275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393,844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315,939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47,866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518,294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406,084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23,191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3"/>
        </w:trPr>
        <w:tc>
          <w:tcPr>
            <w:tcW w:w="5960" w:type="dxa"/>
            <w:vAlign w:val="bottom"/>
          </w:tcPr>
          <w:p>
            <w:pPr>
              <w:ind w:left="500"/>
              <w:spacing w:after="0"/>
              <w:rPr>
                <w:sz w:val="20"/>
                <w:szCs w:val="20"/>
                <w:color w:val="auto"/>
              </w:rPr>
            </w:pPr>
            <w:r>
              <w:rPr>
                <w:rFonts w:ascii="Arial" w:cs="Arial" w:eastAsia="Arial" w:hAnsi="Arial"/>
                <w:sz w:val="18"/>
                <w:szCs w:val="18"/>
                <w:color w:val="auto"/>
              </w:rPr>
              <w:t>Total other income, net</w:t>
            </w:r>
          </w:p>
        </w:tc>
        <w:tc>
          <w:tcPr>
            <w:tcW w:w="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(3,441)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(39,686)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Reconciliation of net income to net income attributable to common</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42,146</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 stockholders — basic</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65,170</w:t>
            </w:r>
          </w:p>
        </w:tc>
        <w:tc>
          <w:tcPr>
            <w:tcW w:w="2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participating securities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 diluted</w:t>
            </w:r>
          </w:p>
        </w:tc>
        <w:tc>
          <w:tcPr>
            <w:tcW w:w="7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42,146</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65,170</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 common stockholders: (Note 11)</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3"/>
                <w:szCs w:val="23"/>
                <w:color w:val="auto"/>
              </w:rPr>
            </w:pP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of common stock used in</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computing net income per share attributable to common stockholders:</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111,450,443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108,833,028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55,835,265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113,431,850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113,364,712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60,637,584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580" w:right="180" w:hanging="2572"/>
        <w:spacing w:after="0" w:line="530" w:lineRule="auto"/>
        <w:tabs>
          <w:tab w:leader="none" w:pos="572"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Includes depreciation and amortization expense for the years ended December 31, 2019, 2018, and 2017 of $3,263 $2,225, and $1,140, respectively. The accompanying notes are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0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7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42,146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13,199</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19"/>
                <w:szCs w:val="19"/>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Comprehensive income</w:t>
            </w:r>
          </w:p>
        </w:tc>
        <w:tc>
          <w:tcPr>
            <w:tcW w:w="17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65,013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13,457</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89"/>
              </w:rPr>
              <w:t>Accumulated</w:t>
            </w: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Retained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040" w:type="dxa"/>
            <w:vAlign w:val="bottom"/>
          </w:tcPr>
          <w:p>
            <w:pPr>
              <w:spacing w:after="0"/>
              <w:rPr>
                <w:sz w:val="10"/>
                <w:szCs w:val="10"/>
                <w:color w:val="auto"/>
              </w:rPr>
            </w:pPr>
          </w:p>
        </w:tc>
        <w:tc>
          <w:tcPr>
            <w:tcW w:w="700" w:type="dxa"/>
            <w:vAlign w:val="bottom"/>
            <w:gridSpan w:val="3"/>
          </w:tcPr>
          <w:p>
            <w:pPr>
              <w:ind w:left="320"/>
              <w:spacing w:after="0"/>
              <w:rPr>
                <w:sz w:val="20"/>
                <w:szCs w:val="20"/>
                <w:color w:val="auto"/>
              </w:rPr>
            </w:pPr>
            <w:r>
              <w:rPr>
                <w:rFonts w:ascii="Arial" w:cs="Arial" w:eastAsia="Arial" w:hAnsi="Arial"/>
                <w:sz w:val="10"/>
                <w:szCs w:val="10"/>
                <w:b w:val="1"/>
                <w:bCs w:val="1"/>
                <w:color w:val="auto"/>
                <w:w w:val="89"/>
              </w:rPr>
              <w:t>Series A</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tcPr>
          <w:p>
            <w:pPr>
              <w:ind w:left="300"/>
              <w:spacing w:after="0"/>
              <w:rPr>
                <w:sz w:val="20"/>
                <w:szCs w:val="20"/>
                <w:color w:val="auto"/>
              </w:rPr>
            </w:pPr>
            <w:r>
              <w:rPr>
                <w:rFonts w:ascii="Arial" w:cs="Arial" w:eastAsia="Arial" w:hAnsi="Arial"/>
                <w:sz w:val="10"/>
                <w:szCs w:val="10"/>
                <w:b w:val="1"/>
                <w:bCs w:val="1"/>
                <w:color w:val="auto"/>
                <w:w w:val="89"/>
              </w:rPr>
              <w:t>Series B</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ind w:left="320"/>
              <w:spacing w:after="0"/>
              <w:rPr>
                <w:sz w:val="20"/>
                <w:szCs w:val="20"/>
                <w:color w:val="auto"/>
              </w:rPr>
            </w:pPr>
            <w:r>
              <w:rPr>
                <w:rFonts w:ascii="Arial" w:cs="Arial" w:eastAsia="Arial" w:hAnsi="Arial"/>
                <w:sz w:val="10"/>
                <w:szCs w:val="10"/>
                <w:b w:val="1"/>
                <w:bCs w:val="1"/>
                <w:color w:val="auto"/>
                <w:w w:val="89"/>
              </w:rPr>
              <w:t>Series C</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b w:val="1"/>
                <w:bCs w:val="1"/>
                <w:color w:val="auto"/>
              </w:rPr>
              <w:t>Series 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spacing w:after="0"/>
              <w:rPr>
                <w:sz w:val="20"/>
                <w:szCs w:val="20"/>
                <w:color w:val="auto"/>
              </w:rPr>
            </w:pPr>
            <w:r>
              <w:rPr>
                <w:rFonts w:ascii="Arial" w:cs="Arial" w:eastAsia="Arial" w:hAnsi="Arial"/>
                <w:sz w:val="10"/>
                <w:szCs w:val="10"/>
                <w:b w:val="1"/>
                <w:bCs w:val="1"/>
                <w:color w:val="auto"/>
              </w:rPr>
              <w:t>Series E</w:t>
            </w: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tcPr>
          <w:p>
            <w:pPr>
              <w:jc w:val="center"/>
              <w:ind w:left="71"/>
              <w:spacing w:after="0"/>
              <w:rPr>
                <w:sz w:val="20"/>
                <w:szCs w:val="20"/>
                <w:color w:val="auto"/>
              </w:rPr>
            </w:pPr>
            <w:r>
              <w:rPr>
                <w:rFonts w:ascii="Arial" w:cs="Arial" w:eastAsia="Arial" w:hAnsi="Arial"/>
                <w:sz w:val="10"/>
                <w:szCs w:val="10"/>
                <w:b w:val="1"/>
                <w:bCs w:val="1"/>
                <w:color w:val="auto"/>
                <w:w w:val="87"/>
              </w:rPr>
              <w:t>Class A</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71"/>
              <w:spacing w:after="0"/>
              <w:rPr>
                <w:sz w:val="20"/>
                <w:szCs w:val="20"/>
                <w:color w:val="auto"/>
              </w:rPr>
            </w:pPr>
            <w:r>
              <w:rPr>
                <w:rFonts w:ascii="Arial" w:cs="Arial" w:eastAsia="Arial" w:hAnsi="Arial"/>
                <w:sz w:val="10"/>
                <w:szCs w:val="10"/>
                <w:b w:val="1"/>
                <w:bCs w:val="1"/>
                <w:color w:val="auto"/>
                <w:w w:val="87"/>
              </w:rPr>
              <w:t>Class B</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3"/>
          </w:tcPr>
          <w:p>
            <w:pPr>
              <w:spacing w:after="0"/>
              <w:rPr>
                <w:sz w:val="20"/>
                <w:szCs w:val="20"/>
                <w:color w:val="auto"/>
              </w:rPr>
            </w:pPr>
            <w:r>
              <w:rPr>
                <w:rFonts w:ascii="Arial" w:cs="Arial" w:eastAsia="Arial" w:hAnsi="Arial"/>
                <w:sz w:val="10"/>
                <w:szCs w:val="10"/>
                <w:b w:val="1"/>
                <w:bCs w:val="1"/>
                <w:color w:val="auto"/>
              </w:rPr>
              <w:t>Additional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7"/>
              </w:rPr>
              <w:t>Other</w:t>
            </w: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Earnings</w:t>
            </w:r>
          </w:p>
        </w:tc>
        <w:tc>
          <w:tcPr>
            <w:tcW w:w="80" w:type="dxa"/>
            <w:vAlign w:val="bottom"/>
          </w:tcPr>
          <w:p>
            <w:pPr>
              <w:spacing w:after="0"/>
              <w:rPr>
                <w:sz w:val="10"/>
                <w:szCs w:val="1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Total</w:t>
            </w:r>
          </w:p>
        </w:tc>
      </w:tr>
      <w:tr>
        <w:trPr>
          <w:trHeight w:val="125"/>
        </w:trPr>
        <w:tc>
          <w:tcPr>
            <w:tcW w:w="1040" w:type="dxa"/>
            <w:vAlign w:val="bottom"/>
          </w:tcPr>
          <w:p>
            <w:pPr>
              <w:spacing w:after="0"/>
              <w:rPr>
                <w:sz w:val="10"/>
                <w:szCs w:val="10"/>
                <w:color w:val="auto"/>
              </w:rPr>
            </w:pPr>
          </w:p>
        </w:tc>
        <w:tc>
          <w:tcPr>
            <w:tcW w:w="100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0"/>
                <w:szCs w:val="10"/>
                <w:b w:val="1"/>
                <w:bCs w:val="1"/>
                <w:color w:val="auto"/>
              </w:rPr>
              <w:t>Preferred Stock</w:t>
            </w:r>
          </w:p>
        </w:tc>
        <w:tc>
          <w:tcPr>
            <w:tcW w:w="80" w:type="dxa"/>
            <w:vAlign w:val="bottom"/>
          </w:tcPr>
          <w:p>
            <w:pPr>
              <w:spacing w:after="0"/>
              <w:rPr>
                <w:sz w:val="10"/>
                <w:szCs w:val="10"/>
                <w:color w:val="auto"/>
              </w:rPr>
            </w:pPr>
          </w:p>
        </w:tc>
        <w:tc>
          <w:tcPr>
            <w:tcW w:w="98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0"/>
                <w:szCs w:val="10"/>
                <w:b w:val="1"/>
                <w:bCs w:val="1"/>
                <w:color w:val="auto"/>
              </w:rPr>
              <w:t>Preferred Stock</w:t>
            </w:r>
          </w:p>
        </w:tc>
        <w:tc>
          <w:tcPr>
            <w:tcW w:w="80" w:type="dxa"/>
            <w:vAlign w:val="bottom"/>
          </w:tcPr>
          <w:p>
            <w:pPr>
              <w:spacing w:after="0"/>
              <w:rPr>
                <w:sz w:val="10"/>
                <w:szCs w:val="10"/>
                <w:color w:val="auto"/>
              </w:rPr>
            </w:pPr>
          </w:p>
        </w:tc>
        <w:tc>
          <w:tcPr>
            <w:tcW w:w="100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0"/>
                <w:szCs w:val="10"/>
                <w:b w:val="1"/>
                <w:bCs w:val="1"/>
                <w:color w:val="auto"/>
              </w:rPr>
              <w:t>Preferred Stock</w:t>
            </w:r>
          </w:p>
        </w:tc>
        <w:tc>
          <w:tcPr>
            <w:tcW w:w="80" w:type="dxa"/>
            <w:vAlign w:val="bottom"/>
          </w:tcPr>
          <w:p>
            <w:pPr>
              <w:spacing w:after="0"/>
              <w:rPr>
                <w:sz w:val="10"/>
                <w:szCs w:val="10"/>
                <w:color w:val="auto"/>
              </w:rPr>
            </w:pPr>
          </w:p>
        </w:tc>
        <w:tc>
          <w:tcPr>
            <w:tcW w:w="10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0"/>
                <w:szCs w:val="10"/>
                <w:b w:val="1"/>
                <w:bCs w:val="1"/>
                <w:color w:val="auto"/>
              </w:rPr>
              <w:t>Preferred Stock</w:t>
            </w:r>
          </w:p>
        </w:tc>
        <w:tc>
          <w:tcPr>
            <w:tcW w:w="80" w:type="dxa"/>
            <w:vAlign w:val="bottom"/>
          </w:tcPr>
          <w:p>
            <w:pPr>
              <w:spacing w:after="0"/>
              <w:rPr>
                <w:sz w:val="10"/>
                <w:szCs w:val="10"/>
                <w:color w:val="auto"/>
              </w:rPr>
            </w:pPr>
          </w:p>
        </w:tc>
        <w:tc>
          <w:tcPr>
            <w:tcW w:w="10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0"/>
                <w:szCs w:val="10"/>
                <w:b w:val="1"/>
                <w:bCs w:val="1"/>
                <w:color w:val="auto"/>
              </w:rPr>
              <w:t>Preferred Stock</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bottom w:val="single" w:sz="8" w:color="auto"/>
            </w:tcBorders>
            <w:gridSpan w:val="4"/>
          </w:tcPr>
          <w:p>
            <w:pPr>
              <w:jc w:val="center"/>
              <w:ind w:left="91"/>
              <w:spacing w:after="0"/>
              <w:rPr>
                <w:sz w:val="20"/>
                <w:szCs w:val="20"/>
                <w:color w:val="auto"/>
              </w:rPr>
            </w:pPr>
            <w:r>
              <w:rPr>
                <w:rFonts w:ascii="Arial" w:cs="Arial" w:eastAsia="Arial" w:hAnsi="Arial"/>
                <w:sz w:val="10"/>
                <w:szCs w:val="10"/>
                <w:b w:val="1"/>
                <w:bCs w:val="1"/>
                <w:color w:val="auto"/>
                <w:w w:val="89"/>
              </w:rPr>
              <w:t>Common Stock</w:t>
            </w:r>
          </w:p>
        </w:tc>
        <w:tc>
          <w:tcPr>
            <w:tcW w:w="1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auto"/>
            </w:tcBorders>
            <w:gridSpan w:val="4"/>
          </w:tcPr>
          <w:p>
            <w:pPr>
              <w:jc w:val="center"/>
              <w:ind w:left="91"/>
              <w:spacing w:after="0"/>
              <w:rPr>
                <w:sz w:val="20"/>
                <w:szCs w:val="20"/>
                <w:color w:val="auto"/>
              </w:rPr>
            </w:pPr>
            <w:r>
              <w:rPr>
                <w:rFonts w:ascii="Arial" w:cs="Arial" w:eastAsia="Arial" w:hAnsi="Arial"/>
                <w:sz w:val="10"/>
                <w:szCs w:val="10"/>
                <w:b w:val="1"/>
                <w:bCs w:val="1"/>
                <w:color w:val="auto"/>
                <w:w w:val="89"/>
              </w:rPr>
              <w:t>Common Stock</w:t>
            </w:r>
          </w:p>
        </w:tc>
        <w:tc>
          <w:tcPr>
            <w:tcW w:w="1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89"/>
              </w:rPr>
              <w:t>Paid–in</w:t>
            </w:r>
          </w:p>
        </w:tc>
        <w:tc>
          <w:tcPr>
            <w:tcW w:w="1460" w:type="dxa"/>
            <w:vAlign w:val="bottom"/>
            <w:gridSpan w:val="7"/>
          </w:tcPr>
          <w:p>
            <w:pPr>
              <w:ind w:left="20"/>
              <w:spacing w:after="0"/>
              <w:rPr>
                <w:sz w:val="20"/>
                <w:szCs w:val="20"/>
                <w:color w:val="auto"/>
              </w:rPr>
            </w:pPr>
            <w:r>
              <w:rPr>
                <w:rFonts w:ascii="Arial" w:cs="Arial" w:eastAsia="Arial" w:hAnsi="Arial"/>
                <w:sz w:val="10"/>
                <w:szCs w:val="10"/>
                <w:b w:val="1"/>
                <w:bCs w:val="1"/>
                <w:color w:val="auto"/>
                <w:w w:val="96"/>
              </w:rPr>
              <w:t>Comprehensive  (Accumulated</w:t>
            </w:r>
          </w:p>
        </w:tc>
        <w:tc>
          <w:tcPr>
            <w:tcW w:w="680" w:type="dxa"/>
            <w:vAlign w:val="bottom"/>
            <w:gridSpan w:val="3"/>
          </w:tcPr>
          <w:p>
            <w:pPr>
              <w:spacing w:after="0"/>
              <w:rPr>
                <w:sz w:val="20"/>
                <w:szCs w:val="20"/>
                <w:color w:val="auto"/>
              </w:rPr>
            </w:pPr>
            <w:r>
              <w:rPr>
                <w:rFonts w:ascii="Arial" w:cs="Arial" w:eastAsia="Arial" w:hAnsi="Arial"/>
                <w:sz w:val="10"/>
                <w:szCs w:val="10"/>
                <w:b w:val="1"/>
                <w:bCs w:val="1"/>
                <w:color w:val="auto"/>
                <w:w w:val="99"/>
              </w:rPr>
              <w:t>Stockholders’</w:t>
            </w:r>
          </w:p>
        </w:tc>
      </w:tr>
      <w:tr>
        <w:trPr>
          <w:trHeight w:val="129"/>
        </w:trPr>
        <w:tc>
          <w:tcPr>
            <w:tcW w:w="1040" w:type="dxa"/>
            <w:vAlign w:val="bottom"/>
          </w:tcPr>
          <w:p>
            <w:pPr>
              <w:spacing w:after="0"/>
              <w:rPr>
                <w:sz w:val="11"/>
                <w:szCs w:val="1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5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1"/>
                <w:szCs w:val="11"/>
                <w:color w:val="auto"/>
              </w:rPr>
            </w:pP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6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6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5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5"/>
              </w:rPr>
              <w:t>Amount</w:t>
            </w:r>
          </w:p>
        </w:tc>
        <w:tc>
          <w:tcPr>
            <w:tcW w:w="6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Shares</w:t>
            </w:r>
          </w:p>
        </w:tc>
        <w:tc>
          <w:tcPr>
            <w:tcW w:w="5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w w:val="95"/>
              </w:rPr>
              <w:t>Amount</w:t>
            </w:r>
          </w:p>
        </w:tc>
        <w:tc>
          <w:tcPr>
            <w:tcW w:w="4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Arial" w:cs="Arial" w:eastAsia="Arial" w:hAnsi="Arial"/>
                <w:sz w:val="10"/>
                <w:szCs w:val="10"/>
                <w:b w:val="1"/>
                <w:bCs w:val="1"/>
                <w:color w:val="auto"/>
              </w:rPr>
              <w:t>Amount</w:t>
            </w:r>
          </w:p>
        </w:tc>
        <w:tc>
          <w:tcPr>
            <w:tcW w:w="5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420" w:type="dxa"/>
            <w:vAlign w:val="bottom"/>
            <w:gridSpan w:val="3"/>
          </w:tcPr>
          <w:p>
            <w:pPr>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9"/>
              </w:rPr>
              <w:t>Capital</w:t>
            </w:r>
          </w:p>
        </w:tc>
        <w:tc>
          <w:tcPr>
            <w:tcW w:w="20" w:type="dxa"/>
            <w:vAlign w:val="bottom"/>
          </w:tcPr>
          <w:p>
            <w:pPr>
              <w:spacing w:after="0"/>
              <w:rPr>
                <w:sz w:val="11"/>
                <w:szCs w:val="11"/>
                <w:color w:val="auto"/>
              </w:rPr>
            </w:pPr>
          </w:p>
        </w:tc>
        <w:tc>
          <w:tcPr>
            <w:tcW w:w="82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88"/>
              </w:rPr>
              <w:t>(Loss) Income</w:t>
            </w: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Deficit)</w:t>
            </w:r>
          </w:p>
        </w:tc>
        <w:tc>
          <w:tcPr>
            <w:tcW w:w="80" w:type="dxa"/>
            <w:vAlign w:val="bottom"/>
          </w:tcPr>
          <w:p>
            <w:pPr>
              <w:spacing w:after="0"/>
              <w:rPr>
                <w:sz w:val="11"/>
                <w:szCs w:val="1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Equity</w:t>
            </w:r>
          </w:p>
        </w:tc>
      </w:tr>
      <w:tr>
        <w:trPr>
          <w:trHeight w:val="127"/>
        </w:trPr>
        <w:tc>
          <w:tcPr>
            <w:tcW w:w="1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0"/>
                <w:szCs w:val="10"/>
                <w:color w:val="auto"/>
              </w:rPr>
              <w:t>Balance at</w:t>
            </w: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right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23"/>
        </w:trPr>
        <w:tc>
          <w:tcPr>
            <w:tcW w:w="1040" w:type="dxa"/>
            <w:vAlign w:val="bottom"/>
            <w:shd w:val="clear" w:color="auto" w:fill="CFF0FC"/>
          </w:tcPr>
          <w:p>
            <w:pPr>
              <w:spacing w:after="0"/>
              <w:rPr>
                <w:sz w:val="20"/>
                <w:szCs w:val="20"/>
                <w:color w:val="auto"/>
              </w:rPr>
            </w:pPr>
            <w:r>
              <w:rPr>
                <w:rFonts w:ascii="Arial" w:cs="Arial" w:eastAsia="Arial" w:hAnsi="Arial"/>
                <w:sz w:val="10"/>
                <w:szCs w:val="10"/>
                <w:color w:val="auto"/>
              </w:rPr>
              <w:t>December 31, 2017</w:t>
            </w: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2,824,703</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0"/>
                <w:szCs w:val="10"/>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1,483</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2,938,486</w:t>
            </w:r>
          </w:p>
        </w:tc>
        <w:tc>
          <w:tcPr>
            <w:tcW w:w="60" w:type="dxa"/>
            <w:vAlign w:val="bottom"/>
            <w:shd w:val="clear" w:color="auto" w:fill="CFF0FC"/>
          </w:tcPr>
          <w:p>
            <w:pPr>
              <w:spacing w:after="0"/>
              <w:rPr>
                <w:sz w:val="10"/>
                <w:szCs w:val="10"/>
                <w:color w:val="auto"/>
              </w:rPr>
            </w:pP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2,295</w:t>
            </w: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1,550,612</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0"/>
                <w:szCs w:val="10"/>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1,316</w:t>
            </w: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1,673,105</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7"/>
              </w:rPr>
              <w:t>67,872</w:t>
            </w: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1,107,202</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7"/>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7"/>
              </w:rPr>
              <w:t>59,732</w:t>
            </w: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9"/>
              </w:rPr>
              <w:t>14,022,132</w:t>
            </w:r>
          </w:p>
        </w:tc>
        <w:tc>
          <w:tcPr>
            <w:tcW w:w="40" w:type="dxa"/>
            <w:vAlign w:val="bottom"/>
            <w:shd w:val="clear" w:color="auto" w:fill="CFF0FC"/>
          </w:tcPr>
          <w:p>
            <w:pPr>
              <w:spacing w:after="0"/>
              <w:rPr>
                <w:sz w:val="10"/>
                <w:szCs w:val="10"/>
                <w:color w:val="auto"/>
              </w:rPr>
            </w:pPr>
          </w:p>
        </w:tc>
        <w:tc>
          <w:tcPr>
            <w:tcW w:w="260" w:type="dxa"/>
            <w:vAlign w:val="bottom"/>
            <w:gridSpan w:val="2"/>
            <w:shd w:val="clear" w:color="auto" w:fill="CFF0FC"/>
          </w:tcPr>
          <w:p>
            <w:pPr>
              <w:ind w:left="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14</w:t>
            </w: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9"/>
              </w:rPr>
              <w:t>28,044,264</w:t>
            </w:r>
          </w:p>
        </w:tc>
        <w:tc>
          <w:tcPr>
            <w:tcW w:w="40" w:type="dxa"/>
            <w:vAlign w:val="bottom"/>
            <w:shd w:val="clear" w:color="auto" w:fill="CFF0FC"/>
          </w:tcPr>
          <w:p>
            <w:pPr>
              <w:spacing w:after="0"/>
              <w:rPr>
                <w:sz w:val="10"/>
                <w:szCs w:val="10"/>
                <w:color w:val="auto"/>
              </w:rPr>
            </w:pPr>
          </w:p>
        </w:tc>
        <w:tc>
          <w:tcPr>
            <w:tcW w:w="260" w:type="dxa"/>
            <w:vAlign w:val="bottom"/>
            <w:gridSpan w:val="2"/>
            <w:shd w:val="clear" w:color="auto" w:fill="CFF0FC"/>
          </w:tcPr>
          <w:p>
            <w:pPr>
              <w:ind w:left="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28</w:t>
            </w:r>
          </w:p>
        </w:tc>
        <w:tc>
          <w:tcPr>
            <w:tcW w:w="40" w:type="dxa"/>
            <w:vAlign w:val="bottom"/>
            <w:shd w:val="clear" w:color="auto" w:fill="CFF0FC"/>
          </w:tcPr>
          <w:p>
            <w:pPr>
              <w:spacing w:after="0"/>
              <w:rPr>
                <w:sz w:val="10"/>
                <w:szCs w:val="10"/>
                <w:color w:val="auto"/>
              </w:rPr>
            </w:pPr>
          </w:p>
        </w:tc>
        <w:tc>
          <w:tcPr>
            <w:tcW w:w="100" w:type="dxa"/>
            <w:vAlign w:val="bottom"/>
            <w:gridSpan w:val="2"/>
            <w:shd w:val="clear" w:color="auto" w:fill="CFF0FC"/>
          </w:tcPr>
          <w:p>
            <w:pPr>
              <w:ind w:left="4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3,714</w:t>
            </w:r>
          </w:p>
        </w:tc>
        <w:tc>
          <w:tcPr>
            <w:tcW w:w="60" w:type="dxa"/>
            <w:vAlign w:val="bottom"/>
            <w:shd w:val="clear" w:color="auto" w:fill="CFF0FC"/>
          </w:tcPr>
          <w:p>
            <w:pPr>
              <w:spacing w:after="0"/>
              <w:rPr>
                <w:sz w:val="10"/>
                <w:szCs w:val="10"/>
                <w:color w:val="auto"/>
              </w:rPr>
            </w:pP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0"/>
                <w:szCs w:val="10"/>
                <w:color w:val="auto"/>
              </w:rPr>
              <w:t>(30 ) $</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(71,698 )</w:t>
            </w:r>
          </w:p>
        </w:tc>
        <w:tc>
          <w:tcPr>
            <w:tcW w:w="80" w:type="dxa"/>
            <w:vAlign w:val="bottom"/>
            <w:shd w:val="clear" w:color="auto" w:fill="CFF0FC"/>
          </w:tcPr>
          <w:p>
            <w:pPr>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(67,972 )</w:t>
            </w:r>
          </w:p>
        </w:tc>
      </w:tr>
      <w:tr>
        <w:trPr>
          <w:trHeight w:val="135"/>
        </w:trPr>
        <w:tc>
          <w:tcPr>
            <w:tcW w:w="1040" w:type="dxa"/>
            <w:vAlign w:val="bottom"/>
          </w:tcPr>
          <w:p>
            <w:pPr>
              <w:ind w:left="260"/>
              <w:spacing w:after="0"/>
              <w:rPr>
                <w:sz w:val="20"/>
                <w:szCs w:val="20"/>
                <w:color w:val="auto"/>
              </w:rPr>
            </w:pPr>
            <w:r>
              <w:rPr>
                <w:rFonts w:ascii="Arial" w:cs="Arial" w:eastAsia="Arial" w:hAnsi="Arial"/>
                <w:sz w:val="10"/>
                <w:szCs w:val="10"/>
                <w:color w:val="auto"/>
              </w:rPr>
              <w:t>Net income</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13,199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13,199</w:t>
            </w:r>
          </w:p>
        </w:tc>
        <w:tc>
          <w:tcPr>
            <w:tcW w:w="100" w:type="dxa"/>
            <w:vAlign w:val="bottom"/>
          </w:tcPr>
          <w:p>
            <w:pPr>
              <w:spacing w:after="0"/>
              <w:rPr>
                <w:sz w:val="11"/>
                <w:szCs w:val="11"/>
                <w:color w:val="auto"/>
              </w:rPr>
            </w:pPr>
          </w:p>
        </w:tc>
      </w:tr>
      <w:tr>
        <w:trPr>
          <w:trHeight w:val="13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Stock–based</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compensation</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3"/>
        </w:trPr>
        <w:tc>
          <w:tcPr>
            <w:tcW w:w="1040" w:type="dxa"/>
            <w:vAlign w:val="bottom"/>
            <w:shd w:val="clear" w:color="auto" w:fill="CFF0FC"/>
          </w:tcPr>
          <w:p>
            <w:pPr>
              <w:ind w:left="320"/>
              <w:spacing w:after="0"/>
              <w:rPr>
                <w:sz w:val="20"/>
                <w:szCs w:val="20"/>
                <w:color w:val="auto"/>
              </w:rPr>
            </w:pPr>
            <w:r>
              <w:rPr>
                <w:rFonts w:ascii="Arial" w:cs="Arial" w:eastAsia="Arial" w:hAnsi="Arial"/>
                <w:sz w:val="10"/>
                <w:szCs w:val="10"/>
                <w:color w:val="auto"/>
              </w:rPr>
              <w:t>expense</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5,204</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5,204</w:t>
            </w:r>
          </w:p>
        </w:tc>
        <w:tc>
          <w:tcPr>
            <w:tcW w:w="100" w:type="dxa"/>
            <w:vAlign w:val="bottom"/>
            <w:shd w:val="clear" w:color="auto" w:fill="CFF0FC"/>
          </w:tcPr>
          <w:p>
            <w:pPr>
              <w:spacing w:after="0"/>
              <w:rPr>
                <w:sz w:val="10"/>
                <w:szCs w:val="10"/>
                <w:color w:val="auto"/>
              </w:rPr>
            </w:pPr>
          </w:p>
        </w:tc>
      </w:tr>
      <w:tr>
        <w:trPr>
          <w:trHeight w:val="133"/>
        </w:trPr>
        <w:tc>
          <w:tcPr>
            <w:tcW w:w="1040" w:type="dxa"/>
            <w:vAlign w:val="bottom"/>
          </w:tcPr>
          <w:p>
            <w:pPr>
              <w:ind w:left="26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common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upon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320"/>
              <w:spacing w:after="0"/>
              <w:rPr>
                <w:sz w:val="20"/>
                <w:szCs w:val="20"/>
                <w:color w:val="auto"/>
              </w:rPr>
            </w:pPr>
            <w:r>
              <w:rPr>
                <w:rFonts w:ascii="Arial" w:cs="Arial" w:eastAsia="Arial" w:hAnsi="Arial"/>
                <w:sz w:val="10"/>
                <w:szCs w:val="10"/>
                <w:color w:val="auto"/>
                <w:w w:val="93"/>
              </w:rPr>
              <w:t>exercise of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040" w:type="dxa"/>
            <w:vAlign w:val="bottom"/>
          </w:tcPr>
          <w:p>
            <w:pPr>
              <w:ind w:left="260"/>
              <w:spacing w:after="0"/>
              <w:rPr>
                <w:sz w:val="20"/>
                <w:szCs w:val="20"/>
                <w:color w:val="auto"/>
              </w:rPr>
            </w:pPr>
            <w:r>
              <w:rPr>
                <w:rFonts w:ascii="Arial" w:cs="Arial" w:eastAsia="Arial" w:hAnsi="Arial"/>
                <w:sz w:val="10"/>
                <w:szCs w:val="10"/>
                <w:color w:val="auto"/>
              </w:rPr>
              <w:t>options</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92,944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181,840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398</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0"/>
                <w:szCs w:val="10"/>
                <w:color w:val="auto"/>
              </w:rPr>
            </w:pPr>
          </w:p>
        </w:tc>
      </w:tr>
      <w:tr>
        <w:trPr>
          <w:trHeight w:val="13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common stock</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from</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320"/>
              <w:spacing w:after="0"/>
              <w:rPr>
                <w:sz w:val="20"/>
                <w:szCs w:val="20"/>
                <w:color w:val="auto"/>
              </w:rPr>
            </w:pPr>
            <w:r>
              <w:rPr>
                <w:rFonts w:ascii="Arial" w:cs="Arial" w:eastAsia="Arial" w:hAnsi="Arial"/>
                <w:sz w:val="10"/>
                <w:szCs w:val="10"/>
                <w:color w:val="auto"/>
              </w:rPr>
              <w:t>public offering,</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net of</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3"/>
        </w:trPr>
        <w:tc>
          <w:tcPr>
            <w:tcW w:w="1040" w:type="dxa"/>
            <w:vAlign w:val="bottom"/>
            <w:shd w:val="clear" w:color="auto" w:fill="CFF0FC"/>
          </w:tcPr>
          <w:p>
            <w:pPr>
              <w:ind w:left="320"/>
              <w:spacing w:after="0"/>
              <w:rPr>
                <w:sz w:val="20"/>
                <w:szCs w:val="20"/>
                <w:color w:val="auto"/>
              </w:rPr>
            </w:pPr>
            <w:r>
              <w:rPr>
                <w:rFonts w:ascii="Arial" w:cs="Arial" w:eastAsia="Arial" w:hAnsi="Arial"/>
                <w:sz w:val="10"/>
                <w:szCs w:val="10"/>
                <w:color w:val="auto"/>
              </w:rPr>
              <w:t>offering costs</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3,205,000</w:t>
            </w: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43,237</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43,240</w:t>
            </w:r>
          </w:p>
        </w:tc>
        <w:tc>
          <w:tcPr>
            <w:tcW w:w="100" w:type="dxa"/>
            <w:vAlign w:val="bottom"/>
            <w:shd w:val="clear" w:color="auto" w:fill="CFF0FC"/>
          </w:tcPr>
          <w:p>
            <w:pPr>
              <w:spacing w:after="0"/>
              <w:rPr>
                <w:sz w:val="10"/>
                <w:szCs w:val="10"/>
                <w:color w:val="auto"/>
              </w:rPr>
            </w:pPr>
          </w:p>
        </w:tc>
      </w:tr>
      <w:tr>
        <w:trPr>
          <w:trHeight w:val="133"/>
        </w:trPr>
        <w:tc>
          <w:tcPr>
            <w:tcW w:w="1040" w:type="dxa"/>
            <w:vAlign w:val="bottom"/>
          </w:tcPr>
          <w:p>
            <w:pPr>
              <w:ind w:left="260"/>
              <w:spacing w:after="0"/>
              <w:rPr>
                <w:sz w:val="20"/>
                <w:szCs w:val="20"/>
                <w:color w:val="auto"/>
              </w:rPr>
            </w:pPr>
            <w:r>
              <w:rPr>
                <w:rFonts w:ascii="Arial" w:cs="Arial" w:eastAsia="Arial" w:hAnsi="Arial"/>
                <w:sz w:val="10"/>
                <w:szCs w:val="10"/>
                <w:color w:val="auto"/>
              </w:rPr>
              <w:t>Conversion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3"/>
        </w:trPr>
        <w:tc>
          <w:tcPr>
            <w:tcW w:w="1040" w:type="dxa"/>
            <w:vAlign w:val="bottom"/>
          </w:tcPr>
          <w:p>
            <w:pPr>
              <w:ind w:left="260"/>
              <w:spacing w:after="0"/>
              <w:rPr>
                <w:sz w:val="20"/>
                <w:szCs w:val="20"/>
                <w:color w:val="auto"/>
              </w:rPr>
            </w:pPr>
            <w:r>
              <w:rPr>
                <w:rFonts w:ascii="Arial" w:cs="Arial" w:eastAsia="Arial" w:hAnsi="Arial"/>
                <w:sz w:val="10"/>
                <w:szCs w:val="10"/>
                <w:color w:val="auto"/>
              </w:rPr>
              <w:t>preferred stock</w:t>
            </w:r>
          </w:p>
        </w:tc>
        <w:tc>
          <w:tcPr>
            <w:tcW w:w="600" w:type="dxa"/>
            <w:vAlign w:val="bottom"/>
            <w:gridSpan w:val="2"/>
          </w:tcPr>
          <w:p>
            <w:pPr>
              <w:jc w:val="right"/>
              <w:ind w:right="40"/>
              <w:spacing w:after="0"/>
              <w:rPr>
                <w:sz w:val="20"/>
                <w:szCs w:val="20"/>
                <w:color w:val="auto"/>
              </w:rPr>
            </w:pPr>
            <w:r>
              <w:rPr>
                <w:rFonts w:ascii="Arial" w:cs="Arial" w:eastAsia="Arial" w:hAnsi="Arial"/>
                <w:sz w:val="10"/>
                <w:szCs w:val="10"/>
                <w:color w:val="auto"/>
              </w:rPr>
              <w:t>(2,824,703 )</w:t>
            </w:r>
          </w:p>
        </w:tc>
        <w:tc>
          <w:tcPr>
            <w:tcW w:w="100" w:type="dxa"/>
            <w:vAlign w:val="bottom"/>
          </w:tcPr>
          <w:p>
            <w:pPr>
              <w:spacing w:after="0"/>
              <w:rPr>
                <w:sz w:val="10"/>
                <w:szCs w:val="1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0"/>
                <w:szCs w:val="10"/>
                <w:color w:val="auto"/>
                <w:w w:val="86"/>
              </w:rPr>
              <w:t>(1,483 )</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w w:val="96"/>
              </w:rPr>
              <w:t>(2,938,486 )</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color w:val="auto"/>
                <w:w w:val="92"/>
              </w:rPr>
              <w:t>(2,295 )</w:t>
            </w:r>
          </w:p>
        </w:tc>
        <w:tc>
          <w:tcPr>
            <w:tcW w:w="600" w:type="dxa"/>
            <w:vAlign w:val="bottom"/>
            <w:gridSpan w:val="2"/>
          </w:tcPr>
          <w:p>
            <w:pPr>
              <w:jc w:val="right"/>
              <w:ind w:right="40"/>
              <w:spacing w:after="0"/>
              <w:rPr>
                <w:sz w:val="20"/>
                <w:szCs w:val="20"/>
                <w:color w:val="auto"/>
              </w:rPr>
            </w:pPr>
            <w:r>
              <w:rPr>
                <w:rFonts w:ascii="Arial" w:cs="Arial" w:eastAsia="Arial" w:hAnsi="Arial"/>
                <w:sz w:val="10"/>
                <w:szCs w:val="10"/>
                <w:color w:val="auto"/>
              </w:rPr>
              <w:t>(1,550,612 )</w:t>
            </w:r>
          </w:p>
        </w:tc>
        <w:tc>
          <w:tcPr>
            <w:tcW w:w="10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color w:val="auto"/>
                <w:w w:val="92"/>
              </w:rPr>
              <w:t>(1,316 )</w:t>
            </w:r>
          </w:p>
        </w:tc>
        <w:tc>
          <w:tcPr>
            <w:tcW w:w="600" w:type="dxa"/>
            <w:vAlign w:val="bottom"/>
            <w:gridSpan w:val="2"/>
          </w:tcPr>
          <w:p>
            <w:pPr>
              <w:jc w:val="right"/>
              <w:ind w:right="40"/>
              <w:spacing w:after="0"/>
              <w:rPr>
                <w:sz w:val="20"/>
                <w:szCs w:val="20"/>
                <w:color w:val="auto"/>
              </w:rPr>
            </w:pPr>
            <w:r>
              <w:rPr>
                <w:rFonts w:ascii="Arial" w:cs="Arial" w:eastAsia="Arial" w:hAnsi="Arial"/>
                <w:sz w:val="10"/>
                <w:szCs w:val="10"/>
                <w:color w:val="auto"/>
              </w:rPr>
              <w:t>(1,673,105 )</w:t>
            </w:r>
          </w:p>
        </w:tc>
        <w:tc>
          <w:tcPr>
            <w:tcW w:w="100" w:type="dxa"/>
            <w:vAlign w:val="bottom"/>
          </w:tcPr>
          <w:p>
            <w:pPr>
              <w:spacing w:after="0"/>
              <w:rPr>
                <w:sz w:val="10"/>
                <w:szCs w:val="1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0"/>
                <w:szCs w:val="10"/>
                <w:color w:val="auto"/>
                <w:w w:val="84"/>
              </w:rPr>
              <w:t>(67,872 )</w:t>
            </w:r>
          </w:p>
        </w:tc>
        <w:tc>
          <w:tcPr>
            <w:tcW w:w="620" w:type="dxa"/>
            <w:vAlign w:val="bottom"/>
            <w:gridSpan w:val="2"/>
          </w:tcPr>
          <w:p>
            <w:pPr>
              <w:jc w:val="right"/>
              <w:ind w:right="60"/>
              <w:spacing w:after="0"/>
              <w:rPr>
                <w:sz w:val="20"/>
                <w:szCs w:val="20"/>
                <w:color w:val="auto"/>
              </w:rPr>
            </w:pPr>
            <w:r>
              <w:rPr>
                <w:rFonts w:ascii="Arial" w:cs="Arial" w:eastAsia="Arial" w:hAnsi="Arial"/>
                <w:sz w:val="10"/>
                <w:szCs w:val="10"/>
                <w:color w:val="auto"/>
              </w:rPr>
              <w:t>(1,107,202 )</w:t>
            </w:r>
          </w:p>
        </w:tc>
        <w:tc>
          <w:tcPr>
            <w:tcW w:w="8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0"/>
                <w:szCs w:val="10"/>
                <w:color w:val="auto"/>
                <w:w w:val="84"/>
              </w:rPr>
              <w:t>(59,732 )</w:t>
            </w: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9"/>
              </w:rPr>
              <w:t>60,564,678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61</w:t>
            </w:r>
          </w:p>
        </w:tc>
        <w:tc>
          <w:tcPr>
            <w:tcW w:w="8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132,637</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132,698</w:t>
            </w:r>
          </w:p>
        </w:tc>
        <w:tc>
          <w:tcPr>
            <w:tcW w:w="100" w:type="dxa"/>
            <w:vAlign w:val="bottom"/>
          </w:tcPr>
          <w:p>
            <w:pPr>
              <w:spacing w:after="0"/>
              <w:rPr>
                <w:sz w:val="10"/>
                <w:szCs w:val="10"/>
                <w:color w:val="auto"/>
              </w:rPr>
            </w:pPr>
          </w:p>
        </w:tc>
      </w:tr>
      <w:tr>
        <w:trPr>
          <w:trHeight w:val="13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Foreign currency</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translation</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3"/>
        </w:trPr>
        <w:tc>
          <w:tcPr>
            <w:tcW w:w="1040" w:type="dxa"/>
            <w:vAlign w:val="bottom"/>
            <w:shd w:val="clear" w:color="auto" w:fill="CFF0FC"/>
          </w:tcPr>
          <w:p>
            <w:pPr>
              <w:ind w:left="320"/>
              <w:spacing w:after="0"/>
              <w:rPr>
                <w:sz w:val="20"/>
                <w:szCs w:val="20"/>
                <w:color w:val="auto"/>
              </w:rPr>
            </w:pPr>
            <w:r>
              <w:rPr>
                <w:rFonts w:ascii="Arial" w:cs="Arial" w:eastAsia="Arial" w:hAnsi="Arial"/>
                <w:sz w:val="10"/>
                <w:szCs w:val="10"/>
                <w:color w:val="auto"/>
              </w:rPr>
              <w:t>adjustment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258</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258</w:t>
            </w:r>
          </w:p>
        </w:tc>
        <w:tc>
          <w:tcPr>
            <w:tcW w:w="100" w:type="dxa"/>
            <w:vAlign w:val="bottom"/>
            <w:shd w:val="clear" w:color="auto" w:fill="CFF0FC"/>
          </w:tcPr>
          <w:p>
            <w:pPr>
              <w:spacing w:after="0"/>
              <w:rPr>
                <w:sz w:val="10"/>
                <w:szCs w:val="10"/>
                <w:color w:val="auto"/>
              </w:rPr>
            </w:pPr>
          </w:p>
        </w:tc>
      </w:tr>
      <w:tr>
        <w:trPr>
          <w:trHeight w:val="127"/>
        </w:trPr>
        <w:tc>
          <w:tcPr>
            <w:tcW w:w="1040" w:type="dxa"/>
            <w:vAlign w:val="bottom"/>
          </w:tcPr>
          <w:p>
            <w:pPr>
              <w:spacing w:after="0"/>
              <w:rPr>
                <w:sz w:val="20"/>
                <w:szCs w:val="20"/>
                <w:color w:val="auto"/>
              </w:rPr>
            </w:pPr>
            <w:r>
              <w:rPr>
                <w:rFonts w:ascii="Arial" w:cs="Arial" w:eastAsia="Arial" w:hAnsi="Arial"/>
                <w:sz w:val="10"/>
                <w:szCs w:val="10"/>
                <w:color w:val="auto"/>
              </w:rPr>
              <w:t>Balance at</w:t>
            </w: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3"/>
        </w:trPr>
        <w:tc>
          <w:tcPr>
            <w:tcW w:w="1040" w:type="dxa"/>
            <w:vAlign w:val="bottom"/>
          </w:tcPr>
          <w:p>
            <w:pPr>
              <w:spacing w:after="0"/>
              <w:rPr>
                <w:sz w:val="20"/>
                <w:szCs w:val="20"/>
                <w:color w:val="auto"/>
              </w:rPr>
            </w:pPr>
            <w:r>
              <w:rPr>
                <w:rFonts w:ascii="Arial" w:cs="Arial" w:eastAsia="Arial" w:hAnsi="Arial"/>
                <w:sz w:val="10"/>
                <w:szCs w:val="10"/>
                <w:color w:val="auto"/>
              </w:rPr>
              <w:t>December 31, 2017</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9"/>
              </w:rPr>
              <w:t>77,884,754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78</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w w:val="99"/>
              </w:rPr>
              <w:t>28,226,104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28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185,190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(58,499 )</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127,025</w:t>
            </w:r>
          </w:p>
        </w:tc>
        <w:tc>
          <w:tcPr>
            <w:tcW w:w="100" w:type="dxa"/>
            <w:vAlign w:val="bottom"/>
          </w:tcPr>
          <w:p>
            <w:pPr>
              <w:spacing w:after="0"/>
              <w:rPr>
                <w:sz w:val="10"/>
                <w:szCs w:val="10"/>
                <w:color w:val="auto"/>
              </w:rPr>
            </w:pPr>
          </w:p>
        </w:tc>
      </w:tr>
      <w:tr>
        <w:trPr>
          <w:trHeight w:val="135"/>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Net income</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1"/>
                <w:szCs w:val="11"/>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65,170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65,170</w:t>
            </w:r>
          </w:p>
        </w:tc>
        <w:tc>
          <w:tcPr>
            <w:tcW w:w="100" w:type="dxa"/>
            <w:vAlign w:val="bottom"/>
            <w:shd w:val="clear" w:color="auto" w:fill="CFF0FC"/>
          </w:tcPr>
          <w:p>
            <w:pPr>
              <w:spacing w:after="0"/>
              <w:rPr>
                <w:sz w:val="11"/>
                <w:szCs w:val="11"/>
                <w:color w:val="auto"/>
              </w:rPr>
            </w:pPr>
          </w:p>
        </w:tc>
      </w:tr>
      <w:tr>
        <w:trPr>
          <w:trHeight w:val="133"/>
        </w:trPr>
        <w:tc>
          <w:tcPr>
            <w:tcW w:w="1040" w:type="dxa"/>
            <w:vAlign w:val="bottom"/>
          </w:tcPr>
          <w:p>
            <w:pPr>
              <w:ind w:left="260"/>
              <w:spacing w:after="0"/>
              <w:rPr>
                <w:sz w:val="20"/>
                <w:szCs w:val="20"/>
                <w:color w:val="auto"/>
              </w:rPr>
            </w:pPr>
            <w:r>
              <w:rPr>
                <w:rFonts w:ascii="Arial" w:cs="Arial" w:eastAsia="Arial" w:hAnsi="Arial"/>
                <w:sz w:val="10"/>
                <w:szCs w:val="10"/>
                <w:color w:val="auto"/>
              </w:rPr>
              <w:t>Stock–based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compensation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040" w:type="dxa"/>
            <w:vAlign w:val="bottom"/>
          </w:tcPr>
          <w:p>
            <w:pPr>
              <w:ind w:left="320"/>
              <w:spacing w:after="0"/>
              <w:rPr>
                <w:sz w:val="20"/>
                <w:szCs w:val="20"/>
                <w:color w:val="auto"/>
              </w:rPr>
            </w:pPr>
            <w:r>
              <w:rPr>
                <w:rFonts w:ascii="Arial" w:cs="Arial" w:eastAsia="Arial" w:hAnsi="Arial"/>
                <w:sz w:val="10"/>
                <w:szCs w:val="10"/>
                <w:color w:val="auto"/>
              </w:rPr>
              <w:t>expense</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21,284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21,284</w:t>
            </w:r>
          </w:p>
        </w:tc>
        <w:tc>
          <w:tcPr>
            <w:tcW w:w="100" w:type="dxa"/>
            <w:vAlign w:val="bottom"/>
          </w:tcPr>
          <w:p>
            <w:pPr>
              <w:spacing w:after="0"/>
              <w:rPr>
                <w:sz w:val="10"/>
                <w:szCs w:val="10"/>
                <w:color w:val="auto"/>
              </w:rPr>
            </w:pPr>
          </w:p>
        </w:tc>
      </w:tr>
      <w:tr>
        <w:trPr>
          <w:trHeight w:val="13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common stock</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upon</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320"/>
              <w:spacing w:after="0"/>
              <w:rPr>
                <w:sz w:val="20"/>
                <w:szCs w:val="20"/>
                <w:color w:val="auto"/>
              </w:rPr>
            </w:pPr>
            <w:r>
              <w:rPr>
                <w:rFonts w:ascii="Arial" w:cs="Arial" w:eastAsia="Arial" w:hAnsi="Arial"/>
                <w:sz w:val="10"/>
                <w:szCs w:val="10"/>
                <w:color w:val="auto"/>
                <w:w w:val="93"/>
              </w:rPr>
              <w:t>exercise of stock</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options</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3,186,489</w:t>
            </w: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10,690</w:t>
            </w: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3,629</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3,632</w:t>
            </w:r>
          </w:p>
        </w:tc>
        <w:tc>
          <w:tcPr>
            <w:tcW w:w="100" w:type="dxa"/>
            <w:vAlign w:val="bottom"/>
            <w:shd w:val="clear" w:color="auto" w:fill="CFF0FC"/>
          </w:tcPr>
          <w:p>
            <w:pPr>
              <w:spacing w:after="0"/>
              <w:rPr>
                <w:sz w:val="10"/>
                <w:szCs w:val="10"/>
                <w:color w:val="auto"/>
              </w:rPr>
            </w:pPr>
          </w:p>
        </w:tc>
      </w:tr>
      <w:tr>
        <w:trPr>
          <w:trHeight w:val="133"/>
        </w:trPr>
        <w:tc>
          <w:tcPr>
            <w:tcW w:w="1040" w:type="dxa"/>
            <w:vAlign w:val="bottom"/>
          </w:tcPr>
          <w:p>
            <w:pPr>
              <w:ind w:left="26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common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upon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320"/>
              <w:spacing w:after="0"/>
              <w:rPr>
                <w:sz w:val="20"/>
                <w:szCs w:val="20"/>
                <w:color w:val="auto"/>
              </w:rPr>
            </w:pPr>
            <w:r>
              <w:rPr>
                <w:rFonts w:ascii="Arial" w:cs="Arial" w:eastAsia="Arial" w:hAnsi="Arial"/>
                <w:sz w:val="10"/>
                <w:szCs w:val="10"/>
                <w:color w:val="auto"/>
              </w:rPr>
              <w:t>vesting of</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restricted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040" w:type="dxa"/>
            <w:vAlign w:val="bottom"/>
          </w:tcPr>
          <w:p>
            <w:pPr>
              <w:ind w:left="260"/>
              <w:spacing w:after="0"/>
              <w:rPr>
                <w:sz w:val="20"/>
                <w:szCs w:val="20"/>
                <w:color w:val="auto"/>
              </w:rPr>
            </w:pPr>
            <w:r>
              <w:rPr>
                <w:rFonts w:ascii="Arial" w:cs="Arial" w:eastAsia="Arial" w:hAnsi="Arial"/>
                <w:sz w:val="10"/>
                <w:szCs w:val="10"/>
                <w:color w:val="auto"/>
              </w:rPr>
              <w:t>units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1,781,201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0"/>
                <w:szCs w:val="10"/>
                <w:color w:val="auto"/>
              </w:rPr>
              <w:t>(2 )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3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Payment of</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w w:val="99"/>
              </w:rPr>
              <w:t>withholding taxes</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320"/>
              <w:spacing w:after="0"/>
              <w:rPr>
                <w:sz w:val="20"/>
                <w:szCs w:val="20"/>
                <w:color w:val="auto"/>
              </w:rPr>
            </w:pPr>
            <w:r>
              <w:rPr>
                <w:rFonts w:ascii="Arial" w:cs="Arial" w:eastAsia="Arial" w:hAnsi="Arial"/>
                <w:sz w:val="10"/>
                <w:szCs w:val="10"/>
                <w:color w:val="auto"/>
              </w:rPr>
              <w:t>on net share</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settlements of</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3"/>
        </w:trPr>
        <w:tc>
          <w:tcPr>
            <w:tcW w:w="1040" w:type="dxa"/>
            <w:vAlign w:val="bottom"/>
            <w:shd w:val="clear" w:color="auto" w:fill="CFF0FC"/>
          </w:tcPr>
          <w:p>
            <w:pPr>
              <w:ind w:left="320"/>
              <w:spacing w:after="0"/>
              <w:rPr>
                <w:sz w:val="20"/>
                <w:szCs w:val="20"/>
                <w:color w:val="auto"/>
              </w:rPr>
            </w:pPr>
            <w:r>
              <w:rPr>
                <w:rFonts w:ascii="Arial" w:cs="Arial" w:eastAsia="Arial" w:hAnsi="Arial"/>
                <w:sz w:val="10"/>
                <w:szCs w:val="10"/>
                <w:color w:val="auto"/>
              </w:rPr>
              <w:t>equity awards</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(658,931 )</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(25,885 )</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(25,885 )</w:t>
            </w:r>
          </w:p>
        </w:tc>
      </w:tr>
      <w:tr>
        <w:trPr>
          <w:trHeight w:val="133"/>
        </w:trPr>
        <w:tc>
          <w:tcPr>
            <w:tcW w:w="1040" w:type="dxa"/>
            <w:vAlign w:val="bottom"/>
          </w:tcPr>
          <w:p>
            <w:pPr>
              <w:ind w:left="260"/>
              <w:spacing w:after="0"/>
              <w:rPr>
                <w:sz w:val="20"/>
                <w:szCs w:val="20"/>
                <w:color w:val="auto"/>
              </w:rPr>
            </w:pPr>
            <w:r>
              <w:rPr>
                <w:rFonts w:ascii="Arial" w:cs="Arial" w:eastAsia="Arial" w:hAnsi="Arial"/>
                <w:sz w:val="10"/>
                <w:szCs w:val="10"/>
                <w:color w:val="auto"/>
              </w:rPr>
              <w:t>Cumulative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adjustment from</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320"/>
              <w:spacing w:after="0"/>
              <w:rPr>
                <w:sz w:val="20"/>
                <w:szCs w:val="20"/>
                <w:color w:val="auto"/>
              </w:rPr>
            </w:pPr>
            <w:r>
              <w:rPr>
                <w:rFonts w:ascii="Arial" w:cs="Arial" w:eastAsia="Arial" w:hAnsi="Arial"/>
                <w:sz w:val="10"/>
                <w:szCs w:val="10"/>
                <w:color w:val="auto"/>
              </w:rPr>
              <w:t>adoption of</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revenue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320"/>
              <w:spacing w:after="0"/>
              <w:rPr>
                <w:sz w:val="20"/>
                <w:szCs w:val="20"/>
                <w:color w:val="auto"/>
              </w:rPr>
            </w:pPr>
            <w:r>
              <w:rPr>
                <w:rFonts w:ascii="Arial" w:cs="Arial" w:eastAsia="Arial" w:hAnsi="Arial"/>
                <w:sz w:val="10"/>
                <w:szCs w:val="10"/>
                <w:color w:val="auto"/>
              </w:rPr>
              <w:t>recognition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040" w:type="dxa"/>
            <w:vAlign w:val="bottom"/>
          </w:tcPr>
          <w:p>
            <w:pPr>
              <w:ind w:left="260"/>
              <w:spacing w:after="0"/>
              <w:rPr>
                <w:sz w:val="20"/>
                <w:szCs w:val="20"/>
                <w:color w:val="auto"/>
              </w:rPr>
            </w:pPr>
            <w:r>
              <w:rPr>
                <w:rFonts w:ascii="Arial" w:cs="Arial" w:eastAsia="Arial" w:hAnsi="Arial"/>
                <w:sz w:val="10"/>
                <w:szCs w:val="10"/>
                <w:color w:val="auto"/>
              </w:rPr>
              <w:t>standard</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3,042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3,042</w:t>
            </w:r>
          </w:p>
        </w:tc>
        <w:tc>
          <w:tcPr>
            <w:tcW w:w="100" w:type="dxa"/>
            <w:vAlign w:val="bottom"/>
          </w:tcPr>
          <w:p>
            <w:pPr>
              <w:spacing w:after="0"/>
              <w:rPr>
                <w:sz w:val="10"/>
                <w:szCs w:val="10"/>
                <w:color w:val="auto"/>
              </w:rPr>
            </w:pPr>
          </w:p>
        </w:tc>
      </w:tr>
      <w:tr>
        <w:trPr>
          <w:trHeight w:val="13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Conversion of</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common stock</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7,534,710</w:t>
            </w: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w:t>
            </w:r>
          </w:p>
        </w:tc>
        <w:tc>
          <w:tcPr>
            <w:tcW w:w="8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(7,534,710 )</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(7 )</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r>
      <w:tr>
        <w:trPr>
          <w:trHeight w:val="133"/>
        </w:trPr>
        <w:tc>
          <w:tcPr>
            <w:tcW w:w="1040" w:type="dxa"/>
            <w:vAlign w:val="bottom"/>
          </w:tcPr>
          <w:p>
            <w:pPr>
              <w:ind w:left="260"/>
              <w:spacing w:after="0"/>
              <w:rPr>
                <w:sz w:val="20"/>
                <w:szCs w:val="20"/>
                <w:color w:val="auto"/>
              </w:rPr>
            </w:pPr>
            <w:r>
              <w:rPr>
                <w:rFonts w:ascii="Arial" w:cs="Arial" w:eastAsia="Arial" w:hAnsi="Arial"/>
                <w:sz w:val="10"/>
                <w:szCs w:val="10"/>
                <w:color w:val="auto"/>
              </w:rPr>
              <w:t>Foreign currency</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translation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040" w:type="dxa"/>
            <w:vAlign w:val="bottom"/>
          </w:tcPr>
          <w:p>
            <w:pPr>
              <w:ind w:left="320"/>
              <w:spacing w:after="0"/>
              <w:rPr>
                <w:sz w:val="20"/>
                <w:szCs w:val="20"/>
                <w:color w:val="auto"/>
              </w:rPr>
            </w:pPr>
            <w:r>
              <w:rPr>
                <w:rFonts w:ascii="Arial" w:cs="Arial" w:eastAsia="Arial" w:hAnsi="Arial"/>
                <w:sz w:val="10"/>
                <w:szCs w:val="10"/>
                <w:color w:val="auto"/>
              </w:rPr>
              <w:t>adjustment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0"/>
                <w:szCs w:val="10"/>
                <w:color w:val="auto"/>
              </w:rPr>
              <w:t>(157 )</w:t>
            </w:r>
          </w:p>
        </w:tc>
        <w:tc>
          <w:tcPr>
            <w:tcW w:w="8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(157 )</w:t>
            </w:r>
          </w:p>
        </w:tc>
      </w:tr>
      <w:tr>
        <w:trPr>
          <w:trHeight w:val="127"/>
        </w:trPr>
        <w:tc>
          <w:tcPr>
            <w:tcW w:w="1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0"/>
                <w:szCs w:val="10"/>
                <w:color w:val="auto"/>
              </w:rPr>
              <w:t>Balance at</w:t>
            </w: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right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23"/>
        </w:trPr>
        <w:tc>
          <w:tcPr>
            <w:tcW w:w="1040" w:type="dxa"/>
            <w:vAlign w:val="bottom"/>
            <w:shd w:val="clear" w:color="auto" w:fill="CFF0FC"/>
          </w:tcPr>
          <w:p>
            <w:pPr>
              <w:spacing w:after="0"/>
              <w:rPr>
                <w:sz w:val="20"/>
                <w:szCs w:val="20"/>
                <w:color w:val="auto"/>
              </w:rPr>
            </w:pPr>
            <w:r>
              <w:rPr>
                <w:rFonts w:ascii="Arial" w:cs="Arial" w:eastAsia="Arial" w:hAnsi="Arial"/>
                <w:sz w:val="10"/>
                <w:szCs w:val="10"/>
                <w:color w:val="auto"/>
              </w:rPr>
              <w:t>December 31, 2018</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9"/>
              </w:rPr>
              <w:t>89,728,223</w:t>
            </w: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90</w:t>
            </w: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9"/>
              </w:rPr>
              <w:t>20,702,084</w:t>
            </w: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21</w:t>
            </w: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184,216</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71</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9,713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194,111</w:t>
            </w:r>
          </w:p>
        </w:tc>
        <w:tc>
          <w:tcPr>
            <w:tcW w:w="100" w:type="dxa"/>
            <w:vAlign w:val="bottom"/>
            <w:shd w:val="clear" w:color="auto" w:fill="CFF0FC"/>
          </w:tcPr>
          <w:p>
            <w:pPr>
              <w:spacing w:after="0"/>
              <w:rPr>
                <w:sz w:val="10"/>
                <w:szCs w:val="10"/>
                <w:color w:val="auto"/>
              </w:rPr>
            </w:pPr>
          </w:p>
        </w:tc>
      </w:tr>
      <w:tr>
        <w:trPr>
          <w:trHeight w:val="135"/>
        </w:trPr>
        <w:tc>
          <w:tcPr>
            <w:tcW w:w="1040" w:type="dxa"/>
            <w:vAlign w:val="bottom"/>
          </w:tcPr>
          <w:p>
            <w:pPr>
              <w:ind w:left="260"/>
              <w:spacing w:after="0"/>
              <w:rPr>
                <w:sz w:val="20"/>
                <w:szCs w:val="20"/>
                <w:color w:val="auto"/>
              </w:rPr>
            </w:pPr>
            <w:r>
              <w:rPr>
                <w:rFonts w:ascii="Arial" w:cs="Arial" w:eastAsia="Arial" w:hAnsi="Arial"/>
                <w:sz w:val="10"/>
                <w:szCs w:val="10"/>
                <w:color w:val="auto"/>
              </w:rPr>
              <w:t>Net income</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42,146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42,146</w:t>
            </w:r>
          </w:p>
        </w:tc>
        <w:tc>
          <w:tcPr>
            <w:tcW w:w="100" w:type="dxa"/>
            <w:vAlign w:val="bottom"/>
          </w:tcPr>
          <w:p>
            <w:pPr>
              <w:spacing w:after="0"/>
              <w:rPr>
                <w:sz w:val="11"/>
                <w:szCs w:val="11"/>
                <w:color w:val="auto"/>
              </w:rPr>
            </w:pPr>
          </w:p>
        </w:tc>
      </w:tr>
      <w:tr>
        <w:trPr>
          <w:trHeight w:val="13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Stock–based</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compensation</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3"/>
        </w:trPr>
        <w:tc>
          <w:tcPr>
            <w:tcW w:w="1040" w:type="dxa"/>
            <w:vAlign w:val="bottom"/>
            <w:shd w:val="clear" w:color="auto" w:fill="CFF0FC"/>
          </w:tcPr>
          <w:p>
            <w:pPr>
              <w:ind w:left="320"/>
              <w:spacing w:after="0"/>
              <w:rPr>
                <w:sz w:val="20"/>
                <w:szCs w:val="20"/>
                <w:color w:val="auto"/>
              </w:rPr>
            </w:pPr>
            <w:r>
              <w:rPr>
                <w:rFonts w:ascii="Arial" w:cs="Arial" w:eastAsia="Arial" w:hAnsi="Arial"/>
                <w:sz w:val="10"/>
                <w:szCs w:val="10"/>
                <w:color w:val="auto"/>
              </w:rPr>
              <w:t>expense</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35,682</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35,682</w:t>
            </w:r>
          </w:p>
        </w:tc>
        <w:tc>
          <w:tcPr>
            <w:tcW w:w="100" w:type="dxa"/>
            <w:vAlign w:val="bottom"/>
            <w:shd w:val="clear" w:color="auto" w:fill="CFF0FC"/>
          </w:tcPr>
          <w:p>
            <w:pPr>
              <w:spacing w:after="0"/>
              <w:rPr>
                <w:sz w:val="10"/>
                <w:szCs w:val="10"/>
                <w:color w:val="auto"/>
              </w:rPr>
            </w:pPr>
          </w:p>
        </w:tc>
      </w:tr>
      <w:tr>
        <w:trPr>
          <w:trHeight w:val="133"/>
        </w:trPr>
        <w:tc>
          <w:tcPr>
            <w:tcW w:w="1040" w:type="dxa"/>
            <w:vAlign w:val="bottom"/>
          </w:tcPr>
          <w:p>
            <w:pPr>
              <w:ind w:left="260"/>
              <w:spacing w:after="0"/>
              <w:rPr>
                <w:sz w:val="20"/>
                <w:szCs w:val="20"/>
                <w:color w:val="auto"/>
              </w:rPr>
            </w:pPr>
            <w:r>
              <w:rPr>
                <w:rFonts w:ascii="Arial" w:cs="Arial" w:eastAsia="Arial" w:hAnsi="Arial"/>
                <w:sz w:val="10"/>
                <w:szCs w:val="10"/>
                <w:color w:val="auto"/>
              </w:rPr>
              <w:t>Issuance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common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upon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320"/>
              <w:spacing w:after="0"/>
              <w:rPr>
                <w:sz w:val="20"/>
                <w:szCs w:val="20"/>
                <w:color w:val="auto"/>
              </w:rPr>
            </w:pPr>
            <w:r>
              <w:rPr>
                <w:rFonts w:ascii="Arial" w:cs="Arial" w:eastAsia="Arial" w:hAnsi="Arial"/>
                <w:sz w:val="10"/>
                <w:szCs w:val="10"/>
                <w:color w:val="auto"/>
                <w:w w:val="93"/>
              </w:rPr>
              <w:t>exercise of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040" w:type="dxa"/>
            <w:vAlign w:val="bottom"/>
          </w:tcPr>
          <w:p>
            <w:pPr>
              <w:ind w:left="260"/>
              <w:spacing w:after="0"/>
              <w:rPr>
                <w:sz w:val="20"/>
                <w:szCs w:val="20"/>
                <w:color w:val="auto"/>
              </w:rPr>
            </w:pPr>
            <w:r>
              <w:rPr>
                <w:rFonts w:ascii="Arial" w:cs="Arial" w:eastAsia="Arial" w:hAnsi="Arial"/>
                <w:sz w:val="10"/>
                <w:szCs w:val="10"/>
                <w:color w:val="auto"/>
              </w:rPr>
              <w:t>options</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838,928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1,807</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1,807</w:t>
            </w:r>
          </w:p>
        </w:tc>
        <w:tc>
          <w:tcPr>
            <w:tcW w:w="100" w:type="dxa"/>
            <w:vAlign w:val="bottom"/>
          </w:tcPr>
          <w:p>
            <w:pPr>
              <w:spacing w:after="0"/>
              <w:rPr>
                <w:sz w:val="10"/>
                <w:szCs w:val="10"/>
                <w:color w:val="auto"/>
              </w:rPr>
            </w:pPr>
          </w:p>
        </w:tc>
      </w:tr>
      <w:tr>
        <w:trPr>
          <w:trHeight w:val="13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Issuance of</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common stock</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upon</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320"/>
              <w:spacing w:after="0"/>
              <w:rPr>
                <w:sz w:val="20"/>
                <w:szCs w:val="20"/>
                <w:color w:val="auto"/>
              </w:rPr>
            </w:pPr>
            <w:r>
              <w:rPr>
                <w:rFonts w:ascii="Arial" w:cs="Arial" w:eastAsia="Arial" w:hAnsi="Arial"/>
                <w:sz w:val="10"/>
                <w:szCs w:val="10"/>
                <w:color w:val="auto"/>
              </w:rPr>
              <w:t>vesting of</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restricted stock</w:t>
            </w: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units</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1,317,736</w:t>
            </w: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(1 )</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r>
      <w:tr>
        <w:trPr>
          <w:trHeight w:val="133"/>
        </w:trPr>
        <w:tc>
          <w:tcPr>
            <w:tcW w:w="1040" w:type="dxa"/>
            <w:vAlign w:val="bottom"/>
          </w:tcPr>
          <w:p>
            <w:pPr>
              <w:ind w:left="260"/>
              <w:spacing w:after="0"/>
              <w:rPr>
                <w:sz w:val="20"/>
                <w:szCs w:val="20"/>
                <w:color w:val="auto"/>
              </w:rPr>
            </w:pPr>
            <w:r>
              <w:rPr>
                <w:rFonts w:ascii="Arial" w:cs="Arial" w:eastAsia="Arial" w:hAnsi="Arial"/>
                <w:sz w:val="10"/>
                <w:szCs w:val="10"/>
                <w:color w:val="auto"/>
              </w:rPr>
              <w:t>Payment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w w:val="99"/>
              </w:rPr>
              <w:t>withholding taxes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320"/>
              <w:spacing w:after="0"/>
              <w:rPr>
                <w:sz w:val="20"/>
                <w:szCs w:val="20"/>
                <w:color w:val="auto"/>
              </w:rPr>
            </w:pPr>
            <w:r>
              <w:rPr>
                <w:rFonts w:ascii="Arial" w:cs="Arial" w:eastAsia="Arial" w:hAnsi="Arial"/>
                <w:sz w:val="10"/>
                <w:szCs w:val="10"/>
                <w:color w:val="auto"/>
                <w:w w:val="96"/>
              </w:rPr>
              <w:t>and option costs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on net share</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320"/>
              <w:spacing w:after="0"/>
              <w:rPr>
                <w:sz w:val="20"/>
                <w:szCs w:val="20"/>
                <w:color w:val="auto"/>
              </w:rPr>
            </w:pPr>
            <w:r>
              <w:rPr>
                <w:rFonts w:ascii="Arial" w:cs="Arial" w:eastAsia="Arial" w:hAnsi="Arial"/>
                <w:sz w:val="10"/>
                <w:szCs w:val="10"/>
                <w:color w:val="auto"/>
              </w:rPr>
              <w:t>settlement of</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restricted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040" w:type="dxa"/>
            <w:vAlign w:val="bottom"/>
          </w:tcPr>
          <w:p>
            <w:pPr>
              <w:ind w:left="320"/>
              <w:spacing w:after="0"/>
              <w:rPr>
                <w:sz w:val="20"/>
                <w:szCs w:val="20"/>
                <w:color w:val="auto"/>
              </w:rPr>
            </w:pPr>
            <w:r>
              <w:rPr>
                <w:rFonts w:ascii="Arial" w:cs="Arial" w:eastAsia="Arial" w:hAnsi="Arial"/>
                <w:sz w:val="10"/>
                <w:szCs w:val="10"/>
                <w:color w:val="auto"/>
              </w:rPr>
              <w:t>units and stock</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040" w:type="dxa"/>
            <w:vAlign w:val="bottom"/>
          </w:tcPr>
          <w:p>
            <w:pPr>
              <w:ind w:left="260"/>
              <w:spacing w:after="0"/>
              <w:rPr>
                <w:sz w:val="20"/>
                <w:szCs w:val="20"/>
                <w:color w:val="auto"/>
              </w:rPr>
            </w:pPr>
            <w:r>
              <w:rPr>
                <w:rFonts w:ascii="Arial" w:cs="Arial" w:eastAsia="Arial" w:hAnsi="Arial"/>
                <w:sz w:val="10"/>
                <w:szCs w:val="10"/>
                <w:color w:val="auto"/>
              </w:rPr>
              <w:t>options</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color w:val="auto"/>
              </w:rPr>
              <w:t>(452,678 )</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0"/>
                <w:szCs w:val="10"/>
                <w:color w:val="auto"/>
              </w:rPr>
              <w:t>(16,470 )</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(16,470 )</w:t>
            </w:r>
          </w:p>
        </w:tc>
      </w:tr>
      <w:tr>
        <w:trPr>
          <w:trHeight w:val="13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Conversion of</w:t>
            </w: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3"/>
        </w:trPr>
        <w:tc>
          <w:tcPr>
            <w:tcW w:w="1040" w:type="dxa"/>
            <w:vAlign w:val="bottom"/>
            <w:shd w:val="clear" w:color="auto" w:fill="CFF0FC"/>
          </w:tcPr>
          <w:p>
            <w:pPr>
              <w:ind w:left="260"/>
              <w:spacing w:after="0"/>
              <w:rPr>
                <w:sz w:val="20"/>
                <w:szCs w:val="20"/>
                <w:color w:val="auto"/>
              </w:rPr>
            </w:pPr>
            <w:r>
              <w:rPr>
                <w:rFonts w:ascii="Arial" w:cs="Arial" w:eastAsia="Arial" w:hAnsi="Arial"/>
                <w:sz w:val="10"/>
                <w:szCs w:val="10"/>
                <w:color w:val="auto"/>
              </w:rPr>
              <w:t>common stock</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387,440</w:t>
            </w:r>
          </w:p>
        </w:tc>
        <w:tc>
          <w:tcPr>
            <w:tcW w:w="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(387,440 )</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(1 )</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r>
      <w:tr>
        <w:trPr>
          <w:trHeight w:val="133"/>
        </w:trPr>
        <w:tc>
          <w:tcPr>
            <w:tcW w:w="1040" w:type="dxa"/>
            <w:vAlign w:val="bottom"/>
          </w:tcPr>
          <w:p>
            <w:pPr>
              <w:ind w:left="260"/>
              <w:spacing w:after="0"/>
              <w:rPr>
                <w:sz w:val="20"/>
                <w:szCs w:val="20"/>
                <w:color w:val="auto"/>
              </w:rPr>
            </w:pPr>
            <w:r>
              <w:rPr>
                <w:rFonts w:ascii="Arial" w:cs="Arial" w:eastAsia="Arial" w:hAnsi="Arial"/>
                <w:sz w:val="10"/>
                <w:szCs w:val="10"/>
                <w:color w:val="auto"/>
              </w:rPr>
              <w:t>Foreign currency</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1040" w:type="dxa"/>
            <w:vAlign w:val="bottom"/>
          </w:tcPr>
          <w:p>
            <w:pPr>
              <w:ind w:left="260"/>
              <w:spacing w:after="0"/>
              <w:rPr>
                <w:sz w:val="20"/>
                <w:szCs w:val="20"/>
                <w:color w:val="auto"/>
              </w:rPr>
            </w:pPr>
            <w:r>
              <w:rPr>
                <w:rFonts w:ascii="Arial" w:cs="Arial" w:eastAsia="Arial" w:hAnsi="Arial"/>
                <w:sz w:val="10"/>
                <w:szCs w:val="10"/>
                <w:color w:val="auto"/>
              </w:rPr>
              <w:t>translation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3"/>
        </w:trPr>
        <w:tc>
          <w:tcPr>
            <w:tcW w:w="1040" w:type="dxa"/>
            <w:vAlign w:val="bottom"/>
          </w:tcPr>
          <w:p>
            <w:pPr>
              <w:ind w:left="320"/>
              <w:spacing w:after="0"/>
              <w:rPr>
                <w:sz w:val="20"/>
                <w:szCs w:val="20"/>
                <w:color w:val="auto"/>
              </w:rPr>
            </w:pPr>
            <w:r>
              <w:rPr>
                <w:rFonts w:ascii="Arial" w:cs="Arial" w:eastAsia="Arial" w:hAnsi="Arial"/>
                <w:sz w:val="10"/>
                <w:szCs w:val="10"/>
                <w:color w:val="auto"/>
              </w:rPr>
              <w:t>adjustment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0"/>
                <w:szCs w:val="10"/>
                <w:color w:val="auto"/>
              </w:rPr>
              <w:t>(421 )</w:t>
            </w:r>
          </w:p>
        </w:tc>
        <w:tc>
          <w:tcPr>
            <w:tcW w:w="8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(421 )</w:t>
            </w:r>
          </w:p>
        </w:tc>
      </w:tr>
      <w:tr>
        <w:trPr>
          <w:trHeight w:val="127"/>
        </w:trPr>
        <w:tc>
          <w:tcPr>
            <w:tcW w:w="1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0"/>
                <w:szCs w:val="10"/>
                <w:color w:val="auto"/>
              </w:rPr>
              <w:t>Balance at</w:t>
            </w: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right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23"/>
        </w:trPr>
        <w:tc>
          <w:tcPr>
            <w:tcW w:w="1040" w:type="dxa"/>
            <w:vAlign w:val="bottom"/>
            <w:shd w:val="clear" w:color="auto" w:fill="CFF0FC"/>
          </w:tcPr>
          <w:p>
            <w:pPr>
              <w:spacing w:after="0"/>
              <w:rPr>
                <w:sz w:val="20"/>
                <w:szCs w:val="20"/>
                <w:color w:val="auto"/>
              </w:rPr>
            </w:pPr>
            <w:r>
              <w:rPr>
                <w:rFonts w:ascii="Arial" w:cs="Arial" w:eastAsia="Arial" w:hAnsi="Arial"/>
                <w:sz w:val="10"/>
                <w:szCs w:val="10"/>
                <w:color w:val="auto"/>
              </w:rPr>
              <w:t>December 31, 2019</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FF0FC"/>
          </w:tcPr>
          <w:p>
            <w:pPr>
              <w:jc w:val="right"/>
              <w:ind w:right="7"/>
              <w:spacing w:after="0"/>
              <w:rPr>
                <w:sz w:val="20"/>
                <w:szCs w:val="20"/>
                <w:color w:val="auto"/>
              </w:rPr>
            </w:pPr>
            <w:r>
              <w:rPr>
                <w:rFonts w:ascii="Arial" w:cs="Arial" w:eastAsia="Arial" w:hAnsi="Arial"/>
                <w:sz w:val="5"/>
                <w:szCs w:val="5"/>
                <w:color w:val="auto"/>
                <w:w w:val="70"/>
              </w:rPr>
              <w:t>$</w:t>
            </w:r>
          </w:p>
        </w:tc>
        <w:tc>
          <w:tcPr>
            <w:tcW w:w="4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9"/>
              </w:rPr>
              <w:t>91,819,649</w:t>
            </w:r>
          </w:p>
        </w:tc>
        <w:tc>
          <w:tcPr>
            <w:tcW w:w="40" w:type="dxa"/>
            <w:vAlign w:val="bottom"/>
            <w:shd w:val="clear" w:color="auto" w:fill="CFF0FC"/>
          </w:tcPr>
          <w:p>
            <w:pPr>
              <w:spacing w:after="0"/>
              <w:rPr>
                <w:sz w:val="10"/>
                <w:szCs w:val="10"/>
                <w:color w:val="auto"/>
              </w:rPr>
            </w:pPr>
          </w:p>
        </w:tc>
        <w:tc>
          <w:tcPr>
            <w:tcW w:w="260" w:type="dxa"/>
            <w:vAlign w:val="bottom"/>
            <w:gridSpan w:val="2"/>
            <w:shd w:val="clear" w:color="auto" w:fill="CFF0FC"/>
          </w:tcPr>
          <w:p>
            <w:pPr>
              <w:ind w:left="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92</w:t>
            </w: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9"/>
              </w:rPr>
              <w:t>20,314,644</w:t>
            </w:r>
          </w:p>
        </w:tc>
        <w:tc>
          <w:tcPr>
            <w:tcW w:w="40" w:type="dxa"/>
            <w:vAlign w:val="bottom"/>
            <w:shd w:val="clear" w:color="auto" w:fill="CFF0FC"/>
          </w:tcPr>
          <w:p>
            <w:pPr>
              <w:spacing w:after="0"/>
              <w:rPr>
                <w:sz w:val="10"/>
                <w:szCs w:val="10"/>
                <w:color w:val="auto"/>
              </w:rPr>
            </w:pPr>
          </w:p>
        </w:tc>
        <w:tc>
          <w:tcPr>
            <w:tcW w:w="260" w:type="dxa"/>
            <w:vAlign w:val="bottom"/>
            <w:gridSpan w:val="2"/>
            <w:shd w:val="clear" w:color="auto" w:fill="CFF0FC"/>
          </w:tcPr>
          <w:p>
            <w:pPr>
              <w:ind w:left="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20</w:t>
            </w:r>
          </w:p>
        </w:tc>
        <w:tc>
          <w:tcPr>
            <w:tcW w:w="40" w:type="dxa"/>
            <w:vAlign w:val="bottom"/>
            <w:shd w:val="clear" w:color="auto" w:fill="CFF0FC"/>
          </w:tcPr>
          <w:p>
            <w:pPr>
              <w:spacing w:after="0"/>
              <w:rPr>
                <w:sz w:val="10"/>
                <w:szCs w:val="10"/>
                <w:color w:val="auto"/>
              </w:rPr>
            </w:pPr>
          </w:p>
        </w:tc>
        <w:tc>
          <w:tcPr>
            <w:tcW w:w="100" w:type="dxa"/>
            <w:vAlign w:val="bottom"/>
            <w:gridSpan w:val="2"/>
            <w:shd w:val="clear" w:color="auto" w:fill="CFF0FC"/>
          </w:tcPr>
          <w:p>
            <w:pPr>
              <w:ind w:left="4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205,234</w:t>
            </w:r>
          </w:p>
        </w:tc>
        <w:tc>
          <w:tcPr>
            <w:tcW w:w="60" w:type="dxa"/>
            <w:vAlign w:val="bottom"/>
            <w:shd w:val="clear" w:color="auto" w:fill="CFF0FC"/>
          </w:tcPr>
          <w:p>
            <w:pPr>
              <w:spacing w:after="0"/>
              <w:rPr>
                <w:sz w:val="10"/>
                <w:szCs w:val="10"/>
                <w:color w:val="auto"/>
              </w:rPr>
            </w:pP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0"/>
                <w:szCs w:val="10"/>
                <w:color w:val="auto"/>
              </w:rPr>
              <w:t>(350 ) $</w:t>
            </w: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51,859</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20"/>
                <w:szCs w:val="20"/>
                <w:color w:val="auto"/>
              </w:rPr>
            </w:pPr>
            <w:r>
              <w:rPr>
                <w:rFonts w:ascii="Arial" w:cs="Arial" w:eastAsia="Arial" w:hAnsi="Arial"/>
                <w:sz w:val="10"/>
                <w:szCs w:val="10"/>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256,855</w:t>
            </w:r>
          </w:p>
        </w:tc>
        <w:tc>
          <w:tcPr>
            <w:tcW w:w="100" w:type="dxa"/>
            <w:vAlign w:val="bottom"/>
            <w:shd w:val="clear" w:color="auto" w:fill="CFF0FC"/>
          </w:tcPr>
          <w:p>
            <w:pPr>
              <w:spacing w:after="0"/>
              <w:rPr>
                <w:sz w:val="10"/>
                <w:szCs w:val="10"/>
                <w:color w:val="auto"/>
              </w:rPr>
            </w:pPr>
          </w:p>
        </w:tc>
      </w:tr>
      <w:tr>
        <w:trPr>
          <w:trHeight w:val="20"/>
        </w:trPr>
        <w:tc>
          <w:tcPr>
            <w:tcW w:w="10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42,146</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65,170</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Currency (gain) loss on foreign denominated transactions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Deferred taxes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(3,734)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(39,040)</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doubtful accounts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20,794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deferred contract costs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(9,608)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(1,911)</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(7,039)</w:t>
            </w:r>
          </w:p>
        </w:tc>
        <w:tc>
          <w:tcPr>
            <w:tcW w:w="0" w:type="dxa"/>
            <w:vAlign w:val="bottom"/>
          </w:tcPr>
          <w:p>
            <w:pPr>
              <w:spacing w:after="0"/>
              <w:rPr>
                <w:sz w:val="1"/>
                <w:szCs w:val="1"/>
                <w:color w:val="auto"/>
              </w:rPr>
            </w:pPr>
          </w:p>
        </w:tc>
      </w:tr>
      <w:tr>
        <w:trPr>
          <w:trHeight w:val="213"/>
        </w:trPr>
        <w:tc>
          <w:tcPr>
            <w:tcW w:w="6000" w:type="dxa"/>
            <w:vAlign w:val="bottom"/>
          </w:tcPr>
          <w:p>
            <w:pPr>
              <w:ind w:left="260"/>
              <w:spacing w:after="0"/>
              <w:rPr>
                <w:sz w:val="20"/>
                <w:szCs w:val="20"/>
                <w:color w:val="auto"/>
              </w:rPr>
            </w:pPr>
            <w:r>
              <w:rPr>
                <w:rFonts w:ascii="Arial" w:cs="Arial" w:eastAsia="Arial" w:hAnsi="Arial"/>
                <w:sz w:val="16"/>
                <w:szCs w:val="16"/>
                <w:color w:val="auto"/>
              </w:rPr>
              <w:t>Prepaid expenses, prepaid income taxes, and other assets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(11,753)</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(2,287)</w:t>
            </w: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contracts costs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(15,979)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(12,987)</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9,345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 accrued income taxes and other current liabilities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rent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260"/>
              <w:spacing w:after="0"/>
              <w:rPr>
                <w:sz w:val="20"/>
                <w:szCs w:val="20"/>
                <w:color w:val="auto"/>
              </w:rPr>
            </w:pPr>
            <w:r>
              <w:rPr>
                <w:rFonts w:ascii="Arial" w:cs="Arial" w:eastAsia="Arial" w:hAnsi="Arial"/>
                <w:sz w:val="16"/>
                <w:szCs w:val="16"/>
                <w:color w:val="auto"/>
              </w:rPr>
              <w:t>Lease obligations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(1,468)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non–current liabilities</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7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70,116</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51,723</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(11,205)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(5,956)</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(5,157)</w:t>
            </w: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Capitalization of website development costs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(3,021)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(1,522)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(2,215)</w:t>
            </w: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Cash paid for acquisition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(19,139)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certificates of deposit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(177,808)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(212,800)</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3"/>
        </w:trPr>
        <w:tc>
          <w:tcPr>
            <w:tcW w:w="6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Maturities of certificates of deposit</w:t>
            </w:r>
          </w:p>
        </w:tc>
        <w:tc>
          <w:tcPr>
            <w:tcW w:w="7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188,916</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140,000</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44,774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(22,257)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(80,278)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(12,598)</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7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Initial public offering proceeds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Payment of initial public offering costs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(1,142)</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(3,308)</w:t>
            </w: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Financing cash flows from finance leases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Payment of withholding taxes and option costs on net share settlement of</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restricted stock units and stock options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(16,470)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(25,885)</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Net cash (used in) provided by financing activities</w:t>
            </w: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(14,693)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(23,395)</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00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(51,994)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89,552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70,723</w:t>
            </w: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37,558</w:t>
            </w:r>
          </w:p>
        </w:tc>
        <w:tc>
          <w:tcPr>
            <w:tcW w:w="260" w:type="dxa"/>
            <w:vAlign w:val="bottom"/>
          </w:tcPr>
          <w:p>
            <w:pPr>
              <w:spacing w:after="0"/>
              <w:rPr>
                <w:sz w:val="21"/>
                <w:szCs w:val="21"/>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89,552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0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2,308</w:t>
            </w:r>
          </w:p>
        </w:tc>
        <w:tc>
          <w:tcPr>
            <w:tcW w:w="26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Unpaid purchases of property and equipment</w:t>
            </w: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Unpaid initial public offering costs</w:t>
            </w:r>
          </w:p>
        </w:tc>
        <w:tc>
          <w:tcPr>
            <w:tcW w:w="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Capitalized stock-based compensation expense in website development and</w:t>
            </w:r>
          </w:p>
        </w:tc>
        <w:tc>
          <w:tcPr>
            <w:tcW w:w="7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internal-use software costs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1,381</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Cash paid for operating lease liabilities</w:t>
            </w:r>
          </w:p>
        </w:tc>
        <w:tc>
          <w:tcPr>
            <w:tcW w:w="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10,906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CarGurus,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 The Company operates principally in the United States and has also launched online marketplaces under the CarGurus brand in Canada, the United Kingdom, Germany, Italy, and Spain. The Company has subsidiaries in the United States, Canada, Ireland, and the United Kingdom. In the United Kingdom, the Company also operates the PistonHeads online marketplace as an independent brand.</w:t>
      </w:r>
    </w:p>
    <w:p>
      <w:pPr>
        <w:spacing w:after="0" w:line="18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On October 16, 2017, the Company completed its initial public offering (“IPO”), in which the Company issued and sold 3,205,000 shares of its Class A common stock, including the full exercise by the underwriters of their option to purchase 705,000 shares of Class A common stock, at a public offering price of $16.00 per share for aggregate gross proceeds of $51.3 million. The Company received $43.2 million in net proceeds after deducting $3.6 million of underwriting discounts and commissions and $4.5 million in offering costs. In addition to shares of Class A common stock issued and sold by the Company, certain selling stockholders sold an aggregate of 7,605,000 shares of Class A common stock, including the full exercise by the underwriters of their option to purchase 705,000 shares of Class A common stock, as part of the IPO. Upon the closing of the IPO, all of the outstanding shares of convertible preferred stock automatically converted into 20,188,226 shares of Class A common stock and 40,376,452 shares of Class B common stock. The 40,376,452 shares of Class B common stock subsequently converted into 40,376,452 shares of Class A common stock resulting in a total conversion of all outstanding shares of convertible preferred stock into 60,564,678 shares of Class A common stock. Subsequent to the closing of the IPO, there were no shares of convertible preferred stock outstanding.</w:t>
      </w:r>
    </w:p>
    <w:p>
      <w:pPr>
        <w:spacing w:after="0" w:line="178"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8"/>
          <w:szCs w:val="18"/>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accompanying consolidated financial statements reflect the application of certain significant accounting policies as described below and elsewhere in these notes to the consolidated financial statements. The Company believes that a significant accounting policy is one that is both important to the portrayal of the Company’s financial condition and results, and requires management’s most difficult, subjective, or complex judgments, often as the result of the need to make estimates about the effect of matters that are inherently uncertain.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7" w:name="page78"/>
    <w:bookmarkEnd w:id="77"/>
    <w:p>
      <w:pPr>
        <w:jc w:val="both"/>
        <w:ind w:firstLine="555"/>
        <w:spacing w:after="0" w:line="264" w:lineRule="auto"/>
        <w:rPr>
          <w:sz w:val="20"/>
          <w:szCs w:val="20"/>
          <w:color w:val="auto"/>
        </w:rPr>
      </w:pPr>
      <w:r>
        <w:rPr>
          <w:rFonts w:ascii="Arial" w:cs="Arial" w:eastAsia="Arial" w:hAnsi="Arial"/>
          <w:sz w:val="18"/>
          <w:szCs w:val="18"/>
          <w:color w:val="auto"/>
        </w:rPr>
        <w:t xml:space="preserve">Due to the adoption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is discussed further in this Note 2, the consolidated balance sheets and the consolidated statements of operations, comprehensive income, convertible preferred stock and stockholders’ equity (deficit), and cash flows for the years ended December 31, 2019 and 2018 are not comparative to prior years.</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 xml:space="preserve">Due to the adoption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which is discussed further in this Note 2, the consolidated balance sheet for the year ended December 31, 2019 is not comparative to prior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All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 other than those disclosed in Note 16 of these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81"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7"/>
          <w:szCs w:val="17"/>
          <w:color w:val="auto"/>
        </w:rPr>
        <w:t>Significant estimates relied upon in preparing these consolidated financial statements include revenue recognition and sales allowances, variable consideration, the valuation of goodwill and intangible assets, the expensing and capitalization of product, technology, and development costs for website development and internal</w:t>
      </w:r>
      <w:r>
        <w:rPr>
          <w:rFonts w:ascii="MS PGothic" w:cs="MS PGothic" w:eastAsia="MS PGothic" w:hAnsi="MS PGothic"/>
          <w:sz w:val="17"/>
          <w:szCs w:val="17"/>
          <w:color w:val="auto"/>
        </w:rPr>
        <w:t>‑</w:t>
      </w:r>
      <w:r>
        <w:rPr>
          <w:rFonts w:ascii="Arial" w:cs="Arial" w:eastAsia="Arial" w:hAnsi="Arial"/>
          <w:sz w:val="17"/>
          <w:szCs w:val="17"/>
          <w:color w:val="auto"/>
        </w:rPr>
        <w:t>use software, and the recoverability of the Company’s net deferred tax assets and related valuation allowance.</w:t>
      </w:r>
    </w:p>
    <w:p>
      <w:pPr>
        <w:spacing w:after="0" w:line="202"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The Company derives its revenue from two primary sources: (1) marketplace subscription revenue, which consists primarily of Listings, and Dealer Display subscriptions, and (2) advertising and other revenue, which consists primarily of display advertising revenue from auto manufacturers and other auto</w:t>
      </w:r>
      <w:r>
        <w:rPr>
          <w:rFonts w:ascii="MS PGothic" w:cs="MS PGothic" w:eastAsia="MS PGothic" w:hAnsi="MS PGothic"/>
          <w:sz w:val="18"/>
          <w:szCs w:val="18"/>
          <w:color w:val="auto"/>
        </w:rPr>
        <w:t>‑</w:t>
      </w:r>
      <w:r>
        <w:rPr>
          <w:rFonts w:ascii="Arial" w:cs="Arial" w:eastAsia="Arial" w:hAnsi="Arial"/>
          <w:sz w:val="18"/>
          <w:szCs w:val="18"/>
          <w:color w:val="auto"/>
        </w:rPr>
        <w:t>related brand advertisers as well as partnerships with financing services companies.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The Company offers multiple types of marketplace Listings packages to its dealers through its platform: Restricted Listings (formerly referred to as Basic Listings), which is free; and various levels of Listings packages, which each require a paid subscription under a monthly, quarterly, semiannual, or annual subscription basis. Contractual subscriptions for customers generally auto-renew on a monthly basis and are cancellable by dealers with 30 days’ advance notice at the end of the committed term. The Company also offers all dealers on the its platform access to a Dealer Dashboard, which includes a performance summary, Dealer Insights tool, and user review management platform. Dealers subscribing to a paid Listings package also have access to the Pricing Tool and Market Analysis tool. The Pricing Tool and Market Analysis tool are available only to paying dealers. Subscription pricing is determined based on a dealer’s inventory size, region, and the Company’s assessment of the connections and Return on Investment (“ROI”) the platform will provide them.</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Customers do not have the right to take possession of the Company’s software.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8" w:name="page79"/>
    <w:bookmarkEnd w:id="78"/>
    <w:p>
      <w:pPr>
        <w:jc w:val="both"/>
        <w:ind w:firstLine="555"/>
        <w:spacing w:after="0" w:line="273" w:lineRule="auto"/>
        <w:rPr>
          <w:sz w:val="20"/>
          <w:szCs w:val="20"/>
          <w:color w:val="auto"/>
        </w:rPr>
      </w:pPr>
      <w:r>
        <w:rPr>
          <w:rFonts w:ascii="Arial" w:cs="Arial" w:eastAsia="Arial" w:hAnsi="Arial"/>
          <w:sz w:val="17"/>
          <w:szCs w:val="17"/>
          <w:color w:val="auto"/>
        </w:rPr>
        <w:t>In addition to listing inventory in the Company’s marketplace and providing access to the Dealer Dashboard, the Company offers dealers subscribing to one of its Enhanced, Featured, or Featured Priority Listings packages other subscription advertising and customer acquisition products, including Dealer Display, pursuant to which dealers can buy display advertising that appears in the Company’s marketplace, and on other sites on the internet, and for which such advertisements can be targeted by the user’s geography, search history, CarGurus website activity (including showing users relevant vehicles from a dealer’s inventory that they have not yet discovered on the Company’s marketplace), and a number of other targeting factors, allowing dealers to increase their visibility with in-market consumers and drive qualified traffic for dealers.</w:t>
      </w:r>
    </w:p>
    <w:p>
      <w:pPr>
        <w:spacing w:after="0" w:line="178"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Payment is typically due on first day of each calendar month and is recorded as accounts receivable or short-term deferred revenue when payment is received in advance of services being delivered to the customers.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Advertising and other revenue consists primarily of non-dealer display advertising revenue from auto manufacturers and other auto-related brand advertisers sold on a cost per thousand impressions (“CPM”) basis. An impression is an advertisement loaded on a web page. In addition to advertising sold on a CPM basis, the Company also has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The Company does not provide minimum impression guarantees or other types of minimum guarantees in its contracts with customers. Pricing is primarily based on advertisement size and position on the Company’s websites and mobile applications, and fees are billed monthly in arrears. Unbilled accounts receivables relate to services rendered in the current period, but generally not invoiced until the subsequent period.</w:t>
      </w:r>
    </w:p>
    <w:p>
      <w:pPr>
        <w:spacing w:after="0" w:line="19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Company sells advertising directly to auto manufacturers and other auto related brand advertisers, as well as indirectly through revenue sharing arrangements with advertising exchange partners. Company-sold advertising is not subject to revenue sharing arrangements. Company-sold advertising revenue is recognized based on the gross amount charged to the advertiser. Partner-sold advertising revenue is recognized based on the net amount of revenue received from the content partners.</w:t>
      </w:r>
    </w:p>
    <w:p>
      <w:pPr>
        <w:spacing w:after="0" w:line="18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Revenue from advertising sold directly by the Company is recorded on a gross basis because the Company is the principal in the arrangement, controls the ad placement and timing of the campaign, and establishes the selling price. The Company enters into contractual arrangements directly with advertisers and is directly responsible for the fulfillment of the contractual terms including any remedy for issues with such fulfillment.</w:t>
      </w:r>
    </w:p>
    <w:p>
      <w:pPr>
        <w:spacing w:after="0" w:line="166"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Advertising revenue subject to revenue sharing agreements between the Company and advertising exchange partners is recognized based on the net amount of revenue received from the partner. The advertising partner is responsible for fulfillment, including the acceptability of the services delivered. In partner-sold advertising arrangements, the advertising partner has a direct contractual relationship with the advertiser. There is no contractual relationship between the Company and the advertiser for partner-sold transactions. When an advertising exchange partner sells advertisements, the partner is responsible for fulfilling the advertisements, and accordingly, the Company has determined the advertising partner is the principal in the arrangement. Additionally, for auction-based partner agreements, the Company has latitude in establishing the floor price, but the final price established by the exchange server is at market rates.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Customers are billed monthly in arrears and payment terms are generally thirty to sixty days from the date invoiced.</w:t>
      </w:r>
    </w:p>
    <w:p>
      <w:pPr>
        <w:spacing w:after="0" w:line="225"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Advertising and other revenue also includes revenue from partnerships with certain financing services companies pursuant to which the Company enables eligible consumers on the Company’s United States website to pre-qualify for financing on cars from dealerships that offer financing through such companies. The Company’s revenues from these financing partnerships are based on a funded-loan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to adoption of ASC 606</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Company recognizes revenue when all of the following conditions are satisfied: (1) there is persuasive evidence of an arrangement; (2) the service has been provided to the customer; (3) the collection of fees is reasonably assured; and (4) the amount of fees to be paid by the customer is fixed or determinable.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9" w:name="page80"/>
    <w:bookmarkEnd w:id="79"/>
    <w:p>
      <w:pPr>
        <w:jc w:val="both"/>
        <w:ind w:firstLine="555"/>
        <w:spacing w:after="0" w:line="277" w:lineRule="auto"/>
        <w:rPr>
          <w:sz w:val="20"/>
          <w:szCs w:val="20"/>
          <w:color w:val="auto"/>
        </w:rPr>
      </w:pPr>
      <w:r>
        <w:rPr>
          <w:rFonts w:ascii="Arial" w:cs="Arial" w:eastAsia="Arial" w:hAnsi="Arial"/>
          <w:sz w:val="18"/>
          <w:szCs w:val="18"/>
          <w:color w:val="auto"/>
        </w:rPr>
        <w:t>The Company recognizes marketplace subscription revenue on a monthly basis as revenue is earned and advertising and other revenue as impressions are delivered. Revenue is presented net of any taxes collected from customers.</w:t>
      </w:r>
    </w:p>
    <w:p>
      <w:pPr>
        <w:spacing w:after="0" w:line="170"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6"/>
          <w:szCs w:val="16"/>
          <w:color w:val="auto"/>
        </w:rPr>
        <w:t>The Company assesses arrangements with multiple deliverables under ASU No. 2009</w:t>
      </w:r>
      <w:r>
        <w:rPr>
          <w:rFonts w:ascii="MS PGothic" w:cs="MS PGothic" w:eastAsia="MS PGothic" w:hAnsi="MS PGothic"/>
          <w:sz w:val="16"/>
          <w:szCs w:val="16"/>
          <w:color w:val="auto"/>
        </w:rPr>
        <w:t>‑</w:t>
      </w:r>
      <w:r>
        <w:rPr>
          <w:rFonts w:ascii="Arial" w:cs="Arial" w:eastAsia="Arial" w:hAnsi="Arial"/>
          <w:sz w:val="16"/>
          <w:szCs w:val="16"/>
          <w:color w:val="auto"/>
        </w:rPr>
        <w:t xml:space="preserve">13, Revenue Recognition (Topic 605), </w:t>
      </w:r>
      <w:r>
        <w:rPr>
          <w:rFonts w:ascii="Arial" w:cs="Arial" w:eastAsia="Arial" w:hAnsi="Arial"/>
          <w:sz w:val="16"/>
          <w:szCs w:val="16"/>
          <w:i w:val="1"/>
          <w:iCs w:val="1"/>
          <w:color w:val="auto"/>
        </w:rPr>
        <w:t>Multiple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Deliverable</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Arrangements — a Consensus of the FASB Emerging Issues Task Force</w:t>
      </w:r>
      <w:r>
        <w:rPr>
          <w:rFonts w:ascii="Arial" w:cs="Arial" w:eastAsia="Arial" w:hAnsi="Arial"/>
          <w:sz w:val="16"/>
          <w:szCs w:val="16"/>
          <w:color w:val="auto"/>
        </w:rPr>
        <w:t>. Pursuant to ASU 2009</w:t>
      </w:r>
      <w:r>
        <w:rPr>
          <w:rFonts w:ascii="MS PGothic" w:cs="MS PGothic" w:eastAsia="MS PGothic" w:hAnsi="MS PGothic"/>
          <w:sz w:val="16"/>
          <w:szCs w:val="16"/>
          <w:color w:val="auto"/>
        </w:rPr>
        <w:t>‑</w:t>
      </w:r>
      <w:r>
        <w:rPr>
          <w:rFonts w:ascii="Arial" w:cs="Arial" w:eastAsia="Arial" w:hAnsi="Arial"/>
          <w:sz w:val="16"/>
          <w:szCs w:val="16"/>
          <w:color w:val="auto"/>
        </w:rPr>
        <w:t>13, in order to treat deliverables in a</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w:t>
      </w:r>
      <w:r>
        <w:rPr>
          <w:rFonts w:ascii="MS PGothic" w:cs="MS PGothic" w:eastAsia="MS PGothic" w:hAnsi="MS PGothic"/>
          <w:sz w:val="16"/>
          <w:szCs w:val="16"/>
          <w:color w:val="auto"/>
        </w:rPr>
        <w:t>‑</w:t>
      </w:r>
      <w:r>
        <w:rPr>
          <w:rFonts w:ascii="Arial" w:cs="Arial" w:eastAsia="Arial" w:hAnsi="Arial"/>
          <w:sz w:val="16"/>
          <w:szCs w:val="16"/>
          <w:color w:val="auto"/>
        </w:rPr>
        <w:t>element arrangement as separate units of accounting, the deliverables must have stand</w:t>
      </w:r>
      <w:r>
        <w:rPr>
          <w:rFonts w:ascii="MS PGothic" w:cs="MS PGothic" w:eastAsia="MS PGothic" w:hAnsi="MS PGothic"/>
          <w:sz w:val="16"/>
          <w:szCs w:val="16"/>
          <w:color w:val="auto"/>
        </w:rPr>
        <w:t>‑</w:t>
      </w:r>
      <w:r>
        <w:rPr>
          <w:rFonts w:ascii="Arial" w:cs="Arial" w:eastAsia="Arial" w:hAnsi="Arial"/>
          <w:sz w:val="16"/>
          <w:szCs w:val="16"/>
          <w:color w:val="auto"/>
        </w:rPr>
        <w:t>alone value upon delivery. If the deliverables have stand</w:t>
      </w:r>
      <w:r>
        <w:rPr>
          <w:rFonts w:ascii="MS PGothic" w:cs="MS PGothic" w:eastAsia="MS PGothic" w:hAnsi="MS PGothic"/>
          <w:sz w:val="16"/>
          <w:szCs w:val="16"/>
          <w:color w:val="auto"/>
        </w:rPr>
        <w:t>‑</w:t>
      </w:r>
      <w:r>
        <w:rPr>
          <w:rFonts w:ascii="Arial" w:cs="Arial" w:eastAsia="Arial" w:hAnsi="Arial"/>
          <w:sz w:val="16"/>
          <w:szCs w:val="16"/>
          <w:color w:val="auto"/>
        </w:rPr>
        <w:t>alone value upon delivery, the Company accounts for each deliverable separately. The Company has concluded that each element in the arrangement has stand</w:t>
      </w:r>
      <w:r>
        <w:rPr>
          <w:rFonts w:ascii="MS PGothic" w:cs="MS PGothic" w:eastAsia="MS PGothic" w:hAnsi="MS PGothic"/>
          <w:sz w:val="16"/>
          <w:szCs w:val="16"/>
          <w:color w:val="auto"/>
        </w:rPr>
        <w:t>‑</w:t>
      </w:r>
      <w:r>
        <w:rPr>
          <w:rFonts w:ascii="Arial" w:cs="Arial" w:eastAsia="Arial" w:hAnsi="Arial"/>
          <w:sz w:val="16"/>
          <w:szCs w:val="16"/>
          <w:color w:val="auto"/>
        </w:rPr>
        <w:t>alone value as the individual services can be sold separately. In addition, there is no right of refund once a service has been delivered. Therefore, the Company has concluded that each element of the arrangement is a separate unit of accounting. While these arrangements are considered multiple element</w:t>
      </w:r>
      <w:r>
        <w:rPr>
          <w:rFonts w:ascii="MS PGothic" w:cs="MS PGothic" w:eastAsia="MS PGothic" w:hAnsi="MS PGothic"/>
          <w:sz w:val="16"/>
          <w:szCs w:val="16"/>
          <w:color w:val="auto"/>
        </w:rPr>
        <w:t>‑</w:t>
      </w:r>
      <w:r>
        <w:rPr>
          <w:rFonts w:ascii="Arial" w:cs="Arial" w:eastAsia="Arial" w:hAnsi="Arial"/>
          <w:sz w:val="16"/>
          <w:szCs w:val="16"/>
          <w:color w:val="auto"/>
        </w:rPr>
        <w:t>arrangements, the recognition of the units of accounting follow a consistent ratable recognition given the pattern over which services are provided.</w:t>
      </w:r>
    </w:p>
    <w:p>
      <w:pPr>
        <w:spacing w:after="0" w:line="205"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The Company establishes sales allowances at the time of revenue recognition based on its history of adjustments and credits provided to its customers. Sales allowances relate primarily to credits issued for service interruption. In assessing the adequacy of the sales allowance, the Company evaluates its history of adjustments and credits made through the date of the issuance of the financial statements. Estimated sales adjustments and credits and ultimate losses may vary from actual results which could be material to the financial statements; however, to date, actual sales allowances have been materially consistent with the Company’s estimates. Sales allowances are recorded as a reduction to revenue in the consolidated statements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Following adoption of ASC 606</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modifies how all entities recognize revenue, and consolidates revenue recognition guidance into one ASC Topic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Since the Company ceased to be an emerging growth company as of December 31, 2018, the Company adopted the standard during the fourth quarter of 2018 and applied the modified retrospective method of adoption with a cumulative catch-up adjustment to the opening balance of retained earnings at January 1, 2018. Under this method, the Company applied the revised guidance for the year of adoption and applied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in the prior years. As a result, the Company applied ASC 606 only to contracts that were not yet completed as of January 1, 2018. The Company recognized a cumulative catch-up adjustment to the opening balance of retained earnings at the effective date for contracts that still required performance by the Company at January 1, 2018. For contracts that were modified before the effective date, the Company exercised the use of the practical expedient and reflected the aggregate effect of all modifications when identifying performance obligations, determining the transaction price and allocating transaction price, which did not have a material effect on the adjustment to retained earnings.</w:t>
      </w:r>
    </w:p>
    <w:p>
      <w:pPr>
        <w:spacing w:after="0" w:line="17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the Company applies the following five steps:</w:t>
      </w:r>
    </w:p>
    <w:p>
      <w:pPr>
        <w:spacing w:after="0" w:line="73" w:lineRule="exact"/>
        <w:rPr>
          <w:sz w:val="20"/>
          <w:szCs w:val="20"/>
          <w:color w:val="auto"/>
        </w:rPr>
      </w:pPr>
    </w:p>
    <w:p>
      <w:pPr>
        <w:ind w:left="960" w:hanging="398"/>
        <w:spacing w:after="0"/>
        <w:tabs>
          <w:tab w:leader="none" w:pos="9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Identify the contract with a customer</w:t>
      </w:r>
    </w:p>
    <w:p>
      <w:pPr>
        <w:spacing w:after="0" w:line="117" w:lineRule="exact"/>
        <w:rPr>
          <w:rFonts w:ascii="Arial" w:cs="Arial" w:eastAsia="Arial" w:hAnsi="Arial"/>
          <w:sz w:val="18"/>
          <w:szCs w:val="18"/>
          <w:i w:val="1"/>
          <w:iCs w:val="1"/>
          <w:color w:val="auto"/>
        </w:rPr>
      </w:pPr>
    </w:p>
    <w:p>
      <w:pPr>
        <w:ind w:left="960" w:hanging="398"/>
        <w:spacing w:after="0"/>
        <w:tabs>
          <w:tab w:leader="none" w:pos="9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Identify the performance obligations in the contract</w:t>
      </w:r>
    </w:p>
    <w:p>
      <w:pPr>
        <w:spacing w:after="0" w:line="117" w:lineRule="exact"/>
        <w:rPr>
          <w:rFonts w:ascii="Arial" w:cs="Arial" w:eastAsia="Arial" w:hAnsi="Arial"/>
          <w:sz w:val="18"/>
          <w:szCs w:val="18"/>
          <w:i w:val="1"/>
          <w:iCs w:val="1"/>
          <w:color w:val="auto"/>
        </w:rPr>
      </w:pPr>
    </w:p>
    <w:p>
      <w:pPr>
        <w:ind w:left="960" w:hanging="398"/>
        <w:spacing w:after="0"/>
        <w:tabs>
          <w:tab w:leader="none" w:pos="9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Determine the transaction price</w:t>
      </w:r>
    </w:p>
    <w:p>
      <w:pPr>
        <w:spacing w:after="0" w:line="117" w:lineRule="exact"/>
        <w:rPr>
          <w:rFonts w:ascii="Arial" w:cs="Arial" w:eastAsia="Arial" w:hAnsi="Arial"/>
          <w:sz w:val="18"/>
          <w:szCs w:val="18"/>
          <w:i w:val="1"/>
          <w:iCs w:val="1"/>
          <w:color w:val="auto"/>
        </w:rPr>
      </w:pPr>
    </w:p>
    <w:p>
      <w:pPr>
        <w:ind w:left="960" w:hanging="398"/>
        <w:spacing w:after="0"/>
        <w:tabs>
          <w:tab w:leader="none" w:pos="9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Allocate the transaction price to performance obligations in the contract</w:t>
      </w:r>
    </w:p>
    <w:p>
      <w:pPr>
        <w:spacing w:after="0" w:line="117" w:lineRule="exact"/>
        <w:rPr>
          <w:rFonts w:ascii="Arial" w:cs="Arial" w:eastAsia="Arial" w:hAnsi="Arial"/>
          <w:sz w:val="18"/>
          <w:szCs w:val="18"/>
          <w:i w:val="1"/>
          <w:iCs w:val="1"/>
          <w:color w:val="auto"/>
        </w:rPr>
      </w:pPr>
    </w:p>
    <w:p>
      <w:pPr>
        <w:ind w:left="960" w:hanging="398"/>
        <w:spacing w:after="0"/>
        <w:tabs>
          <w:tab w:leader="none" w:pos="96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Recognize revenue when or as the Company satisfies a performance obligation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revenue from contracts with customers by revenue source for the years ended December 31, 2019, 2018 and 2017.</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 by Revenue Stream</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060" w:type="dxa"/>
            <w:vAlign w:val="bottom"/>
          </w:tcPr>
          <w:p>
            <w:pPr>
              <w:ind w:left="380"/>
              <w:spacing w:after="0"/>
              <w:rPr>
                <w:sz w:val="20"/>
                <w:szCs w:val="20"/>
                <w:color w:val="auto"/>
              </w:rPr>
            </w:pPr>
            <w:r>
              <w:rPr>
                <w:rFonts w:ascii="Arial" w:cs="Arial" w:eastAsia="Arial" w:hAnsi="Arial"/>
                <w:sz w:val="18"/>
                <w:szCs w:val="18"/>
                <w:color w:val="auto"/>
              </w:rPr>
              <w:t>Marketplace subscription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526,043</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405,780</w:t>
            </w:r>
          </w:p>
        </w:tc>
        <w:tc>
          <w:tcPr>
            <w:tcW w:w="1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282,664</w:t>
            </w:r>
          </w:p>
        </w:tc>
        <w:tc>
          <w:tcPr>
            <w:tcW w:w="60" w:type="dxa"/>
            <w:vAlign w:val="bottom"/>
          </w:tcPr>
          <w:p>
            <w:pPr>
              <w:spacing w:after="0"/>
              <w:rPr>
                <w:sz w:val="19"/>
                <w:szCs w:val="19"/>
                <w:color w:val="auto"/>
              </w:rPr>
            </w:pPr>
          </w:p>
        </w:tc>
      </w:tr>
      <w:tr>
        <w:trPr>
          <w:trHeight w:val="230"/>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Advertising and other revenue</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62,873</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48,306</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34,197</w:t>
            </w:r>
          </w:p>
        </w:tc>
        <w:tc>
          <w:tcPr>
            <w:tcW w:w="60" w:type="dxa"/>
            <w:vAlign w:val="bottom"/>
            <w:shd w:val="clear" w:color="auto" w:fill="CFF0FC"/>
          </w:tcPr>
          <w:p>
            <w:pPr>
              <w:spacing w:after="0"/>
              <w:rPr>
                <w:sz w:val="19"/>
                <w:szCs w:val="19"/>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588,916</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454,086</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316,861</w:t>
            </w:r>
          </w:p>
        </w:tc>
        <w:tc>
          <w:tcPr>
            <w:tcW w:w="6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Company provides disaggregation of revenue based on the marketplace subscription versus advertising and other revenue classification in the table above and based on geographic region (see Note 13) as it believes these categories best depict how the nature, amount, timing and uncertainty of revenue and cash flows are affected by economic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For dealer listings, the Company provides a single similar service each day for a period of time. Each time increment (i.e. day), rather than the underlying activities, is distinct and substantially the same and therefore the performance obligation of the Company is to provide a series of daily activities over the contract term. Similar to the dealer listings, the dealer display advertising is considered a promise to provide a single similar service each day. Each time increment is distinct and substantially the same and therefore the performance obligation of the Company is to provide a series of daily activities over the contract term.</w:t>
      </w:r>
    </w:p>
    <w:p>
      <w:pPr>
        <w:spacing w:after="0" w:line="188"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Total consideration for marketplace subscription revenue is stated within the contracts. There are no contractual cash refund rights, but credits may be issued to a customer at the sole discretion of the Company. At an individual contract level, there is also no variable consideration, such as sales allowance, that needs to be included in the transaction price. However, at a portfolio level, the Company recognizes that there are times when there is a customer satisfaction issue or other circumstance that will lead to a credit. Due to the known possibility of future credits, a monthly sales allowance review is performed to defer revenue at a portfolio level for such future adjustments in the period of incurrence. The Company establishes sales allowances at the time of revenue recognition based on its history of adjustments and credits provided to its customers. In assessing the adequacy of the sales allowance, the Company evaluates its history of adjustments and credits made through the date of the issuance of the financial statements. Estimated sales adjustments, credits and losses may vary from actual results which could lead to material adjustments to the financial statements. To date, actual sales allowances have been materially consistent with the Company’s estimates. Sales allowances are recorded as a reduction to revenue in the consolidated statements of operations.</w:t>
      </w:r>
    </w:p>
    <w:p>
      <w:pPr>
        <w:spacing w:after="0" w:line="17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Performance obligations are satisfied over time as the customer simultaneously receives and consumes the benefit of the service. Revenue is recognized ratably over the subscription period beginning on the date the Company starts providing services to the customer under the contract. Revenue is presented net of any taxes collected from customers.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For advertising revenue, the performance obligation is to publish the agreed upon campaign on the Company’s websites and load the related impressions.</w:t>
      </w:r>
    </w:p>
    <w:p>
      <w:pPr>
        <w:spacing w:after="0" w:line="170"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Advertising contracts state the transaction price within the agreement with payment being based on the number of clicks or impressions delivered on the Company’s websites. Total consideration is based on output and deemed variable consideration constrained by an agreed upon delivery schedule. Additionally, there are generally no contractual cash refund rights. Certain contracts do contain the right for credits in situations in which impressions are not displayed in compliance with contractual specifications. At an individual contract level, the Company may give a credit for a customer satisfaction issue or other circumstance. Due to the known possibility of future credits, a monthly review is performed to defer revenue at an individual contract level for such future adjustments in the period of incurrence.</w:t>
      </w:r>
    </w:p>
    <w:p>
      <w:pPr>
        <w:spacing w:after="0" w:line="19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As consideration is driven by the number of impressions delivered on the CarGurus websites, the consideration for each period is allocated to the period in which the service was rendered.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81" w:name="page82"/>
    <w:bookmarkEnd w:id="81"/>
    <w:p>
      <w:pPr>
        <w:jc w:val="both"/>
        <w:ind w:firstLine="555"/>
        <w:spacing w:after="0" w:line="279" w:lineRule="auto"/>
        <w:rPr>
          <w:sz w:val="20"/>
          <w:szCs w:val="20"/>
          <w:color w:val="auto"/>
        </w:rPr>
      </w:pPr>
      <w:r>
        <w:rPr>
          <w:rFonts w:ascii="Arial" w:cs="Arial" w:eastAsia="Arial" w:hAnsi="Arial"/>
          <w:sz w:val="17"/>
          <w:szCs w:val="17"/>
          <w:color w:val="auto"/>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the Company is recognized based on the gross amount charged to the advertiser and advertising revenue sold by partners is recognized based on the net amount of revenue received from the content partners. Revenue is presented net of any taxes collected from customers.</w:t>
      </w:r>
    </w:p>
    <w:p>
      <w:pPr>
        <w:spacing w:after="0" w:line="17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Other revenue includes revenue from contracts for which the performance obligation is a series of distinct services with the same level of effort daily. For these contracts, the Company estimates the value of the variable consideration in determining the transaction price and allocates it to the performance obligation. Revenue is estimated and recognized on a ratable basis over the contractual term. The Company reassesses the estimate of variable consideration at each reporting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The Company periodically enters into arrangements that include Listings and Dealer Display within marketplace subscription revenue. These contracts include multiple promises that the Company evaluates to determine if the promises are separate performance obligations. Performance obligations are identified based on services to be transferred to a customer that are distinct within the context of the contractual terms. Once the performance obligations have been identified, the Company determines the transaction price, which includes estimating the amount of variable consideration to be included in the transaction price, if any. If required, the transaction price is allocated to each performance obligation in the contract based on a relative standalone selling price (“SSP”) method as the performance obligation is being satisfied. For the Company’s arrangements that include Listings and Dealer Display, the performance obligations were satisfied over a consistent period of time and therefore the allocations did not impact the revenue recognized.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Commissions paid to sales representatives and payroll taxes are considered costs to obtain a contract. Under ASC 606, the costs to obtain a contract require capitalization and amortization of those costs over the period of benefit. Although the guidance specifies the accounting for an individual contract with a customer, as a practical expedient, the Company has opted to apply the guidance to a portfolio of contracts with similar characteristics. The Company has opted to apply another practical expedient to immediately expense the incremental cost of obtaining a contract when the underlying related asset would have been amortized over one year or less. As such, the Company applied this practical expedient to advertising contracts as the term is one year or less and these contracts do not renew automatically. The practical expedient is not applicable to marketplace subscription contracts as the period of benefit including renewals is anticipated to be greater than one year as commissions paid on contract renewals are not commensurate with the commissions paid on the initial contract. The assets are periodically assessed for impairment.</w:t>
      </w:r>
    </w:p>
    <w:p>
      <w:pPr>
        <w:spacing w:after="0" w:line="179"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For marketplace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the Company's own historical data. Commissions paid that are not directly related to obtaining a new contract are expensed as incurred.</w:t>
      </w:r>
    </w:p>
    <w:p>
      <w:pPr>
        <w:spacing w:after="0" w:line="18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Additionally, the Company allocates employer payroll tax expense to the commission expense in proportion to the overall payroll taxes paid during the respective period. As such, capitalized payroll taxes are amortized in the same manner as the underlying capitalized commissions.</w:t>
      </w:r>
    </w:p>
    <w:p>
      <w:pPr>
        <w:spacing w:after="0" w:line="14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8"/>
          <w:szCs w:val="18"/>
          <w:color w:val="auto"/>
        </w:rPr>
        <w:t>The assets recognized for costs to obtain a contract were $3,207, $12,505 and $20,058 as of January 1, 2018, December 31, 2018 and December 31, 2019, respectively. Amortization expense recognized during the years ended December 31, 2019 and 2018 related to costs to obtain a contract was $8,416 and $3,689,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auto"/>
        </w:rPr>
        <w:t>Financial Statement Impact of Adopting ASC 606</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cumulative effect of applying the new guidance to all contracts with customers that were not completed as of January 1, 2018 was recorded as an adjustment to accumulated deficit as of the adoption date. As a result of applying the modified retrospective method to adopt the new revenue guidance, the following adjustments were made on the consolidated balance sheet as of January 1,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vMerge w:val="restart"/>
          </w:tcPr>
          <w:p>
            <w:pPr>
              <w:jc w:val="right"/>
              <w:ind w:right="694"/>
              <w:spacing w:after="0"/>
              <w:rPr>
                <w:sz w:val="20"/>
                <w:szCs w:val="20"/>
                <w:color w:val="auto"/>
              </w:rPr>
            </w:pPr>
            <w:r>
              <w:rPr>
                <w:rFonts w:ascii="Arial" w:cs="Arial" w:eastAsia="Arial" w:hAnsi="Arial"/>
                <w:sz w:val="14"/>
                <w:szCs w:val="14"/>
                <w:b w:val="1"/>
                <w:bCs w:val="1"/>
                <w:color w:val="auto"/>
              </w:rPr>
              <w:t>Adjustments</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Marketplace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Costs to</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January 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Subscription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Obtain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Contract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87,709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Prepaid expenses and prepaid income taxes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contract costs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580"/>
              <w:spacing w:after="0"/>
              <w:rPr>
                <w:sz w:val="20"/>
                <w:szCs w:val="20"/>
                <w:color w:val="auto"/>
              </w:rPr>
            </w:pPr>
            <w:r>
              <w:rPr>
                <w:rFonts w:ascii="Arial" w:cs="Arial" w:eastAsia="Arial" w:hAnsi="Arial"/>
                <w:sz w:val="18"/>
                <w:szCs w:val="18"/>
                <w:color w:val="auto"/>
              </w:rPr>
              <w:t>Total current assets</w:t>
            </w:r>
          </w:p>
        </w:tc>
        <w:tc>
          <w:tcPr>
            <w:tcW w:w="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159,441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Restricted cash</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8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gridSpan w:val="2"/>
          </w:tcPr>
          <w:p>
            <w:pPr>
              <w:ind w:left="580"/>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179,789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Accrued expenses, accrued income taxes and other</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8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13,588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Deferred tax liabilities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w:t>
            </w:r>
          </w:p>
        </w:tc>
        <w:tc>
          <w:tcPr>
            <w:tcW w:w="8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580"/>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net of current portion</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8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Class A common stock</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Class B common stock</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185,190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185,190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(58,499)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(55,457)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580"/>
              <w:spacing w:after="0"/>
              <w:rPr>
                <w:sz w:val="20"/>
                <w:szCs w:val="20"/>
                <w:color w:val="auto"/>
              </w:rPr>
            </w:pPr>
            <w:r>
              <w:rPr>
                <w:rFonts w:ascii="Arial" w:cs="Arial" w:eastAsia="Arial" w:hAnsi="Arial"/>
                <w:sz w:val="18"/>
                <w:szCs w:val="18"/>
                <w:color w:val="auto"/>
              </w:rPr>
              <w:t>Total stockholders’ equity</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127,025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130,067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Under ASC 606, the Company’s accounting for contracts containing discounts resulted in accelerated revenue recognition. The cumulative impact of this change to the Company’s accounts receivable on January 1, 2018 was $813.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described above, under the new guidance, the capitalized commission expense is amortized over the estimated customer relationship period. The net impact of this change resulted in a $3,207 reduction to accumulated deficit for contracts that still require performance by the Company at the date of adoption.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The adoption of ASC 606 primarily resulted in an acceleration of revenue and the reduction of expense, which in turn generated additional deferred tax liabilities that ultimately reduced the Company’s net deferred tax asset position. The cumulative impact resulted in a reduction to deferred tax assets of $978 which put the Company in a net deferred tax liability position on January 1, 2018.</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u w:val="single" w:color="auto"/>
          <w:color w:val="auto"/>
        </w:rPr>
        <w:t>Impact of New Revenue Guidance on Financial Statement Line Items</w:t>
      </w:r>
    </w:p>
    <w:p>
      <w:pPr>
        <w:spacing w:after="0" w:line="13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following tables compare the reported consolidated balance sheet, statement of operations and cash flows, as of and for the year ended December 31, 2018, to the pro-forma amounts had the previous guidance been in effect.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As of December 31, 2018</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113"/>
              <w:spacing w:after="0" w:line="133" w:lineRule="exact"/>
              <w:rPr>
                <w:sz w:val="20"/>
                <w:szCs w:val="20"/>
                <w:color w:val="auto"/>
              </w:rPr>
            </w:pPr>
            <w:r>
              <w:rPr>
                <w:rFonts w:ascii="Arial" w:cs="Arial" w:eastAsia="Arial" w:hAnsi="Arial"/>
                <w:sz w:val="14"/>
                <w:szCs w:val="14"/>
                <w:b w:val="1"/>
                <w:bCs w:val="1"/>
                <w:color w:val="auto"/>
                <w:w w:val="96"/>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as if the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previous</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Marketplace</w:t>
            </w:r>
          </w:p>
        </w:tc>
        <w:tc>
          <w:tcPr>
            <w:tcW w:w="200" w:type="dxa"/>
            <w:vAlign w:val="bottom"/>
          </w:tcPr>
          <w:p>
            <w:pPr>
              <w:spacing w:after="0"/>
              <w:rPr>
                <w:sz w:val="12"/>
                <w:szCs w:val="12"/>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Costs to</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As</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guidance</w:t>
            </w:r>
          </w:p>
        </w:tc>
        <w:tc>
          <w:tcPr>
            <w:tcW w:w="0" w:type="dxa"/>
            <w:vAlign w:val="bottom"/>
          </w:tcPr>
          <w:p>
            <w:pPr>
              <w:spacing w:after="0"/>
              <w:rPr>
                <w:sz w:val="1"/>
                <w:szCs w:val="1"/>
                <w:color w:val="auto"/>
              </w:rPr>
            </w:pPr>
          </w:p>
        </w:tc>
      </w:tr>
      <w:tr>
        <w:trPr>
          <w:trHeight w:val="149"/>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Subscription</w:t>
            </w:r>
          </w:p>
        </w:tc>
        <w:tc>
          <w:tcPr>
            <w:tcW w:w="20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Obtain 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was</w:t>
            </w: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effect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Prepaid income taxes and prepaid income taxes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 costs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194,858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(3,187)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268,290</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258,260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260"/>
              <w:spacing w:after="0"/>
              <w:rPr>
                <w:sz w:val="20"/>
                <w:szCs w:val="20"/>
                <w:color w:val="auto"/>
              </w:rPr>
            </w:pPr>
            <w:r>
              <w:rPr>
                <w:rFonts w:ascii="Arial" w:cs="Arial" w:eastAsia="Arial" w:hAnsi="Arial"/>
                <w:sz w:val="18"/>
                <w:szCs w:val="18"/>
                <w:color w:val="auto"/>
              </w:rPr>
              <w:t>Accrued expenses, accrued income taxes and other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18,654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63,503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 common stock</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184,216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194,111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268,290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Total reported assets were $10,030 greater than the pro-forma balance sheet, which assumes the previous guidance remained in effect as of December 31, 2018. This was largely due to the impact of $12,505 related to costs to obtain a contract.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5" w:name="page86"/>
    <w:bookmarkEnd w:id="85"/>
    <w:p>
      <w:pPr>
        <w:ind w:left="560"/>
        <w:spacing w:after="0"/>
        <w:rPr>
          <w:sz w:val="20"/>
          <w:szCs w:val="20"/>
          <w:color w:val="auto"/>
        </w:rPr>
      </w:pPr>
      <w:r>
        <w:rPr>
          <w:rFonts w:ascii="Arial" w:cs="Arial" w:eastAsia="Arial" w:hAnsi="Arial"/>
          <w:sz w:val="18"/>
          <w:szCs w:val="18"/>
          <w:color w:val="auto"/>
        </w:rPr>
        <w:t>There were no changes to liabilities as of December 31, 2018 as a result of the adoption of ASC 606.</w:t>
      </w:r>
    </w:p>
    <w:p>
      <w:pPr>
        <w:spacing w:after="0" w:line="225"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The following summarizes the significant changes on the Company’s consolidated statement of operations for the year ended December 31, 2018 as a result of the adoption of ASC 606 on January 1, 2018 compared to the pro-forma amounts had the Company continued to recognize revenue under ASC 605.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Year Ended December 31, 2018</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96"/>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as if the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previous</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Marketplace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Costs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guidance</w:t>
            </w:r>
          </w:p>
        </w:tc>
        <w:tc>
          <w:tcPr>
            <w:tcW w:w="0" w:type="dxa"/>
            <w:vAlign w:val="bottom"/>
          </w:tcPr>
          <w:p>
            <w:pPr>
              <w:spacing w:after="0"/>
              <w:rPr>
                <w:sz w:val="1"/>
                <w:szCs w:val="1"/>
                <w:color w:val="auto"/>
              </w:rPr>
            </w:pPr>
          </w:p>
        </w:tc>
      </w:tr>
      <w:tr>
        <w:trPr>
          <w:trHeight w:val="149"/>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Subscription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Obtain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was</w:t>
            </w:r>
          </w:p>
        </w:tc>
        <w:tc>
          <w:tcPr>
            <w:tcW w:w="0" w:type="dxa"/>
            <w:vAlign w:val="bottom"/>
          </w:tcPr>
          <w:p>
            <w:pPr>
              <w:spacing w:after="0"/>
              <w:rPr>
                <w:sz w:val="1"/>
                <w:szCs w:val="1"/>
                <w:color w:val="auto"/>
              </w:rPr>
            </w:pPr>
          </w:p>
        </w:tc>
      </w:tr>
      <w:tr>
        <w:trPr>
          <w:trHeight w:val="171"/>
        </w:trPr>
        <w:tc>
          <w:tcPr>
            <w:tcW w:w="5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4"/>
                <w:szCs w:val="14"/>
                <w:color w:val="auto"/>
              </w:rPr>
            </w:pPr>
          </w:p>
        </w:tc>
        <w:tc>
          <w:tcPr>
            <w:tcW w:w="104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Contract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effect</w:t>
            </w:r>
          </w:p>
        </w:tc>
        <w:tc>
          <w:tcPr>
            <w:tcW w:w="0" w:type="dxa"/>
            <w:vAlign w:val="bottom"/>
          </w:tcPr>
          <w:p>
            <w:pPr>
              <w:spacing w:after="0"/>
              <w:rPr>
                <w:sz w:val="1"/>
                <w:szCs w:val="1"/>
                <w:color w:val="auto"/>
              </w:rPr>
            </w:pPr>
          </w:p>
        </w:tc>
      </w:tr>
      <w:tr>
        <w:trPr>
          <w:trHeight w:val="223"/>
        </w:trPr>
        <w:tc>
          <w:tcPr>
            <w:tcW w:w="5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454,086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453,960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315,939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406,084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23,191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380"/>
              <w:spacing w:after="0"/>
              <w:rPr>
                <w:sz w:val="20"/>
                <w:szCs w:val="20"/>
                <w:color w:val="auto"/>
              </w:rPr>
            </w:pPr>
            <w:r>
              <w:rPr>
                <w:rFonts w:ascii="Arial" w:cs="Arial" w:eastAsia="Arial" w:hAnsi="Arial"/>
                <w:sz w:val="18"/>
                <w:szCs w:val="18"/>
                <w:color w:val="auto"/>
              </w:rPr>
              <w:t>Total other income,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(39,686)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(42,122)</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adoption of ASC 606 resulted in an increase to revenue of $126 during the year ended December 31, 2018 due to accelerated revenue recognition for contracts containing discounts. The adoption of ASC 606 also resulted in a $9,298 reduction in sales and marketing expense during the year ended December 31, 2018 as a result of capitalizing a portion of commission expense, which was previously expensed under the previous guidance. During the year ended December 31, 2018, the cumulative impact of these changes was a $9,424 increase in income from operations which resulted in a $2,436 reduction to the benefit from income taxes. Additionally, the adoption of ASC 606 resulted in the Company’s basic and diluted EPS for the year ended December 31, 2018 increasing $0.07 and $0.06,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6" w:name="page87"/>
    <w:bookmarkEnd w:id="86"/>
    <w:p>
      <w:pPr>
        <w:ind w:firstLine="555"/>
        <w:spacing w:after="0" w:line="342" w:lineRule="auto"/>
        <w:rPr>
          <w:sz w:val="20"/>
          <w:szCs w:val="20"/>
          <w:color w:val="auto"/>
        </w:rPr>
      </w:pPr>
      <w:r>
        <w:rPr>
          <w:rFonts w:ascii="Arial" w:cs="Arial" w:eastAsia="Arial" w:hAnsi="Arial"/>
          <w:sz w:val="16"/>
          <w:szCs w:val="16"/>
          <w:color w:val="auto"/>
        </w:rPr>
        <w:t>The following summarizes the significant changes on the Company’s consolidated statement of cash flows for the year ended December 31, 2018 as a result of the adoption of ASC 606 on January 1, 2018 compared to the pro-forma amounts had the Company continued to recognize revenue under ASC 605.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Year Ended December 31, 2018</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96"/>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as if the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previous</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Marketplace</w:t>
            </w:r>
          </w:p>
        </w:tc>
        <w:tc>
          <w:tcPr>
            <w:tcW w:w="20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Costs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guidance</w:t>
            </w:r>
          </w:p>
        </w:tc>
        <w:tc>
          <w:tcPr>
            <w:tcW w:w="0" w:type="dxa"/>
            <w:vAlign w:val="bottom"/>
          </w:tcPr>
          <w:p>
            <w:pPr>
              <w:spacing w:after="0"/>
              <w:rPr>
                <w:sz w:val="1"/>
                <w:szCs w:val="1"/>
                <w:color w:val="auto"/>
              </w:rPr>
            </w:pPr>
          </w:p>
        </w:tc>
      </w:tr>
      <w:tr>
        <w:trPr>
          <w:trHeight w:val="149"/>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Cash Flows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Subscription</w:t>
            </w:r>
          </w:p>
        </w:tc>
        <w:tc>
          <w:tcPr>
            <w:tcW w:w="20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Obtain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was</w:t>
            </w: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Contract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effect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65,170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6,899</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provided by operating activities:</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Currency (gain) loss on foreign denominated transactions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(39,040)</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(41,476)</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20,794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(1,911)</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5"/>
        </w:trPr>
        <w:tc>
          <w:tcPr>
            <w:tcW w:w="5780" w:type="dxa"/>
            <w:vAlign w:val="bottom"/>
          </w:tcPr>
          <w:p>
            <w:pPr>
              <w:ind w:left="260"/>
              <w:spacing w:after="0"/>
              <w:rPr>
                <w:sz w:val="20"/>
                <w:szCs w:val="20"/>
                <w:color w:val="auto"/>
              </w:rPr>
            </w:pPr>
            <w:r>
              <w:rPr>
                <w:rFonts w:ascii="Arial" w:cs="Arial" w:eastAsia="Arial" w:hAnsi="Arial"/>
                <w:sz w:val="18"/>
                <w:szCs w:val="18"/>
                <w:color w:val="auto"/>
              </w:rPr>
              <w:t>Prepaid expenses, prepaid income taxes, and other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(11,753)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contracts costs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(12,987)</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(12,987)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9,345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accrued income taxes and other</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51,723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adoption of ASC 606 had no impact on the Company’s cash flows from operations. The aforementioned impacts resulted in offsetting shifts in cash flows between net income and various working capital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following tables summarize the opening and closing balances of receivables and contract assets from contracts with customers as of January 1, 2018, December 31, 2018 and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Accounts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Contract Assets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 Assets</w:t>
            </w:r>
          </w:p>
        </w:tc>
      </w:tr>
      <w:tr>
        <w:trPr>
          <w:trHeight w:val="171"/>
        </w:trPr>
        <w:tc>
          <w:tcPr>
            <w:tcW w:w="4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Receivable, net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(current)</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(non-current)</w:t>
            </w:r>
          </w:p>
        </w:tc>
      </w:tr>
      <w:tr>
        <w:trPr>
          <w:trHeight w:val="223"/>
        </w:trPr>
        <w:tc>
          <w:tcPr>
            <w:tcW w:w="4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January 1, 2018</w:t>
            </w:r>
          </w:p>
        </w:tc>
        <w:tc>
          <w:tcPr>
            <w:tcW w:w="2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Balance at December 31, 2018</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19"/>
                <w:szCs w:val="19"/>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December 31, 2019</w:t>
            </w:r>
          </w:p>
        </w:tc>
        <w:tc>
          <w:tcPr>
            <w:tcW w:w="22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22,124</w:t>
            </w:r>
          </w:p>
        </w:tc>
        <w:tc>
          <w:tcPr>
            <w:tcW w:w="10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Revenue recognized during the year ended December 31, 2019 and 2018 from amounts included in deferred revenue at the beginning of the period was approximately $8,811 and $4,305,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3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Topic 606 requires that the Company disclose the aggregate amount of transaction price that is allocated to performance obligations that have not yet been satisfied as of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7" w:name="page88"/>
    <w:bookmarkEnd w:id="87"/>
    <w:p>
      <w:pPr>
        <w:jc w:val="both"/>
        <w:ind w:firstLine="555"/>
        <w:spacing w:after="0" w:line="264" w:lineRule="auto"/>
        <w:rPr>
          <w:sz w:val="20"/>
          <w:szCs w:val="20"/>
          <w:color w:val="auto"/>
        </w:rPr>
      </w:pPr>
      <w:r>
        <w:rPr>
          <w:rFonts w:ascii="Arial" w:cs="Arial" w:eastAsia="Arial" w:hAnsi="Arial"/>
          <w:sz w:val="18"/>
          <w:szCs w:val="18"/>
          <w:color w:val="auto"/>
        </w:rPr>
        <w:t>For contracts with an original expected duration greater than one year, the aggregate amount of the transaction price allocated to the performance obligations that were unsatisfied as of December 31, 2019 is approximately $35.0 million, which the Company expects to recognize over the next twelve months.</w:t>
      </w:r>
    </w:p>
    <w:p>
      <w:pPr>
        <w:spacing w:after="0" w:line="235"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For contracts with an original expected duration of one year or less, the Company has applied the practical expedient available under Topic 606 to not disclose the amount of transaction price allocated to unsatisfied performance obligations as of December 31, 2019. For performance obligations not satisfied as of December 31, 2019, and to which this expedient applies, the nature of the performance obligations, the variable consideration and any consideration from contracts with customers not included in the transaction price is consistent with performance obligations satisfied as of December 31, 2019. The remaining duration is less than one year.</w:t>
      </w:r>
    </w:p>
    <w:p>
      <w:pPr>
        <w:spacing w:after="0" w:line="22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From time to time, the Company may enter into contracts that include variable consideration, for which the Company estimates the value of the variable consideration in determining the transaction price and allocates it to the appropriate performance obligation(s). The Company reassesses any estimates of variable consideration at each reporting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8"/>
          <w:szCs w:val="18"/>
          <w:color w:val="auto"/>
        </w:rPr>
        <w:t>Deferred revenue primarily consists of payments received in advance of revenue recognition from the Company’s marketplace revenue and is recognized as the revenue recognition criteria are met. The Company generally invoices its customers monthly. Accordingly, the deferred revenue balances do not represent the total contract value of annual or multiyear subscription agreements. Deferred revenue that is expected to be recognized during the succeeding 12</w:t>
      </w:r>
      <w:r>
        <w:rPr>
          <w:rFonts w:ascii="MS PGothic" w:cs="MS PGothic" w:eastAsia="MS PGothic" w:hAnsi="MS PGothic"/>
          <w:sz w:val="18"/>
          <w:szCs w:val="18"/>
          <w:color w:val="auto"/>
        </w:rPr>
        <w:t>‑</w:t>
      </w:r>
      <w:r>
        <w:rPr>
          <w:rFonts w:ascii="Arial" w:cs="Arial" w:eastAsia="Arial" w:hAnsi="Arial"/>
          <w:sz w:val="18"/>
          <w:szCs w:val="18"/>
          <w:color w:val="auto"/>
        </w:rPr>
        <w:t>month period is recorded as current deferred revenue and the remaining portion is recorded as noncurrent in the consolidated balance sheets. All deferred revenue was recorded as current for all periods presented.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Cost of revenue primarily consists of costs related to supporting and hosting the Company’s product offerings. These costs include salaries, benefits, incentive compensation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the Company’s customer support team, and third</w:t>
      </w:r>
      <w:r>
        <w:rPr>
          <w:rFonts w:ascii="MS PGothic" w:cs="MS PGothic" w:eastAsia="MS PGothic" w:hAnsi="MS PGothic"/>
          <w:sz w:val="18"/>
          <w:szCs w:val="18"/>
          <w:color w:val="auto"/>
        </w:rPr>
        <w:t>‑</w:t>
      </w:r>
      <w:r>
        <w:rPr>
          <w:rFonts w:ascii="Arial" w:cs="Arial" w:eastAsia="Arial" w:hAnsi="Arial"/>
          <w:sz w:val="18"/>
          <w:szCs w:val="18"/>
          <w:color w:val="auto"/>
        </w:rPr>
        <w:t>party service provider costs such as data center and networking expenses, allocated overhead costs, depreciation and amortization expense associated with the Company’s property and equipment, and amortization of capitalized website development costs.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202"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The Company maintains its cash, cash equivalents, and investments principally with accredited financial institutions of high credit standing. Although the Company deposits its cash and investments with multiple financial institutions, its deposits, at times, may exceed governmental insured limits.</w:t>
      </w:r>
    </w:p>
    <w:p>
      <w:pPr>
        <w:spacing w:after="0" w:line="124"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years ended December 31, 2019, 2018 and 2017, no individual customer accounted for more than 10% of total revenue.</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of December 31, 2019, one customer accounted for 18% of net accounts receivable. As of December 31, 2018, two customers accounted for 21% and 14% of net accounts receivable, respectively. No other individual customer accounted for more than 10% of net accounts receivable at December 31, 2019 or 2018.</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Included in net accounts receivable at December 31, 2019 and 2018, is $8,880 and $5,814 of unbilled accounts receivables related to advertising customers billed within a quarter subsequent to services rendered.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7"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7"/>
          <w:szCs w:val="17"/>
          <w:color w:val="auto"/>
        </w:rPr>
        <w:t>The Company considers all highly liquid investments with an original maturity of three months or less at the date of purchase to be cash equivalents. Investments not classified as cash equivalents with maturities less than one year from the balance sheet date are classified as short</w:t>
      </w:r>
      <w:r>
        <w:rPr>
          <w:rFonts w:ascii="MS PGothic" w:cs="MS PGothic" w:eastAsia="MS PGothic" w:hAnsi="MS PGothic"/>
          <w:sz w:val="17"/>
          <w:szCs w:val="17"/>
          <w:color w:val="auto"/>
        </w:rPr>
        <w:t>‑</w:t>
      </w:r>
      <w:r>
        <w:rPr>
          <w:rFonts w:ascii="Arial" w:cs="Arial" w:eastAsia="Arial" w:hAnsi="Arial"/>
          <w:sz w:val="17"/>
          <w:szCs w:val="17"/>
          <w:color w:val="auto"/>
        </w:rPr>
        <w:t>term investments, while investments with maturities in excess of one year from the balance sheet date are classified as long</w:t>
      </w:r>
      <w:r>
        <w:rPr>
          <w:rFonts w:ascii="MS PGothic" w:cs="MS PGothic" w:eastAsia="MS PGothic" w:hAnsi="MS PGothic"/>
          <w:sz w:val="17"/>
          <w:szCs w:val="17"/>
          <w:color w:val="auto"/>
        </w:rPr>
        <w:t>‑</w:t>
      </w:r>
      <w:r>
        <w:rPr>
          <w:rFonts w:ascii="Arial" w:cs="Arial" w:eastAsia="Arial" w:hAnsi="Arial"/>
          <w:sz w:val="17"/>
          <w:szCs w:val="17"/>
          <w:color w:val="auto"/>
        </w:rPr>
        <w:t>term investments. Management determines the appropriate classification of investments at the time of purchase, and re</w:t>
      </w:r>
      <w:r>
        <w:rPr>
          <w:rFonts w:ascii="MS PGothic" w:cs="MS PGothic" w:eastAsia="MS PGothic" w:hAnsi="MS PGothic"/>
          <w:sz w:val="17"/>
          <w:szCs w:val="17"/>
          <w:color w:val="auto"/>
        </w:rPr>
        <w:t>‑</w:t>
      </w:r>
      <w:r>
        <w:rPr>
          <w:rFonts w:ascii="Arial" w:cs="Arial" w:eastAsia="Arial" w:hAnsi="Arial"/>
          <w:sz w:val="17"/>
          <w:szCs w:val="17"/>
          <w:color w:val="auto"/>
        </w:rPr>
        <w:t>evaluates such determination at each balance sheet date.</w:t>
      </w:r>
    </w:p>
    <w:p>
      <w:pPr>
        <w:spacing w:after="0" w:line="204" w:lineRule="exact"/>
        <w:rPr>
          <w:sz w:val="20"/>
          <w:szCs w:val="20"/>
          <w:color w:val="auto"/>
        </w:rPr>
      </w:pPr>
    </w:p>
    <w:p>
      <w:pPr>
        <w:jc w:val="both"/>
        <w:ind w:firstLine="555"/>
        <w:spacing w:after="0" w:line="223" w:lineRule="exact"/>
        <w:rPr>
          <w:sz w:val="20"/>
          <w:szCs w:val="20"/>
          <w:color w:val="auto"/>
        </w:rPr>
      </w:pPr>
      <w:r>
        <w:rPr>
          <w:rFonts w:ascii="Arial" w:cs="Arial" w:eastAsia="Arial" w:hAnsi="Arial"/>
          <w:sz w:val="18"/>
          <w:szCs w:val="18"/>
          <w:color w:val="auto"/>
        </w:rPr>
        <w:t>Cash and cash equivalents primarily consist of cash on deposit with banks, and amounts held in interest</w:t>
      </w:r>
      <w:r>
        <w:rPr>
          <w:rFonts w:ascii="MS PGothic" w:cs="MS PGothic" w:eastAsia="MS PGothic" w:hAnsi="MS PGothic"/>
          <w:sz w:val="18"/>
          <w:szCs w:val="18"/>
          <w:color w:val="auto"/>
        </w:rPr>
        <w:t>‑</w:t>
      </w:r>
      <w:r>
        <w:rPr>
          <w:rFonts w:ascii="Arial" w:cs="Arial" w:eastAsia="Arial" w:hAnsi="Arial"/>
          <w:sz w:val="18"/>
          <w:szCs w:val="18"/>
          <w:color w:val="auto"/>
        </w:rPr>
        <w:t>bearing money market accounts. Cash equivalents are carried at cost, which approximates their fair market value.</w:t>
      </w:r>
    </w:p>
    <w:p>
      <w:pPr>
        <w:spacing w:after="0" w:line="203" w:lineRule="exact"/>
        <w:rPr>
          <w:sz w:val="20"/>
          <w:szCs w:val="20"/>
          <w:color w:val="auto"/>
        </w:rPr>
      </w:pPr>
    </w:p>
    <w:p>
      <w:pPr>
        <w:jc w:val="both"/>
        <w:ind w:right="20" w:firstLine="555"/>
        <w:spacing w:after="0" w:line="221" w:lineRule="exact"/>
        <w:rPr>
          <w:sz w:val="20"/>
          <w:szCs w:val="20"/>
          <w:color w:val="auto"/>
        </w:rPr>
      </w:pPr>
      <w:r>
        <w:rPr>
          <w:rFonts w:ascii="Arial" w:cs="Arial" w:eastAsia="Arial" w:hAnsi="Arial"/>
          <w:sz w:val="18"/>
          <w:szCs w:val="18"/>
          <w:color w:val="auto"/>
        </w:rPr>
        <w:t>The Company’s investment policy, which was approved by the Audit Committee of the Company’s board of directors (the “Board”), permits investments in fixed income securities, including U.S. government and agency securities, non</w:t>
      </w:r>
      <w:r>
        <w:rPr>
          <w:rFonts w:ascii="MS PGothic" w:cs="MS PGothic" w:eastAsia="MS PGothic" w:hAnsi="MS PGothic"/>
          <w:sz w:val="18"/>
          <w:szCs w:val="18"/>
          <w:color w:val="auto"/>
        </w:rPr>
        <w:t>‑</w:t>
      </w:r>
      <w:r>
        <w:rPr>
          <w:rFonts w:ascii="Arial" w:cs="Arial" w:eastAsia="Arial" w:hAnsi="Arial"/>
          <w:sz w:val="18"/>
          <w:szCs w:val="18"/>
          <w:color w:val="auto"/>
        </w:rPr>
        <w:t>U.S. government securities, money market instruments, commercial paper, certificates of deposit, corporate bonds, and asset</w:t>
      </w:r>
      <w:r>
        <w:rPr>
          <w:rFonts w:ascii="MS PGothic" w:cs="MS PGothic" w:eastAsia="MS PGothic" w:hAnsi="MS PGothic"/>
          <w:sz w:val="18"/>
          <w:szCs w:val="18"/>
          <w:color w:val="auto"/>
        </w:rPr>
        <w:t>‑</w:t>
      </w:r>
      <w:r>
        <w:rPr>
          <w:rFonts w:ascii="Arial" w:cs="Arial" w:eastAsia="Arial" w:hAnsi="Arial"/>
          <w:sz w:val="18"/>
          <w:szCs w:val="18"/>
          <w:color w:val="auto"/>
        </w:rPr>
        <w:t>backed securities.</w:t>
      </w:r>
    </w:p>
    <w:p>
      <w:pPr>
        <w:spacing w:after="0" w:line="202"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8"/>
          <w:szCs w:val="18"/>
          <w:color w:val="auto"/>
        </w:rPr>
        <w:t>As of December 31, 2019 and 2018, investments consisted of U.S. certificates of deposit (“CDs”) with remaining maturities of less than twelve months. The Company classifies CDs with readily determinable market values as held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maturity, because it is the Company’s intention to hold such investments until they mature. As such, investments were recorded at amortized cost at December 31, 2019 and 2018. The Company adjusts the cost of investments for amortization of premiums and accretion of discounts to maturity, if any. For the years ended December 31, 2019, 2018 and 2017, the Company did not have any premiums or discounts.</w:t>
      </w:r>
    </w:p>
    <w:p>
      <w:pPr>
        <w:spacing w:after="0" w:line="206"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Realized gains and losses from sales of the Company’s investments are included in other income (expense), net. There were no realized gains or losses on investments for the years ended December 31, 2019, 2018 or 2017.</w:t>
      </w:r>
    </w:p>
    <w:p>
      <w:pPr>
        <w:spacing w:after="0" w:line="170"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color w:val="auto"/>
        </w:rPr>
        <w:t>The Company reviews investments for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impairment whenever the fair value of an investment is less than the amortized cost and evidence indicates that an investment’s carrying amount is not recoverable within a reasonable period of time.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impairments of investments are recognized in the consolidated statements of operations if the Company has experienced a credit loss, has the intent to sell the investment,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 As of December 31, 2019 and 2018, the Company determined that no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impairments were required to be recognized in the consolidated statements of operations.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At December 31, 2019 and 2018, restricted cash was $10,803 and $2,671, respectively, and primarily related to cash held at a financial institution in an interest</w:t>
      </w:r>
      <w:r>
        <w:rPr>
          <w:rFonts w:ascii="MS PGothic" w:cs="MS PGothic" w:eastAsia="MS PGothic" w:hAnsi="MS PGothic"/>
          <w:sz w:val="18"/>
          <w:szCs w:val="18"/>
          <w:color w:val="auto"/>
        </w:rPr>
        <w:t>‑</w:t>
      </w:r>
      <w:r>
        <w:rPr>
          <w:rFonts w:ascii="Arial" w:cs="Arial" w:eastAsia="Arial" w:hAnsi="Arial"/>
          <w:sz w:val="18"/>
          <w:szCs w:val="18"/>
          <w:color w:val="auto"/>
        </w:rPr>
        <w:t>bearing cash account as collateral for four letters of credit in 2019 and three letters of credit in 2018 related to the contractual provisions for the Company’s building leases.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Accounts receivable are recorded based on the amount due from the customer and do not generally bear interest. The Company offsets gross trade accounts receivable with an allowance for doubtful accounts. The allowance for doubtful accounts is the Company’s best estimate of the amount of probable credit losses in the Company’s existing accounts receivable and is based upon historical loss patterns, the number of days that billings are past due, and an evaluation of the potential risk of loss associated with specific accounts. Account balances are charged against the allowance after all means of collection have been exhausted and the potential for recovery is considered remote. The Company does not have any off</w:t>
      </w:r>
      <w:r>
        <w:rPr>
          <w:rFonts w:ascii="MS PGothic" w:cs="MS PGothic" w:eastAsia="MS PGothic" w:hAnsi="MS PGothic"/>
          <w:sz w:val="17"/>
          <w:szCs w:val="17"/>
          <w:color w:val="auto"/>
        </w:rPr>
        <w:t>‑</w:t>
      </w:r>
      <w:r>
        <w:rPr>
          <w:rFonts w:ascii="Arial" w:cs="Arial" w:eastAsia="Arial" w:hAnsi="Arial"/>
          <w:sz w:val="17"/>
          <w:szCs w:val="17"/>
          <w:color w:val="auto"/>
        </w:rPr>
        <w:t>balance sheet credit exposure related to its customers. Provisions for allowances for doubtful accounts are recorded in general and administrative expense.</w:t>
      </w:r>
    </w:p>
    <w:p>
      <w:pPr>
        <w:spacing w:after="0" w:line="20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Unbilled accounts receivables are recorded for services rendered in the current period, but generally not invoiced until the subsequent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89" w:name="page90"/>
    <w:bookmarkEnd w:id="89"/>
    <w:p>
      <w:pPr>
        <w:jc w:val="both"/>
        <w:ind w:firstLine="555"/>
        <w:spacing w:after="0" w:line="264" w:lineRule="auto"/>
        <w:rPr>
          <w:sz w:val="20"/>
          <w:szCs w:val="20"/>
          <w:color w:val="auto"/>
        </w:rPr>
      </w:pPr>
      <w:r>
        <w:rPr>
          <w:rFonts w:ascii="Arial" w:cs="Arial" w:eastAsia="Arial" w:hAnsi="Arial"/>
          <w:sz w:val="18"/>
          <w:szCs w:val="18"/>
          <w:color w:val="auto"/>
        </w:rPr>
        <w:t>The Company considers current economic trends when evaluating the adequacy of the allowance for doubtful accounts. If circumstances relating to specific customers change, or unanticipated changes occur in the general business environment, particularly as it affects auto dealers, the Company’s estimates of the recoverability of receivables could be further adjusted.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summary of the changes in the Company’s allowance for doubtful accounts for the years ended December 31, 2019, 2018, and 2017:</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Balance at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Write–offs,</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Provision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net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Period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Year ended December 31, 2018</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Property and equipment are stated at cost less accumulated depreciation and amortization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Leasehold improvements are amortized over the shorter of the lease term or the estimated useful life of the related asset. The estimated useful lives of the Company’s property and equipment are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171"/>
        </w:trPr>
        <w:tc>
          <w:tcPr>
            <w:tcW w:w="3960" w:type="dxa"/>
            <w:vAlign w:val="bottom"/>
            <w:tcBorders>
              <w:bottom w:val="single" w:sz="8" w:color="CFF0FC"/>
            </w:tcBorders>
          </w:tcPr>
          <w:p>
            <w:pPr>
              <w:spacing w:after="0"/>
              <w:rPr>
                <w:sz w:val="14"/>
                <w:szCs w:val="1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 Years)</w:t>
            </w: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Capitalized equipment</w:t>
            </w:r>
          </w:p>
        </w:tc>
        <w:tc>
          <w:tcPr>
            <w:tcW w:w="2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Capitalized software</w:t>
            </w:r>
          </w:p>
        </w:tc>
        <w:tc>
          <w:tcPr>
            <w:tcW w:w="28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w:t>
            </w:r>
          </w:p>
        </w:tc>
        <w:tc>
          <w:tcPr>
            <w:tcW w:w="2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Lesser of asset life or lease term</w:t>
            </w:r>
          </w:p>
        </w:tc>
      </w:tr>
    </w:tbl>
    <w:p>
      <w:pPr>
        <w:spacing w:after="0" w:line="242"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Expenditures for repairs and maintenance are charged to expense as incurred, whereas major betterments are capitalized as additions to property and equipment.</w:t>
      </w:r>
    </w:p>
    <w:p>
      <w:pPr>
        <w:spacing w:after="0" w:line="33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17"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6"/>
          <w:szCs w:val="16"/>
          <w:color w:val="auto"/>
        </w:rPr>
        <w:t>The Company evaluates the recoverability of long</w:t>
      </w:r>
      <w:r>
        <w:rPr>
          <w:rFonts w:ascii="MS PGothic" w:cs="MS PGothic" w:eastAsia="MS PGothic" w:hAnsi="MS PGothic"/>
          <w:sz w:val="16"/>
          <w:szCs w:val="16"/>
          <w:color w:val="auto"/>
        </w:rPr>
        <w:t>‑</w:t>
      </w:r>
      <w:r>
        <w:rPr>
          <w:rFonts w:ascii="Arial" w:cs="Arial" w:eastAsia="Arial" w:hAnsi="Arial"/>
          <w:sz w:val="16"/>
          <w:szCs w:val="16"/>
          <w:color w:val="auto"/>
        </w:rPr>
        <w:t>lived assets, such as property and equipment and intangible assets, for impairment at least annually and whenever events or changes in circumstances indicate that the carrying value of an asset may not be recoverable. During this review, the Company re</w:t>
      </w:r>
      <w:r>
        <w:rPr>
          <w:rFonts w:ascii="MS PGothic" w:cs="MS PGothic" w:eastAsia="MS PGothic" w:hAnsi="MS PGothic"/>
          <w:sz w:val="16"/>
          <w:szCs w:val="16"/>
          <w:color w:val="auto"/>
        </w:rPr>
        <w:t>‑</w:t>
      </w:r>
      <w:r>
        <w:rPr>
          <w:rFonts w:ascii="Arial" w:cs="Arial" w:eastAsia="Arial" w:hAnsi="Arial"/>
          <w:sz w:val="16"/>
          <w:szCs w:val="16"/>
          <w:color w:val="auto"/>
        </w:rPr>
        <w:t>evaluates the significant assumptions used in determining the original cost and estimated lives of long</w:t>
      </w:r>
      <w:r>
        <w:rPr>
          <w:rFonts w:ascii="MS PGothic" w:cs="MS PGothic" w:eastAsia="MS PGothic" w:hAnsi="MS PGothic"/>
          <w:sz w:val="16"/>
          <w:szCs w:val="16"/>
          <w:color w:val="auto"/>
        </w:rPr>
        <w:t>‑</w:t>
      </w:r>
      <w:r>
        <w:rPr>
          <w:rFonts w:ascii="Arial" w:cs="Arial" w:eastAsia="Arial" w:hAnsi="Arial"/>
          <w:sz w:val="16"/>
          <w:szCs w:val="16"/>
          <w:color w:val="auto"/>
        </w:rPr>
        <w:t>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6"/>
          <w:szCs w:val="16"/>
          <w:color w:val="auto"/>
        </w:rPr>
        <w:t>‑</w:t>
      </w:r>
      <w:r>
        <w:rPr>
          <w:rFonts w:ascii="Arial" w:cs="Arial" w:eastAsia="Arial" w:hAnsi="Arial"/>
          <w:sz w:val="16"/>
          <w:szCs w:val="16"/>
          <w:color w:val="auto"/>
        </w:rPr>
        <w:t>lived assets based primarily upon whether expected future undiscounted cash flows are sufficient to support the assets’ recovery. Recoverability of these assets is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w:t>
      </w:r>
    </w:p>
    <w:p>
      <w:pPr>
        <w:spacing w:after="0" w:line="203"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For the years ended December 31, 2019, 2018, and 2017, the Company did not identify any impairment of its long</w:t>
      </w:r>
      <w:r>
        <w:rPr>
          <w:rFonts w:ascii="MS PGothic" w:cs="MS PGothic" w:eastAsia="MS PGothic" w:hAnsi="MS PGothic"/>
          <w:sz w:val="18"/>
          <w:szCs w:val="18"/>
          <w:color w:val="auto"/>
        </w:rPr>
        <w:t>‑</w:t>
      </w:r>
      <w:r>
        <w:rPr>
          <w:rFonts w:ascii="Arial" w:cs="Arial" w:eastAsia="Arial" w:hAnsi="Arial"/>
          <w:sz w:val="18"/>
          <w:szCs w:val="18"/>
          <w:color w:val="auto"/>
        </w:rPr>
        <w:t>lived assets.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Acquired Assets and Liabilities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Company measures all consideration transferred in a business combination at its acquisition-date fair value. Consideration transferred is determined by the acquisition-date fair value of assets transferred, liabilities assumed, including contingent consideration obligations, as applicable. The Company measures goodwill as the excess of the consideration transferred over the net of the acquisition-date amounts of assets acquired less liabilities assumed.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0" w:name="page91"/>
    <w:bookmarkEnd w:id="90"/>
    <w:p>
      <w:pPr>
        <w:jc w:val="both"/>
        <w:ind w:firstLine="555"/>
        <w:spacing w:after="0" w:line="259" w:lineRule="auto"/>
        <w:rPr>
          <w:sz w:val="20"/>
          <w:szCs w:val="20"/>
          <w:color w:val="auto"/>
        </w:rPr>
      </w:pPr>
      <w:r>
        <w:rPr>
          <w:rFonts w:ascii="Arial" w:cs="Arial" w:eastAsia="Arial" w:hAnsi="Arial"/>
          <w:sz w:val="18"/>
          <w:szCs w:val="18"/>
          <w:color w:val="auto"/>
        </w:rPr>
        <w:t>The Company makes significant assumptions and estimates in determining the fair value of the acquired assets and liabilities as of the acquisition date, especially the valuation of intangible assets and certain tax positions. The Company records estimates as of the acquisition date and reassess the estimates at each reporting period up to one year after the acquisition date. Changes in estimates made prior to finalization of purchase accounting are recorded to goodwill.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Intangible assets are recorded at their estimated fair value at the date of acquisition. The Company amortizes intangible assets over their estimated useful lives on a straight-line basis. Amortization is recorded over the relevant estimated useful lives ranging from three to eleven years.</w:t>
      </w:r>
    </w:p>
    <w:p>
      <w:pPr>
        <w:spacing w:after="0" w:line="14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Company evaluates the useful lives of these assets on an annual basis and tests for impairment whenever events or changes in circumstances occur that could impact the recoverability of these assets. If the estimate of an intangible asset’s remaining useful life is changed, the Company amortizes the remaining carrying value of the intangible asset prospectively over the revised remaining useful life.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Goodwill is recorded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our stock price for a sustained period or a reduction of our market capitalization relative to net book value.</w:t>
      </w:r>
    </w:p>
    <w:p>
      <w:pPr>
        <w:spacing w:after="0" w:line="173"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Company has determined that it had two reporting units, United States and International, as of and for the year ended December 31, 2019. The Company evaluates impairment annually on October 1 by comparing the estimated fair value of each reporting unit to its carrying value. The Company estimates fair value using a discounted cash flow model based on our most recent forecast at the time of its annual impairment test.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Website Development and Internal-Use Software Costs</w:t>
      </w:r>
    </w:p>
    <w:p>
      <w:pPr>
        <w:spacing w:after="0" w:line="117"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color w:val="auto"/>
        </w:rPr>
        <w:t>The Company capitalizes certain costs associated with the development of its websites and internal</w:t>
      </w:r>
      <w:r>
        <w:rPr>
          <w:rFonts w:ascii="MS PGothic" w:cs="MS PGothic" w:eastAsia="MS PGothic" w:hAnsi="MS PGothic"/>
          <w:sz w:val="17"/>
          <w:szCs w:val="17"/>
          <w:color w:val="auto"/>
        </w:rPr>
        <w:t>‑</w:t>
      </w:r>
      <w:r>
        <w:rPr>
          <w:rFonts w:ascii="Arial" w:cs="Arial" w:eastAsia="Arial" w:hAnsi="Arial"/>
          <w:sz w:val="17"/>
          <w:szCs w:val="17"/>
          <w:color w:val="auto"/>
        </w:rPr>
        <w:t>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software project with the required authority, it is probable the project will be completed, the software will be used to perform the functions intended and certain functional and quality standards have been met. Qualified costs incurred during the operating stage of our software applications relating to upgrades and enhancements are capitalized to the extent it is probable that they will result in added functionality, while costs that cannot be separated between maintenance of, and minor upgrades and enhancements to, internal</w:t>
      </w:r>
      <w:r>
        <w:rPr>
          <w:rFonts w:ascii="MS PGothic" w:cs="MS PGothic" w:eastAsia="MS PGothic" w:hAnsi="MS PGothic"/>
          <w:sz w:val="17"/>
          <w:szCs w:val="17"/>
          <w:color w:val="auto"/>
        </w:rPr>
        <w:t>‑</w:t>
      </w:r>
      <w:r>
        <w:rPr>
          <w:rFonts w:ascii="Arial" w:cs="Arial" w:eastAsia="Arial" w:hAnsi="Arial"/>
          <w:sz w:val="17"/>
          <w:szCs w:val="17"/>
          <w:color w:val="auto"/>
        </w:rPr>
        <w:t>use software are expensed as incurred.</w:t>
      </w:r>
    </w:p>
    <w:p>
      <w:pPr>
        <w:spacing w:after="0" w:line="205"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Capitalized website and software development costs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life of three years beginning with the time when it is ready for intended use. Capitalized internal-use software costs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life of the term of the hosting arrangement, taking into consideration several other factors such as, but not limited to, options to extend the hosting arrangement or options to terminate the hosting arrangement, beginning with the time when it is ready for intended use. Amounts amortized are presented through operating expense, rather than depreciation or amortization. Management evaluates the useful lives of these assets on an annual basis and tests for impairment whenever events or changes in circumstances occur that could impact the recoverability of these assets.</w:t>
      </w:r>
    </w:p>
    <w:p>
      <w:pPr>
        <w:spacing w:after="0" w:line="20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During the years ended December 31, 2019 and 2018, the Company capitalized $4,176 and $2,012 of website development costs, respectively. The Company recorded amortization expense associated with its capitalized website development costs of $1,643, $1,508 and $812 for the years ended December 31, 2019, 2018, and 2017,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1" w:name="page92"/>
    <w:bookmarkEnd w:id="91"/>
    <w:p>
      <w:pPr>
        <w:jc w:val="both"/>
        <w:ind w:firstLine="555"/>
        <w:spacing w:after="0" w:line="264" w:lineRule="auto"/>
        <w:rPr>
          <w:sz w:val="20"/>
          <w:szCs w:val="20"/>
          <w:color w:val="auto"/>
        </w:rPr>
      </w:pPr>
      <w:r>
        <w:rPr>
          <w:rFonts w:ascii="Arial" w:cs="Arial" w:eastAsia="Arial" w:hAnsi="Arial"/>
          <w:sz w:val="18"/>
          <w:szCs w:val="18"/>
          <w:color w:val="auto"/>
        </w:rPr>
        <w:t>During the year ended December 31, 2019, the Company capitalized $2,615 and $616 of internal-use software in other non-current assets and in prepaid expenses and prepaid income taxes, respectively. The Company recorded amortization expense associated with its internal-use software of $132 for the year ended December 31, 2019.</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6"/>
          <w:szCs w:val="16"/>
          <w:color w:val="auto"/>
        </w:rPr>
        <w:t>The reporting currency of the Company is the U.S. dollar. The functional currency of the Company’s foreign subsidiaries is the local currency of each subsidiary. All assets and liabilities in the balance sheets of entities whose functional currency is a currency other than the U.S. dollar are translated into U.S. dollar equivalents at exchange rates as follows: (1) asset and liability accounts at period</w:t>
      </w:r>
      <w:r>
        <w:rPr>
          <w:rFonts w:ascii="MS PGothic" w:cs="MS PGothic" w:eastAsia="MS PGothic" w:hAnsi="MS PGothic"/>
          <w:sz w:val="16"/>
          <w:szCs w:val="16"/>
          <w:color w:val="auto"/>
        </w:rPr>
        <w:t>‑</w:t>
      </w:r>
      <w:r>
        <w:rPr>
          <w:rFonts w:ascii="Arial" w:cs="Arial" w:eastAsia="Arial" w:hAnsi="Arial"/>
          <w:sz w:val="16"/>
          <w:szCs w:val="16"/>
          <w:color w:val="auto"/>
        </w:rPr>
        <w:t>end rates; (2) income statement accounts at weighted</w:t>
      </w:r>
      <w:r>
        <w:rPr>
          <w:rFonts w:ascii="MS PGothic" w:cs="MS PGothic" w:eastAsia="MS PGothic" w:hAnsi="MS PGothic"/>
          <w:sz w:val="16"/>
          <w:szCs w:val="16"/>
          <w:color w:val="auto"/>
        </w:rPr>
        <w:t>‑</w:t>
      </w:r>
      <w:r>
        <w:rPr>
          <w:rFonts w:ascii="Arial" w:cs="Arial" w:eastAsia="Arial" w:hAnsi="Arial"/>
          <w:sz w:val="16"/>
          <w:szCs w:val="16"/>
          <w:color w:val="auto"/>
        </w:rPr>
        <w:t>average exchange rates for the period; and (3) stockholders’ equity accounts at historical exchange rates. The resulting translation adjustments are excluded from net income and reflected as a separate component of stockholders’ equity (deficit). Foreign currency transaction gains and losses are included in net income for the period. The Company may periodically have certain intercompany foreign currency transactions that are deemed to be of a long</w:t>
      </w:r>
      <w:r>
        <w:rPr>
          <w:rFonts w:ascii="MS PGothic" w:cs="MS PGothic" w:eastAsia="MS PGothic" w:hAnsi="MS PGothic"/>
          <w:sz w:val="16"/>
          <w:szCs w:val="16"/>
          <w:color w:val="auto"/>
        </w:rPr>
        <w:t>‑</w:t>
      </w:r>
      <w:r>
        <w:rPr>
          <w:rFonts w:ascii="Arial" w:cs="Arial" w:eastAsia="Arial" w:hAnsi="Arial"/>
          <w:sz w:val="16"/>
          <w:szCs w:val="16"/>
          <w:color w:val="auto"/>
        </w:rPr>
        <w:t>term investment nature; exchange adjustments related to those transactions are made directly to a separate component of stockholders’ equity (deficit).</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Company accounts for income taxes in accordance with the asset and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87"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threshold for financial statement recognition and measurement of a tax position taken or expected to be taken in a tax return. Interest and penalties, if applicable, related to uncertain tax positions would be recognized as a component of income tax expense. The Company has no recorded liabilities for uncertain tax positions as of December 31, 2019 and 2018.</w:t>
      </w:r>
    </w:p>
    <w:p>
      <w:pPr>
        <w:spacing w:after="0" w:line="204"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The Tax Cuts and Jobs Act subjects a U.S. shareholder to tax on global intangible low-taxed income (“GILTI”) earned by certain foreign subsidiaries. An entity can make an accounting policy election, per the FASB Staff Q&amp;A, Topic 740, No. 5, Accounting for Global Intangible Low-Taxed Income, either to recognize deferred taxes for temporary basis differences expected to reverse as GILTI in future years or to provide for the tax expense related to GILTI in the year the tax is incurred as a period expense only. The Company has elected to account for GILTI as a period cost in the year the tax is incurred.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Fair Value of Financial Instruments</w:t>
      </w:r>
    </w:p>
    <w:p>
      <w:pPr>
        <w:spacing w:after="0" w:line="117" w:lineRule="exact"/>
        <w:rPr>
          <w:sz w:val="20"/>
          <w:szCs w:val="20"/>
          <w:color w:val="auto"/>
        </w:rPr>
      </w:pPr>
    </w:p>
    <w:p>
      <w:pPr>
        <w:jc w:val="both"/>
        <w:ind w:right="20" w:firstLine="555"/>
        <w:spacing w:after="0" w:line="224" w:lineRule="exact"/>
        <w:rPr>
          <w:sz w:val="20"/>
          <w:szCs w:val="20"/>
          <w:color w:val="auto"/>
        </w:rPr>
      </w:pPr>
      <w:r>
        <w:rPr>
          <w:rFonts w:ascii="Arial" w:cs="Arial" w:eastAsia="Arial" w:hAnsi="Arial"/>
          <w:sz w:val="16"/>
          <w:szCs w:val="16"/>
          <w:color w:val="auto"/>
        </w:rPr>
        <w:t>The carrying amounts of the Company’s financial instruments, which include cash and cash equivalents, investments, accounts receivable, accounts payable, and accrued expenses, approximated their fair values at December 31, 2019 and 2018 due to the short</w:t>
      </w:r>
      <w:r>
        <w:rPr>
          <w:rFonts w:ascii="MS PGothic" w:cs="MS PGothic" w:eastAsia="MS PGothic" w:hAnsi="MS PGothic"/>
          <w:sz w:val="16"/>
          <w:szCs w:val="16"/>
          <w:color w:val="auto"/>
        </w:rPr>
        <w:t>‑</w:t>
      </w:r>
      <w:r>
        <w:rPr>
          <w:rFonts w:ascii="Arial" w:cs="Arial" w:eastAsia="Arial" w:hAnsi="Arial"/>
          <w:sz w:val="16"/>
          <w:szCs w:val="16"/>
          <w:color w:val="auto"/>
        </w:rPr>
        <w:t>term nature of these instruments.</w:t>
      </w:r>
    </w:p>
    <w:p>
      <w:pPr>
        <w:spacing w:after="0" w:line="202"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The Company has evaluated the estimated fair value of financial instruments using available market information. The use of different market assumptions, estimation methodologies, or both, could have a significant effect on the estimated fair value amounts. See Note 4 for further discussion.</w:t>
      </w:r>
    </w:p>
    <w:p>
      <w:pPr>
        <w:spacing w:after="0" w:line="25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7"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For stock</w:t>
      </w:r>
      <w:r>
        <w:rPr>
          <w:rFonts w:ascii="MS PGothic" w:cs="MS PGothic" w:eastAsia="MS PGothic" w:hAnsi="MS PGothic"/>
          <w:sz w:val="18"/>
          <w:szCs w:val="18"/>
          <w:color w:val="auto"/>
        </w:rPr>
        <w:t>‑</w:t>
      </w:r>
      <w:r>
        <w:rPr>
          <w:rFonts w:ascii="Arial" w:cs="Arial" w:eastAsia="Arial" w:hAnsi="Arial"/>
          <w:sz w:val="18"/>
          <w:szCs w:val="18"/>
          <w:color w:val="auto"/>
        </w:rPr>
        <w:t>based awards issued under the Company’s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plans, which are more fully described in Note 10, the fair value of each award is determined on the date of grant. The Company recognizes compensation expense for service-based awards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204"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Certain awards granted by the Company prior to the IPO were subject to service</w:t>
      </w:r>
      <w:r>
        <w:rPr>
          <w:rFonts w:ascii="MS PGothic" w:cs="MS PGothic" w:eastAsia="MS PGothic" w:hAnsi="MS PGothic"/>
          <w:sz w:val="18"/>
          <w:szCs w:val="18"/>
          <w:color w:val="auto"/>
        </w:rPr>
        <w:t>‑</w:t>
      </w:r>
      <w:r>
        <w:rPr>
          <w:rFonts w:ascii="Arial" w:cs="Arial" w:eastAsia="Arial" w:hAnsi="Arial"/>
          <w:sz w:val="18"/>
          <w:szCs w:val="18"/>
          <w:color w:val="auto"/>
        </w:rPr>
        <w:t>based vesting conditions and a performance</w:t>
      </w:r>
      <w:r>
        <w:rPr>
          <w:rFonts w:ascii="MS PGothic" w:cs="MS PGothic" w:eastAsia="MS PGothic" w:hAnsi="MS PGothic"/>
          <w:sz w:val="18"/>
          <w:szCs w:val="18"/>
          <w:color w:val="auto"/>
        </w:rPr>
        <w:t>‑</w:t>
      </w:r>
      <w:r>
        <w:rPr>
          <w:rFonts w:ascii="Arial" w:cs="Arial" w:eastAsia="Arial" w:hAnsi="Arial"/>
          <w:sz w:val="18"/>
          <w:szCs w:val="18"/>
          <w:color w:val="auto"/>
        </w:rPr>
        <w:t>based vesting condition achieved upon a liquidity event, defined as either a change of control or an initial public offering. The Securities and Exchange Commission’s declaration of effectiveness of the Company’s registration statement on Form S-1 on October 11, 2017 satisfied the liquidity event performance condition. Upon the achievement of the liquidity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2" w:name="page93"/>
    <w:bookmarkEnd w:id="92"/>
    <w:p>
      <w:pPr>
        <w:jc w:val="both"/>
        <w:spacing w:after="0" w:line="312" w:lineRule="auto"/>
        <w:rPr>
          <w:sz w:val="20"/>
          <w:szCs w:val="20"/>
          <w:color w:val="auto"/>
        </w:rPr>
      </w:pPr>
      <w:r>
        <w:rPr>
          <w:rFonts w:ascii="Arial" w:cs="Arial" w:eastAsia="Arial" w:hAnsi="Arial"/>
          <w:sz w:val="16"/>
          <w:szCs w:val="16"/>
          <w:color w:val="auto"/>
        </w:rPr>
        <w:t>event, the Company recorded previously unrecognized cumulative stock-based compensation expense of $2.5 million related to these awards. Although the performance-based vesting condition was satisfied, under the terms of the awards, the settlement of such vested RSUs and the issuance of common stock with respect to such vested RSUs occurred on April 10, 2018, one hundred eighty-one days after the satisfaction of the performance condition.</w:t>
      </w:r>
    </w:p>
    <w:p>
      <w:pPr>
        <w:spacing w:after="0" w:line="147"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6"/>
          <w:szCs w:val="16"/>
          <w:color w:val="auto"/>
        </w:rPr>
        <w:t>Given the absence of an active market for the Company’s common stock prior to the IPO, the Board was required to estimate the fair value of the Company’s common stock at the time of each grant of a stock</w:t>
      </w:r>
      <w:r>
        <w:rPr>
          <w:rFonts w:ascii="MS PGothic" w:cs="MS PGothic" w:eastAsia="MS PGothic" w:hAnsi="MS PGothic"/>
          <w:sz w:val="16"/>
          <w:szCs w:val="16"/>
          <w:color w:val="auto"/>
        </w:rPr>
        <w:t>‑</w:t>
      </w:r>
      <w:r>
        <w:rPr>
          <w:rFonts w:ascii="Arial" w:cs="Arial" w:eastAsia="Arial" w:hAnsi="Arial"/>
          <w:sz w:val="16"/>
          <w:szCs w:val="16"/>
          <w:color w:val="auto"/>
        </w:rPr>
        <w:t xml:space="preserve">based award. The Company believes that the members of its Board at all relevant times had sufficient business, finance or venture capital experience to make such estimates. The Company and the Board utilized various valuation methodologies in accordance with the framework of the American Institute of Certified Public Accountants’ Technical Practice Aid, </w:t>
      </w:r>
      <w:r>
        <w:rPr>
          <w:rFonts w:ascii="Arial" w:cs="Arial" w:eastAsia="Arial" w:hAnsi="Arial"/>
          <w:sz w:val="16"/>
          <w:szCs w:val="16"/>
          <w:i w:val="1"/>
          <w:iCs w:val="1"/>
          <w:color w:val="auto"/>
        </w:rPr>
        <w:t>Valuation of Privately</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Held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Equity Securities Issued as Compensation</w:t>
      </w:r>
      <w:r>
        <w:rPr>
          <w:rFonts w:ascii="Arial" w:cs="Arial" w:eastAsia="Arial" w:hAnsi="Arial"/>
          <w:sz w:val="16"/>
          <w:szCs w:val="16"/>
          <w:color w:val="auto"/>
        </w:rPr>
        <w:t>, to estimate the fair value of its common stock. Each valuation methodology includes estimates and assumptions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required judgment. These estimates and assumptions include a number of objective and subjective factors used to determine the value of the Company’s common stock at each grant date, including the following factors: (1) prices paid for the Company’s convertible preferred stock, which the Company had sold to outside investors in arm’s</w:t>
      </w:r>
      <w:r>
        <w:rPr>
          <w:rFonts w:ascii="MS PGothic" w:cs="MS PGothic" w:eastAsia="MS PGothic" w:hAnsi="MS PGothic"/>
          <w:sz w:val="16"/>
          <w:szCs w:val="16"/>
          <w:color w:val="auto"/>
        </w:rPr>
        <w:t>‑</w:t>
      </w:r>
      <w:r>
        <w:rPr>
          <w:rFonts w:ascii="Arial" w:cs="Arial" w:eastAsia="Arial" w:hAnsi="Arial"/>
          <w:sz w:val="16"/>
          <w:szCs w:val="16"/>
          <w:color w:val="auto"/>
        </w:rPr>
        <w:t>length transactions, and the rights, preferences, and privileges of the Company’s convertible preferred stock and common stock;</w:t>
      </w:r>
    </w:p>
    <w:p>
      <w:pPr>
        <w:spacing w:after="0" w:line="1" w:lineRule="exact"/>
        <w:rPr>
          <w:sz w:val="20"/>
          <w:szCs w:val="20"/>
          <w:color w:val="auto"/>
        </w:rPr>
      </w:pPr>
    </w:p>
    <w:p>
      <w:pPr>
        <w:jc w:val="both"/>
        <w:ind w:firstLine="8"/>
        <w:spacing w:after="0" w:line="216" w:lineRule="exact"/>
        <w:tabs>
          <w:tab w:leader="none" w:pos="2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valuations performed by an independent valuation specialist; (3) the Company’s stage of development and revenue growth; (4) the fact that the grants of stock</w:t>
      </w:r>
      <w:r>
        <w:rPr>
          <w:rFonts w:ascii="MS PGothic" w:cs="MS PGothic" w:eastAsia="MS PGothic" w:hAnsi="MS PGothic"/>
          <w:sz w:val="18"/>
          <w:szCs w:val="18"/>
          <w:color w:val="auto"/>
        </w:rPr>
        <w:t>‑</w:t>
      </w:r>
      <w:r>
        <w:rPr>
          <w:rFonts w:ascii="Arial" w:cs="Arial" w:eastAsia="Arial" w:hAnsi="Arial"/>
          <w:sz w:val="18"/>
          <w:szCs w:val="18"/>
          <w:color w:val="auto"/>
        </w:rPr>
        <w:t>based awards involved illiquid securities in a private company; and (5) the likelihood of achieving a liquidity event for the common stock underlying the stock</w:t>
      </w:r>
      <w:r>
        <w:rPr>
          <w:rFonts w:ascii="MS PGothic" w:cs="MS PGothic" w:eastAsia="MS PGothic" w:hAnsi="MS PGothic"/>
          <w:sz w:val="18"/>
          <w:szCs w:val="18"/>
          <w:color w:val="auto"/>
        </w:rPr>
        <w:t>‑</w:t>
      </w:r>
      <w:r>
        <w:rPr>
          <w:rFonts w:ascii="Arial" w:cs="Arial" w:eastAsia="Arial" w:hAnsi="Arial"/>
          <w:sz w:val="18"/>
          <w:szCs w:val="18"/>
          <w:color w:val="auto"/>
        </w:rPr>
        <w:t>based awards, such as an IPO or sale of the Company, given prevailing market conditions.</w:t>
      </w:r>
    </w:p>
    <w:p>
      <w:pPr>
        <w:spacing w:after="0" w:line="203"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The Company believes this methodology was reasonable based upon the Company’s internal peer company analyses, and further supported by arm’s</w:t>
      </w:r>
      <w:r>
        <w:rPr>
          <w:rFonts w:ascii="MS PGothic" w:cs="MS PGothic" w:eastAsia="MS PGothic" w:hAnsi="MS PGothic"/>
          <w:sz w:val="18"/>
          <w:szCs w:val="18"/>
          <w:color w:val="auto"/>
        </w:rPr>
        <w:t>‑</w:t>
      </w:r>
      <w:r>
        <w:rPr>
          <w:rFonts w:ascii="Arial" w:cs="Arial" w:eastAsia="Arial" w:hAnsi="Arial"/>
          <w:sz w:val="18"/>
          <w:szCs w:val="18"/>
          <w:color w:val="auto"/>
        </w:rPr>
        <w:t>length transactions involving the Company’s convertible preferred stock. As the Company’s common stock was not actively traded, the determination of fair value involved assumptions, judgments, and estimates. If different assumptions had been made,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consolidated net income, and consolidated net income per share could have been significantly different.</w:t>
      </w:r>
    </w:p>
    <w:p>
      <w:pPr>
        <w:spacing w:after="0" w:line="204"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For RSUs issued under the Company’s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plans prior to the IPO, the fair value of each grant was calculated based on the estimated fair value of the Company’s common stock on the date of grant. The Company estimated the fair value of most stock option awards on the date of grant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w:t>
      </w:r>
    </w:p>
    <w:p>
      <w:pPr>
        <w:spacing w:after="0" w:line="202"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For RSUs granted subsequent to the IPO, the fair value is determined based on the closing price of the Company’s Class A common stock as reported on the Nasdaq Global Select Market on the date of grant.</w:t>
      </w:r>
    </w:p>
    <w:p>
      <w:pPr>
        <w:spacing w:after="0" w:line="170"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Company issues shares for stock option exercises and RSUs out of its shares available for issuance. No options were granted during the years ended December 31, 2019, 2018, and 2017.</w:t>
      </w:r>
    </w:p>
    <w:p>
      <w:pPr>
        <w:spacing w:after="0" w:line="224"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The Company accounts for forfeitures when they occur. The tax effect of differences between tax deductions related to stock compensation and the corresponding financial statement expense compensation are recorded to tax expense. Excess tax benefits recognized 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are classified as an operating activity in the consolidated statements of cash flows.</w:t>
      </w:r>
    </w:p>
    <w:p>
      <w:pPr>
        <w:spacing w:after="0" w:line="24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During 2019, 2018 and 2017, the Company recorded tax benefits of $11,115, $40,765 and $681, respectively, related to differences between tax deductions related to stock compensation and the corresponding financial statement expense compensation.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10 for a summary of the stock option and RSU activity for the year ended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Advertising costs are expensed as incurred. Advertising expense, which is included within sales and marketing expense in the consolidated statements of operations, was $287,107, $238,640, and $173,186 for the years ended December 31, 2019, 2018, and 2017,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7"/>
          <w:szCs w:val="17"/>
          <w:color w:val="auto"/>
        </w:rPr>
        <w:t>Comprehensive income is defined as the change in stockholders’ equity (deficit) of a business enterprise during a period from transactions and other events and circumstances from non</w:t>
      </w:r>
      <w:r>
        <w:rPr>
          <w:rFonts w:ascii="MS PGothic" w:cs="MS PGothic" w:eastAsia="MS PGothic" w:hAnsi="MS PGothic"/>
          <w:sz w:val="17"/>
          <w:szCs w:val="17"/>
          <w:color w:val="auto"/>
        </w:rPr>
        <w:t>‑</w:t>
      </w:r>
      <w:r>
        <w:rPr>
          <w:rFonts w:ascii="Arial" w:cs="Arial" w:eastAsia="Arial" w:hAnsi="Arial"/>
          <w:sz w:val="17"/>
          <w:szCs w:val="17"/>
          <w:color w:val="auto"/>
        </w:rPr>
        <w:t>owner sources. Comprehensive income consists of net income and other comprehensive (loss) income, which includes certain changes in equity that are excluded from net income. Specifically, cumulative foreign currency translation adjustments are included in accumulated other comprehensive (loss) income. As of December 31, 2019 and 2018 accumulated other comprehensive (loss) income is presented separately on the consolidated balance sheets and consists entirely of cumulative foreign currency translation adjustments.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The Company has certain contingent liabilities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it discloses the range of such reasonably possible losses.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11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In February 2016, the FASB issued ASC 842, which requires a lessee to recognize most leases on the consolidated balance sheet but recognize expenses on the consolidated income statement in a manner similar to current practice. The update states that a lessee will recognize a lease liability for the obligation to make lease payments and a right-of-use asset for the right to use the underlying assets for the lease term. The Company adopted ASC 842 as of January 1, 2019, using the additional transition method offered through ASU No. 2018-11. This approach provides a method for recording existing leases at the adoption date and recognizing a cumulative-effect adjustment to the opening balance of retained earnings in the period of adoption.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Overview</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Company’s operating lease obligations consist of various leases for office space in: Boston, Massachusetts; Cambridge, Massachusetts; Detroit, Michigan; Los Angeles, California; Dublin, Ireland; and London, United Kingdom. The Detroit, Los Angeles and London leases are immaterial to the Company. The Company also has an operating lease obligation for data center space in Needham, Massachusetts.</w:t>
      </w:r>
    </w:p>
    <w:p>
      <w:pPr>
        <w:spacing w:after="0" w:line="166"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 xml:space="preserve">On December 19, 2019, the Company entered into an operating lease for the lease of 273,595 square feet of office space in Boston, Massachusetts at 1001 Boylston Street. The lease provides for leasehold improvement incentives and provides for annual rent increases through the term of the lease. </w:t>
      </w:r>
      <w:r>
        <w:rPr>
          <w:rFonts w:ascii="Arial" w:cs="Arial" w:eastAsia="Arial" w:hAnsi="Arial"/>
          <w:sz w:val="16"/>
          <w:szCs w:val="16"/>
          <w:color w:val="212529"/>
        </w:rPr>
        <w:t>The</w:t>
      </w:r>
      <w:r>
        <w:rPr>
          <w:rFonts w:ascii="Arial" w:cs="Arial" w:eastAsia="Arial" w:hAnsi="Arial"/>
          <w:sz w:val="16"/>
          <w:szCs w:val="16"/>
          <w:color w:val="auto"/>
        </w:rPr>
        <w:t xml:space="preserve"> </w:t>
      </w:r>
      <w:r>
        <w:rPr>
          <w:rFonts w:ascii="Arial" w:cs="Arial" w:eastAsia="Arial" w:hAnsi="Arial"/>
          <w:sz w:val="16"/>
          <w:szCs w:val="16"/>
          <w:color w:val="212529"/>
        </w:rPr>
        <w:t>“Commencement Date” of the lease term is the earlier to occur of (i) the date that is twelve months following the Delivery Date (as defined in the lease) and</w:t>
      </w:r>
    </w:p>
    <w:p>
      <w:pPr>
        <w:jc w:val="both"/>
        <w:ind w:firstLine="8"/>
        <w:spacing w:after="0" w:line="271" w:lineRule="auto"/>
        <w:tabs>
          <w:tab w:leader="none" w:pos="272" w:val="left"/>
        </w:tabs>
        <w:numPr>
          <w:ilvl w:val="0"/>
          <w:numId w:val="42"/>
        </w:numPr>
        <w:rPr>
          <w:rFonts w:ascii="Arial" w:cs="Arial" w:eastAsia="Arial" w:hAnsi="Arial"/>
          <w:sz w:val="17"/>
          <w:szCs w:val="17"/>
          <w:color w:val="212529"/>
        </w:rPr>
      </w:pPr>
      <w:r>
        <w:rPr>
          <w:rFonts w:ascii="Arial" w:cs="Arial" w:eastAsia="Arial" w:hAnsi="Arial"/>
          <w:sz w:val="17"/>
          <w:szCs w:val="17"/>
          <w:color w:val="212529"/>
        </w:rPr>
        <w:t xml:space="preserve">the date that the Company first occupies the premises for the normal conduct of business for the Permitted Use (as defined in the lease). The initial term will commence on the Commencement Date and expire on the date that is one hundred and eighty full calendar months after the Commencement Date (plus the partial month, if any, immediately following the Commencement Date). </w:t>
      </w:r>
      <w:r>
        <w:rPr>
          <w:rFonts w:ascii="Arial" w:cs="Arial" w:eastAsia="Arial" w:hAnsi="Arial"/>
          <w:sz w:val="17"/>
          <w:szCs w:val="17"/>
          <w:color w:val="000000"/>
        </w:rPr>
        <w:t>The lease provides for the option to terminate early under certain circumstances</w:t>
      </w:r>
      <w:r>
        <w:rPr>
          <w:rFonts w:ascii="Arial" w:cs="Arial" w:eastAsia="Arial" w:hAnsi="Arial"/>
          <w:sz w:val="17"/>
          <w:szCs w:val="17"/>
          <w:color w:val="212529"/>
        </w:rPr>
        <w:t xml:space="preserve"> </w:t>
      </w:r>
      <w:r>
        <w:rPr>
          <w:rFonts w:ascii="Arial" w:cs="Arial" w:eastAsia="Arial" w:hAnsi="Arial"/>
          <w:sz w:val="17"/>
          <w:szCs w:val="17"/>
          <w:color w:val="000000"/>
        </w:rPr>
        <w:t>including if there is a material delay in construction (subject to the terms and conditions of the lease), and contains two Company options to extend the lease term (including for a portion of the office space thereunder) for an additional period of five years.</w:t>
      </w:r>
    </w:p>
    <w:p>
      <w:pPr>
        <w:spacing w:after="0" w:line="179"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On August 30, 2019, the Company amended its operating lease agreement in Cambridge, Massachusetts at 55 Cambridge Parkway, which was originally entered into on March 11, 2016 and subsequently amended on July 30, 2016, for the lease of 51,923 square feet of office space. The 2019 amendment granted the Company an additional 36,689 square feet of office space and extended the non-cancellable lease term through 2025 for the office space currently occupied. The Company accounted for the additional 36,689 square feet of office space as a new lease as it provides an additional right-of-use asset that is not included in the original lease and the additional lease payments were determined to be commensurate with the standalone price of the additional space. The non-cancellable lease term of the additional space ends in 2025, with a portion ending in 2023. The term extension of the existing 51,923 square feet of office space was recorded as a lease modification within the consolidated balance sheet as of December 31, 2019. The lease, as amended, provides for (i) an option to extend the lease term with respect to a portion of the office space for an additional period of five years, (ii) leasehold improvement incentives and (iii) annual rent increases through the term of the lease.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4" w:name="page95"/>
    <w:bookmarkEnd w:id="94"/>
    <w:p>
      <w:pPr>
        <w:jc w:val="both"/>
        <w:ind w:firstLine="555"/>
        <w:spacing w:after="0" w:line="342" w:lineRule="auto"/>
        <w:rPr>
          <w:sz w:val="20"/>
          <w:szCs w:val="20"/>
          <w:color w:val="auto"/>
        </w:rPr>
      </w:pPr>
      <w:r>
        <w:rPr>
          <w:rFonts w:ascii="Arial" w:cs="Arial" w:eastAsia="Arial" w:hAnsi="Arial"/>
          <w:sz w:val="16"/>
          <w:szCs w:val="16"/>
          <w:color w:val="auto"/>
        </w:rPr>
        <w:t>On May 1, 2019, the Company entered into an operating lease in Needham, Massachusetts for the lease of data center space with a non-cancellable term through 2022 with automatic renewal for one year thereafter if not terminated. The lease provides for annual rent increases through the term of the lease.</w:t>
      </w:r>
    </w:p>
    <w:p>
      <w:pPr>
        <w:spacing w:after="0" w:line="124"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On June 19, 2018, the Company entered into an operating lease in Cambridge, Massachusetts at 121 First Street for the lease of 48,393 square feet of office space with a non-cancellable lease term through 2033 with an option to extend the lease term for two additional periods of five years each. The lease provided for leasehold improvement incentives and provides for annual rent increases through the term of the lease. The Company subleases the fifth floor and records the sublease income in other income (expense), net within the consolidated income statement. The sublease income is immaterial as of December 31, 2019.</w:t>
      </w:r>
    </w:p>
    <w:p>
      <w:pPr>
        <w:spacing w:after="0" w:line="18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On September 26, 2017, the Company assumed an operating lease, which was entered into by the original lessee on August 12, 2013, for the lease of 13,345 square feet of office space in Dublin, Ireland at Styne House, Upper Hatch Street with a non-cancellable term through 2023. The lease provided for a rent increase at the end of year five of the original lease term.</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On October 8, 2014, the Company entered into an operating lease in Cambridge, Massachusetts at 2 Canal Park for the lease of 48,059 square feet of office space with a non-cancellable lease term through 2022 with an option to extend the lease term for one additional period of five years. The lease provided for leasehold improvement incentives and provides for annual rent increases through the term of the lease.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financing lease obligations consist of a lease for office equipment and are immaterial.</w:t>
      </w:r>
    </w:p>
    <w:p>
      <w:pPr>
        <w:spacing w:after="0" w:line="225"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The leases in Boston Massachusetts and Cambridge, Massachusetts have associated letters of credit, which are recorded as restricted cash within the consolidated balance sheet. At December 31, 2019 and 2018, restricted cash was $10,803 and $2,671, respectively, and primarily related to cash held at a financial institution in an interest-bearing cash account as collateral for the letters of credit related to the contractual provisions for the Company’s building leases. At December 31, 2019 and 2018, portions of restricted cash were classified as a short-term asset and long-term asset. Additionally, the 121 First Street lease agreement has an associated security deposit, which is recorded in other non-current assets, net within the consolidated balance sheet.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to adoption of ASC 842</w:t>
      </w:r>
    </w:p>
    <w:p>
      <w:pPr>
        <w:spacing w:after="0" w:line="117"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6"/>
          <w:szCs w:val="16"/>
          <w:color w:val="auto"/>
        </w:rPr>
        <w:t>Prior to the adoption of ASC 842, the Company categorized leases at their inception as either operating or capital leases. On certain lease arrangements, the Company may have received rent holidays or other incentives. The Company recognized lease costs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once it achieved control of the space, without regard to deferred payment terms, such as rent holidays, that deferred the commencement date of required payments or escalating payment amounts. The Company recorded the difference between required lease payments and rent expense as deferred rent. Additionally, incentives received were treated as a reduction of costs over the term of the agreement, as they were considered an inseparable part of the lease agreement.</w:t>
      </w:r>
    </w:p>
    <w:p>
      <w:pPr>
        <w:spacing w:after="0" w:line="204" w:lineRule="exact"/>
        <w:rPr>
          <w:sz w:val="20"/>
          <w:szCs w:val="20"/>
          <w:color w:val="auto"/>
        </w:rPr>
      </w:pPr>
    </w:p>
    <w:p>
      <w:pPr>
        <w:jc w:val="both"/>
        <w:ind w:right="20" w:firstLine="555"/>
        <w:spacing w:after="0" w:line="221" w:lineRule="exact"/>
        <w:rPr>
          <w:sz w:val="20"/>
          <w:szCs w:val="20"/>
          <w:color w:val="auto"/>
        </w:rPr>
      </w:pPr>
      <w:r>
        <w:rPr>
          <w:rFonts w:ascii="Arial" w:cs="Arial" w:eastAsia="Arial" w:hAnsi="Arial"/>
          <w:sz w:val="18"/>
          <w:szCs w:val="18"/>
          <w:color w:val="auto"/>
        </w:rPr>
        <w:t>As of December 31, 2018, the Company had deferred rent and rent incentives of $11,088, of which $1,693 and $9,395, respectively, are classified as a short</w:t>
      </w:r>
      <w:r>
        <w:rPr>
          <w:rFonts w:ascii="MS PGothic" w:cs="MS PGothic" w:eastAsia="MS PGothic" w:hAnsi="MS PGothic"/>
          <w:sz w:val="18"/>
          <w:szCs w:val="18"/>
          <w:color w:val="auto"/>
        </w:rPr>
        <w:t>‑</w:t>
      </w:r>
      <w:r>
        <w:rPr>
          <w:rFonts w:ascii="Arial" w:cs="Arial" w:eastAsia="Arial" w:hAnsi="Arial"/>
          <w:sz w:val="18"/>
          <w:szCs w:val="18"/>
          <w:color w:val="auto"/>
        </w:rPr>
        <w:t>term liability and a long</w:t>
      </w:r>
      <w:r>
        <w:rPr>
          <w:rFonts w:ascii="MS PGothic" w:cs="MS PGothic" w:eastAsia="MS PGothic" w:hAnsi="MS PGothic"/>
          <w:sz w:val="18"/>
          <w:szCs w:val="18"/>
          <w:color w:val="auto"/>
        </w:rPr>
        <w:t>‑</w:t>
      </w:r>
      <w:r>
        <w:rPr>
          <w:rFonts w:ascii="Arial" w:cs="Arial" w:eastAsia="Arial" w:hAnsi="Arial"/>
          <w:sz w:val="18"/>
          <w:szCs w:val="18"/>
          <w:color w:val="auto"/>
        </w:rPr>
        <w:t>term liability in the corresponding consolidated balance sheet. Rent expense related to the operating leases for the years ended December 31, 2018 and 2017 was $7,711 and $5,994, respectively.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Following adoption of ASC 842</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Upon adoption of ASC 842, the Company elected the transition relief package, permitted within the standard, pursuant to which the Company did not reassess the classification of existing leases, whether any expired or existing contracts contain a lease, and whether existing leases have any initial direct costs. The Company also elected the practical expedient of not separating lease components from non-lease components for all leases. There was no cumulative-effective adjustment to the opening balance of retained earnings. The Company reviews all material contracts for embedded leases to determine if they have a right-of-use asset.</w:t>
      </w:r>
    </w:p>
    <w:p>
      <w:pPr>
        <w:spacing w:after="0" w:line="188"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Company recognizes rent expense on a straight-line basis over the lease period. The depreciable life of assets and leasehold improvement are limited by the expected lease term, unless there is a transfer of title or purchase option reasonably certain of exercise.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5" w:name="page96"/>
    <w:bookmarkEnd w:id="95"/>
    <w:p>
      <w:pPr>
        <w:jc w:val="both"/>
        <w:ind w:right="20" w:firstLine="555"/>
        <w:spacing w:after="0" w:line="342" w:lineRule="auto"/>
        <w:rPr>
          <w:sz w:val="20"/>
          <w:szCs w:val="20"/>
          <w:color w:val="auto"/>
        </w:rPr>
      </w:pPr>
      <w:r>
        <w:rPr>
          <w:rFonts w:ascii="Arial" w:cs="Arial" w:eastAsia="Arial" w:hAnsi="Arial"/>
          <w:sz w:val="16"/>
          <w:szCs w:val="16"/>
          <w:color w:val="auto"/>
        </w:rPr>
        <w:t>Variable lease payments that depend on an index or a rate are included in the lease payments and are measured using the prevailing index or rate at the measurement date. Variable lease payments not based on an index or a rate are excluded from lease payments and are expensed as incurred.</w:t>
      </w:r>
    </w:p>
    <w:p>
      <w:pPr>
        <w:spacing w:after="0" w:line="124"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Company also made an accounting policy election to not recognize a lease liability or right-of-use asset on its consolidated balance sheet for leases with an initial term of twelve months or less, and instead to recognize lease payments on the consolidated income statement on a straight-line basis over the lease term and variable lease payments that do not depend on an index or rate as expense in the period in which the achievement of the specified target that triggers the variable lease payments becomes probable.</w:t>
      </w:r>
    </w:p>
    <w:p>
      <w:pPr>
        <w:spacing w:after="0" w:line="187"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Adoption of the new standard resulted in the recording of net lease assets and lease liabilities of $52,334 and $63,280, respectively, as of January 1, 2019. The standard did not materially impact the consolidated statement of cash flows and had no impact on the consolidated income statement.</w:t>
      </w:r>
    </w:p>
    <w:p>
      <w:pPr>
        <w:spacing w:after="0" w:line="124"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During the years ended December 31, 2019 and 2018, the Company recognized $10,260 and $7,711, respectively, of lease costs for leases that have commenced. The Company allocates lease costs across all departments based on headcount in the respective location.</w:t>
      </w:r>
    </w:p>
    <w:p>
      <w:pPr>
        <w:spacing w:after="0" w:line="170"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For leases commenced, as of December 31, 2019, the weighted average remaining lease term was 8.8 years and the weighted average discount rate was 5.2%. As most of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used the incremental borrowing rate on January 1, 2019 for leases that commenced prior to that date.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as of December 31, 2019 are as follows: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(21,822)</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chart above does not include options to extend lease terms that are not reasonably certain of being exercised or leases signed but not yet commenced as of December 31, 2019. Total estimated future minimum lease payments for leases signed but not yet commenced as of December 31, 2019, which includes 1001 Boylston Street and portions of 55 Cambridge Parkway, are estimated to be $317,837 and have expected commencement dates ranging from February 2020 to January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In June 2018, the FASB issued ASU 2018-07</w:t>
      </w:r>
      <w:r>
        <w:rPr>
          <w:rFonts w:ascii="Arial" w:cs="Arial" w:eastAsia="Arial" w:hAnsi="Arial"/>
          <w:sz w:val="18"/>
          <w:szCs w:val="18"/>
          <w:i w:val="1"/>
          <w:iCs w:val="1"/>
          <w:color w:val="auto"/>
        </w:rPr>
        <w:t>, Compensation—Stock Compensation (Topic 718)</w:t>
      </w:r>
      <w:r>
        <w:rPr>
          <w:rFonts w:ascii="Arial" w:cs="Arial" w:eastAsia="Arial" w:hAnsi="Arial"/>
          <w:sz w:val="18"/>
          <w:szCs w:val="18"/>
          <w:color w:val="auto"/>
        </w:rPr>
        <w:t xml:space="preserve"> (“ASU 2018-07”). ASU 2018-07 expands the scope of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to include share-based payment transactions for acquiring goods and services from non-employees. The amendments in this update state that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6" w:name="page97"/>
    <w:bookmarkEnd w:id="96"/>
    <w:p>
      <w:pPr>
        <w:jc w:val="both"/>
        <w:spacing w:after="0" w:line="257" w:lineRule="auto"/>
        <w:rPr>
          <w:sz w:val="20"/>
          <w:szCs w:val="20"/>
          <w:color w:val="auto"/>
        </w:rPr>
      </w:pPr>
      <w:r>
        <w:rPr>
          <w:rFonts w:ascii="Arial" w:cs="Arial" w:eastAsia="Arial" w:hAnsi="Arial"/>
          <w:sz w:val="18"/>
          <w:szCs w:val="18"/>
          <w:color w:val="auto"/>
        </w:rPr>
        <w:t>a contract accounted for under Topic 606. The amendments in this update are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an entity’s adoption date of Topic 606. The Company has assessed the impact of this guidance on its consolidated financial statements and does not deem it to be material. The Company adopted the guidance on January 1, 2019 prospectively.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Internal-Use Software</w:t>
      </w:r>
    </w:p>
    <w:p>
      <w:pPr>
        <w:spacing w:after="0" w:line="117"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This update aligns the requirements for capitalizing</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costs incurred in a hosting arrangement that is a service contract with the requirements for capitalizing implementation costs incurred to develop or obtain internal-use software. This new standard requires companies to amortize the capitalized implementation costs over the term of the hosting arrangement. Amounts amortized would be presented through operating expense, rather than depreciation or amortization. Accounting for the service component of a hosting arrangement remains unchanged. The new standard is effective for fiscal years, and interim periods within those fiscal years, beginning after December 15, 2019. Early adoption is permitted and an entity can elect to apply the new guidance on a prospective or retrospective basis. The Company adopted this standard effective January 1, 2019 and applied the guidance using a prospective transition method for each period presented.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235"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 Simplifying the Accounting for Income Taxes</w:t>
      </w:r>
      <w:r>
        <w:rPr>
          <w:rFonts w:ascii="Arial" w:cs="Arial" w:eastAsia="Arial" w:hAnsi="Arial"/>
          <w:sz w:val="16"/>
          <w:szCs w:val="16"/>
          <w:color w:val="auto"/>
        </w:rPr>
        <w:t>.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new standard is effective for fiscal years, and interim periods within those fiscal years, beginning after December 15, 2020, with early adoption permitted. The Company is currently assessing the impact that adopting this guidance will have on its consolidated financial statements.</w:t>
      </w:r>
    </w:p>
    <w:p>
      <w:pPr>
        <w:spacing w:after="0" w:line="199"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The new guidance simplifies the accounting for goodwill impairment by eliminating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standard is effective beginning in January 2020, with early adoption permitted. The Company does not expect the impact of adopting this guidance to be material to its consolidated financial statements.</w:t>
      </w:r>
    </w:p>
    <w:p>
      <w:pPr>
        <w:spacing w:after="0" w:line="16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and its subsequent related updates establish a new forward-looking “expected loss model” that requires entities to estimate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on accounts receivable and financial instruments by using all practical and relevant information. The new standard and its subsequent related updates are effective for fiscal years beginning after December 15, 2019, including interim periods within those fiscal years, with early adoption permitted. The Company is currently assessing the impact that adopting this guidance will have on its consolidated financial statements, but does not expect it to be material.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On January 8, 2019, the Company, through CarGurus U.K. Limited, a company incorporated in England &amp; Wales and a wholly owned subsidiary of CarGurus Ireland Limited, a company incorporated in Ireland and a wholly owned subsidiary of the Company (the “Purchaser”), completed its acquisition of PistonHeads, a U.K.-based automotive website (“PistonHeads”), by acquiring the entire issued share capital of Haymarket New4 Ltd., a company incorporated in England &amp; Wales and now known as PistonHeads Holdco Limited (“NewCo”), from Haymarket Media Group Ltd., a company incorporated in England &amp; Wales (the “Seller”), on the terms and subject to the conditions set forth in the Put and Call Option Agreement dated December 3, 2018, by and among the Purchaser, the Seller and Haymarket Group Limited, a company incorporated in England &amp; Wales. The PistonHeads website hosts used car classifieds, articles and user forums. The Purchaser paid an aggregate of 15,000 GBP, or approximately $19,139, to acquire the business, inclusive of 1,000 GBP, or approximately $1,276, being held in escrow to secure post-closing claims, subject to the terms and conditions of an escrow agreement among the escrow agents, the Purchaser and the Seller. Upon completion of the acquisition, NewCo became a wholly owned subsidiary of the Purchaser. The business combination was intended to expand the Company’s consumer audience in the U.K. As of December 31, 2019, the Company has incurred total acquisition-related costs of $779 related to the transaction.</w:t>
      </w:r>
    </w:p>
    <w:p>
      <w:pPr>
        <w:spacing w:after="0" w:line="183"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The acquisition has been accounted for as a business combination under the acquisition method and, accordingly, the total purchase price is allocated to the intangible assets and goodwill. Acquired tangible assets and assumed liabilities are immaterial. The following table presents the purchase price allocation recorded in the Company's consolidated balance sheet as of the acquisition date, which was finalized as of December 31, 2019:</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Estimated Fair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Fair</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Value at Date</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Adjustment</w:t>
            </w:r>
          </w:p>
        </w:tc>
        <w:tc>
          <w:tcPr>
            <w:tcW w:w="12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Value at Date</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of Acquisition</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of Acquisition</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5"/>
                <w:szCs w:val="15"/>
                <w:color w:val="auto"/>
              </w:rPr>
              <w:t>(1)</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5"/>
                <w:szCs w:val="15"/>
                <w:color w:val="auto"/>
              </w:rPr>
              <w:t>(3)</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3980" w:type="dxa"/>
            <w:vAlign w:val="bottom"/>
          </w:tcPr>
          <w:p>
            <w:pPr>
              <w:ind w:left="380"/>
              <w:spacing w:after="0"/>
              <w:rPr>
                <w:sz w:val="20"/>
                <w:szCs w:val="20"/>
                <w:color w:val="auto"/>
              </w:rPr>
            </w:pPr>
            <w:r>
              <w:rPr>
                <w:rFonts w:ascii="Arial" w:cs="Arial" w:eastAsia="Arial" w:hAnsi="Arial"/>
                <w:sz w:val="18"/>
                <w:szCs w:val="18"/>
                <w:color w:val="auto"/>
              </w:rPr>
              <w:t>Total purchase price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0" w:hanging="552"/>
        <w:spacing w:after="0" w:line="308" w:lineRule="auto"/>
        <w:tabs>
          <w:tab w:leader="none" w:pos="5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Identifiable definite-lived intangible assets were comprised of brand and customer relationships of $3,445 and $1,021, respectively, with estimated useful lives of 11 years and 3 years, respectively, which will be amortized on a straight-line basis over their estimated useful lives.</w:t>
      </w:r>
    </w:p>
    <w:p>
      <w:pPr>
        <w:spacing w:after="0" w:line="38" w:lineRule="exact"/>
        <w:rPr>
          <w:rFonts w:ascii="Arial" w:cs="Arial" w:eastAsia="Arial" w:hAnsi="Arial"/>
          <w:sz w:val="17"/>
          <w:szCs w:val="17"/>
          <w:color w:val="auto"/>
        </w:rPr>
      </w:pPr>
    </w:p>
    <w:p>
      <w:pPr>
        <w:jc w:val="both"/>
        <w:ind w:left="560" w:hanging="552"/>
        <w:spacing w:after="0" w:line="257"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goodwill represents the excess value of the purchase price over intangible assets acquired. The goodwill in this transaction is primarily attributable to future customer growth in the U.K. market as a result of acquiring an established platform and applying the Company’s technology to help improve the website experience on such platform; thus, helping to drive additional traffic to the PistonHeads website in the future. All goodwill is assigned to the International segment. The acquisition of PistonHeads was a stock acquisition and as a result, goodwill is not deductible for tax purposes.</w:t>
      </w:r>
    </w:p>
    <w:p>
      <w:pPr>
        <w:spacing w:after="0" w:line="80"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deferred tax liability corresponds to the acquired intangible assets which do not have tax basis. As the Company evaluated its purchasing price accounting, it determined to reduce the deferred tax liability which resulted in an adjustment to goodwill, which was recorded during the second quarter of 2019.</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Actual and pro forma results for this acquisition have not been presented as the financial impact to the Company’s consolidated financial statements is not material.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Including Cash, Cash Equivalents and Investments</w:t>
      </w:r>
    </w:p>
    <w:p>
      <w:pPr>
        <w:spacing w:after="0" w:line="121"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establishes a three</w:t>
      </w:r>
      <w:r>
        <w:rPr>
          <w:rFonts w:ascii="MS PGothic" w:cs="MS PGothic" w:eastAsia="MS PGothic" w:hAnsi="MS PGothic"/>
          <w:sz w:val="18"/>
          <w:szCs w:val="18"/>
          <w:color w:val="auto"/>
        </w:rPr>
        <w:t>‑</w:t>
      </w:r>
      <w:r>
        <w:rPr>
          <w:rFonts w:ascii="Arial" w:cs="Arial" w:eastAsia="Arial" w:hAnsi="Arial"/>
          <w:sz w:val="18"/>
          <w:szCs w:val="18"/>
          <w:color w:val="auto"/>
        </w:rPr>
        <w:t>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8" w:name="page99"/>
    <w:bookmarkEnd w:id="98"/>
    <w:p>
      <w:pPr>
        <w:jc w:val="both"/>
        <w:ind w:firstLine="555"/>
        <w:spacing w:after="0" w:line="220" w:lineRule="exact"/>
        <w:rPr>
          <w:sz w:val="20"/>
          <w:szCs w:val="20"/>
          <w:color w:val="auto"/>
        </w:rPr>
      </w:pPr>
      <w:r>
        <w:rPr>
          <w:rFonts w:ascii="Arial" w:cs="Arial" w:eastAsia="Arial" w:hAnsi="Arial"/>
          <w:sz w:val="16"/>
          <w:szCs w:val="16"/>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w:t>
      </w:r>
      <w:r>
        <w:rPr>
          <w:rFonts w:ascii="MS PGothic" w:cs="MS PGothic" w:eastAsia="MS PGothic" w:hAnsi="MS PGothic"/>
          <w:sz w:val="16"/>
          <w:szCs w:val="16"/>
          <w:color w:val="auto"/>
        </w:rPr>
        <w:t>‑</w:t>
      </w:r>
      <w:r>
        <w:rPr>
          <w:rFonts w:ascii="Arial" w:cs="Arial" w:eastAsia="Arial" w:hAnsi="Arial"/>
          <w:sz w:val="16"/>
          <w:szCs w:val="16"/>
          <w:color w:val="auto"/>
        </w:rPr>
        <w: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unadjusted prices for identical instruments in active markets.</w:t>
      </w:r>
    </w:p>
    <w:p>
      <w:pPr>
        <w:spacing w:after="0" w:line="117" w:lineRule="exact"/>
        <w:rPr>
          <w:sz w:val="20"/>
          <w:szCs w:val="20"/>
          <w:color w:val="auto"/>
        </w:rPr>
      </w:pPr>
    </w:p>
    <w:p>
      <w:pPr>
        <w:ind w:left="560"/>
        <w:spacing w:after="0" w:line="223" w:lineRule="exact"/>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w:t>
      </w:r>
      <w:r>
        <w:rPr>
          <w:rFonts w:ascii="MS PGothic" w:cs="MS PGothic" w:eastAsia="MS PGothic" w:hAnsi="MS PGothic"/>
          <w:sz w:val="18"/>
          <w:szCs w:val="18"/>
          <w:color w:val="auto"/>
        </w:rPr>
        <w:t>‑</w:t>
      </w:r>
      <w:r>
        <w:rPr>
          <w:rFonts w:ascii="Arial" w:cs="Arial" w:eastAsia="Arial" w:hAnsi="Arial"/>
          <w:sz w:val="18"/>
          <w:szCs w:val="18"/>
          <w:color w:val="auto"/>
        </w:rPr>
        <w:t>derived valuations in which all observable inputs and significant value drivers are observable in active markets.</w:t>
      </w:r>
    </w:p>
    <w:p>
      <w:pPr>
        <w:spacing w:after="0" w:line="95" w:lineRule="exact"/>
        <w:rPr>
          <w:sz w:val="20"/>
          <w:szCs w:val="20"/>
          <w:color w:val="auto"/>
        </w:rPr>
      </w:pPr>
    </w:p>
    <w:p>
      <w:pPr>
        <w:ind w:left="560"/>
        <w:spacing w:after="0" w:line="223" w:lineRule="exact"/>
        <w:rPr>
          <w:sz w:val="20"/>
          <w:szCs w:val="20"/>
          <w:color w:val="auto"/>
        </w:rPr>
      </w:pPr>
      <w:r>
        <w:rPr>
          <w:rFonts w:ascii="Arial" w:cs="Arial" w:eastAsia="Arial" w:hAnsi="Arial"/>
          <w:sz w:val="18"/>
          <w:szCs w:val="18"/>
          <w:color w:val="auto"/>
        </w:rPr>
        <w:t>Level 3 — Model</w:t>
      </w:r>
      <w:r>
        <w:rPr>
          <w:rFonts w:ascii="MS PGothic" w:cs="MS PGothic" w:eastAsia="MS PGothic" w:hAnsi="MS PGothic"/>
          <w:sz w:val="18"/>
          <w:szCs w:val="18"/>
          <w:color w:val="auto"/>
        </w:rPr>
        <w:t>‑</w:t>
      </w:r>
      <w:r>
        <w:rPr>
          <w:rFonts w:ascii="Arial" w:cs="Arial" w:eastAsia="Arial" w:hAnsi="Arial"/>
          <w:sz w:val="18"/>
          <w:szCs w:val="18"/>
          <w:color w:val="auto"/>
        </w:rPr>
        <w:t>derived valuations in which one or more significant inputs or significant value drivers are unobservable, including assumptions developed by the Company.</w:t>
      </w:r>
    </w:p>
    <w:p>
      <w:pPr>
        <w:spacing w:after="0" w:line="2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present, for each of the fair value levels, the Company’s assets that are measured at fair value on a recurring basis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(Level 1 Inputs)</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(Level 2 Inputs)</w:t>
            </w: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Certificates of deposit</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(Level 1 Inputs)</w:t>
            </w: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(Level 2 Inputs)</w:t>
            </w: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(Level 3 Inputs)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Certificates of deposit</w:t>
            </w: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The Company measures eligible assets and liabilities at fair value with changes in value recognized in earnings. There were no liabilities that were measured at fair value as of December 31, 2019 and 2018.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year ended December 31, 2019 or the year ended December 31, 2018.</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cash, cash equivalents, and investments as of December 31, 2019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Cash and cash equivalents due in 90 days or less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Certificates of deposit due in one year or less</w:t>
            </w:r>
          </w:p>
        </w:tc>
        <w:tc>
          <w:tcPr>
            <w:tcW w:w="10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111,692</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investments</w:t>
            </w:r>
          </w:p>
        </w:tc>
        <w:tc>
          <w:tcPr>
            <w:tcW w:w="1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171,612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171,612</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Unrealized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Cash and cash equivalents due in 90 days or less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34,887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Certificates of deposit due in one year or less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cash, cash equivalents, and investments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5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gridSpan w:val="3"/>
          </w:tcPr>
          <w:p>
            <w:pPr>
              <w:ind w:left="560"/>
              <w:spacing w:after="0"/>
              <w:rPr>
                <w:sz w:val="20"/>
                <w:szCs w:val="20"/>
                <w:color w:val="auto"/>
              </w:rPr>
            </w:pPr>
            <w:r>
              <w:rPr>
                <w:rFonts w:ascii="Arial" w:cs="Arial" w:eastAsia="Arial" w:hAnsi="Arial"/>
                <w:sz w:val="18"/>
                <w:szCs w:val="18"/>
                <w:color w:val="auto"/>
              </w:rPr>
              <w:t>Property and equipment, net consists of the following:</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At 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2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Capitalized equipment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6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Capitalized software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 costs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11,083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6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6,809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19,507</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10,821</w:t>
            </w:r>
          </w:p>
        </w:tc>
        <w:tc>
          <w:tcPr>
            <w:tcW w:w="6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46,105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35,743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w w:val="98"/>
              </w:rPr>
              <w:t>Less accumulated depreciation and amortization</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(18,155)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(11,474)</w:t>
            </w:r>
          </w:p>
        </w:tc>
        <w:tc>
          <w:tcPr>
            <w:tcW w:w="4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gridSpan w:val="2"/>
          </w:tcPr>
          <w:p>
            <w:pPr>
              <w:ind w:left="11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27,950</w:t>
            </w:r>
          </w:p>
        </w:tc>
        <w:tc>
          <w:tcPr>
            <w:tcW w:w="10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24,269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6"/>
          <w:szCs w:val="16"/>
          <w:color w:val="auto"/>
        </w:rPr>
        <w:t>Depreciation and amortization expense, excluding amortization of intangible assets, was $7,168, $5,029, and $3,795 for the years ended December 31, 2019, 2018, and 2017, respectively. The increase of $8,686 in leasehold improvements and the decrease of $8,447 in construction in progress at December 31, 2019 was primarily due to costs incurred to build out the Company’s new leased facility at 121 First Street in Cambridge, Massachusetts. The facility became occupied subsequent to December 31, 2018, at which time the assets ceased to be classified as construction in progress and became classified as leasehold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improvement.</w:t>
            </w: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6. Goodwill and other intangible assets</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40" w:type="dxa"/>
            <w:vAlign w:val="bottom"/>
            <w:gridSpan w:val="2"/>
          </w:tcPr>
          <w:p>
            <w:pPr>
              <w:ind w:left="560"/>
              <w:spacing w:after="0"/>
              <w:rPr>
                <w:sz w:val="20"/>
                <w:szCs w:val="20"/>
                <w:color w:val="auto"/>
              </w:rPr>
            </w:pPr>
            <w:r>
              <w:rPr>
                <w:rFonts w:ascii="Arial" w:cs="Arial" w:eastAsia="Arial" w:hAnsi="Arial"/>
                <w:sz w:val="18"/>
                <w:szCs w:val="18"/>
                <w:color w:val="auto"/>
              </w:rPr>
              <w:t>The changes in the carrying value of goodwill were as follows:</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vMerge w:val="restart"/>
          </w:tcPr>
          <w:p>
            <w:pPr>
              <w:spacing w:after="0"/>
              <w:rPr>
                <w:sz w:val="19"/>
                <w:szCs w:val="19"/>
                <w:color w:val="auto"/>
              </w:rPr>
            </w:pPr>
          </w:p>
        </w:tc>
        <w:tc>
          <w:tcPr>
            <w:tcW w:w="4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Initial value of PistonHeads acquisition</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1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 xml:space="preserve">Purchase price adjustment </w:t>
            </w:r>
            <w:r>
              <w:rPr>
                <w:rFonts w:ascii="Arial" w:cs="Arial" w:eastAsia="Arial" w:hAnsi="Arial"/>
                <w:sz w:val="15"/>
                <w:szCs w:val="15"/>
                <w:color w:val="auto"/>
              </w:rPr>
              <w:t>(1)</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right="20" w:hanging="552"/>
        <w:spacing w:after="0" w:line="277"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purchase price adjustment corresponds to an adjustment for the deferred tax liability as a result of the Company’s evaluation of income tax treatment, which was recorded during the second quarter of 2019.</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Company did not have a goodwill balance prior to the closing of the PistonHeads acquisition on January 8, 2019. The Company tests goodwill for impairment at least annually or whenever events or changes in circumstances indicate that the carrying value may not be recoverable. The Company evaluated goodwill for impairment on October 1, 2019 and did not recognize an impairment charge.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Other Intangible Assets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as of December 31, 2019 consist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(years)</w:t>
            </w:r>
          </w:p>
        </w:tc>
        <w:tc>
          <w:tcPr>
            <w:tcW w:w="2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Company did not have intangible assets prior to the closing of the PistonHeads acquisition on January 8, 2019. The Company recorded amortization expense related to intangible assets of $649 for the year ended December 31, 2019.</w:t>
      </w:r>
    </w:p>
    <w:p>
      <w:pPr>
        <w:spacing w:after="0" w:line="197" w:lineRule="exact"/>
        <w:rPr>
          <w:sz w:val="20"/>
          <w:szCs w:val="20"/>
          <w:color w:val="auto"/>
        </w:rPr>
      </w:pPr>
    </w:p>
    <w:p>
      <w:pPr>
        <w:jc w:val="both"/>
        <w:ind w:right="20" w:firstLine="555"/>
        <w:spacing w:after="0" w:line="342" w:lineRule="auto"/>
        <w:rPr>
          <w:sz w:val="20"/>
          <w:szCs w:val="20"/>
          <w:color w:val="auto"/>
        </w:rPr>
      </w:pPr>
      <w:r>
        <w:rPr>
          <w:rFonts w:ascii="Arial" w:cs="Arial" w:eastAsia="Arial" w:hAnsi="Arial"/>
          <w:sz w:val="16"/>
          <w:szCs w:val="16"/>
          <w:color w:val="auto"/>
        </w:rPr>
        <w:t>The estimated useful life of brand and customer relationships is 11 years and 3 years, respectively. The Company evaluates the useful lives of these assets on an annual basis and tests for impairment whenever events or changes in circumstances occur that could impact the recoverability of these assets.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Estimated amortization expense of intangible assets for future periods as of December 31, 2019,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7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Year Ending December 31,</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Amortization</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47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Expense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6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Accrued expenses, accrued income taxes and other current liabilities</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8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40" w:type="dxa"/>
            <w:vAlign w:val="bottom"/>
            <w:gridSpan w:val="5"/>
          </w:tcPr>
          <w:p>
            <w:pPr>
              <w:jc w:val="right"/>
              <w:ind w:right="50"/>
              <w:spacing w:after="0"/>
              <w:rPr>
                <w:sz w:val="20"/>
                <w:szCs w:val="20"/>
                <w:color w:val="auto"/>
              </w:rPr>
            </w:pPr>
            <w:r>
              <w:rPr>
                <w:rFonts w:ascii="Arial" w:cs="Arial" w:eastAsia="Arial" w:hAnsi="Arial"/>
                <w:sz w:val="18"/>
                <w:szCs w:val="18"/>
                <w:color w:val="auto"/>
                <w:w w:val="98"/>
              </w:rPr>
              <w:t>Accrued expenses, accrued income taxes and other current liabilities consist of the following:</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At December 31,</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340" w:type="dxa"/>
            <w:vAlign w:val="bottom"/>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Accrued bonus</w:t>
            </w:r>
          </w:p>
        </w:tc>
        <w:tc>
          <w:tcPr>
            <w:tcW w:w="6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3"/>
            <w:shd w:val="clear" w:color="auto" w:fill="CFF0FC"/>
          </w:tcPr>
          <w:p>
            <w:pPr>
              <w:ind w:left="440"/>
              <w:spacing w:after="0"/>
              <w:rPr>
                <w:sz w:val="20"/>
                <w:szCs w:val="20"/>
                <w:color w:val="auto"/>
              </w:rPr>
            </w:pPr>
            <w:r>
              <w:rPr>
                <w:rFonts w:ascii="Arial" w:cs="Arial" w:eastAsia="Arial" w:hAnsi="Arial"/>
                <w:sz w:val="18"/>
                <w:szCs w:val="18"/>
                <w:color w:val="auto"/>
                <w:w w:val="88"/>
              </w:rPr>
              <w:t>8,637</w:t>
            </w: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right w:val="single" w:sz="8" w:color="CFF0FC"/>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Other accrued expenses, accrued income taxes and other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7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current liabilities</w:t>
            </w:r>
          </w:p>
        </w:tc>
        <w:tc>
          <w:tcPr>
            <w:tcW w:w="6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w w:val="88"/>
              </w:rPr>
              <w:t>9,625</w:t>
            </w:r>
          </w:p>
        </w:tc>
        <w:tc>
          <w:tcPr>
            <w:tcW w:w="20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10,388</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18,262</w:t>
            </w:r>
          </w:p>
        </w:tc>
        <w:tc>
          <w:tcPr>
            <w:tcW w:w="2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right w:val="single" w:sz="8" w:color="CFF0FC"/>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18,654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Company’s operating lease obligations are discussed in Note 2. All of the Company’s property, equipment, and internal-use software have been purchased with cash with the exception of $647 of unpaid property and equipment and immaterial amounts related to obligations under one finance lease as of December 31, 2019. The Company has no material long-term purchase obligations outstanding with any vendors or third parties.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the ordinary course of business, the Company enters into agreements with its customers that include commercial provisions with respect to licensing, infringement, indemnification, and other common provisions. The Company does not, in the ordinary course, agree to indemnification obligations for the Company under its contracts with customers. Based on historical experience and information known at December 31, 2019 and 2018, the Company has not incurred any costs for guarantees or indemnities.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 and Stockholders’ Equity</w:t>
      </w:r>
    </w:p>
    <w:p>
      <w:pPr>
        <w:spacing w:after="0" w:line="121"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On June 21, 2017, the Company amended and restated its Certificate of Incorporation pursuant to the Third Amended and Restated Certificate of Incorporation. Under the Third Amended and Restated Certificate of Incorporation, the total number of shares of all classes of stock which the Company had authority to issue was (i) 120,020,700 shares of Class A common stock, par value $0.001 per share, (ii) 80,013,800 shares of Class B common stock, par value $0.001 per share, and (iii) 11,091,782 shares of Preferred Stock, par value $0.001 per share, of which 3,333,000 shares were designated Series A Preferred Stock, 3,329,497 shares were designated Series B Preferred Stock, 1,648,978 shares were designated Series C Preferred Stock, 1,673,105 shares were designated Series D Preferred Stock, and 1,107,202 shares were designated Series E Preferred Stock. The Series A Preferred Stock, Series B Preferred Stock, Series C Preferred Stock, Series D Preferred Stock, and Series E Preferred Stock are referred to collectively as the Preferred Stock.</w:t>
      </w:r>
    </w:p>
    <w:p>
      <w:pPr>
        <w:spacing w:after="0" w:line="167"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8"/>
          <w:szCs w:val="18"/>
          <w:color w:val="auto"/>
        </w:rPr>
        <w:t>Upon the effectiveness of the Third Amended and Restated Certificate of Incorporation, (i) each share of Class A common stock issued and outstanding was recapitalized, reclassified, and reconstituted into two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shares of outstanding Class A common stock and four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shares of outstanding Class B common stock, and (ii) each share of Class B common stock of the Company issued and outstanding was recapitalized, reclassified, and reconstituted into two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shares of outstanding Class A common stock and four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shares of outstanding Class B common stock.</w:t>
      </w:r>
    </w:p>
    <w:p>
      <w:pPr>
        <w:spacing w:after="0" w:line="206"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8"/>
          <w:szCs w:val="18"/>
          <w:color w:val="auto"/>
        </w:rPr>
        <w:t>Further, upon the effectiveness of the Third Amended and Restated Certificate of Incorporation, the number of shares of common stock as to which each outstanding option to purchase common stock was exercisable for and each outstanding RSU was convertible into was adjusted such that upon exercise of outstanding stock options or vesting of outstanding RSUs, each holder would receive two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shares of Class A common stock and four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shares of Class B common stock in respect of each share of common stock previously underlying such option or RSU. The exercise price per share of common stock underlying each outstanding option was adjusted upon the effectiveness of the Third Amended and Restated Certificate of Incorporation to be one</w:t>
      </w:r>
      <w:r>
        <w:rPr>
          <w:rFonts w:ascii="MS PGothic" w:cs="MS PGothic" w:eastAsia="MS PGothic" w:hAnsi="MS PGothic"/>
          <w:sz w:val="18"/>
          <w:szCs w:val="18"/>
          <w:color w:val="auto"/>
        </w:rPr>
        <w:t>‑</w:t>
      </w:r>
      <w:r>
        <w:rPr>
          <w:rFonts w:ascii="Arial" w:cs="Arial" w:eastAsia="Arial" w:hAnsi="Arial"/>
          <w:sz w:val="18"/>
          <w:szCs w:val="18"/>
          <w:color w:val="auto"/>
        </w:rPr>
        <w:t>sixth of the exercise price per share in effect immediately prior to such adjustment and the fair market value per share of common stock issuable upon settlement of such RSU was adjusted to be one</w:t>
      </w:r>
      <w:r>
        <w:rPr>
          <w:rFonts w:ascii="MS PGothic" w:cs="MS PGothic" w:eastAsia="MS PGothic" w:hAnsi="MS PGothic"/>
          <w:sz w:val="18"/>
          <w:szCs w:val="18"/>
          <w:color w:val="auto"/>
        </w:rPr>
        <w:t>‑</w:t>
      </w:r>
      <w:r>
        <w:rPr>
          <w:rFonts w:ascii="Arial" w:cs="Arial" w:eastAsia="Arial" w:hAnsi="Arial"/>
          <w:sz w:val="18"/>
          <w:szCs w:val="18"/>
          <w:color w:val="auto"/>
        </w:rPr>
        <w:t>sixth of the fair market value per share in effect immediately prior to the recapitalization.</w:t>
      </w:r>
    </w:p>
    <w:p>
      <w:pPr>
        <w:spacing w:after="0" w:line="206"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All share and per share data shown in the accompanying consolidated financial statements and related notes have been retroactively revised to reflect the share recapitalization.</w:t>
      </w:r>
    </w:p>
    <w:p>
      <w:pPr>
        <w:spacing w:after="0" w:line="170"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On October 16, 2017, in connection with the closing of the IPO, all of the outstanding shares of Preferred Stock automatically converted into 20,188,226 shares of Class A common stock and 40,376,452 shares of Class B common stock. The 40,376,452 shares of Class B common stock subsequently converted into 40,376,452 shares of Class A common stock resulting in a total conversion of all outstanding shares of Preferred Stock into 60,564,678 shares of Class A common stock. Subsequent to the closing of the IPO, there were no shares of Preferred Stock outstanding.</w:t>
      </w:r>
    </w:p>
    <w:p>
      <w:pPr>
        <w:spacing w:after="0" w:line="17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Immediately following such conversion, the Company’s Fourth Amended and Restated Certificate of Incorporation became effective. Pursuant to the Fourth Amended and Restated Certificate of Incorporation, the Company is authorized to issue up to 500,000,000 shares of Class A common stock, 100,000,000 shares of Class B common stock, and 10,000,000 shares of Preferred Stock, all with a par value of $0.001 per share. As of December 31, 2019, the Preferred Stock is undesignated and no Preferred Stock is outstanding.</w:t>
      </w:r>
    </w:p>
    <w:p>
      <w:pPr>
        <w:spacing w:after="0" w:line="18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In addition, pursuant to the Fourth Amended and Restated Certificate of Incorporation, all shares of Class B common stock will automatically convert into shares of Class A common stock, on a share for share basis, upon the date falling after the first to occur of (1) the death of Langley Steinert, the Company’s Chief Executive Officer and Chairman, (2) his voluntary termination of all employment with the Company and service on the Company’s board of directors, or (3) the sum of the number of shares of capital stock held by Langley Steinert, by any Family Member of Langley Steinert, and by any Permitted Entity of Langley Steinert (as such terms are defined in the Fourth Amended and Restated Certificate of Incorporation), assuming the exercise and settlement in full of all outstanding options and convertible securities and calculated on an as-converted to Class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02" w:name="page103"/>
    <w:bookmarkEnd w:id="102"/>
    <w:p>
      <w:pPr>
        <w:jc w:val="both"/>
        <w:spacing w:after="0" w:line="276" w:lineRule="auto"/>
        <w:rPr>
          <w:sz w:val="20"/>
          <w:szCs w:val="20"/>
          <w:color w:val="auto"/>
        </w:rPr>
      </w:pPr>
      <w:r>
        <w:rPr>
          <w:rFonts w:ascii="Arial" w:cs="Arial" w:eastAsia="Arial" w:hAnsi="Arial"/>
          <w:sz w:val="17"/>
          <w:szCs w:val="17"/>
          <w:color w:val="auto"/>
        </w:rPr>
        <w:t>common stock basis, being less than 9,091,484. Shares of Class B common stock will not automatically convert into shares of Class A common stock upon the termination of Mr. Steinert's status as an officer and director, unless such termination is either made voluntarily by Mr. Steinert or due to Mr. Steinert's death. Once converted into Class A common stock, the converted shares of Class B common stock will not be reissued. In addition, if all shares of Class B common stock are converted into Class A common stock, then any outstanding options or convertible securities with the right to purchase or acquire shares of Class B common stock shall become a right to purchase or acquire shares of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Each share of Class A common stock entitles the holder to one vote for each share on all matters submitted to a vote of the Company’s stockholders at all meetings of stockholders and written actions in lieu of meetings. Each share of Class B common stock entitles the holder to ten votes for each share on all matters submitted to a vote of the Company’s stockholders at all meetings of stockholders and written actions in lieu of meetings.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common stock are entitled to receive dividends, when and if declared by the Board.</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At December 31, 2019, each share of Class B common stock was convertible into one share of Class A common stock at the option of the holder at any time. Automatic conversion of each share of Class B common stock will occur upon the occurrence of certain events, as described in the Fourth Amended and Restated Certificate of Incorporation.</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Upon the effectiveness of the Company’s Fourth Amended and Restated Certificate of Incorporation, additional terms of conversion and transfer were implemented as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Prior to the Company’s IPO, at which time all shares of Preferred Stock were converted into shares of common stock, the Company’s Preferred Stock consisted of the following:</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Original Issue</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Liquidation</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vMerge w:val="continue"/>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Outstanding</w:t>
            </w:r>
          </w:p>
        </w:tc>
        <w:tc>
          <w:tcPr>
            <w:tcW w:w="90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 Preferred Stock</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0.525053</w:t>
            </w: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3,333,000</w:t>
            </w: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2,824,703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0.780899</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3,329,497</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2,938,486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Series C Preferred Stock</w:t>
            </w:r>
          </w:p>
        </w:tc>
        <w:tc>
          <w:tcPr>
            <w:tcW w:w="7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0.849012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1,648,978</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1,550,612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Series D Preferred Stock</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40.642989</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1,673,105</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1,673,105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Series E Preferred Stock</w:t>
            </w:r>
          </w:p>
        </w:tc>
        <w:tc>
          <w:tcPr>
            <w:tcW w:w="7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54.190650</w:t>
            </w:r>
          </w:p>
        </w:tc>
        <w:tc>
          <w:tcPr>
            <w:tcW w:w="1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1,107,202</w:t>
            </w:r>
          </w:p>
        </w:tc>
        <w:tc>
          <w:tcPr>
            <w:tcW w:w="1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1,107,202</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59,732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11,091,782</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10,094,108</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133,094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The holders of the Company’s Preferred Stock had certain voting and dividend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31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10.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The Company’s Amended and Restated 2006 Equity Incentive Plan (the “2006 Plan”) provided for the issuance of non-qualified stock options, restricted stock and stock awards to the Company’s employees, officers, directors and consultants. The 2006 Plan authorized up to an aggregate of 3,444,668 shares of the Company's Class B common stock for such issuances. In conjunction with the effectiveness of the Company’s 2015 Equity Incentive Plan (the “2015 Plan”), the Board voted that no further stock options or other equity-based awards may be granted under the 2006 Plan.</w:t>
      </w:r>
    </w:p>
    <w:p>
      <w:pPr>
        <w:spacing w:after="0" w:line="171"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In 2015, the Board first adopted the 2015 Plan, which became effective on June 26, 2015. The 2015 Plan provided for the issuance of incentive stock options, non-qualified stock options, restricted stock, stock awards and restricted stock units (“RSUs”) to employees, consultants and non-employee directors. As of the effective date of the 2015 Plan, up to 603,436 shares of common stock were authorized for issuance under the 2015 Plan. The 2015 Plan was amended and restated effective August 6, 2015 to permit the granting of RSUs under the 2015 Plan, remove Class B common stock from the pool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3" w:name="page104"/>
    <w:bookmarkEnd w:id="103"/>
    <w:p>
      <w:pPr>
        <w:jc w:val="both"/>
        <w:ind w:right="20"/>
        <w:spacing w:after="0" w:line="277" w:lineRule="auto"/>
        <w:rPr>
          <w:sz w:val="20"/>
          <w:szCs w:val="20"/>
          <w:color w:val="auto"/>
        </w:rPr>
      </w:pPr>
      <w:r>
        <w:rPr>
          <w:rFonts w:ascii="Arial" w:cs="Arial" w:eastAsia="Arial" w:hAnsi="Arial"/>
          <w:sz w:val="18"/>
          <w:szCs w:val="18"/>
          <w:color w:val="auto"/>
        </w:rPr>
        <w:t>of shares available for issuance under the 2015 Plan and make certain other desired changes. The 2015 Plan was further amended and restated at October 15, 2015 to add a ten-year term and to make certain other desired changes.</w:t>
      </w:r>
    </w:p>
    <w:p>
      <w:pPr>
        <w:spacing w:after="0" w:line="170"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The 2015 Plan was further amended and restated effective August 22, 2016 to merge the 2006 Plan into the 2015 Plan, to increase the number of shares of Class A common stock that may be issued under the 2015 Plan, and to lengthen the term of the 2015 Plan to expire on August 21, 2026. In addition, pursuant to this amendment and restatement of the 2015 Plan, prior to giving effect to the recapitalization that occurred on June 21, 2017, there were</w:t>
      </w:r>
    </w:p>
    <w:p>
      <w:pPr>
        <w:ind w:left="240" w:hanging="232"/>
        <w:spacing w:after="0"/>
        <w:tabs>
          <w:tab w:leader="none" w:pos="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618,691 shares of Class A common stock, plus (ii) 802,562 shares of Class B common stock authorized under the 2015 Plan; provided, however, that</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 the number of shares of Class A common stock was increased, on a share for share basis, by the number of shares of Class B common stock that were</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subject to outstanding options granted under the 2006 Plan that expired, terminated, or were cancelled for any reason without having been exercised,</w:t>
      </w:r>
    </w:p>
    <w:p>
      <w:pPr>
        <w:spacing w:after="0" w:line="32" w:lineRule="exact"/>
        <w:rPr>
          <w:rFonts w:ascii="Arial" w:cs="Arial" w:eastAsia="Arial" w:hAnsi="Arial"/>
          <w:sz w:val="16"/>
          <w:szCs w:val="16"/>
          <w:color w:val="auto"/>
        </w:rPr>
      </w:pPr>
    </w:p>
    <w:p>
      <w:pPr>
        <w:jc w:val="both"/>
        <w:ind w:firstLine="8"/>
        <w:spacing w:after="0" w:line="271" w:lineRule="auto"/>
        <w:tabs>
          <w:tab w:leader="none" w:pos="267"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surrendered in payment of the exercise price of outstanding options granted under the 2006 Plan or (c) withheld in satisfaction of tax withholding upon exercise of outstanding options granted under the 2006 Plan, and the number of shares of Class B common stock reserved under the amended and restated 2015 Plan was decreased, on a corresponding share for share basis, (2) no new awards of Class B common stock could be granted under the amended and restated 2015 Plan, and (3) except with respect to outstanding options granted under the 2006 Plan that were exercised on or after the date of the amendment and restatement, no Class B common stock could be issued under the 2015 Plan.</w:t>
      </w:r>
    </w:p>
    <w:p>
      <w:pPr>
        <w:spacing w:after="0" w:line="179"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In connection with the recapitalization that occurred on June 21, 2017, the 2015 Plan was further amended and restated to account for each outstanding common stock option being adjusted such that each share of common stock underlying such option became two shares of Class A common stock and four shares of Class B common stock underlying such option, and each outstanding RSU being adjusted such that each share of common stock issuable upon settlement of such RSU became two shares of Class A common stock and four shares of Class B common stock issuable upon settlement of such RSU. Pursuant to the 2015 Plan as further amended in connection with the recapitalization, there were (i) 3,181,740 shares of Class A common stock and (ii) 5,161,644 shares of Class B common stock authorized for issuance under the 2015 Plan.</w:t>
      </w:r>
    </w:p>
    <w:p>
      <w:pPr>
        <w:spacing w:after="0" w:line="233" w:lineRule="exact"/>
        <w:rPr>
          <w:sz w:val="20"/>
          <w:szCs w:val="20"/>
          <w:color w:val="auto"/>
        </w:rPr>
      </w:pPr>
    </w:p>
    <w:p>
      <w:pPr>
        <w:jc w:val="both"/>
        <w:ind w:firstLine="555"/>
        <w:spacing w:after="0" w:line="267" w:lineRule="auto"/>
        <w:rPr>
          <w:sz w:val="20"/>
          <w:szCs w:val="20"/>
          <w:color w:val="auto"/>
        </w:rPr>
      </w:pPr>
      <w:r>
        <w:rPr>
          <w:rFonts w:ascii="Arial" w:cs="Arial" w:eastAsia="Arial" w:hAnsi="Arial"/>
          <w:sz w:val="17"/>
          <w:szCs w:val="17"/>
          <w:color w:val="auto"/>
        </w:rPr>
        <w:t>In connection with the IPO, in October 2017, the Board adopted, and the Company’s stockholders approved, the Omnibus Equity Compensation Plan (the “2017 Plan”) for the purpose of granting incentive stock options, non-qualified stock options, stock awards, stock units, other share-based awards and cash awards to employees, advisors and consultants to the Company and its subsidiaries and non-employee members of the Company’s board of directors. The 2017 Plan is the successor to the 2015 Plan. The 2017 Plan authorizes the issuance or transfer of the sum of: (i) 7,800,000 shares of the Company’s Class A common stock, plus (ii) the number of shares of our Class A common stock (up to 4,500,000 shares) equal to the sum of (x) the number of shares of Class A common stock and Class B common stock of the Company subject to outstanding awards under the 2015 Plan as of October 10, 2017 that terminate, expire or are cancelled, forfeited, exchanged, or surrendered on or after October 10, 2017 without having been exercised, vested, or paid prior to October 10, 2017, including shares tendered or withheld to satisfy tax withholding obligations with respect to outstanding grants under the Prior 2015 Plan, plus (y) the number of shares of Class A common stock reserved for issuance under the 2015 Plan that remain available for grant under the 2015 Plan as of the October 10, 2017. The aggregate number of shares of Class A common stock that may be issued or transferred under the 2017 Plan pursuant to incentive stock options will not exceed 12,300,000 shares of Class A common stock. Unless determined otherwise by the Compensation Committee of the Board, as of the first trading day of January of each calendar year during the term of the 2017 Plan (excluding any extensions), eligible beginning with calendar year 2019, an additional number of shares of Class A common stock will be added to the number of shares of the Company’s Class A common stock authorized to be issued or transferred under the 2017 Plan and the number of shares authorized to be issued or transferred pursuant to incentive stock options, equal to 4% of the total number of shares of our Class A common stock outstanding on the last trading day in December of the immediately preceding calendar year, or 6,000,000 shares, whichever is less, or such lesser amount as determined by the Board (the “Evergreen Increase”). The Compensation Committee of the Board determined to not effectuate the Evergreen Increase that was otherwise scheduled to have occurred on each of January 2, 2019 and January 2, 2020. In conjunction with the adoption of the 2017 Plan, options and RSUs outstanding under the 2015 Plan will remain outstanding but no additional grants will be made from the 2015 Plan.</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2019, 5,889,929 shares of Class A common stock were available for issuance under the 2017 Plan.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The following is a summary of the stock option activity for all stock</w:t>
      </w:r>
      <w:r>
        <w:rPr>
          <w:rFonts w:ascii="MS PGothic" w:cs="MS PGothic" w:eastAsia="MS PGothic" w:hAnsi="MS PGothic"/>
          <w:sz w:val="17"/>
          <w:szCs w:val="17"/>
          <w:color w:val="auto"/>
        </w:rPr>
        <w:t>‑</w:t>
      </w:r>
      <w:r>
        <w:rPr>
          <w:rFonts w:ascii="Arial" w:cs="Arial" w:eastAsia="Arial" w:hAnsi="Arial"/>
          <w:sz w:val="17"/>
          <w:szCs w:val="17"/>
          <w:color w:val="auto"/>
        </w:rPr>
        <w:t>based compensation plans during the year ended December 31, 2019:</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240" w:type="dxa"/>
            <w:vAlign w:val="bottom"/>
            <w:gridSpan w:val="2"/>
          </w:tcPr>
          <w:p>
            <w:pPr>
              <w:jc w:val="center"/>
              <w:ind w:left="76"/>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for Equity</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1,807,515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(838,928)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Forfeited and cancelled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(25,702)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942,885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30,859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December 31, 2019</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5.0</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30,016</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913,197</w:t>
            </w:r>
          </w:p>
        </w:tc>
        <w:tc>
          <w:tcPr>
            <w:tcW w:w="1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60" w:hanging="552"/>
        <w:spacing w:after="0" w:line="264" w:lineRule="auto"/>
        <w:tabs>
          <w:tab w:leader="none" w:pos="560" w:val="left"/>
        </w:tabs>
        <w:numPr>
          <w:ilvl w:val="0"/>
          <w:numId w:val="47"/>
        </w:numPr>
        <w:rPr>
          <w:rFonts w:ascii="Arial" w:cs="Arial" w:eastAsia="Arial" w:hAnsi="Arial"/>
          <w:sz w:val="15"/>
          <w:szCs w:val="15"/>
          <w:color w:val="auto"/>
        </w:rPr>
      </w:pPr>
      <w:r>
        <w:rPr>
          <w:rFonts w:ascii="Arial" w:cs="Arial" w:eastAsia="Arial" w:hAnsi="Arial"/>
          <w:sz w:val="18"/>
          <w:szCs w:val="18"/>
          <w:color w:val="auto"/>
        </w:rPr>
        <w:t>The aggregate intrinsic value as of December 31, 2019 and 2018 was calculated based on the positive difference, if any, between the estimated fair value of our common stock on December 31, 2019 and 2018, respectively, or the date of exercise, as appropriate, and the exercise price of the underlying options.</w:t>
      </w:r>
    </w:p>
    <w:p>
      <w:pPr>
        <w:spacing w:after="0" w:line="194"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8"/>
          <w:szCs w:val="18"/>
          <w:color w:val="auto"/>
        </w:rPr>
        <w:t>There were no options granted in the years ended December 31, 2019, 2018 and 2017.</w:t>
      </w:r>
    </w:p>
    <w:p>
      <w:pPr>
        <w:spacing w:after="0" w:line="225"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6"/>
          <w:szCs w:val="16"/>
          <w:color w:val="auto"/>
        </w:rPr>
        <w:t>The aggregate intrinsic value for options exercised during the years ended December 31, 2018 and 2017 was $111,227 and $2,238, respectively.</w:t>
      </w:r>
    </w:p>
    <w:p>
      <w:pPr>
        <w:spacing w:after="0" w:line="289" w:lineRule="exact"/>
        <w:rPr>
          <w:sz w:val="20"/>
          <w:szCs w:val="20"/>
          <w:color w:val="auto"/>
        </w:rPr>
      </w:pPr>
    </w:p>
    <w:p>
      <w:pPr>
        <w:ind w:firstLine="555"/>
        <w:spacing w:after="0" w:line="223" w:lineRule="exact"/>
        <w:rPr>
          <w:sz w:val="20"/>
          <w:szCs w:val="20"/>
          <w:color w:val="auto"/>
        </w:rPr>
      </w:pPr>
      <w:r>
        <w:rPr>
          <w:rFonts w:ascii="Arial" w:cs="Arial" w:eastAsia="Arial" w:hAnsi="Arial"/>
          <w:sz w:val="18"/>
          <w:szCs w:val="18"/>
          <w:color w:val="auto"/>
        </w:rPr>
        <w:t>As of December 31, 2019, there was $16 of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unvested stock options,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0.3 years.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RSU activity during the year ended December 31, 2019:</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2,973,002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100,279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1,811,208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(1,317,736)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(383,173)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3,083,301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33.89</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108,471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weighted-average grant-date fair value of RSUs granted was $35.79 and $16.99 per share in 2018 and 2017, respectively.</w:t>
      </w:r>
    </w:p>
    <w:p>
      <w:pPr>
        <w:spacing w:after="0" w:line="266" w:lineRule="exact"/>
        <w:rPr>
          <w:sz w:val="20"/>
          <w:szCs w:val="20"/>
          <w:color w:val="auto"/>
        </w:rPr>
      </w:pPr>
    </w:p>
    <w:p>
      <w:pPr>
        <w:ind w:right="20" w:firstLine="555"/>
        <w:spacing w:after="0" w:line="342" w:lineRule="auto"/>
        <w:rPr>
          <w:sz w:val="20"/>
          <w:szCs w:val="20"/>
          <w:color w:val="auto"/>
        </w:rPr>
      </w:pPr>
      <w:r>
        <w:rPr>
          <w:rFonts w:ascii="Arial" w:cs="Arial" w:eastAsia="Arial" w:hAnsi="Arial"/>
          <w:sz w:val="16"/>
          <w:szCs w:val="16"/>
          <w:color w:val="auto"/>
        </w:rPr>
        <w:t>RSUs that vested and settled during the year ended December 31, 2018 totaled 1,781,201, which included 1,087,279 and 693,922 RSUs that vested in 2018 and 2017, respectively. RSUs that vested prior to April 10, 2018 did not settle until the expiration of shareholder lock-up agreements on such date.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total fair value of RSUs vested was $31,533, $15,994, and $2,505 in the years ended December 31, 2019, 2018 and 2017, respectively.</w:t>
      </w:r>
    </w:p>
    <w:p>
      <w:pPr>
        <w:spacing w:after="0" w:line="291" w:lineRule="exact"/>
        <w:rPr>
          <w:sz w:val="20"/>
          <w:szCs w:val="20"/>
          <w:color w:val="auto"/>
        </w:rPr>
      </w:pPr>
    </w:p>
    <w:p>
      <w:pPr>
        <w:ind w:right="20" w:firstLine="555"/>
        <w:spacing w:after="0" w:line="223" w:lineRule="exact"/>
        <w:rPr>
          <w:sz w:val="20"/>
          <w:szCs w:val="20"/>
          <w:color w:val="auto"/>
        </w:rPr>
      </w:pPr>
      <w:r>
        <w:rPr>
          <w:rFonts w:ascii="Arial" w:cs="Arial" w:eastAsia="Arial" w:hAnsi="Arial"/>
          <w:sz w:val="18"/>
          <w:szCs w:val="18"/>
          <w:color w:val="auto"/>
        </w:rPr>
        <w:t>As of December 31, 2019, there was $92,700 of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unvested RSUs that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2.8 years.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jc w:val="both"/>
        <w:ind w:firstLine="555"/>
        <w:spacing w:after="0" w:line="221" w:lineRule="exact"/>
        <w:rPr>
          <w:sz w:val="20"/>
          <w:szCs w:val="20"/>
          <w:color w:val="auto"/>
        </w:rPr>
      </w:pPr>
      <w:r>
        <w:rPr>
          <w:rFonts w:ascii="Arial" w:cs="Arial" w:eastAsia="Arial" w:hAnsi="Arial"/>
          <w:sz w:val="18"/>
          <w:szCs w:val="18"/>
          <w:color w:val="auto"/>
        </w:rPr>
        <w:t>For the years ended December 31, 2019, 2018, and 2017,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$34,301, $20,794, and $5,028, respectively. The following two tables show stock compensation expense by award type and where the stock compensation expense is recorded in the Company’s consolidated statements of operations: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RSUs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 expense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Excluded from stock-based compensation expense is $1,381, $490, and $176 of capitalized software development costs and internal-use software costs in 2019, 2018 and 2017, respectively.</w:t>
      </w:r>
    </w:p>
    <w:p>
      <w:pPr>
        <w:spacing w:after="0" w:line="224"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income tax benefit from stock-based compensation expense was $2,953, $1,945, and $1,301 in the years ended December 31, 2019, 2018, and 2017, respectively.</w:t>
      </w:r>
    </w:p>
    <w:p>
      <w:pPr>
        <w:spacing w:after="0" w:line="170"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During the years ended December 31, 2019 and 2018, the Company withheld 452,678, and 658,931 shares of Class A common stock, respectively, to satisfy employee tax withholding requirements and option costs due to net share settlements. No shares were withheld during the year ended December 31, 2017. The shares withheld return to the authorized, but unissued, pool under the 2017 Plan and can be reissued by the Company. Total payments for the employees’ tax obligations to the taxing authorities and for option costs due to net share settlements were $16,470 and $25,885 for the years ended December 31, 2019 and 2018, respectively, and are reflected as a financing activity within the consolidated statements of cash flows.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2019, the Company had reserved the following shares of voting common stock for future issuance:</w:t>
      </w:r>
    </w:p>
    <w:p>
      <w:pPr>
        <w:spacing w:after="0" w:line="25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outstanding</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942,885</w:t>
            </w:r>
          </w:p>
        </w:tc>
        <w:tc>
          <w:tcPr>
            <w:tcW w:w="8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Restricted stock units outstanding</w:t>
            </w:r>
          </w:p>
        </w:tc>
        <w:tc>
          <w:tcPr>
            <w:tcW w:w="980" w:type="dxa"/>
            <w:vAlign w:val="bottom"/>
          </w:tcPr>
          <w:p>
            <w:pPr>
              <w:jc w:val="right"/>
              <w:spacing w:after="0"/>
              <w:rPr>
                <w:sz w:val="20"/>
                <w:szCs w:val="20"/>
                <w:color w:val="auto"/>
              </w:rPr>
            </w:pPr>
            <w:r>
              <w:rPr>
                <w:rFonts w:ascii="Arial" w:cs="Arial" w:eastAsia="Arial" w:hAnsi="Arial"/>
                <w:sz w:val="18"/>
                <w:szCs w:val="18"/>
                <w:color w:val="auto"/>
              </w:rPr>
              <w:t>3,083,301</w:t>
            </w:r>
          </w:p>
        </w:tc>
        <w:tc>
          <w:tcPr>
            <w:tcW w:w="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the 2017 Plan</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5,889,929</w:t>
            </w:r>
          </w:p>
        </w:tc>
        <w:tc>
          <w:tcPr>
            <w:tcW w:w="80" w:type="dxa"/>
            <w:vAlign w:val="bottom"/>
            <w:shd w:val="clear" w:color="auto" w:fill="CFF0FC"/>
          </w:tcPr>
          <w:p>
            <w:pPr>
              <w:spacing w:after="0"/>
              <w:rPr>
                <w:sz w:val="19"/>
                <w:szCs w:val="19"/>
                <w:color w:val="auto"/>
              </w:rPr>
            </w:pPr>
          </w:p>
        </w:tc>
      </w:tr>
      <w:tr>
        <w:trPr>
          <w:trHeight w:val="209"/>
        </w:trPr>
        <w:tc>
          <w:tcPr>
            <w:tcW w:w="5780" w:type="dxa"/>
            <w:vAlign w:val="bottom"/>
          </w:tcPr>
          <w:p>
            <w:pPr>
              <w:spacing w:after="0"/>
              <w:rPr>
                <w:sz w:val="20"/>
                <w:szCs w:val="20"/>
                <w:color w:val="auto"/>
              </w:rPr>
            </w:pPr>
            <w:r>
              <w:rPr>
                <w:rFonts w:ascii="Arial" w:cs="Arial" w:eastAsia="Arial" w:hAnsi="Arial"/>
                <w:sz w:val="18"/>
                <w:szCs w:val="18"/>
                <w:color w:val="auto"/>
              </w:rPr>
              <w:t>Total shares of authorized common stock reserved for</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780" w:type="dxa"/>
            <w:vAlign w:val="bottom"/>
          </w:tcPr>
          <w:p>
            <w:pPr>
              <w:ind w:left="120"/>
              <w:spacing w:after="0"/>
              <w:rPr>
                <w:sz w:val="20"/>
                <w:szCs w:val="20"/>
                <w:color w:val="auto"/>
              </w:rPr>
            </w:pPr>
            <w:r>
              <w:rPr>
                <w:rFonts w:ascii="Arial" w:cs="Arial" w:eastAsia="Arial" w:hAnsi="Arial"/>
                <w:sz w:val="18"/>
                <w:szCs w:val="18"/>
                <w:color w:val="auto"/>
              </w:rPr>
              <w:t>future issuance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9,916,115</w:t>
            </w:r>
          </w:p>
        </w:tc>
        <w:tc>
          <w:tcPr>
            <w:tcW w:w="8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Net income per share for the years ended December 31, 2019 and 2018 was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71"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6"/>
          <w:szCs w:val="16"/>
          <w:color w:val="auto"/>
        </w:rPr>
        <w:t>Net income per share for the year ended December 31, 2017 was computed using the two-class method, which includes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shares of common stock outstanding during the period and other securities that participate in dividends (a participating security). For periods during the year ended December 31, 2017, the Company had convertible Preferred Stock outstanding. The Company considered the convertible Preferred Stock to be participating securities because they included rights to participate in dividends with the common stock. On October 16, 2017, in connection with the closing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6" w:name="page107"/>
    <w:bookmarkEnd w:id="106"/>
    <w:p>
      <w:pPr>
        <w:jc w:val="both"/>
        <w:spacing w:after="0" w:line="312" w:lineRule="auto"/>
        <w:rPr>
          <w:sz w:val="20"/>
          <w:szCs w:val="20"/>
          <w:color w:val="auto"/>
        </w:rPr>
      </w:pPr>
      <w:r>
        <w:rPr>
          <w:rFonts w:ascii="Arial" w:cs="Arial" w:eastAsia="Arial" w:hAnsi="Arial"/>
          <w:sz w:val="16"/>
          <w:szCs w:val="16"/>
          <w:color w:val="auto"/>
        </w:rPr>
        <w:t>of the IPO, all of the outstanding shares of convertible Preferred Stock automatically converted into 20,188,226 shares of Class A common stock and 40,376,452 shares of Class B common stock, the latter of which subsequently converted in full into shares of Class A common stock. As a result, there were no shares of Preferred Stock outstanding at the closing of the IPO and the Company has not issued any new shares of Preferred Stock since such closing.</w:t>
      </w:r>
    </w:p>
    <w:p>
      <w:pPr>
        <w:spacing w:after="0" w:line="147" w:lineRule="exact"/>
        <w:rPr>
          <w:sz w:val="20"/>
          <w:szCs w:val="20"/>
          <w:color w:val="auto"/>
        </w:rPr>
      </w:pPr>
    </w:p>
    <w:p>
      <w:pPr>
        <w:jc w:val="both"/>
        <w:ind w:firstLine="555"/>
        <w:spacing w:after="0" w:line="219" w:lineRule="exact"/>
        <w:rPr>
          <w:sz w:val="20"/>
          <w:szCs w:val="20"/>
          <w:color w:val="auto"/>
        </w:rPr>
      </w:pPr>
      <w:r>
        <w:rPr>
          <w:rFonts w:ascii="Arial" w:cs="Arial" w:eastAsia="Arial" w:hAnsi="Arial"/>
          <w:sz w:val="18"/>
          <w:szCs w:val="18"/>
          <w:color w:val="auto"/>
        </w:rPr>
        <w:t>Under the two</w:t>
      </w:r>
      <w:r>
        <w:rPr>
          <w:rFonts w:ascii="MS PGothic" w:cs="MS PGothic" w:eastAsia="MS PGothic" w:hAnsi="MS PGothic"/>
          <w:sz w:val="18"/>
          <w:szCs w:val="18"/>
          <w:color w:val="auto"/>
        </w:rPr>
        <w:t>‑</w:t>
      </w:r>
      <w:r>
        <w:rPr>
          <w:rFonts w:ascii="Arial" w:cs="Arial" w:eastAsia="Arial" w:hAnsi="Arial"/>
          <w:sz w:val="18"/>
          <w:szCs w:val="18"/>
          <w:color w:val="auto"/>
        </w:rPr>
        <w:t>class method, basic net income per share attributable to common stockholders is computed by dividing the net income attributable to common stockholders by the weighted</w:t>
      </w:r>
      <w:r>
        <w:rPr>
          <w:rFonts w:ascii="MS PGothic" w:cs="MS PGothic" w:eastAsia="MS PGothic" w:hAnsi="MS PGothic"/>
          <w:sz w:val="18"/>
          <w:szCs w:val="18"/>
          <w:color w:val="auto"/>
        </w:rPr>
        <w:t>‑</w:t>
      </w:r>
      <w:r>
        <w:rPr>
          <w:rFonts w:ascii="Arial" w:cs="Arial" w:eastAsia="Arial" w:hAnsi="Arial"/>
          <w:sz w:val="18"/>
          <w:szCs w:val="18"/>
          <w:color w:val="auto"/>
        </w:rPr>
        <w:t>average number of shares of common stock outstanding during the period. Diluted net income per share attributable to common stockholders is computed using the more dilutive of (1) the two</w:t>
      </w:r>
      <w:r>
        <w:rPr>
          <w:rFonts w:ascii="MS PGothic" w:cs="MS PGothic" w:eastAsia="MS PGothic" w:hAnsi="MS PGothic"/>
          <w:sz w:val="18"/>
          <w:szCs w:val="18"/>
          <w:color w:val="auto"/>
        </w:rPr>
        <w:t>‑</w:t>
      </w:r>
      <w:r>
        <w:rPr>
          <w:rFonts w:ascii="Arial" w:cs="Arial" w:eastAsia="Arial" w:hAnsi="Arial"/>
          <w:sz w:val="18"/>
          <w:szCs w:val="18"/>
          <w:color w:val="auto"/>
        </w:rPr>
        <w:t>class method or (2) the if</w:t>
      </w:r>
      <w:r>
        <w:rPr>
          <w:rFonts w:ascii="MS PGothic" w:cs="MS PGothic" w:eastAsia="MS PGothic" w:hAnsi="MS PGothic"/>
          <w:sz w:val="18"/>
          <w:szCs w:val="18"/>
          <w:color w:val="auto"/>
        </w:rPr>
        <w:t>‑</w:t>
      </w:r>
      <w:r>
        <w:rPr>
          <w:rFonts w:ascii="Arial" w:cs="Arial" w:eastAsia="Arial" w:hAnsi="Arial"/>
          <w:sz w:val="18"/>
          <w:szCs w:val="18"/>
          <w:color w:val="auto"/>
        </w:rPr>
        <w:t>converted method. The Company allocated net income first to preferred stockholders based on dividend rights under the Company’s certificate of incorporation that was in effect prior to the closing of the IPO and then to preferred and common stockholders based on ownership interests. Net losses are not allocated to preferred stockholders as they do not have an obligation to share in the Company’s net losses.</w:t>
      </w:r>
    </w:p>
    <w:p>
      <w:pPr>
        <w:spacing w:after="0" w:line="203"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 basis when computing net income per share. As a result, basic and diluted net income per share of Class A common stock and per share of Class B common stock are equivalent.</w:t>
      </w:r>
    </w:p>
    <w:p>
      <w:pPr>
        <w:spacing w:after="0" w:line="206"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During the years ended December 31, 2019 and 2018, holders of Class B common stock converted 387,440 shares and 7,534,710 shares, respectively, of Class B common stock to Class A common stock.</w:t>
      </w:r>
    </w:p>
    <w:p>
      <w:pPr>
        <w:spacing w:after="0" w:line="170"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Diluted net income per share gives effect to all potentially dilutive securities. Potential diluted securities for the years ended December 31, 2019, 2018 and 2017 consist of shares of common stock issuable upon the exercise of stock options and shares of common stock issuable upon the vesting of RSUs. Potential dilutive securities for the year ended December 31, 2017 also included shares of common stock issuable upon the conversion of the outstanding Preferred Stock. The dilutive effect of these common stock equivalents is reflected in diluted earnings per share by application of the treasury stock method.</w:t>
      </w:r>
    </w:p>
    <w:p>
      <w:pPr>
        <w:spacing w:after="0" w:line="154"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8"/>
          <w:szCs w:val="18"/>
          <w:color w:val="auto"/>
        </w:rPr>
        <w:t>For the years ended December 31, 2019 and 2018, dilutive net income per share was calculated by dividing net income by the weighted-average number of shares of common stock outstanding during the period plus the dilutive impact of stock options and shares of common stock issuable upon the vesting of RSUs. For the year ended December 31, 2017, the two</w:t>
      </w:r>
      <w:r>
        <w:rPr>
          <w:rFonts w:ascii="MS PGothic" w:cs="MS PGothic" w:eastAsia="MS PGothic" w:hAnsi="MS PGothic"/>
          <w:sz w:val="18"/>
          <w:szCs w:val="18"/>
          <w:color w:val="auto"/>
        </w:rPr>
        <w:t>‑</w:t>
      </w:r>
      <w:r>
        <w:rPr>
          <w:rFonts w:ascii="Arial" w:cs="Arial" w:eastAsia="Arial" w:hAnsi="Arial"/>
          <w:sz w:val="18"/>
          <w:szCs w:val="18"/>
          <w:color w:val="auto"/>
        </w:rPr>
        <w:t>class method was used in the computation of diluted net income per share, which was equally as dilutive as the if-converted method.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7" w:name="page108"/>
    <w:bookmarkEnd w:id="107"/>
    <w:p>
      <w:pPr>
        <w:ind w:left="560"/>
        <w:spacing w:after="0"/>
        <w:rPr>
          <w:sz w:val="20"/>
          <w:szCs w:val="20"/>
          <w:color w:val="auto"/>
        </w:rPr>
      </w:pPr>
      <w:r>
        <w:rPr>
          <w:rFonts w:ascii="Arial" w:cs="Arial" w:eastAsia="Arial" w:hAnsi="Arial"/>
          <w:sz w:val="17"/>
          <w:szCs w:val="17"/>
          <w:color w:val="auto"/>
        </w:rPr>
        <w:t>The following table presents a reconciliation of the numerator and denominator used in the calculation of basic and diluted net income per share:</w:t>
      </w:r>
    </w:p>
    <w:p>
      <w:pPr>
        <w:spacing w:after="0" w:line="32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65,170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participating securities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09"/>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 attributable to common</w:t>
            </w: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stockholders — 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65,170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42,146</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Net income attributable to participating securities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common</w:t>
            </w:r>
          </w:p>
        </w:tc>
        <w:tc>
          <w:tcPr>
            <w:tcW w:w="6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 diluted</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42,146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65,170</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of common stock</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used in computing net income per share attributable to</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stockholders — basic</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111,450,443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108,833,028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55,835,265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Dilutive effect of share equivalents resulting from</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1,155,906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3,009,748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4,290,362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Dilutive effect of share equivalents resulting from</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unvested restricted stock units</w:t>
            </w:r>
          </w:p>
        </w:tc>
        <w:tc>
          <w:tcPr>
            <w:tcW w:w="68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825,501</w:t>
            </w: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1,521,936</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511,957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Weighted–average number of shares of common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stock used in computing net income per share —</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113,431,850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113,364,712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60,637,584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 attributable to common</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555"/>
        <w:spacing w:after="0" w:line="223" w:lineRule="exact"/>
        <w:rPr>
          <w:sz w:val="20"/>
          <w:szCs w:val="20"/>
          <w:color w:val="auto"/>
        </w:rPr>
      </w:pPr>
      <w:r>
        <w:rPr>
          <w:rFonts w:ascii="Arial" w:cs="Arial" w:eastAsia="Arial" w:hAnsi="Arial"/>
          <w:sz w:val="18"/>
          <w:szCs w:val="18"/>
          <w:color w:val="auto"/>
        </w:rPr>
        <w:t>The following potentially dilutive common stock equivalents have been excluded from the calculation of diluted weighted</w:t>
      </w:r>
      <w:r>
        <w:rPr>
          <w:rFonts w:ascii="MS PGothic" w:cs="MS PGothic" w:eastAsia="MS PGothic" w:hAnsi="MS PGothic"/>
          <w:sz w:val="18"/>
          <w:szCs w:val="18"/>
          <w:color w:val="auto"/>
        </w:rPr>
        <w:t>‑</w:t>
      </w:r>
      <w:r>
        <w:rPr>
          <w:rFonts w:ascii="Arial" w:cs="Arial" w:eastAsia="Arial" w:hAnsi="Arial"/>
          <w:sz w:val="18"/>
          <w:szCs w:val="18"/>
          <w:color w:val="auto"/>
        </w:rPr>
        <w:t>average shares outstanding for the years ended December 31, 2019, 2018, and 2017, as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1,144,287</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126,816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12. Income Taxes</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80" w:type="dxa"/>
            <w:vAlign w:val="bottom"/>
            <w:gridSpan w:val="5"/>
          </w:tcPr>
          <w:p>
            <w:pPr>
              <w:ind w:left="560"/>
              <w:spacing w:after="0"/>
              <w:rPr>
                <w:sz w:val="20"/>
                <w:szCs w:val="20"/>
                <w:color w:val="auto"/>
              </w:rPr>
            </w:pPr>
            <w:r>
              <w:rPr>
                <w:rFonts w:ascii="Arial" w:cs="Arial" w:eastAsia="Arial" w:hAnsi="Arial"/>
                <w:sz w:val="18"/>
                <w:szCs w:val="18"/>
                <w:color w:val="auto"/>
                <w:w w:val="91"/>
              </w:rPr>
              <w:t>The domestic and foreign components of income before income taxes are as follows: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42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w:t>
            </w:r>
          </w:p>
        </w:tc>
        <w:tc>
          <w:tcPr>
            <w:tcW w:w="19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37,476</w:t>
            </w:r>
          </w:p>
        </w:tc>
        <w:tc>
          <w:tcPr>
            <w:tcW w:w="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spacing w:after="0"/>
              <w:rPr>
                <w:sz w:val="19"/>
                <w:szCs w:val="19"/>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9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38,705</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15,837</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vMerge w:val="restart"/>
          </w:tcPr>
          <w:p>
            <w:pPr>
              <w:jc w:val="right"/>
              <w:ind w:right="570"/>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8" w:name="page109"/>
    <w:bookmarkEnd w:id="108"/>
    <w:p>
      <w:pPr>
        <w:ind w:left="560"/>
        <w:spacing w:after="0"/>
        <w:rPr>
          <w:sz w:val="20"/>
          <w:szCs w:val="20"/>
          <w:color w:val="auto"/>
        </w:rPr>
      </w:pPr>
      <w:r>
        <w:rPr>
          <w:rFonts w:ascii="Arial" w:cs="Arial" w:eastAsia="Arial" w:hAnsi="Arial"/>
          <w:sz w:val="18"/>
          <w:szCs w:val="18"/>
          <w:color w:val="auto"/>
        </w:rPr>
        <w:t>The (benefit from) provision for income taxes contained the following components: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12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Current (benefit) provision:</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8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(860)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5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80" w:type="dxa"/>
            <w:vAlign w:val="bottom"/>
            <w:shd w:val="clear" w:color="auto" w:fill="CFF0FC"/>
          </w:tcPr>
          <w:p>
            <w:pPr>
              <w:spacing w:after="0"/>
              <w:rPr>
                <w:sz w:val="19"/>
                <w:szCs w:val="19"/>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Deferred (benefit) provision:</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(27,675)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(755)</w:t>
            </w:r>
          </w:p>
        </w:tc>
      </w:tr>
      <w:tr>
        <w:trPr>
          <w:trHeight w:val="230"/>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State</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15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(39,686)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The Company's effective tax rates for the years ending December 31, 2019 and 2018 are less than the U.S. federal statutory rate due to excess tax deductions related to stock-based compensation awards and federal and state research and development credits. The Company’s effective tax rate for the year ending December 31, 2017 is less than the U.S. federal statutory rate primarily due to federal and state research and development credits, excess tax deductions related to stock-based compensation awards, and tax deductions for fees incurred during the IPO process.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federal taxes at statutory rate</w:t>
            </w:r>
          </w:p>
        </w:tc>
        <w:tc>
          <w:tcPr>
            <w:tcW w:w="15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21.0%</w:t>
            </w: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State taxes, net of federal benefit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(25.6)</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Nondeductible expenses</w:t>
            </w:r>
          </w:p>
        </w:tc>
        <w:tc>
          <w:tcPr>
            <w:tcW w:w="2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Tax deductible IPO costs</w:t>
            </w:r>
          </w:p>
        </w:tc>
        <w:tc>
          <w:tcPr>
            <w:tcW w:w="1540" w:type="dxa"/>
            <w:vAlign w:val="bottom"/>
          </w:tcPr>
          <w:p>
            <w:pPr>
              <w:spacing w:after="0"/>
              <w:rPr>
                <w:sz w:val="19"/>
                <w:szCs w:val="19"/>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compensation</w:t>
            </w:r>
          </w:p>
        </w:tc>
        <w:tc>
          <w:tcPr>
            <w:tcW w:w="2960" w:type="dxa"/>
            <w:vAlign w:val="bottom"/>
            <w:gridSpan w:val="3"/>
            <w:shd w:val="clear" w:color="auto" w:fill="CFF0FC"/>
          </w:tcPr>
          <w:p>
            <w:pPr>
              <w:jc w:val="right"/>
              <w:ind w:right="248"/>
              <w:spacing w:after="0"/>
              <w:rPr>
                <w:sz w:val="20"/>
                <w:szCs w:val="20"/>
                <w:color w:val="auto"/>
              </w:rPr>
            </w:pPr>
            <w:r>
              <w:rPr>
                <w:rFonts w:ascii="Arial" w:cs="Arial" w:eastAsia="Arial" w:hAnsi="Arial"/>
                <w:sz w:val="18"/>
                <w:szCs w:val="18"/>
                <w:color w:val="auto"/>
              </w:rPr>
              <w:t>(22.0)</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(127.2)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Foreign rate differential</w:t>
            </w:r>
          </w:p>
        </w:tc>
        <w:tc>
          <w:tcPr>
            <w:tcW w:w="2960" w:type="dxa"/>
            <w:vAlign w:val="bottom"/>
            <w:gridSpan w:val="3"/>
          </w:tcPr>
          <w:p>
            <w:pPr>
              <w:jc w:val="right"/>
              <w:ind w:right="248"/>
              <w:spacing w:after="0"/>
              <w:rPr>
                <w:sz w:val="20"/>
                <w:szCs w:val="20"/>
                <w:color w:val="auto"/>
              </w:rPr>
            </w:pPr>
            <w:r>
              <w:rPr>
                <w:rFonts w:ascii="Arial" w:cs="Arial" w:eastAsia="Arial" w:hAnsi="Arial"/>
                <w:sz w:val="18"/>
                <w:szCs w:val="18"/>
                <w:color w:val="auto"/>
              </w:rPr>
              <w:t>(0.3)</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w:t>
            </w:r>
          </w:p>
        </w:tc>
        <w:tc>
          <w:tcPr>
            <w:tcW w:w="2960" w:type="dxa"/>
            <w:vAlign w:val="bottom"/>
            <w:gridSpan w:val="3"/>
            <w:shd w:val="clear" w:color="auto" w:fill="CFF0FC"/>
          </w:tcPr>
          <w:p>
            <w:pPr>
              <w:jc w:val="right"/>
              <w:ind w:right="248"/>
              <w:spacing w:after="0"/>
              <w:rPr>
                <w:sz w:val="20"/>
                <w:szCs w:val="20"/>
                <w:color w:val="auto"/>
              </w:rPr>
            </w:pPr>
            <w:r>
              <w:rPr>
                <w:rFonts w:ascii="Arial" w:cs="Arial" w:eastAsia="Arial" w:hAnsi="Arial"/>
                <w:sz w:val="18"/>
                <w:szCs w:val="18"/>
                <w:color w:val="auto"/>
              </w:rPr>
              <w:t>(10.3)</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(28.4)</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(0.2)</w:t>
            </w: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3540" w:type="dxa"/>
            <w:vAlign w:val="bottom"/>
            <w:vMerge w:val="continue"/>
            <w:shd w:val="clear" w:color="auto" w:fill="CFF0FC"/>
          </w:tcPr>
          <w:p>
            <w:pPr>
              <w:spacing w:after="0"/>
              <w:rPr>
                <w:sz w:val="19"/>
                <w:szCs w:val="19"/>
                <w:color w:val="auto"/>
              </w:rPr>
            </w:pPr>
          </w:p>
        </w:tc>
        <w:tc>
          <w:tcPr>
            <w:tcW w:w="154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(8.7)%</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(155.8)%</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CFF0FC"/>
            </w:tcBorders>
            <w:vMerge w:val="restart"/>
          </w:tcPr>
          <w:p>
            <w:pPr>
              <w:jc w:val="right"/>
              <w:ind w:right="310"/>
              <w:spacing w:after="0"/>
              <w:rPr>
                <w:sz w:val="20"/>
                <w:szCs w:val="20"/>
                <w:color w:val="auto"/>
              </w:rPr>
            </w:pPr>
            <w:r>
              <w:rPr>
                <w:rFonts w:ascii="Arial" w:cs="Arial" w:eastAsia="Arial" w:hAnsi="Arial"/>
                <w:sz w:val="18"/>
                <w:szCs w:val="18"/>
                <w:color w:val="auto"/>
              </w:rPr>
              <w:t>107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9" w:name="page110"/>
    <w:bookmarkEnd w:id="109"/>
    <w:p>
      <w:pPr>
        <w:ind w:left="560"/>
        <w:spacing w:after="0"/>
        <w:rPr>
          <w:sz w:val="20"/>
          <w:szCs w:val="20"/>
          <w:color w:val="auto"/>
        </w:rPr>
      </w:pPr>
      <w:r>
        <w:rPr>
          <w:rFonts w:ascii="Arial" w:cs="Arial" w:eastAsia="Arial" w:hAnsi="Arial"/>
          <w:sz w:val="17"/>
          <w:szCs w:val="17"/>
          <w:color w:val="auto"/>
        </w:rPr>
        <w:t>The approximate income tax effect of each type of temporary difference and carryforward as of December 31, 2019 and 2018 is as follows:</w:t>
      </w:r>
    </w:p>
    <w:p>
      <w:pPr>
        <w:spacing w:after="0" w:line="32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456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1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35,977</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34,450</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carryforwards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6,562</w:t>
            </w: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1,945</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Landlord allowance on leasehold improvements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17,965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Accruals and reserves</w:t>
            </w: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FF0FC"/>
          </w:tcPr>
          <w:p>
            <w:pPr>
              <w:spacing w:after="0"/>
              <w:rPr>
                <w:sz w:val="19"/>
                <w:szCs w:val="19"/>
                <w:color w:val="auto"/>
              </w:rPr>
            </w:pPr>
          </w:p>
        </w:tc>
      </w:tr>
      <w:tr>
        <w:trPr>
          <w:trHeight w:val="223"/>
        </w:trPr>
        <w:tc>
          <w:tcPr>
            <w:tcW w:w="4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46,812</w:t>
            </w:r>
          </w:p>
        </w:tc>
        <w:tc>
          <w:tcPr>
            <w:tcW w:w="8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68,552</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46,812</w:t>
            </w:r>
          </w:p>
        </w:tc>
        <w:tc>
          <w:tcPr>
            <w:tcW w:w="8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(1,523)</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(931)</w:t>
            </w: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commissions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(5,100)</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(3,187)</w:t>
            </w: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(15,270)</w:t>
            </w: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Unbilled revenue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(227)</w:t>
            </w: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(4,230)</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(3,581)</w:t>
            </w:r>
          </w:p>
        </w:tc>
      </w:tr>
      <w:tr>
        <w:trPr>
          <w:trHeight w:val="223"/>
        </w:trPr>
        <w:tc>
          <w:tcPr>
            <w:tcW w:w="45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8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42,429</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38,886</w:t>
            </w: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The Company uses the asset and liability method to account for income taxes in accordance with ASC 740, Income Taxes. Under this method, deferred income taxes are recognized for the future tax consequences of differences between the tax and financial accounting bases of assets and liabilities at each reporting period. Deferred income taxes are based on enacted tax laws and statutory tax rates applicable to the period in which these differences are expected to affect taxable income. A valuation allowance is established when necessary to reduce deferred tax assets to the amounts expected to be realized.</w:t>
      </w:r>
    </w:p>
    <w:p>
      <w:pPr>
        <w:spacing w:after="0" w:line="154"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Company has provided an immaterial valuation allowance against its net deferred tax assets at December 31, 2019, but did not provided a valuation allowance against its net deferred tax assets at December 31, 2018. Based upon the level of historical U.S. earnings and future projections over the period in which the net deferred tax assets are deductible, at this time, management believes it is more likely than not that the Company will realize the benefits of these deductible differences, with the exception of the deferred tax asset related to intangible assets in Ireland. The change in the valuation allowance for the year ended December 31, 2019 was $62.</w:t>
      </w:r>
    </w:p>
    <w:p>
      <w:pPr>
        <w:spacing w:after="0" w:line="188"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As of December 31, 2019, the Company has federal and state net operating loss carryforwards of $136,771 and $114,459, respectively. The federal net operating losses carryforward indefinitely, subject to an annual limitation of 80% of taxable income. The state net operating losses, excluding Florida and Georgia which carryforward indefinitely, expire at various dates beginning in 2028. As of December 31, 2019, the Company has federal and state tax credit carryforwards of $6,507 and $5,018, respectively, available to reduce future tax liabilities that expire at various dates through 2039.</w:t>
      </w:r>
    </w:p>
    <w:p>
      <w:pPr>
        <w:spacing w:after="0" w:line="17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Utilization of the net operating losses and tax credit carryforwards, respectively, may be subject to an annual limitation due to ownership change limitations that have occurred previously or that could occur in the future, as provided by Section 382 of the Code, or Section 382, as well as similar state provisions. Ownership changes may limit the amount of net operating losses or tax credit carryforwards that can be utilized annually to offset future taxable income and tax, respectively. In general, an ownership change, as defined by Section 382, results from transactions that increase the ownership of five percent stockholders in the stock of a corporation by more than 50% in the aggregate over a three-year period.</w:t>
      </w:r>
    </w:p>
    <w:p>
      <w:pPr>
        <w:spacing w:after="0" w:line="17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At December 31, 2019 and 2018, the Company had no recorded liabilities for uncertain tax positions and had no accrued interest or penalties related to uncertain tax positions.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0" w:name="page111"/>
    <w:bookmarkEnd w:id="110"/>
    <w:p>
      <w:pPr>
        <w:jc w:val="both"/>
        <w:ind w:firstLine="555"/>
        <w:spacing w:after="0" w:line="264" w:lineRule="auto"/>
        <w:rPr>
          <w:sz w:val="20"/>
          <w:szCs w:val="20"/>
          <w:color w:val="auto"/>
        </w:rPr>
      </w:pPr>
      <w:r>
        <w:rPr>
          <w:rFonts w:ascii="Arial" w:cs="Arial" w:eastAsia="Arial" w:hAnsi="Arial"/>
          <w:sz w:val="18"/>
          <w:szCs w:val="18"/>
          <w:color w:val="auto"/>
        </w:rPr>
        <w:t>The Company permanently reinvests the earnings, if any, of its foreign subsidiaries and, therefore, does not provide for U.S. income taxes that could result from the distribution of those earnings to the U.S. parent. As of December 31, 2019, the amount of unrecognized deferred U.S. taxes on these earnings would be immaterial.</w:t>
      </w:r>
    </w:p>
    <w:p>
      <w:pPr>
        <w:spacing w:after="0" w:line="18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The Company and its subsidiaries are subject to various U.S. federal, state, and foreign income taxes. The Company is currently not subject to examination under the statute of limitations by the Internal Revenue Service and state jurisdictions for the tax years of 2015 and prior. The Company is currently open to examination in its foreign jurisdictions for tax years 2017 and after. In 2018, the Internal Revenue Service commenced a federal income tax audit with respect to the Company’s 2016 tax year, which was concluded in October 2019 for an immaterial amount. In 2019, the Internal Revenue Service commenced a federal employment tax audit with respect to the 2018, 2017 and 2016 calendar years, which is still open.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12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or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555,007</w:t>
            </w:r>
          </w:p>
        </w:tc>
        <w:tc>
          <w:tcPr>
            <w:tcW w:w="1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437,166</w:t>
            </w:r>
          </w:p>
        </w:tc>
        <w:tc>
          <w:tcPr>
            <w:tcW w:w="22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307,472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2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316,861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73,872</w:t>
            </w:r>
          </w:p>
        </w:tc>
        <w:tc>
          <w:tcPr>
            <w:tcW w:w="1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58,387</w:t>
            </w:r>
          </w:p>
        </w:tc>
        <w:tc>
          <w:tcPr>
            <w:tcW w:w="22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41,586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(39,550)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(35,196)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(26,312)</w:t>
            </w:r>
          </w:p>
        </w:tc>
      </w:tr>
      <w:tr>
        <w:trPr>
          <w:trHeight w:val="223"/>
        </w:trPr>
        <w:tc>
          <w:tcPr>
            <w:tcW w:w="20" w:type="dxa"/>
            <w:vAlign w:val="bottom"/>
          </w:tcPr>
          <w:p>
            <w:pPr>
              <w:spacing w:after="0"/>
              <w:rPr>
                <w:sz w:val="19"/>
                <w:szCs w:val="19"/>
                <w:color w:val="auto"/>
              </w:rPr>
            </w:pPr>
          </w:p>
        </w:tc>
        <w:tc>
          <w:tcPr>
            <w:tcW w:w="4120" w:type="dxa"/>
            <w:vAlign w:val="bottom"/>
          </w:tcPr>
          <w:p>
            <w:pPr>
              <w:ind w:left="480"/>
              <w:spacing w:after="0"/>
              <w:rPr>
                <w:sz w:val="20"/>
                <w:szCs w:val="20"/>
                <w:color w:val="auto"/>
              </w:rPr>
            </w:pPr>
            <w:r>
              <w:rPr>
                <w:rFonts w:ascii="Arial" w:cs="Arial" w:eastAsia="Arial" w:hAnsi="Arial"/>
                <w:sz w:val="18"/>
                <w:szCs w:val="18"/>
                <w:color w:val="auto"/>
              </w:rPr>
              <w:t>Total income from operations</w:t>
            </w: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December 31, 2019</w:t>
      </w:r>
      <w:r>
        <w:rPr>
          <w:rFonts w:ascii="Arial" w:cs="Arial" w:eastAsia="Arial" w:hAnsi="Arial"/>
          <w:sz w:val="18"/>
          <w:szCs w:val="18"/>
          <w:color w:val="212529"/>
        </w:rPr>
        <w:t>, total assets held outside of the United States were $32,528, primarily attributable to $15,207 of goodwill and $3,920 of intangible assets. As of December 31, 2018, total assets held outside the United States were not material.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2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The Company maintains a defined contribution savings plan for all eligible U.S. employees under Section 401(k) of the Code. Effective July 1, 2017, the Company implemented a matching policy, under which the Company matches 50% of an employee’s annual contributions to the 401(k) plan, up to a maximum of the lesser of (i) 6% of the employee’s base salary, bonus and commissions paid during the year or (ii) $5,000. Matching contributions are subject to vesting based on the employee’s start date and length of service. Employees can designate the investment of their 401(k) accounts into several mutual funds. The Company does not allow investment in its common stock through the 401(k)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1" w:name="page112"/>
    <w:bookmarkEnd w:id="111"/>
    <w:p>
      <w:pPr>
        <w:jc w:val="both"/>
        <w:ind w:firstLine="555"/>
        <w:spacing w:after="0" w:line="277" w:lineRule="auto"/>
        <w:rPr>
          <w:sz w:val="20"/>
          <w:szCs w:val="20"/>
          <w:color w:val="auto"/>
        </w:rPr>
      </w:pPr>
      <w:r>
        <w:rPr>
          <w:rFonts w:ascii="Arial" w:cs="Arial" w:eastAsia="Arial" w:hAnsi="Arial"/>
          <w:sz w:val="18"/>
          <w:szCs w:val="18"/>
          <w:color w:val="auto"/>
        </w:rPr>
        <w:t>During the year ended December 31, 2017, the Company began matching employee 401(k) contributions up to a set limit. Total employer contributions were $2,708, $1,953, and $724 during the years ended December 31, 2019,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Results (unaudited)</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following table presents certain unaudited quarterly financial information for the eight quarters in the period ended December 31, 2019. This information has been prepared on the same basis as the audited financial statements and includes all adjustments (consisting only of normal recurring adjustments) necessary to present fairly the unaudited quarterly results of operations set forth herein.</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First</w:t>
            </w:r>
          </w:p>
        </w:tc>
      </w:tr>
      <w:tr>
        <w:trPr>
          <w:trHeight w:val="171"/>
        </w:trPr>
        <w:tc>
          <w:tcPr>
            <w:tcW w:w="3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158,153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150,462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145,031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135,270</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7,720</w:t>
            </w: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147,593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141,070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127,550</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w:t>
            </w: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12,584</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Basic net income per share </w:t>
            </w:r>
            <w:r>
              <w:rPr>
                <w:rFonts w:ascii="Arial" w:cs="Arial" w:eastAsia="Arial" w:hAnsi="Arial"/>
                <w:sz w:val="15"/>
                <w:szCs w:val="15"/>
                <w:color w:val="auto"/>
              </w:rPr>
              <w:t>(1)</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 xml:space="preserve">Diluted net income per share </w:t>
            </w:r>
            <w:r>
              <w:rPr>
                <w:rFonts w:ascii="Arial" w:cs="Arial" w:eastAsia="Arial" w:hAnsi="Arial"/>
                <w:sz w:val="15"/>
                <w:szCs w:val="15"/>
                <w:color w:val="auto"/>
              </w:rPr>
              <w:t>(1)</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126,090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119,125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110,296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98,575</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5,569</w:t>
            </w: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119,219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112,713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104,337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93,006</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6,459</w:t>
            </w: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Basic net income per share </w:t>
            </w:r>
            <w:r>
              <w:rPr>
                <w:rFonts w:ascii="Arial" w:cs="Arial" w:eastAsia="Arial" w:hAnsi="Arial"/>
                <w:sz w:val="15"/>
                <w:szCs w:val="15"/>
                <w:color w:val="auto"/>
              </w:rPr>
              <w:t>(1)</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 xml:space="preserve">Diluted net income per share </w:t>
            </w:r>
            <w:r>
              <w:rPr>
                <w:rFonts w:ascii="Arial" w:cs="Arial" w:eastAsia="Arial" w:hAnsi="Arial"/>
                <w:sz w:val="15"/>
                <w:szCs w:val="15"/>
                <w:color w:val="auto"/>
              </w:rPr>
              <w:t>(1)</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r>
    </w:tbl>
    <w:p>
      <w:pPr>
        <w:spacing w:after="0" w:line="255" w:lineRule="exact"/>
        <w:rPr>
          <w:sz w:val="20"/>
          <w:szCs w:val="20"/>
          <w:color w:val="auto"/>
        </w:rPr>
      </w:pPr>
    </w:p>
    <w:p>
      <w:pPr>
        <w:ind w:left="560" w:hanging="552"/>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were computed independently for each quarter, and the sum of the quarters may not total the annual amounts.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On January 16, 2020, the Company acquired Autolist, an automotive shopping platform based in San Francisco, California, pursuant to an Agreement and Plan of Merger by and among the Company, Alpine Merger Sub, Inc., a Delaware corporation and wholly-owned subsidiary of the Company (“Merger Sub”), Auto List, Inc., a Delaware corporation (“Target”), and the stockholder representative(s) named therein, pursuant to which, among other things, the Company acquired Target through the merger of Merger Sub with and into Target (the “Merger”), with Target surviving as a wholly owned subsidiary of the Company. The Company paid an aggregate of approximately $22.0 million to consummate the Merger, inclusive of $2.2 million that is held in escrow to secure post-closing claims. The Merger is intended to both expand the Company’s consumer audience in the United States and enhance its value proposition for subscribing dealers. During the year ended December 31, 2019, the Company incurred total acquisition-related costs of $0.4 million related to the transaction. As the transaction occurred subsequent to period-end, the Company is still evaluating the purchase price allocation of the transaction but expects the primary assets acquired to be intangible assets and goodwill. Acquired tangible assets and assumed liabilities are expected to be immaterial. The allocation is expected to be finalized during the first half of 2020.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the end of the period covered by this Annual Report on Form 10-K. Based on such evaluation, our principal executive officer and principal financial officer have concluded that as of December 31, 2019, our disclosure controls and procedures were effective.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960" w:hanging="398"/>
        <w:spacing w:after="0"/>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jc w:val="both"/>
        <w:ind w:left="960" w:hanging="398"/>
        <w:spacing w:after="0" w:line="264"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960" w:hanging="398"/>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2019, using the criteria set forth by the Committee of Sponsoring Organizations of the Treadway Commission (COSO) in its Internal Control-Integrated Framework (2013). Based on this assessment and those criteria, management concluded that our internal control over financial reporting was effective as of December 31, 2019.</w:t>
      </w:r>
    </w:p>
    <w:p>
      <w:pPr>
        <w:spacing w:after="0" w:line="166"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Ernst &amp; Young LLP, an independent registered public accounting firm, as stated in their report which is included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fourth quarter ended December 31, 2019 that has materially affected, or is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CarGurus,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117" w:lineRule="exact"/>
        <w:rPr>
          <w:sz w:val="20"/>
          <w:szCs w:val="20"/>
          <w:color w:val="auto"/>
        </w:rPr>
      </w:pPr>
    </w:p>
    <w:p>
      <w:pPr>
        <w:ind w:firstLine="815"/>
        <w:spacing w:after="0" w:line="259" w:lineRule="auto"/>
        <w:rPr>
          <w:sz w:val="20"/>
          <w:szCs w:val="20"/>
          <w:color w:val="auto"/>
        </w:rPr>
      </w:pPr>
      <w:r>
        <w:rPr>
          <w:rFonts w:ascii="Arial" w:cs="Arial" w:eastAsia="Arial" w:hAnsi="Arial"/>
          <w:sz w:val="18"/>
          <w:szCs w:val="18"/>
          <w:color w:val="auto"/>
        </w:rPr>
        <w:t>We have audited CarGurus, Inc.’s internal control over financial reporting as of December 31, 2019, based on criteria established in Internal Control—Integrated Framework issued by the Committee of Sponsoring Organizations of the Treadway Commission (2013 framework) (the COSO criteria). In our opinion, CarGurus, Inc. (the Company) maintained, in all material respects, effective internal control over financial reporting as of December 31, 2019, based on the COSO criteria.</w:t>
      </w:r>
    </w:p>
    <w:p>
      <w:pPr>
        <w:spacing w:after="0" w:line="187" w:lineRule="exact"/>
        <w:rPr>
          <w:sz w:val="20"/>
          <w:szCs w:val="20"/>
          <w:color w:val="auto"/>
        </w:rPr>
      </w:pPr>
    </w:p>
    <w:p>
      <w:pPr>
        <w:ind w:right="140" w:firstLine="815"/>
        <w:spacing w:after="0" w:line="30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2019 consolidated financial statements of the Company and our report dated February 14, 2020 expressed an unqualified opinion thereon.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240" w:firstLine="815"/>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340" w:firstLine="815"/>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right="460" w:firstLine="815"/>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20" w:firstLine="81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40" w:firstLine="81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351"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the information in our Proxy Statement for our 2020 Annual Meeting of Stockholders, which we will file with the SEC within 120 days of the end of the fiscal year to which this Annual Report on Form 10-K relates.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the information in our Proxy Statement for our 2020 Annual Meeting of Stockholders, which we will file with the SEC within 120 days of the end of the fiscal year to which this Annual Report on Form 10-K relates.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the information in our Proxy Statement for our 2020 Annual Meeting of Stockholders, which we will file with the SEC within 120 days of the end of the fiscal year to which this Annual Report on Form 10-K relates.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the information in our Proxy Statement for our 2020 Annual Meeting of Stockholders, which we will file with the SEC within 120 days of the end of the fiscal year to which this Annual Report on Form 10-K relates.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the information in our Proxy Statement for our 2020 Annual Meeting of Stockholders, which we will file with the SEC within 120 days of the end of the fiscal year to which this Annual Report on Form 10-K relates.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a part of this Report:</w:t>
      </w:r>
    </w:p>
    <w:p>
      <w:pPr>
        <w:spacing w:after="0" w:line="117" w:lineRule="exact"/>
        <w:rPr>
          <w:rFonts w:ascii="Arial" w:cs="Arial" w:eastAsia="Arial" w:hAnsi="Arial"/>
          <w:sz w:val="18"/>
          <w:szCs w:val="18"/>
          <w:b w:val="1"/>
          <w:bCs w:val="1"/>
          <w:color w:val="auto"/>
        </w:rPr>
      </w:pPr>
    </w:p>
    <w:p>
      <w:pPr>
        <w:ind w:left="820" w:hanging="257"/>
        <w:spacing w:after="0"/>
        <w:tabs>
          <w:tab w:leader="none" w:pos="82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statements of CarGurus, Inc. are included in Item 8 of this Annual Report on Form 10-K.</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All financial statements schedules are omitted as they are either not required or the information is otherwise included in the consolidated financial statements and related notes.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 Index to Exhibits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documents listed in the Exhibit Index immediately preceding the signature page of this Annual Report on Form 10-K are incorporated by reference or are filed or furnished with this Annual Report on Form 10-K, in each case as indicated therein (numbered in accordance with Item 601 of Regulation S-K).</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5"/>
        </w:trPr>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40" w:type="dxa"/>
            <w:vAlign w:val="bottom"/>
            <w:gridSpan w:val="35"/>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42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7"/>
              </w:rPr>
              <w:t>File</w:t>
            </w: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Filing Date</w:t>
            </w:r>
          </w:p>
        </w:tc>
        <w:tc>
          <w:tcPr>
            <w:tcW w:w="10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40" w:type="dxa"/>
            <w:vAlign w:val="bottom"/>
            <w:gridSpan w:val="35"/>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1540" w:type="dxa"/>
            <w:vAlign w:val="bottom"/>
            <w:gridSpan w:val="2"/>
            <w:vMerge w:val="continue"/>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Borders>
              <w:top w:val="single" w:sz="8" w:color="auto"/>
            </w:tcBorders>
          </w:tcPr>
          <w:p>
            <w:pPr>
              <w:jc w:val="right"/>
              <w:ind w:right="470"/>
              <w:spacing w:after="0" w:line="170"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auto"/>
            </w:tcBorders>
            <w:gridSpan w:val="36"/>
          </w:tcPr>
          <w:p>
            <w:pPr>
              <w:spacing w:after="0" w:line="170"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Amended and Restated Certificate of Incorporation of the</w:t>
              </w:r>
            </w:hyperlink>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4"/>
                <w:szCs w:val="14"/>
                <w:color w:val="auto"/>
              </w:rPr>
            </w:pPr>
          </w:p>
        </w:tc>
        <w:tc>
          <w:tcPr>
            <w:tcW w:w="13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October 16, 2017</w:t>
            </w: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Registrant.</w:t>
              </w:r>
            </w:hyperlink>
          </w:p>
        </w:tc>
        <w:tc>
          <w:tcPr>
            <w:tcW w:w="3360" w:type="dxa"/>
            <w:vAlign w:val="bottom"/>
            <w:tcBorders>
              <w:top w:val="single" w:sz="8" w:color="0000EE"/>
            </w:tcBorders>
            <w:gridSpan w:val="30"/>
          </w:tcPr>
          <w:p>
            <w:pPr>
              <w:spacing w:after="0"/>
              <w:rPr>
                <w:sz w:val="17"/>
                <w:szCs w:val="17"/>
                <w:color w:val="auto"/>
              </w:rPr>
            </w:pPr>
          </w:p>
        </w:tc>
        <w:tc>
          <w:tcPr>
            <w:tcW w:w="26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jc w:val="right"/>
              <w:ind w:right="470"/>
              <w:spacing w:after="0" w:line="19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35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Amended and Restated Bylaws of the Registrant.</w:t>
              </w:r>
            </w:hyperlink>
          </w:p>
        </w:tc>
        <w:tc>
          <w:tcPr>
            <w:tcW w:w="860" w:type="dxa"/>
            <w:vAlign w:val="bottom"/>
            <w:gridSpan w:val="23"/>
          </w:tcPr>
          <w:p>
            <w:pPr>
              <w:spacing w:after="0"/>
              <w:rPr>
                <w:sz w:val="17"/>
                <w:szCs w:val="17"/>
                <w:color w:val="auto"/>
              </w:rPr>
            </w:pPr>
          </w:p>
        </w:tc>
        <w:tc>
          <w:tcPr>
            <w:tcW w:w="10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0"/>
              </w:rPr>
              <w:t>October 16, 2017</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0" w:type="dxa"/>
            <w:vAlign w:val="bottom"/>
            <w:gridSpan w:val="2"/>
          </w:tcPr>
          <w:p>
            <w:pPr>
              <w:jc w:val="right"/>
              <w:ind w:right="4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3660" w:type="dxa"/>
            <w:vAlign w:val="bottom"/>
            <w:tcBorders>
              <w:bottom w:val="single" w:sz="8" w:color="0000EE"/>
            </w:tcBorders>
            <w:gridSpan w:val="17"/>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Specimen Class A common stock certificate of the</w:t>
              </w:r>
            </w:hyperlink>
          </w:p>
        </w:tc>
        <w:tc>
          <w:tcPr>
            <w:tcW w:w="760" w:type="dxa"/>
            <w:vAlign w:val="bottom"/>
            <w:gridSpan w:val="21"/>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September 29,</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Registrant.</w:t>
              </w:r>
            </w:hyperlink>
          </w:p>
        </w:tc>
        <w:tc>
          <w:tcPr>
            <w:tcW w:w="3620" w:type="dxa"/>
            <w:vAlign w:val="bottom"/>
            <w:gridSpan w:val="36"/>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jc w:val="right"/>
              <w:ind w:right="470"/>
              <w:spacing w:after="0" w:line="19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430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Amended and Restated Investors’ Rights Agreement, dated</w:t>
              </w:r>
            </w:hyperlink>
          </w:p>
        </w:tc>
        <w:tc>
          <w:tcPr>
            <w:tcW w:w="120" w:type="dxa"/>
            <w:vAlign w:val="bottom"/>
            <w:gridSpan w:val="2"/>
          </w:tcPr>
          <w:p>
            <w:pPr>
              <w:spacing w:after="0"/>
              <w:rPr>
                <w:sz w:val="17"/>
                <w:szCs w:val="17"/>
                <w:color w:val="auto"/>
              </w:rPr>
            </w:pPr>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15,</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August 23, 2016, by and among the Registrant and certain</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of its stockholders.</w:t>
              </w:r>
            </w:hyperlink>
          </w:p>
        </w:tc>
        <w:tc>
          <w:tcPr>
            <w:tcW w:w="2820" w:type="dxa"/>
            <w:vAlign w:val="bottom"/>
            <w:tcBorders>
              <w:top w:val="single" w:sz="8" w:color="0000EE"/>
            </w:tcBorders>
            <w:gridSpan w:val="31"/>
          </w:tcPr>
          <w:p>
            <w:pPr>
              <w:spacing w:after="0"/>
              <w:rPr>
                <w:sz w:val="17"/>
                <w:szCs w:val="17"/>
                <w:color w:val="auto"/>
              </w:rPr>
            </w:pPr>
          </w:p>
        </w:tc>
        <w:tc>
          <w:tcPr>
            <w:tcW w:w="2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jc w:val="right"/>
              <w:ind w:right="470"/>
              <w:spacing w:after="0" w:line="196"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428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Description of the Registrant’s Securities Registered Under</w:t>
              </w:r>
            </w:hyperlink>
          </w:p>
        </w:tc>
        <w:tc>
          <w:tcPr>
            <w:tcW w:w="1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Section 12 of the Securities Exchange Act of 1934.</w:t>
              </w:r>
            </w:hyperlink>
          </w:p>
        </w:tc>
        <w:tc>
          <w:tcPr>
            <w:tcW w:w="72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Form of Indemnification Agreement between the</w:t>
              </w:r>
            </w:hyperlink>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15,</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w w:val="95"/>
              </w:rPr>
            </w:pPr>
            <w:hyperlink r:id="rId146">
              <w:r>
                <w:rPr>
                  <w:rFonts w:ascii="Arial" w:cs="Arial" w:eastAsia="Arial" w:hAnsi="Arial"/>
                  <w:sz w:val="18"/>
                  <w:szCs w:val="18"/>
                  <w:color w:val="0000EE"/>
                  <w:w w:val="95"/>
                </w:rPr>
                <w:t>Registrant and each of its directors and executive officers.</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418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Amended and Restated 2006 Equity Incentive Plan.</w:t>
              </w:r>
            </w:hyperlink>
          </w:p>
        </w:tc>
        <w:tc>
          <w:tcPr>
            <w:tcW w:w="240" w:type="dxa"/>
            <w:vAlign w:val="bottom"/>
            <w:gridSpan w:val="5"/>
          </w:tcPr>
          <w:p>
            <w:pPr>
              <w:spacing w:after="0"/>
              <w:rPr>
                <w:sz w:val="17"/>
                <w:szCs w:val="17"/>
                <w:color w:val="auto"/>
              </w:rPr>
            </w:pPr>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15,</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gridSpan w:val="2"/>
          </w:tcPr>
          <w:p>
            <w:pPr>
              <w:ind w:left="100"/>
              <w:spacing w:after="0" w:line="190"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6"/>
                <w:szCs w:val="16"/>
                <w:color w:val="auto"/>
              </w:rPr>
            </w:pPr>
          </w:p>
        </w:tc>
        <w:tc>
          <w:tcPr>
            <w:tcW w:w="4020" w:type="dxa"/>
            <w:vAlign w:val="bottom"/>
            <w:tcBorders>
              <w:bottom w:val="single" w:sz="8" w:color="0000EE"/>
            </w:tcBorders>
            <w:gridSpan w:val="27"/>
          </w:tcPr>
          <w:p>
            <w:pPr>
              <w:spacing w:after="0" w:line="190"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Amended and Restated 2015 Equity Incentive Plan and</w:t>
              </w:r>
            </w:hyperlink>
          </w:p>
        </w:tc>
        <w:tc>
          <w:tcPr>
            <w:tcW w:w="400" w:type="dxa"/>
            <w:vAlign w:val="bottom"/>
            <w:gridSpan w:val="11"/>
          </w:tcPr>
          <w:p>
            <w:pPr>
              <w:spacing w:after="0"/>
              <w:rPr>
                <w:sz w:val="16"/>
                <w:szCs w:val="16"/>
                <w:color w:val="auto"/>
              </w:rPr>
            </w:pPr>
          </w:p>
        </w:tc>
        <w:tc>
          <w:tcPr>
            <w:tcW w:w="100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line="190"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6"/>
                <w:szCs w:val="16"/>
                <w:color w:val="auto"/>
              </w:rPr>
            </w:pPr>
          </w:p>
        </w:tc>
        <w:tc>
          <w:tcPr>
            <w:tcW w:w="1540" w:type="dxa"/>
            <w:vAlign w:val="bottom"/>
            <w:gridSpan w:val="2"/>
          </w:tcPr>
          <w:p>
            <w:pPr>
              <w:jc w:val="center"/>
              <w:ind w:right="180"/>
              <w:spacing w:after="0" w:line="190" w:lineRule="exact"/>
              <w:rPr>
                <w:sz w:val="20"/>
                <w:szCs w:val="20"/>
                <w:color w:val="auto"/>
              </w:rPr>
            </w:pPr>
            <w:r>
              <w:rPr>
                <w:rFonts w:ascii="Arial" w:cs="Arial" w:eastAsia="Arial" w:hAnsi="Arial"/>
                <w:sz w:val="18"/>
                <w:szCs w:val="18"/>
                <w:color w:val="auto"/>
                <w:w w:val="88"/>
              </w:rPr>
              <w:t>September 29,</w:t>
            </w:r>
          </w:p>
        </w:tc>
        <w:tc>
          <w:tcPr>
            <w:tcW w:w="1020" w:type="dxa"/>
            <w:vAlign w:val="bottom"/>
          </w:tcPr>
          <w:p>
            <w:pPr>
              <w:jc w:val="center"/>
              <w:spacing w:after="0" w:line="190" w:lineRule="exact"/>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forms of agreements thereunder.</w:t>
              </w:r>
            </w:hyperlink>
          </w:p>
        </w:tc>
        <w:tc>
          <w:tcPr>
            <w:tcW w:w="2080" w:type="dxa"/>
            <w:vAlign w:val="bottom"/>
            <w:gridSpan w:val="28"/>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38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Omnibus Incentive Compensation Plan and forms of</w:t>
              </w:r>
            </w:hyperlink>
          </w:p>
        </w:tc>
        <w:tc>
          <w:tcPr>
            <w:tcW w:w="600" w:type="dxa"/>
            <w:vAlign w:val="bottom"/>
            <w:gridSpan w:val="16"/>
          </w:tcPr>
          <w:p>
            <w:pPr>
              <w:spacing w:after="0"/>
              <w:rPr>
                <w:sz w:val="17"/>
                <w:szCs w:val="17"/>
                <w:color w:val="auto"/>
              </w:rPr>
            </w:pPr>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29,</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149">
              <w:r>
                <w:rPr>
                  <w:rFonts w:ascii="Arial" w:cs="Arial" w:eastAsia="Arial" w:hAnsi="Arial"/>
                  <w:sz w:val="18"/>
                  <w:szCs w:val="18"/>
                  <w:color w:val="0000EE"/>
                  <w:w w:val="86"/>
                </w:rPr>
                <w:t>agreements thereunder.</w:t>
              </w:r>
            </w:hyperlink>
          </w:p>
        </w:tc>
        <w:tc>
          <w:tcPr>
            <w:tcW w:w="2740" w:type="dxa"/>
            <w:vAlign w:val="bottom"/>
            <w:gridSpan w:val="3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40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Offer Letter, dated March 17, 2006, by and between the</w:t>
              </w:r>
            </w:hyperlink>
          </w:p>
        </w:tc>
        <w:tc>
          <w:tcPr>
            <w:tcW w:w="400" w:type="dxa"/>
            <w:vAlign w:val="bottom"/>
            <w:gridSpan w:val="11"/>
          </w:tcPr>
          <w:p>
            <w:pPr>
              <w:spacing w:after="0"/>
              <w:rPr>
                <w:sz w:val="17"/>
                <w:szCs w:val="17"/>
                <w:color w:val="auto"/>
              </w:rPr>
            </w:pPr>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15,</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Registrant and Langley Steinert.</w:t>
              </w:r>
            </w:hyperlink>
          </w:p>
        </w:tc>
        <w:tc>
          <w:tcPr>
            <w:tcW w:w="2080" w:type="dxa"/>
            <w:vAlign w:val="bottom"/>
            <w:gridSpan w:val="28"/>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w w:val="97"/>
              </w:rPr>
            </w:pPr>
            <w:hyperlink r:id="rId151">
              <w:r>
                <w:rPr>
                  <w:rFonts w:ascii="Arial" w:cs="Arial" w:eastAsia="Arial" w:hAnsi="Arial"/>
                  <w:sz w:val="18"/>
                  <w:szCs w:val="18"/>
                  <w:color w:val="0000EE"/>
                  <w:w w:val="97"/>
                </w:rPr>
                <w:t>Offer Letter, dated August 10, 2015, by and between the</w:t>
              </w:r>
            </w:hyperlink>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15,</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10.6</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Registrant and Jason Trevisan.</w:t>
              </w:r>
            </w:hyperlink>
          </w:p>
        </w:tc>
        <w:tc>
          <w:tcPr>
            <w:tcW w:w="1840" w:type="dxa"/>
            <w:vAlign w:val="bottom"/>
            <w:tcBorders>
              <w:top w:val="single" w:sz="8" w:color="0000EE"/>
            </w:tcBorders>
            <w:gridSpan w:val="22"/>
          </w:tcPr>
          <w:p>
            <w:pPr>
              <w:spacing w:after="0"/>
              <w:rPr>
                <w:sz w:val="17"/>
                <w:szCs w:val="17"/>
                <w:color w:val="auto"/>
              </w:rPr>
            </w:pPr>
          </w:p>
        </w:tc>
        <w:tc>
          <w:tcPr>
            <w:tcW w:w="3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w w:val="96"/>
              </w:rPr>
            </w:pPr>
            <w:hyperlink r:id="rId152">
              <w:r>
                <w:rPr>
                  <w:rFonts w:ascii="Arial" w:cs="Arial" w:eastAsia="Arial" w:hAnsi="Arial"/>
                  <w:sz w:val="18"/>
                  <w:szCs w:val="18"/>
                  <w:color w:val="0000EE"/>
                  <w:w w:val="96"/>
                </w:rPr>
                <w:t>Offer Letter, dated October 24, 2014, by and between the</w:t>
              </w:r>
            </w:hyperlink>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15,</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152">
              <w:r>
                <w:rPr>
                  <w:rFonts w:ascii="Arial" w:cs="Arial" w:eastAsia="Arial" w:hAnsi="Arial"/>
                  <w:sz w:val="18"/>
                  <w:szCs w:val="18"/>
                  <w:color w:val="0000EE"/>
                  <w:w w:val="88"/>
                </w:rPr>
                <w:t>Registrant and Samuel Zales.</w:t>
              </w:r>
            </w:hyperlink>
          </w:p>
        </w:tc>
        <w:tc>
          <w:tcPr>
            <w:tcW w:w="2000" w:type="dxa"/>
            <w:vAlign w:val="bottom"/>
            <w:tcBorders>
              <w:top w:val="single" w:sz="8" w:color="0000EE"/>
            </w:tcBorders>
            <w:gridSpan w:val="26"/>
          </w:tcPr>
          <w:p>
            <w:pPr>
              <w:spacing w:after="0"/>
              <w:rPr>
                <w:sz w:val="17"/>
                <w:szCs w:val="17"/>
                <w:color w:val="auto"/>
              </w:rPr>
            </w:pPr>
          </w:p>
        </w:tc>
        <w:tc>
          <w:tcPr>
            <w:tcW w:w="30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Offer Letter, dated November 18, 2016, by and between the</w:t>
              </w:r>
            </w:hyperlink>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1"/>
              </w:rPr>
              <w:t>February 28, 2019</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10.8</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Registrant and Thomas Caputo.</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39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Offer Letter, dated August 2, 2017, by and between the</w:t>
              </w:r>
            </w:hyperlink>
          </w:p>
        </w:tc>
        <w:tc>
          <w:tcPr>
            <w:tcW w:w="440" w:type="dxa"/>
            <w:vAlign w:val="bottom"/>
            <w:gridSpan w:val="13"/>
          </w:tcPr>
          <w:p>
            <w:pPr>
              <w:spacing w:after="0"/>
              <w:rPr>
                <w:sz w:val="17"/>
                <w:szCs w:val="17"/>
                <w:color w:val="auto"/>
              </w:rPr>
            </w:pPr>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1"/>
              </w:rPr>
              <w:t>February 28, 2019</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10.9</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Registrant and Kathleen Patton.</w:t>
              </w:r>
            </w:hyperlink>
          </w:p>
        </w:tc>
        <w:tc>
          <w:tcPr>
            <w:tcW w:w="2120" w:type="dxa"/>
            <w:vAlign w:val="bottom"/>
            <w:gridSpan w:val="29"/>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Offer Letter, dated March 7, 2008, by and between the</w:t>
              </w:r>
            </w:hyperlink>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1"/>
              </w:rPr>
              <w:t>February 28, 2019</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Registrant and Oliver Chrzan.</w:t>
              </w:r>
            </w:hyperlink>
          </w:p>
        </w:tc>
        <w:tc>
          <w:tcPr>
            <w:tcW w:w="50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7"/>
                <w:szCs w:val="17"/>
                <w:color w:val="auto"/>
              </w:rPr>
            </w:pPr>
          </w:p>
        </w:tc>
        <w:tc>
          <w:tcPr>
            <w:tcW w:w="40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56">
              <w:r>
                <w:rPr>
                  <w:rFonts w:ascii="Arial" w:cs="Arial" w:eastAsia="Arial" w:hAnsi="Arial"/>
                  <w:sz w:val="18"/>
                  <w:szCs w:val="18"/>
                  <w:color w:val="0000EE"/>
                  <w:w w:val="88"/>
                </w:rPr>
                <w:t>Lease, dated as of October 8, 2014, by and between the</w:t>
              </w:r>
            </w:hyperlink>
          </w:p>
        </w:tc>
        <w:tc>
          <w:tcPr>
            <w:tcW w:w="420" w:type="dxa"/>
            <w:vAlign w:val="bottom"/>
            <w:gridSpan w:val="12"/>
          </w:tcPr>
          <w:p>
            <w:pPr>
              <w:spacing w:after="0"/>
              <w:rPr>
                <w:sz w:val="17"/>
                <w:szCs w:val="17"/>
                <w:color w:val="auto"/>
              </w:rPr>
            </w:pPr>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15,</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10.8</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Registrant and BCSP Cambridge Two Property LLC.</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920" w:type="dxa"/>
            <w:vAlign w:val="bottom"/>
            <w:gridSpan w:val="9"/>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10.12</w:t>
            </w:r>
          </w:p>
        </w:tc>
        <w:tc>
          <w:tcPr>
            <w:tcW w:w="100" w:type="dxa"/>
            <w:vAlign w:val="bottom"/>
          </w:tcPr>
          <w:p>
            <w:pPr>
              <w:spacing w:after="0"/>
              <w:rPr>
                <w:sz w:val="17"/>
                <w:szCs w:val="17"/>
                <w:color w:val="auto"/>
              </w:rPr>
            </w:pPr>
          </w:p>
        </w:tc>
        <w:tc>
          <w:tcPr>
            <w:tcW w:w="41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Office Lease Agreement, dated as of March 11, 2016, by</w:t>
              </w:r>
            </w:hyperlink>
          </w:p>
        </w:tc>
        <w:tc>
          <w:tcPr>
            <w:tcW w:w="320" w:type="dxa"/>
            <w:vAlign w:val="bottom"/>
            <w:gridSpan w:val="8"/>
          </w:tcPr>
          <w:p>
            <w:pPr>
              <w:spacing w:after="0"/>
              <w:rPr>
                <w:sz w:val="17"/>
                <w:szCs w:val="17"/>
                <w:color w:val="auto"/>
              </w:rPr>
            </w:pPr>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15,</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10.9</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and between 55 Cambridge Parkway, LLC and the</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Registrant.</w:t>
              </w:r>
            </w:hyperlink>
          </w:p>
        </w:tc>
        <w:tc>
          <w:tcPr>
            <w:tcW w:w="2840" w:type="dxa"/>
            <w:vAlign w:val="bottom"/>
            <w:tcBorders>
              <w:top w:val="single" w:sz="8" w:color="0000EE"/>
            </w:tcBorders>
            <w:gridSpan w:val="14"/>
          </w:tcPr>
          <w:p>
            <w:pPr>
              <w:spacing w:after="0"/>
              <w:rPr>
                <w:sz w:val="17"/>
                <w:szCs w:val="17"/>
                <w:color w:val="auto"/>
              </w:rPr>
            </w:pPr>
          </w:p>
        </w:tc>
        <w:tc>
          <w:tcPr>
            <w:tcW w:w="78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10.13</w:t>
            </w:r>
          </w:p>
        </w:tc>
        <w:tc>
          <w:tcPr>
            <w:tcW w:w="100" w:type="dxa"/>
            <w:vAlign w:val="bottom"/>
          </w:tcPr>
          <w:p>
            <w:pPr>
              <w:spacing w:after="0"/>
              <w:rPr>
                <w:sz w:val="17"/>
                <w:szCs w:val="17"/>
                <w:color w:val="auto"/>
              </w:rPr>
            </w:pPr>
          </w:p>
        </w:tc>
        <w:tc>
          <w:tcPr>
            <w:tcW w:w="40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First Amendment to Lease, dated as of July 30, 2016 by</w:t>
              </w:r>
            </w:hyperlink>
          </w:p>
        </w:tc>
        <w:tc>
          <w:tcPr>
            <w:tcW w:w="380" w:type="dxa"/>
            <w:vAlign w:val="bottom"/>
            <w:gridSpan w:val="10"/>
          </w:tcPr>
          <w:p>
            <w:pPr>
              <w:spacing w:after="0"/>
              <w:rPr>
                <w:sz w:val="17"/>
                <w:szCs w:val="17"/>
                <w:color w:val="auto"/>
              </w:rPr>
            </w:pPr>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333-220495</w:t>
            </w:r>
          </w:p>
        </w:tc>
        <w:tc>
          <w:tcPr>
            <w:tcW w:w="100" w:type="dxa"/>
            <w:vAlign w:val="bottom"/>
          </w:tcPr>
          <w:p>
            <w:pPr>
              <w:spacing w:after="0"/>
              <w:rPr>
                <w:sz w:val="17"/>
                <w:szCs w:val="17"/>
                <w:color w:val="auto"/>
              </w:rPr>
            </w:pPr>
          </w:p>
        </w:tc>
        <w:tc>
          <w:tcPr>
            <w:tcW w:w="1540" w:type="dxa"/>
            <w:vAlign w:val="bottom"/>
            <w:gridSpan w:val="2"/>
          </w:tcPr>
          <w:p>
            <w:pPr>
              <w:jc w:val="center"/>
              <w:ind w:right="180"/>
              <w:spacing w:after="0" w:line="196" w:lineRule="exact"/>
              <w:rPr>
                <w:sz w:val="20"/>
                <w:szCs w:val="20"/>
                <w:color w:val="auto"/>
              </w:rPr>
            </w:pPr>
            <w:r>
              <w:rPr>
                <w:rFonts w:ascii="Arial" w:cs="Arial" w:eastAsia="Arial" w:hAnsi="Arial"/>
                <w:sz w:val="18"/>
                <w:szCs w:val="18"/>
                <w:color w:val="auto"/>
                <w:w w:val="88"/>
              </w:rPr>
              <w:t>September 15,</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and between 55 Cambridge Parkway, LLC and the</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Registrant.</w:t>
              </w:r>
            </w:hyperlink>
          </w:p>
        </w:tc>
        <w:tc>
          <w:tcPr>
            <w:tcW w:w="2840" w:type="dxa"/>
            <w:vAlign w:val="bottom"/>
            <w:tcBorders>
              <w:top w:val="single" w:sz="8" w:color="0000EE"/>
            </w:tcBorders>
            <w:gridSpan w:val="14"/>
          </w:tcPr>
          <w:p>
            <w:pPr>
              <w:spacing w:after="0"/>
              <w:rPr>
                <w:sz w:val="17"/>
                <w:szCs w:val="17"/>
                <w:color w:val="auto"/>
              </w:rPr>
            </w:pPr>
          </w:p>
        </w:tc>
        <w:tc>
          <w:tcPr>
            <w:tcW w:w="78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10.14#</w:t>
            </w:r>
          </w:p>
        </w:tc>
        <w:tc>
          <w:tcPr>
            <w:tcW w:w="100" w:type="dxa"/>
            <w:vAlign w:val="bottom"/>
          </w:tcPr>
          <w:p>
            <w:pPr>
              <w:spacing w:after="0"/>
              <w:rPr>
                <w:sz w:val="17"/>
                <w:szCs w:val="17"/>
                <w:color w:val="auto"/>
              </w:rPr>
            </w:pPr>
          </w:p>
        </w:tc>
        <w:tc>
          <w:tcPr>
            <w:tcW w:w="398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Form of Non-Employee Director Restricted Stock Unit</w:t>
              </w:r>
            </w:hyperlink>
          </w:p>
        </w:tc>
        <w:tc>
          <w:tcPr>
            <w:tcW w:w="440" w:type="dxa"/>
            <w:vAlign w:val="bottom"/>
            <w:gridSpan w:val="13"/>
          </w:tcPr>
          <w:p>
            <w:pPr>
              <w:spacing w:after="0"/>
              <w:rPr>
                <w:sz w:val="17"/>
                <w:szCs w:val="17"/>
                <w:color w:val="auto"/>
              </w:rPr>
            </w:pPr>
          </w:p>
        </w:tc>
        <w:tc>
          <w:tcPr>
            <w:tcW w:w="10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1"/>
              </w:rPr>
              <w:t>March 26, 2018</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Agreement</w:t>
              </w:r>
              <w:r>
                <w:rPr>
                  <w:rFonts w:ascii="Arial" w:cs="Arial" w:eastAsia="Arial" w:hAnsi="Arial"/>
                  <w:sz w:val="18"/>
                  <w:szCs w:val="18"/>
                  <w:color w:val="000000"/>
                </w:rPr>
                <w:t>.</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1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10.15#</w:t>
            </w: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CarGurus, Inc. Annual Incentive Plan</w:t>
              </w:r>
            </w:hyperlink>
            <w:r>
              <w:rPr>
                <w:rFonts w:ascii="Arial" w:cs="Arial" w:eastAsia="Arial" w:hAnsi="Arial"/>
                <w:sz w:val="18"/>
                <w:szCs w:val="18"/>
                <w:color w:val="000000"/>
              </w:rPr>
              <w:t>.</w:t>
            </w:r>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rPr>
              <w:t>8-K/A</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6"/>
              </w:rPr>
              <w:t>April 6, 2018</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11"/>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1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4420" w:type="dxa"/>
            <w:vAlign w:val="bottom"/>
            <w:gridSpan w:val="38"/>
          </w:tcPr>
          <w:p>
            <w:pPr>
              <w:spacing w:after="0"/>
              <w:rPr>
                <w:rFonts w:ascii="Arial" w:cs="Arial" w:eastAsia="Arial" w:hAnsi="Arial"/>
                <w:sz w:val="18"/>
                <w:szCs w:val="18"/>
                <w:color w:val="0000EE"/>
              </w:rPr>
            </w:pPr>
            <w:hyperlink r:id="rId161">
              <w:r>
                <w:rPr>
                  <w:rFonts w:ascii="Arial" w:cs="Arial" w:eastAsia="Arial" w:hAnsi="Arial"/>
                  <w:sz w:val="18"/>
                  <w:szCs w:val="18"/>
                  <w:color w:val="0000EE"/>
                </w:rPr>
                <w:t>Form of Executive Restricted Stock Unit Agreement</w:t>
              </w:r>
            </w:hyperlink>
            <w:r>
              <w:rPr>
                <w:rFonts w:ascii="Arial" w:cs="Arial" w:eastAsia="Arial" w:hAnsi="Arial"/>
                <w:sz w:val="18"/>
                <w:szCs w:val="18"/>
                <w:color w:val="000000"/>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May 3, 2018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3800" w:type="dxa"/>
            <w:vAlign w:val="bottom"/>
            <w:tcBorders>
              <w:top w:val="single" w:sz="8" w:color="0000EE"/>
            </w:tcBorders>
            <w:gridSpan w:val="21"/>
          </w:tcPr>
          <w:p>
            <w:pP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Lease Agreement, dated as of June 19, 2018, by and</w:t>
              </w:r>
            </w:hyperlink>
          </w:p>
        </w:tc>
        <w:tc>
          <w:tcPr>
            <w:tcW w:w="620" w:type="dxa"/>
            <w:vAlign w:val="bottom"/>
            <w:gridSpan w:val="17"/>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June 20, 2018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between US Parcel A, LLC and the Registrant.</w:t>
              </w:r>
            </w:hyperlink>
          </w:p>
        </w:tc>
        <w:tc>
          <w:tcPr>
            <w:tcW w:w="66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gridSpan w:val="1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20" w:type="dxa"/>
            <w:vAlign w:val="bottom"/>
            <w:gridSpan w:val="2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10.18#</w:t>
            </w:r>
          </w:p>
        </w:tc>
        <w:tc>
          <w:tcPr>
            <w:tcW w:w="100" w:type="dxa"/>
            <w:vAlign w:val="bottom"/>
          </w:tcPr>
          <w:p>
            <w:pPr>
              <w:spacing w:after="0"/>
              <w:rPr>
                <w:sz w:val="17"/>
                <w:szCs w:val="17"/>
                <w:color w:val="auto"/>
              </w:rPr>
            </w:pPr>
          </w:p>
        </w:tc>
        <w:tc>
          <w:tcPr>
            <w:tcW w:w="4420" w:type="dxa"/>
            <w:vAlign w:val="bottom"/>
            <w:gridSpan w:val="38"/>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Consulting Agreement, dated April 1, 2019, by and</w:t>
              </w:r>
            </w:hyperlink>
          </w:p>
        </w:tc>
        <w:tc>
          <w:tcPr>
            <w:tcW w:w="10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0"/>
              </w:rPr>
              <w:t>August 6, 2019</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between the Registrant and Oliver Chrzan.</w:t>
              </w:r>
            </w:hyperlink>
          </w:p>
        </w:tc>
        <w:tc>
          <w:tcPr>
            <w:tcW w:w="72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7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1"/>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5"/>
        </w:trPr>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80" w:type="dxa"/>
            <w:vAlign w:val="bottom"/>
            <w:gridSpan w:val="16"/>
            <w:vMerge w:val="restart"/>
          </w:tcPr>
          <w:p>
            <w:pPr>
              <w:ind w:left="820"/>
              <w:spacing w:after="0"/>
              <w:rPr>
                <w:sz w:val="20"/>
                <w:szCs w:val="20"/>
                <w:color w:val="auto"/>
              </w:rPr>
            </w:pPr>
            <w:r>
              <w:rPr>
                <w:rFonts w:ascii="Arial" w:cs="Arial" w:eastAsia="Arial" w:hAnsi="Arial"/>
                <w:sz w:val="14"/>
                <w:szCs w:val="14"/>
                <w:b w:val="1"/>
                <w:bCs w:val="1"/>
                <w:color w:val="auto"/>
              </w:rPr>
              <w:t>Exhibit Description</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42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97"/>
              </w:rPr>
              <w:t>File</w:t>
            </w: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Filing Date</w:t>
            </w:r>
          </w:p>
        </w:tc>
        <w:tc>
          <w:tcPr>
            <w:tcW w:w="10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Exhibit</w:t>
            </w: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80" w:type="dxa"/>
            <w:vAlign w:val="bottom"/>
            <w:gridSpan w:val="16"/>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1540" w:type="dxa"/>
            <w:vAlign w:val="bottom"/>
            <w:gridSpan w:val="2"/>
            <w:vMerge w:val="continue"/>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10.19</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220" w:type="dxa"/>
            <w:vAlign w:val="bottom"/>
            <w:tcBorders>
              <w:top w:val="single" w:sz="8" w:color="auto"/>
              <w:bottom w:val="single" w:sz="8" w:color="0000EE"/>
            </w:tcBorders>
            <w:gridSpan w:val="14"/>
          </w:tcPr>
          <w:p>
            <w:pPr>
              <w:spacing w:after="0" w:line="170"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Second Amendment to Lease, dated as of August 30, 2019</w:t>
              </w:r>
            </w:hyperlink>
          </w:p>
        </w:tc>
        <w:tc>
          <w:tcPr>
            <w:tcW w:w="80" w:type="dxa"/>
            <w:vAlign w:val="bottom"/>
            <w:tcBorders>
              <w:top w:val="single" w:sz="8" w:color="auto"/>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4"/>
                <w:szCs w:val="14"/>
                <w:color w:val="auto"/>
              </w:rPr>
            </w:pPr>
          </w:p>
        </w:tc>
        <w:tc>
          <w:tcPr>
            <w:tcW w:w="13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November 5,</w:t>
            </w: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by and between 55 Cambridge Parkway, LLC and the</w:t>
              </w:r>
            </w:hyperlink>
          </w:p>
        </w:tc>
        <w:tc>
          <w:tcPr>
            <w:tcW w:w="5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18"/>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Registrant</w:t>
              </w:r>
              <w:r>
                <w:rPr>
                  <w:rFonts w:ascii="Arial" w:cs="Arial" w:eastAsia="Arial" w:hAnsi="Arial"/>
                  <w:sz w:val="18"/>
                  <w:szCs w:val="18"/>
                  <w:color w:val="000000"/>
                </w:rPr>
                <w:t>.</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10.20</w:t>
            </w:r>
          </w:p>
        </w:tc>
        <w:tc>
          <w:tcPr>
            <w:tcW w:w="10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Indenture of Lease between S&amp;A P-12 Property LLC and</w:t>
              </w:r>
            </w:hyperlink>
          </w:p>
        </w:tc>
        <w:tc>
          <w:tcPr>
            <w:tcW w:w="260" w:type="dxa"/>
            <w:vAlign w:val="bottom"/>
            <w:gridSpan w:val="5"/>
          </w:tcPr>
          <w:p>
            <w:pPr>
              <w:spacing w:after="0"/>
              <w:rPr>
                <w:sz w:val="17"/>
                <w:szCs w:val="17"/>
                <w:color w:val="auto"/>
              </w:rPr>
            </w:pPr>
          </w:p>
        </w:tc>
        <w:tc>
          <w:tcPr>
            <w:tcW w:w="100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001-38233</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0"/>
              </w:rPr>
              <w:t>December 20,</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18"/>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the Registrant, dated as of December 19, 2019.</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126">
              <w:r>
                <w:rPr>
                  <w:rFonts w:ascii="Arial" w:cs="Arial" w:eastAsia="Arial" w:hAnsi="Arial"/>
                  <w:sz w:val="18"/>
                  <w:szCs w:val="18"/>
                  <w:color w:val="0000EE"/>
                  <w:w w:val="91"/>
                </w:rPr>
                <w:t>List of Subsidiaries of the Registrant.</w:t>
              </w:r>
            </w:hyperlink>
          </w:p>
        </w:tc>
        <w:tc>
          <w:tcPr>
            <w:tcW w:w="680" w:type="dxa"/>
            <w:vAlign w:val="bottom"/>
            <w:tcBorders>
              <w:top w:val="single" w:sz="8" w:color="0000EE"/>
            </w:tcBorders>
          </w:tcPr>
          <w:p>
            <w:pPr>
              <w:spacing w:after="0"/>
              <w:rPr>
                <w:sz w:val="17"/>
                <w:szCs w:val="17"/>
                <w:color w:val="auto"/>
              </w:rPr>
            </w:pPr>
          </w:p>
        </w:tc>
        <w:tc>
          <w:tcPr>
            <w:tcW w:w="104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40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Consent of Ernst &amp; Young LLP, Independent Registered</w:t>
              </w:r>
            </w:hyperlink>
          </w:p>
        </w:tc>
        <w:tc>
          <w:tcPr>
            <w:tcW w:w="360" w:type="dxa"/>
            <w:vAlign w:val="bottom"/>
            <w:gridSpan w:val="7"/>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18"/>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Public Accounting Firm</w:t>
              </w:r>
              <w:r>
                <w:rPr>
                  <w:rFonts w:ascii="Arial" w:cs="Arial" w:eastAsia="Arial" w:hAnsi="Arial"/>
                  <w:sz w:val="18"/>
                  <w:szCs w:val="18"/>
                  <w:color w:val="000000"/>
                </w:rPr>
                <w:t>.</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28">
              <w:r>
                <w:rPr>
                  <w:rFonts w:ascii="Arial" w:cs="Arial" w:eastAsia="Arial" w:hAnsi="Arial"/>
                  <w:sz w:val="18"/>
                  <w:szCs w:val="18"/>
                  <w:color w:val="0000EE"/>
                  <w:w w:val="93"/>
                </w:rPr>
                <w:t>Certification of Principal Executive Officer Pursuant to</w:t>
              </w:r>
            </w:hyperlink>
          </w:p>
        </w:tc>
        <w:tc>
          <w:tcPr>
            <w:tcW w:w="42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Rules 13a-14(a) and 15d-14(a) under the Securities</w:t>
              </w:r>
            </w:hyperlink>
          </w:p>
        </w:tc>
        <w:tc>
          <w:tcPr>
            <w:tcW w:w="72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18"/>
          </w:tcPr>
          <w:p>
            <w:pPr>
              <w:spacing w:after="0" w:line="196" w:lineRule="exact"/>
              <w:rPr>
                <w:rFonts w:ascii="Arial" w:cs="Arial" w:eastAsia="Arial" w:hAnsi="Arial"/>
                <w:sz w:val="18"/>
                <w:szCs w:val="18"/>
                <w:color w:val="0000EE"/>
                <w:w w:val="92"/>
              </w:rPr>
            </w:pPr>
            <w:hyperlink w:anchor="page128">
              <w:r>
                <w:rPr>
                  <w:rFonts w:ascii="Arial" w:cs="Arial" w:eastAsia="Arial" w:hAnsi="Arial"/>
                  <w:sz w:val="18"/>
                  <w:szCs w:val="18"/>
                  <w:color w:val="0000EE"/>
                  <w:w w:val="92"/>
                </w:rPr>
                <w:t>Exchange Act of 1934, as Adopted Pursuant to Section 302</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of the Sarbanes-Oxley Act of 2002.</w:t>
              </w:r>
            </w:hyperlink>
          </w:p>
        </w:tc>
        <w:tc>
          <w:tcPr>
            <w:tcW w:w="1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420" w:type="dxa"/>
            <w:vAlign w:val="bottom"/>
            <w:tcBorders>
              <w:left w:val="single" w:sz="8" w:color="0000EE"/>
            </w:tcBorders>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4420" w:type="dxa"/>
            <w:vAlign w:val="bottom"/>
            <w:gridSpan w:val="18"/>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Certification of Principal Financial Officer Pursuant to</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29">
              <w:r>
                <w:rPr>
                  <w:rFonts w:ascii="Arial" w:cs="Arial" w:eastAsia="Arial" w:hAnsi="Arial"/>
                  <w:sz w:val="18"/>
                  <w:szCs w:val="18"/>
                  <w:color w:val="0000EE"/>
                  <w:w w:val="89"/>
                </w:rPr>
                <w:t>Rules 13a-14(a) and 15d-14(a) under the Securities</w:t>
              </w:r>
            </w:hyperlink>
          </w:p>
        </w:tc>
        <w:tc>
          <w:tcPr>
            <w:tcW w:w="240" w:type="dxa"/>
            <w:vAlign w:val="bottom"/>
            <w:tcBorders>
              <w:top w:val="single" w:sz="8" w:color="0000EE"/>
            </w:tcBorders>
            <w:gridSpan w:val="2"/>
          </w:tcPr>
          <w:p>
            <w:pPr>
              <w:spacing w:after="0"/>
              <w:rPr>
                <w:sz w:val="17"/>
                <w:szCs w:val="17"/>
                <w:color w:val="auto"/>
              </w:rPr>
            </w:pPr>
          </w:p>
        </w:tc>
        <w:tc>
          <w:tcPr>
            <w:tcW w:w="4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18"/>
          </w:tcPr>
          <w:p>
            <w:pPr>
              <w:spacing w:after="0" w:line="196"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Exchange Act of 1934, as Adopted Pursuant to Section 302</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of the Sarbanes-Oxley Act of 2002.</w:t>
              </w:r>
            </w:hyperlink>
          </w:p>
        </w:tc>
        <w:tc>
          <w:tcPr>
            <w:tcW w:w="1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620" w:type="dxa"/>
            <w:vAlign w:val="bottom"/>
            <w:tcBorders>
              <w:left w:val="single" w:sz="8" w:color="0000EE"/>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42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30">
              <w:r>
                <w:rPr>
                  <w:rFonts w:ascii="Arial" w:cs="Arial" w:eastAsia="Arial" w:hAnsi="Arial"/>
                  <w:sz w:val="18"/>
                  <w:szCs w:val="18"/>
                  <w:color w:val="0000EE"/>
                  <w:w w:val="92"/>
                </w:rPr>
                <w:t>Certification of Principal Executive Officer Pursuant to 18</w:t>
              </w:r>
            </w:hyperlink>
          </w:p>
        </w:tc>
        <w:tc>
          <w:tcPr>
            <w:tcW w:w="2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gridSpan w:val="18"/>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U.S.C. Section 1350, as Adopted Pursuant to Section 906</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of the Sarbanes-Oxley Act of 2002</w:t>
              </w:r>
              <w:r>
                <w:rPr>
                  <w:rFonts w:ascii="Arial" w:cs="Arial" w:eastAsia="Arial" w:hAnsi="Arial"/>
                  <w:sz w:val="18"/>
                  <w:szCs w:val="18"/>
                  <w:color w:val="000000"/>
                </w:rPr>
                <w:t>.</w:t>
              </w:r>
            </w:hyperlink>
          </w:p>
        </w:tc>
        <w:tc>
          <w:tcPr>
            <w:tcW w:w="28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7"/>
                <w:szCs w:val="17"/>
                <w:color w:val="auto"/>
              </w:rPr>
            </w:pPr>
          </w:p>
        </w:tc>
        <w:tc>
          <w:tcPr>
            <w:tcW w:w="4420" w:type="dxa"/>
            <w:vAlign w:val="bottom"/>
            <w:gridSpan w:val="18"/>
          </w:tcPr>
          <w:p>
            <w:pPr>
              <w:spacing w:after="0" w:line="196" w:lineRule="exact"/>
              <w:rPr>
                <w:rFonts w:ascii="Arial" w:cs="Arial" w:eastAsia="Arial" w:hAnsi="Arial"/>
                <w:sz w:val="18"/>
                <w:szCs w:val="18"/>
                <w:color w:val="0000EE"/>
                <w:w w:val="98"/>
              </w:rPr>
            </w:pPr>
            <w:hyperlink w:anchor="page131">
              <w:r>
                <w:rPr>
                  <w:rFonts w:ascii="Arial" w:cs="Arial" w:eastAsia="Arial" w:hAnsi="Arial"/>
                  <w:sz w:val="18"/>
                  <w:szCs w:val="18"/>
                  <w:color w:val="0000EE"/>
                  <w:w w:val="98"/>
                </w:rPr>
                <w:t>Certification of Principal Financial Officer Pursuant to 18</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top w:val="single" w:sz="8" w:color="0000EE"/>
            </w:tcBorders>
            <w:gridSpan w:val="13"/>
          </w:tcPr>
          <w:p>
            <w:pPr>
              <w:spacing w:after="0" w:line="19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U.S.C. Section 1350, as Adopted Pursuant to Section 906</w:t>
              </w:r>
            </w:hyperlink>
          </w:p>
        </w:tc>
        <w:tc>
          <w:tcPr>
            <w:tcW w:w="2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of the Sarbanes-Oxley Act of 2002.</w:t>
              </w:r>
            </w:hyperlink>
          </w:p>
        </w:tc>
        <w:tc>
          <w:tcPr>
            <w:tcW w:w="28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9"/>
                <w:szCs w:val="19"/>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w w:val="98"/>
              </w:rPr>
              <w:t>Inline XBRL Instance Document- the instance document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w w:val="99"/>
              </w:rPr>
              <w:t>does not appear in the Interactive Data File because its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XBRL tags are embedded within the Inline XBRL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9"/>
                <w:szCs w:val="19"/>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w w:val="97"/>
              </w:rPr>
              <w:t>Inline XBRL Taxonomy Extension Presentation Linkbase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The cover page from the Company’s Annual Report 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w w:val="91"/>
              </w:rPr>
              <w:t>Form 10-K for the year ended December 31, 2019 has been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gridSpan w:val="18"/>
          </w:tcPr>
          <w:p>
            <w:pPr>
              <w:spacing w:after="0"/>
              <w:rPr>
                <w:sz w:val="20"/>
                <w:szCs w:val="20"/>
                <w:color w:val="auto"/>
              </w:rPr>
            </w:pPr>
            <w:r>
              <w:rPr>
                <w:rFonts w:ascii="Arial" w:cs="Arial" w:eastAsia="Arial" w:hAnsi="Arial"/>
                <w:sz w:val="18"/>
                <w:szCs w:val="18"/>
                <w:color w:val="auto"/>
              </w:rPr>
              <w:t>formatted in Inline XBRL.</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hanging="552"/>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79" w:lineRule="exact"/>
        <w:rPr>
          <w:sz w:val="20"/>
          <w:szCs w:val="20"/>
          <w:color w:val="auto"/>
        </w:rPr>
      </w:pPr>
    </w:p>
    <w:p>
      <w:pPr>
        <w:jc w:val="both"/>
        <w:ind w:left="560" w:hanging="552"/>
        <w:spacing w:after="0" w:line="264" w:lineRule="auto"/>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40"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6220" w:type="dxa"/>
            <w:vAlign w:val="bottom"/>
            <w:gridSpan w:val="2"/>
          </w:tcPr>
          <w:p>
            <w:pPr>
              <w:ind w:left="58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5200" w:type="dxa"/>
            <w:vAlign w:val="bottom"/>
          </w:tcPr>
          <w:p>
            <w:pPr>
              <w:spacing w:after="0"/>
              <w:rPr>
                <w:sz w:val="20"/>
                <w:szCs w:val="20"/>
                <w:color w:val="auto"/>
              </w:rPr>
            </w:pPr>
            <w:r>
              <w:rPr>
                <w:rFonts w:ascii="Arial" w:cs="Arial" w:eastAsia="Arial" w:hAnsi="Arial"/>
                <w:sz w:val="18"/>
                <w:szCs w:val="18"/>
                <w:color w:val="auto"/>
              </w:rPr>
              <w:t>Date: February 14, 2020</w:t>
            </w:r>
          </w:p>
        </w:tc>
        <w:tc>
          <w:tcPr>
            <w:tcW w:w="6220" w:type="dxa"/>
            <w:vAlign w:val="bottom"/>
            <w:gridSpan w:val="2"/>
          </w:tcPr>
          <w:p>
            <w:pPr>
              <w:ind w:left="580"/>
              <w:spacing w:after="0"/>
              <w:rPr>
                <w:sz w:val="20"/>
                <w:szCs w:val="20"/>
                <w:color w:val="auto"/>
              </w:rPr>
            </w:pPr>
            <w:r>
              <w:rPr>
                <w:rFonts w:ascii="Arial" w:cs="Arial" w:eastAsia="Arial" w:hAnsi="Arial"/>
                <w:sz w:val="18"/>
                <w:szCs w:val="18"/>
                <w:color w:val="auto"/>
              </w:rPr>
              <w:t>By: /s/ Langley Steinert</w:t>
            </w:r>
          </w:p>
        </w:tc>
      </w:tr>
      <w:tr>
        <w:trPr>
          <w:trHeight w:val="222"/>
        </w:trPr>
        <w:tc>
          <w:tcPr>
            <w:tcW w:w="520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30"/>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right="40" w:firstLine="555"/>
        <w:spacing w:after="0" w:line="255" w:lineRule="auto"/>
        <w:rPr>
          <w:sz w:val="20"/>
          <w:szCs w:val="20"/>
          <w:color w:val="auto"/>
        </w:rPr>
      </w:pPr>
      <w:r>
        <w:rPr>
          <w:rFonts w:ascii="Arial" w:cs="Arial" w:eastAsia="Arial" w:hAnsi="Arial"/>
          <w:sz w:val="18"/>
          <w:szCs w:val="18"/>
          <w:color w:val="auto"/>
        </w:rPr>
        <w:t>Each person whose individual signature appears below hereby constitutes and appoints Langley Steinert and Jason Trevisan,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43" w:lineRule="exact"/>
        <w:rPr>
          <w:sz w:val="20"/>
          <w:szCs w:val="20"/>
          <w:color w:val="auto"/>
        </w:rPr>
      </w:pPr>
    </w:p>
    <w:p>
      <w:pPr>
        <w:jc w:val="both"/>
        <w:ind w:right="4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576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rPr>
              <w:t>Title</w:t>
            </w:r>
          </w:p>
        </w:tc>
        <w:tc>
          <w:tcPr>
            <w:tcW w:w="60" w:type="dxa"/>
            <w:vAlign w:val="bottom"/>
          </w:tcPr>
          <w:p>
            <w:pPr>
              <w:spacing w:after="0"/>
              <w:rPr>
                <w:sz w:val="14"/>
                <w:szCs w:val="14"/>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303"/>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Chief Executive Officer and Chairman</w:t>
            </w:r>
          </w:p>
        </w:tc>
        <w:tc>
          <w:tcPr>
            <w:tcW w:w="1760" w:type="dxa"/>
            <w:vAlign w:val="bottom"/>
          </w:tcPr>
          <w:p>
            <w:pPr>
              <w:spacing w:after="0"/>
              <w:rPr>
                <w:sz w:val="24"/>
                <w:szCs w:val="24"/>
                <w:color w:val="auto"/>
              </w:rPr>
            </w:pPr>
          </w:p>
        </w:tc>
      </w:tr>
      <w:tr>
        <w:trPr>
          <w:trHeight w:val="230"/>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Langley Steinert</w:t>
            </w:r>
          </w:p>
        </w:tc>
        <w:tc>
          <w:tcPr>
            <w:tcW w:w="1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20"/>
                <w:szCs w:val="20"/>
                <w:color w:val="auto"/>
              </w:rPr>
            </w:pPr>
            <w:r>
              <w:rPr>
                <w:rFonts w:ascii="Arial" w:cs="Arial" w:eastAsia="Arial" w:hAnsi="Arial"/>
                <w:sz w:val="18"/>
                <w:szCs w:val="18"/>
                <w:color w:val="auto"/>
              </w:rPr>
              <w:t>February 14, 2020</w:t>
            </w: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2"/>
              </w:rPr>
              <w:t>Langley Steinert</w:t>
            </w:r>
          </w:p>
        </w:tc>
        <w:tc>
          <w:tcPr>
            <w:tcW w:w="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9"/>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Chief Financial Officer and President, International</w:t>
            </w:r>
          </w:p>
        </w:tc>
        <w:tc>
          <w:tcPr>
            <w:tcW w:w="1760" w:type="dxa"/>
            <w:vAlign w:val="bottom"/>
          </w:tcPr>
          <w:p>
            <w:pPr>
              <w:spacing w:after="0"/>
              <w:rPr>
                <w:sz w:val="24"/>
                <w:szCs w:val="24"/>
                <w:color w:val="auto"/>
              </w:rPr>
            </w:pPr>
          </w:p>
        </w:tc>
      </w:tr>
      <w:tr>
        <w:trPr>
          <w:trHeight w:val="230"/>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Jason Trevisan</w:t>
            </w:r>
          </w:p>
        </w:tc>
        <w:tc>
          <w:tcPr>
            <w:tcW w:w="1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760" w:type="dxa"/>
            <w:vAlign w:val="bottom"/>
          </w:tcPr>
          <w:p>
            <w:pPr>
              <w:spacing w:after="0"/>
              <w:rPr>
                <w:sz w:val="20"/>
                <w:szCs w:val="20"/>
                <w:color w:val="auto"/>
              </w:rPr>
            </w:pPr>
            <w:r>
              <w:rPr>
                <w:rFonts w:ascii="Arial" w:cs="Arial" w:eastAsia="Arial" w:hAnsi="Arial"/>
                <w:sz w:val="18"/>
                <w:szCs w:val="18"/>
                <w:color w:val="auto"/>
              </w:rPr>
              <w:t>February 14, 2020</w:t>
            </w: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88"/>
              </w:rPr>
              <w:t>Jason Trevisan</w:t>
            </w:r>
          </w:p>
        </w:tc>
        <w:tc>
          <w:tcPr>
            <w:tcW w:w="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Conine</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14, 2020</w:t>
            </w: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88"/>
              </w:rPr>
              <w:t>Steven Conine</w:t>
            </w:r>
          </w:p>
        </w:tc>
        <w:tc>
          <w:tcPr>
            <w:tcW w:w="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Lori Hickok</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14, 2020</w:t>
            </w: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8"/>
              </w:rPr>
              <w:t>Lori Hickok</w:t>
            </w:r>
          </w:p>
        </w:tc>
        <w:tc>
          <w:tcPr>
            <w:tcW w:w="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Kaufer</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14, 2020</w:t>
            </w: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89"/>
              </w:rPr>
              <w:t>Stephen Kaufer</w:t>
            </w:r>
          </w:p>
        </w:tc>
        <w:tc>
          <w:tcPr>
            <w:tcW w:w="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Anastasios Parafestas</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14, 2020</w:t>
            </w: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87"/>
              </w:rPr>
              <w:t>Anastasios Parafestas</w:t>
            </w:r>
          </w:p>
        </w:tc>
        <w:tc>
          <w:tcPr>
            <w:tcW w:w="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Greg Schwartz</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14, 2020</w:t>
            </w: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0"/>
              </w:rPr>
              <w:t>Greg Schwartz</w:t>
            </w:r>
          </w:p>
        </w:tc>
        <w:tc>
          <w:tcPr>
            <w:tcW w:w="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Ian Smith</w:t>
            </w:r>
          </w:p>
        </w:tc>
        <w:tc>
          <w:tcPr>
            <w:tcW w:w="1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February 14, 2020</w:t>
            </w: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4"/>
              </w:rPr>
              <w:t>Ian Smith</w:t>
            </w:r>
          </w:p>
        </w:tc>
        <w:tc>
          <w:tcPr>
            <w:tcW w:w="1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674"/>
        </w:trPr>
        <w:tc>
          <w:tcPr>
            <w:tcW w:w="3760" w:type="dxa"/>
            <w:vAlign w:val="bottom"/>
          </w:tcPr>
          <w:p>
            <w:pPr>
              <w:spacing w:after="0"/>
              <w:rPr>
                <w:sz w:val="24"/>
                <w:szCs w:val="24"/>
                <w:color w:val="auto"/>
              </w:rPr>
            </w:pPr>
          </w:p>
        </w:tc>
        <w:tc>
          <w:tcPr>
            <w:tcW w:w="5880" w:type="dxa"/>
            <w:vAlign w:val="bottom"/>
            <w:gridSpan w:val="2"/>
          </w:tcPr>
          <w:p>
            <w:pPr>
              <w:jc w:val="right"/>
              <w:ind w:right="3712"/>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60"/>
          </w:cols>
          <w:pgMar w:left="240" w:top="351" w:right="19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Exhibit 4.3</w:t>
      </w:r>
    </w:p>
    <w:p>
      <w:pPr>
        <w:jc w:val="center"/>
        <w:spacing w:after="0" w:line="238" w:lineRule="auto"/>
        <w:rPr>
          <w:sz w:val="20"/>
          <w:szCs w:val="20"/>
          <w:color w:val="auto"/>
        </w:rPr>
      </w:pPr>
      <w:r>
        <w:rPr>
          <w:rFonts w:ascii="Arial" w:cs="Arial" w:eastAsia="Arial" w:hAnsi="Arial"/>
          <w:sz w:val="22"/>
          <w:szCs w:val="22"/>
          <w:b w:val="1"/>
          <w:bCs w:val="1"/>
          <w:color w:val="auto"/>
        </w:rPr>
        <w:t>DESCRIPTION OF THE REGISTRANT’S SECURITIES</w:t>
      </w:r>
    </w:p>
    <w:p>
      <w:pPr>
        <w:jc w:val="center"/>
        <w:spacing w:after="0" w:line="231" w:lineRule="auto"/>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The following description sets forth certain material terms and provisions of CarGurus, Inc.’s (“CarGurus,” “we,” “us,” and “our”) securities that are registered under Section 12 of the Securities Exchange Act of 1934,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CAPITAL STOCK</w:t>
      </w:r>
    </w:p>
    <w:p>
      <w:pPr>
        <w:spacing w:after="0" w:line="230"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The following description is a summary and does not purport to be complete. It is subject to, and qualified in its entirety by reference to, our Fourth Amended and Restated Certificate of Incorporation (our “Certificate of Incorporation”) and our Amended and Restated Bylaws (our “Bylaws”), each of which are incorporated by reference as an exhibit to the Annual Report on Form 10-K of which this Exhibit 4.3 is a part. The terms of these securities also may be affected by Delaware law.</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Capital Stock</w:t>
      </w:r>
    </w:p>
    <w:p>
      <w:pPr>
        <w:spacing w:after="0" w:line="235" w:lineRule="exact"/>
        <w:rPr>
          <w:sz w:val="20"/>
          <w:szCs w:val="20"/>
          <w:color w:val="auto"/>
        </w:rPr>
      </w:pPr>
    </w:p>
    <w:p>
      <w:pPr>
        <w:jc w:val="both"/>
        <w:ind w:firstLine="877"/>
        <w:spacing w:after="0" w:line="342" w:lineRule="auto"/>
        <w:rPr>
          <w:sz w:val="20"/>
          <w:szCs w:val="20"/>
          <w:color w:val="auto"/>
        </w:rPr>
      </w:pPr>
      <w:r>
        <w:rPr>
          <w:rFonts w:ascii="Arial" w:cs="Arial" w:eastAsia="Arial" w:hAnsi="Arial"/>
          <w:sz w:val="16"/>
          <w:szCs w:val="16"/>
          <w:color w:val="auto"/>
        </w:rPr>
        <w:t>We are authorized to issue a total of 610,000,000 shares of capital stock consisting of 500,000,000 shares of Class A common stock, par value $0.001 per share, 100,000,000 shares of Class B common stock, par value $0.001 per share, and 10,000,000 shares of preferred stock, par value $0.001 per share. Our common stock is listed on the Nasdaq Global Select Market under the trading symbol “CARG.”</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A and Class B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229"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Holders of our Class A common stock and Class B common stock have identical rights, provided that, except as otherwise expressly provided in our Certificate of Incorporation or required by applicable law, on any matter that is submitted to a vote of our stockholders, holders of our Class A common stock are entitled to one vote per share of Class A common stock and holders of our Class B common stock are entitled to 10 votes per share of Class B common stock. Holders of shares of Class A common stock and Class B common stock vote together as a single class on all matters (including the election of directors) submitted to a vote of stockholders, unless otherwise required by law. Delaware law could require either our Class A common stock or Class B common stock to vote separately as a single class in the following circumstances:</w:t>
      </w:r>
    </w:p>
    <w:p>
      <w:pPr>
        <w:spacing w:after="0" w:line="207" w:lineRule="exact"/>
        <w:rPr>
          <w:sz w:val="20"/>
          <w:szCs w:val="20"/>
          <w:color w:val="auto"/>
        </w:rPr>
      </w:pPr>
    </w:p>
    <w:p>
      <w:pPr>
        <w:ind w:left="880" w:hanging="440"/>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we propose to amend our certificate of incorporation to increase or decrease the par value of the shares of a class of our stock; or</w:t>
      </w:r>
    </w:p>
    <w:p>
      <w:pPr>
        <w:spacing w:after="0" w:line="252" w:lineRule="exact"/>
        <w:rPr>
          <w:rFonts w:ascii="Arial" w:cs="Arial" w:eastAsia="Arial" w:hAnsi="Arial"/>
          <w:sz w:val="18"/>
          <w:szCs w:val="18"/>
          <w:color w:val="auto"/>
        </w:rPr>
      </w:pPr>
    </w:p>
    <w:p>
      <w:pPr>
        <w:ind w:left="880" w:hanging="440"/>
        <w:spacing w:after="0" w:line="260" w:lineRule="auto"/>
        <w:tabs>
          <w:tab w:leader="none" w:pos="8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if we propose to amend our certificate of incorporation in a manner that alters or changes the powers, preferences, or special rights of a class of stock in a manner that affected its holders adversely.</w:t>
      </w:r>
    </w:p>
    <w:p>
      <w:pPr>
        <w:spacing w:after="0" w:line="190"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color w:val="auto"/>
        </w:rPr>
        <w:t>We have not provided for cumulative voting for the election of directors in our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i w:val="1"/>
          <w:iCs w:val="1"/>
          <w:color w:val="auto"/>
        </w:rPr>
        <w:t>Economic Rights</w:t>
      </w:r>
    </w:p>
    <w:p>
      <w:pPr>
        <w:spacing w:after="0" w:line="229" w:lineRule="exact"/>
        <w:rPr>
          <w:sz w:val="20"/>
          <w:szCs w:val="20"/>
          <w:color w:val="auto"/>
        </w:rPr>
      </w:pPr>
    </w:p>
    <w:p>
      <w:pPr>
        <w:jc w:val="both"/>
        <w:ind w:right="20" w:firstLine="877"/>
        <w:spacing w:after="0" w:line="250" w:lineRule="auto"/>
        <w:rPr>
          <w:sz w:val="20"/>
          <w:szCs w:val="20"/>
          <w:color w:val="auto"/>
        </w:rPr>
      </w:pPr>
      <w:r>
        <w:rPr>
          <w:rFonts w:ascii="Arial" w:cs="Arial" w:eastAsia="Arial" w:hAnsi="Arial"/>
          <w:sz w:val="20"/>
          <w:szCs w:val="20"/>
          <w:color w:val="auto"/>
        </w:rPr>
        <w:t>Except as otherwise expressly provided in our Certificate of Incorporation or required by applicable law, shares of Class A common stock and Class B common stock have the same rights and privileges and rank equally, share ratably and are identical in all respects as to all matters, including, without limitation, those described below.</w:t>
      </w:r>
    </w:p>
    <w:p>
      <w:pPr>
        <w:spacing w:after="0" w:line="200"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i w:val="1"/>
          <w:iCs w:val="1"/>
          <w:color w:val="auto"/>
        </w:rPr>
        <w:t xml:space="preserve">Dividends and Distributions. </w:t>
      </w:r>
      <w:r>
        <w:rPr>
          <w:rFonts w:ascii="Arial" w:cs="Arial" w:eastAsia="Arial" w:hAnsi="Arial"/>
          <w:sz w:val="20"/>
          <w:szCs w:val="20"/>
          <w:color w:val="auto"/>
        </w:rPr>
        <w:t>Subject to preferences that may apply to any shares of preferred stock outstanding at the time, the</w:t>
      </w:r>
      <w:r>
        <w:rPr>
          <w:rFonts w:ascii="Arial" w:cs="Arial" w:eastAsia="Arial" w:hAnsi="Arial"/>
          <w:sz w:val="20"/>
          <w:szCs w:val="20"/>
          <w:i w:val="1"/>
          <w:iCs w:val="1"/>
          <w:color w:val="auto"/>
        </w:rPr>
        <w:t xml:space="preserve"> </w:t>
      </w:r>
      <w:r>
        <w:rPr>
          <w:rFonts w:ascii="Arial" w:cs="Arial" w:eastAsia="Arial" w:hAnsi="Arial"/>
          <w:sz w:val="20"/>
          <w:szCs w:val="20"/>
          <w:color w:val="auto"/>
        </w:rPr>
        <w:t>holders of Class A common stock and Class B common stock are entitled to receive dividends, if any, as may be declared from time to time by our board of directors out of legally available funds. We have never declared or paid cash dividends on any of our capital stock and currently do not anticipate paying any cash dividends in the foreseeable future.</w:t>
      </w:r>
    </w:p>
    <w:p>
      <w:pPr>
        <w:spacing w:after="0" w:line="205" w:lineRule="exact"/>
        <w:rPr>
          <w:sz w:val="20"/>
          <w:szCs w:val="20"/>
          <w:color w:val="auto"/>
        </w:rPr>
      </w:pPr>
    </w:p>
    <w:p>
      <w:pPr>
        <w:jc w:val="both"/>
        <w:ind w:firstLine="877"/>
        <w:spacing w:after="0" w:line="291" w:lineRule="auto"/>
        <w:rPr>
          <w:sz w:val="20"/>
          <w:szCs w:val="20"/>
          <w:color w:val="auto"/>
        </w:rPr>
      </w:pPr>
      <w:r>
        <w:rPr>
          <w:rFonts w:ascii="Arial" w:cs="Arial" w:eastAsia="Arial" w:hAnsi="Arial"/>
          <w:sz w:val="18"/>
          <w:szCs w:val="18"/>
          <w:i w:val="1"/>
          <w:iCs w:val="1"/>
          <w:color w:val="auto"/>
        </w:rPr>
        <w:t xml:space="preserve">Right to Receive Liquidation Distributions. </w:t>
      </w:r>
      <w:r>
        <w:rPr>
          <w:rFonts w:ascii="Arial" w:cs="Arial" w:eastAsia="Arial" w:hAnsi="Arial"/>
          <w:sz w:val="18"/>
          <w:szCs w:val="18"/>
          <w:color w:val="auto"/>
        </w:rPr>
        <w:t>Upon our dissolution, liquidation or winding-up, the assets legally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65"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i w:val="1"/>
          <w:iCs w:val="1"/>
          <w:color w:val="auto"/>
        </w:rPr>
        <w:t xml:space="preserve">No Preemptive or Similar Rights. </w:t>
      </w:r>
      <w:r>
        <w:rPr>
          <w:rFonts w:ascii="Arial" w:cs="Arial" w:eastAsia="Arial" w:hAnsi="Arial"/>
          <w:sz w:val="20"/>
          <w:szCs w:val="20"/>
          <w:color w:val="auto"/>
        </w:rPr>
        <w:t>Holders of our Class A common stock and Class B common stock are not entitled to preemptive</w:t>
      </w:r>
      <w:r>
        <w:rPr>
          <w:rFonts w:ascii="Arial" w:cs="Arial" w:eastAsia="Arial" w:hAnsi="Arial"/>
          <w:sz w:val="20"/>
          <w:szCs w:val="20"/>
          <w:i w:val="1"/>
          <w:iCs w:val="1"/>
          <w:color w:val="auto"/>
        </w:rPr>
        <w:t xml:space="preserve"> </w:t>
      </w:r>
      <w:r>
        <w:rPr>
          <w:rFonts w:ascii="Arial" w:cs="Arial" w:eastAsia="Arial" w:hAnsi="Arial"/>
          <w:sz w:val="20"/>
          <w:szCs w:val="20"/>
          <w:color w:val="auto"/>
        </w:rPr>
        <w:t>rights and are not subject to redemption or sinking fund provisions.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w:t>
      </w:r>
    </w:p>
    <w:p>
      <w:pPr>
        <w:spacing w:after="0" w:line="229"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In addition, each share of Class B common stock will convert automatically into one share of Class A common stock upon any transfer of such share, which is defined to include entering into a voting agreement, whether or not for value, except for certain transfers described in our Certificate of Incorporation, including, without limitation, transfers to certain family members of the transferor stockholder. Finally, all shares of Class B common stock automatically convert into shares of Class A common stock, on a share for share basis, upon the date falling after the first to occur of (1) the death of Langley Steinert, our founder, Chief Executive Officer and Chairman, (2) Mr. Steinert’s voluntary termination of all employment with us and service on our board of directors, or (3) the sum of the number of shares of our capital stock held by Mr. Steinert, by any Family Member of Mr. Steinert, and by any Permitted Entity of Mr. Steinert (as such terms are defined in our Certificate of Incorporation), assuming the exercise and settlement in full of all outstanding options and convertible securities and calculated on an as-converted to Class A common stock basis, being less than 9,091,484. Shares of Class B common stock will not automatically convert into shares of Class A common stock upon the termination of Mr. Steinert’s status as an officer and director, unless such termination is either made voluntarily by Mr. Steinert or due to Mr. Steinert’s death. Once converted into Class A common stock, the converted shares of Class B common stock will not be reissued. In addition, if all shares of Class B common stock are converted into Class A common stock, then any outstanding options or convertible securities with the right to purchase or acquire shares of Class B common stock shall become a right to purchase or acquire shares of Class A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 Paid and Non-Assessable</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All of the outstanding shares of our Class A common stock and Class B common stock are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b w:val="1"/>
          <w:bCs w:val="1"/>
          <w:color w:val="auto"/>
        </w:rPr>
        <w:t>Preferred Stock</w:t>
      </w:r>
    </w:p>
    <w:p>
      <w:pPr>
        <w:spacing w:after="0" w:line="235"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Our board of directors has the authority to issue up to 10,000,000 shares of preferred stock in one or more series and to fix the rights, preferences, privileges, and restrictions thereof, provided that, prior to the Threshold Date (as such term is defined in our Certificate of Incorporation and described below), such designation is subject to the approval of holders of at least a majority of the combined voting power of our outstanding capital stock.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by us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 We have no present plan to issue any shares of preferred stock.</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Anti-Takeover Provisions of Delaware Law and Our Certificate of Incorporation and Bylaws</w:t>
      </w:r>
    </w:p>
    <w:p>
      <w:pPr>
        <w:spacing w:after="0" w:line="23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The provisions of Delaware law and of our Certificate of Incorporation and Bylaws may have the effect of delaying, deferring or discouraging another person from acquiring control of our company. These provisions, which are summarized below, may have the effect of discouraging takeover bids, coercive of otherwise.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Delaware Law</w:t>
      </w:r>
    </w:p>
    <w:p>
      <w:pPr>
        <w:spacing w:after="0" w:line="229"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of the date on which it is sought to be determined whether such person is an interested stockholder, did own, 15% or more of the corporation’s outstanding voting stock. These provisions may have the effect of delaying, deferring, or preventing a change in our control.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Certificate of Incorporation and Bylaws</w:t>
      </w:r>
    </w:p>
    <w:p>
      <w:pPr>
        <w:spacing w:after="0" w:line="229"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Our Certificate of Incorporation and Bylaws include a number of provisions, some of which will become effective only from and after the date, which we refer to as the “Threshold Date”, on which the votes applicable to the Class A common stock and Class B common stock controlled by Mr. Steinert represent less than a majority of the aggregate votes applicable to all shares of the outstanding Class A common stock and Class B common stock, which could deter hostile takeovers or delay or prevent changes in control of our management team, including the following:</w:t>
      </w:r>
    </w:p>
    <w:p>
      <w:pPr>
        <w:spacing w:after="0" w:line="208" w:lineRule="exact"/>
        <w:rPr>
          <w:sz w:val="20"/>
          <w:szCs w:val="20"/>
          <w:color w:val="auto"/>
        </w:rPr>
      </w:pPr>
    </w:p>
    <w:p>
      <w:pPr>
        <w:jc w:val="both"/>
        <w:ind w:left="880" w:hanging="440"/>
        <w:spacing w:after="0" w:line="243" w:lineRule="auto"/>
        <w:tabs>
          <w:tab w:leader="none" w:pos="880" w:val="left"/>
        </w:tabs>
        <w:numPr>
          <w:ilvl w:val="0"/>
          <w:numId w:val="54"/>
        </w:numPr>
        <w:rPr>
          <w:rFonts w:ascii="Arial" w:cs="Arial" w:eastAsia="Arial" w:hAnsi="Arial"/>
          <w:sz w:val="20"/>
          <w:szCs w:val="20"/>
          <w:color w:val="auto"/>
        </w:rPr>
      </w:pPr>
      <w:r>
        <w:rPr>
          <w:rFonts w:ascii="Arial" w:cs="Arial" w:eastAsia="Arial" w:hAnsi="Arial"/>
          <w:sz w:val="20"/>
          <w:szCs w:val="20"/>
          <w:i w:val="1"/>
          <w:iCs w:val="1"/>
          <w:color w:val="auto"/>
        </w:rPr>
        <w:t xml:space="preserve">Board Vacancies. </w:t>
      </w:r>
      <w:r>
        <w:rPr>
          <w:rFonts w:ascii="Arial" w:cs="Arial" w:eastAsia="Arial" w:hAnsi="Arial"/>
          <w:sz w:val="20"/>
          <w:szCs w:val="20"/>
          <w:color w:val="auto"/>
        </w:rPr>
        <w:t>Our Certificate of Incorporation and Bylaws provide that, from and after the Threshold Date only our board of</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will be authorized to fill vacant directorships, including newly created seats, and that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These provisions make it more difficult to change the composition of our board of directors but promote continuity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3" w:name="page124"/>
    <w:bookmarkEnd w:id="123"/>
    <w:p>
      <w:pPr>
        <w:jc w:val="both"/>
        <w:ind w:left="440" w:hanging="440"/>
        <w:spacing w:after="0" w:line="291"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Certificate of Incorporation and Bylaws provide that our board of directors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65" w:lineRule="exact"/>
        <w:rPr>
          <w:rFonts w:ascii="Arial" w:cs="Arial" w:eastAsia="Arial" w:hAnsi="Arial"/>
          <w:sz w:val="18"/>
          <w:szCs w:val="18"/>
          <w:color w:val="auto"/>
        </w:rPr>
      </w:pPr>
    </w:p>
    <w:p>
      <w:pPr>
        <w:jc w:val="both"/>
        <w:ind w:left="440" w:hanging="440"/>
        <w:spacing w:after="0" w:line="256" w:lineRule="auto"/>
        <w:tabs>
          <w:tab w:leader="none" w:pos="440"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Stockholder Action; Special Meeting of Stockholders. </w:t>
      </w:r>
      <w:r>
        <w:rPr>
          <w:rFonts w:ascii="Arial" w:cs="Arial" w:eastAsia="Arial" w:hAnsi="Arial"/>
          <w:sz w:val="19"/>
          <w:szCs w:val="19"/>
          <w:color w:val="auto"/>
        </w:rPr>
        <w:t>Our Certificate of Incorporation and Bylaws provide that from and 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Threshold Date our stockholders may not take action by written consent, but may only take action at an annual or special meetings of our stockholders. As a result, from and after the Threshold Date a holder controlling a majority of our capital stock would not be able to amend our Bylaws or remove directors without holding a meeting of our stockholders called in accordance with our Bylaws. Our Certificate of Incorporation further provides that special meetings of our stockholders may be called only by a majority of our board of directors, the chairman of our board of directors (if one has been appointed) or, prior to the Threshold Date, by the holders of a majority of the combined voting power of our outstanding capital stock, thus prohibiting from and after the Threshold Date a stockholder from calling a special meeting. These provisions might, from and after the Threshold Date, delay the ability of our stockholders to force consideration of a proposal or for stockholders controlling a majority of our capital stock to take any action, including the removal of directors.</w:t>
      </w:r>
    </w:p>
    <w:p>
      <w:pPr>
        <w:spacing w:after="0" w:line="194" w:lineRule="exact"/>
        <w:rPr>
          <w:rFonts w:ascii="Arial" w:cs="Arial" w:eastAsia="Arial" w:hAnsi="Arial"/>
          <w:sz w:val="19"/>
          <w:szCs w:val="19"/>
          <w:color w:val="auto"/>
        </w:rPr>
      </w:pPr>
    </w:p>
    <w:p>
      <w:pPr>
        <w:jc w:val="both"/>
        <w:ind w:left="440" w:hanging="440"/>
        <w:spacing w:after="0" w:line="258" w:lineRule="auto"/>
        <w:tabs>
          <w:tab w:leader="none" w:pos="440"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Advance Notice Requirements for Stockholder Proposals and Director Nominations. </w:t>
      </w:r>
      <w:r>
        <w:rPr>
          <w:rFonts w:ascii="Arial" w:cs="Arial" w:eastAsia="Arial" w:hAnsi="Arial"/>
          <w:sz w:val="19"/>
          <w:szCs w:val="19"/>
          <w:color w:val="auto"/>
        </w:rPr>
        <w:t>Our Bylaws provide advance notice procedures</w:t>
      </w:r>
      <w:r>
        <w:rPr>
          <w:rFonts w:ascii="Arial" w:cs="Arial" w:eastAsia="Arial" w:hAnsi="Arial"/>
          <w:sz w:val="19"/>
          <w:szCs w:val="19"/>
          <w:i w:val="1"/>
          <w:iCs w:val="1"/>
          <w:color w:val="auto"/>
        </w:rPr>
        <w:t xml:space="preserve"> </w:t>
      </w:r>
      <w:r>
        <w:rPr>
          <w:rFonts w:ascii="Arial" w:cs="Arial" w:eastAsia="Arial" w:hAnsi="Arial"/>
          <w:sz w:val="19"/>
          <w:szCs w:val="19"/>
          <w:color w:val="auto"/>
        </w:rPr>
        <w:t>for 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92" w:lineRule="exact"/>
        <w:rPr>
          <w:rFonts w:ascii="Arial" w:cs="Arial" w:eastAsia="Arial" w:hAnsi="Arial"/>
          <w:sz w:val="19"/>
          <w:szCs w:val="19"/>
          <w:color w:val="auto"/>
        </w:rPr>
      </w:pPr>
    </w:p>
    <w:p>
      <w:pPr>
        <w:jc w:val="both"/>
        <w:ind w:left="440" w:hanging="440"/>
        <w:spacing w:after="0" w:line="250" w:lineRule="auto"/>
        <w:tabs>
          <w:tab w:leader="none" w:pos="440"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 xml:space="preserve">No Cumulative Voting. </w:t>
      </w:r>
      <w:r>
        <w:rPr>
          <w:rFonts w:ascii="Arial" w:cs="Arial" w:eastAsia="Arial" w:hAnsi="Arial"/>
          <w:sz w:val="20"/>
          <w:szCs w:val="20"/>
          <w:color w:val="auto"/>
        </w:rPr>
        <w:t>The Delaware General Corporation Law provides that stockholders are not entitled to the right to cumulate</w:t>
      </w:r>
      <w:r>
        <w:rPr>
          <w:rFonts w:ascii="Arial" w:cs="Arial" w:eastAsia="Arial" w:hAnsi="Arial"/>
          <w:sz w:val="20"/>
          <w:szCs w:val="20"/>
          <w:i w:val="1"/>
          <w:iCs w:val="1"/>
          <w:color w:val="auto"/>
        </w:rPr>
        <w:t xml:space="preserve"> </w:t>
      </w:r>
      <w:r>
        <w:rPr>
          <w:rFonts w:ascii="Arial" w:cs="Arial" w:eastAsia="Arial" w:hAnsi="Arial"/>
          <w:sz w:val="20"/>
          <w:szCs w:val="20"/>
          <w:color w:val="auto"/>
        </w:rPr>
        <w:t>votes in the election of directors unless a corporation’s certificate of incorporation provides otherwise. Our Certificate of Incorporation does not provide for cumulative voting.</w:t>
      </w:r>
    </w:p>
    <w:p>
      <w:pPr>
        <w:spacing w:after="0" w:line="199" w:lineRule="exact"/>
        <w:rPr>
          <w:rFonts w:ascii="Arial" w:cs="Arial" w:eastAsia="Arial" w:hAnsi="Arial"/>
          <w:sz w:val="20"/>
          <w:szCs w:val="20"/>
          <w:color w:val="auto"/>
        </w:rPr>
      </w:pPr>
    </w:p>
    <w:p>
      <w:pPr>
        <w:ind w:left="440" w:hanging="440"/>
        <w:spacing w:after="0" w:line="260" w:lineRule="auto"/>
        <w:tabs>
          <w:tab w:leader="none" w:pos="440"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 xml:space="preserve">Directors Removed Only for Cause. </w:t>
      </w:r>
      <w:r>
        <w:rPr>
          <w:rFonts w:ascii="Arial" w:cs="Arial" w:eastAsia="Arial" w:hAnsi="Arial"/>
          <w:sz w:val="20"/>
          <w:szCs w:val="20"/>
          <w:color w:val="auto"/>
        </w:rPr>
        <w:t>Our Certificate of Incorporation provides that from and after the Threshold Date stockholders</w:t>
      </w:r>
      <w:r>
        <w:rPr>
          <w:rFonts w:ascii="Arial" w:cs="Arial" w:eastAsia="Arial" w:hAnsi="Arial"/>
          <w:sz w:val="20"/>
          <w:szCs w:val="20"/>
          <w:i w:val="1"/>
          <w:iCs w:val="1"/>
          <w:color w:val="auto"/>
        </w:rPr>
        <w:t xml:space="preserve"> </w:t>
      </w:r>
      <w:r>
        <w:rPr>
          <w:rFonts w:ascii="Arial" w:cs="Arial" w:eastAsia="Arial" w:hAnsi="Arial"/>
          <w:sz w:val="20"/>
          <w:szCs w:val="20"/>
          <w:color w:val="auto"/>
        </w:rPr>
        <w:t>may remove directors only for cause.</w:t>
      </w:r>
    </w:p>
    <w:p>
      <w:pPr>
        <w:spacing w:after="0" w:line="190" w:lineRule="exact"/>
        <w:rPr>
          <w:rFonts w:ascii="Arial" w:cs="Arial" w:eastAsia="Arial" w:hAnsi="Arial"/>
          <w:sz w:val="20"/>
          <w:szCs w:val="20"/>
          <w:color w:val="auto"/>
        </w:rPr>
      </w:pPr>
    </w:p>
    <w:p>
      <w:pPr>
        <w:jc w:val="both"/>
        <w:ind w:left="440" w:hanging="440"/>
        <w:spacing w:after="0" w:line="250" w:lineRule="auto"/>
        <w:tabs>
          <w:tab w:leader="none" w:pos="440"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 xml:space="preserve">Amendment of Certificate of Incorporation Provisions. </w:t>
      </w:r>
      <w:r>
        <w:rPr>
          <w:rFonts w:ascii="Arial" w:cs="Arial" w:eastAsia="Arial" w:hAnsi="Arial"/>
          <w:sz w:val="20"/>
          <w:szCs w:val="20"/>
          <w:color w:val="auto"/>
        </w:rPr>
        <w:t>Any amendment of the above provisions in our Certificate of Incorporation</w:t>
      </w:r>
      <w:r>
        <w:rPr>
          <w:rFonts w:ascii="Arial" w:cs="Arial" w:eastAsia="Arial" w:hAnsi="Arial"/>
          <w:sz w:val="20"/>
          <w:szCs w:val="20"/>
          <w:i w:val="1"/>
          <w:iCs w:val="1"/>
          <w:color w:val="auto"/>
        </w:rPr>
        <w:t xml:space="preserve"> </w:t>
      </w:r>
      <w:r>
        <w:rPr>
          <w:rFonts w:ascii="Arial" w:cs="Arial" w:eastAsia="Arial" w:hAnsi="Arial"/>
          <w:sz w:val="20"/>
          <w:szCs w:val="20"/>
          <w:color w:val="auto"/>
        </w:rPr>
        <w:t>from and after the Threshold Date will require approval by holders of at least 66</w:t>
      </w:r>
      <w:r>
        <w:rPr>
          <w:rFonts w:ascii="Arial" w:cs="Arial" w:eastAsia="Arial" w:hAnsi="Arial"/>
          <w:sz w:val="16"/>
          <w:szCs w:val="16"/>
          <w:color w:val="auto"/>
        </w:rPr>
        <w:t>2/3</w:t>
      </w:r>
      <w:r>
        <w:rPr>
          <w:rFonts w:ascii="Arial" w:cs="Arial" w:eastAsia="Arial" w:hAnsi="Arial"/>
          <w:sz w:val="20"/>
          <w:szCs w:val="20"/>
          <w:color w:val="auto"/>
        </w:rPr>
        <w:t>% of the combined voting power of our then outstanding capital stock.</w:t>
      </w:r>
    </w:p>
    <w:p>
      <w:pPr>
        <w:spacing w:after="0" w:line="199" w:lineRule="exact"/>
        <w:rPr>
          <w:rFonts w:ascii="Arial" w:cs="Arial" w:eastAsia="Arial" w:hAnsi="Arial"/>
          <w:sz w:val="20"/>
          <w:szCs w:val="20"/>
          <w:color w:val="auto"/>
        </w:rPr>
      </w:pPr>
    </w:p>
    <w:p>
      <w:pPr>
        <w:jc w:val="both"/>
        <w:ind w:left="440" w:hanging="440"/>
        <w:spacing w:after="0" w:line="243" w:lineRule="auto"/>
        <w:tabs>
          <w:tab w:leader="none" w:pos="440"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 xml:space="preserve">Issuance of Undesignated Preferred Stock. </w:t>
      </w:r>
      <w:r>
        <w:rPr>
          <w:rFonts w:ascii="Arial" w:cs="Arial" w:eastAsia="Arial" w:hAnsi="Arial"/>
          <w:sz w:val="20"/>
          <w:szCs w:val="20"/>
          <w:color w:val="auto"/>
        </w:rPr>
        <w:t>Our board of directors has the authority to issue up to 10,000,000 shares of undesignated</w:t>
      </w:r>
      <w:r>
        <w:rPr>
          <w:rFonts w:ascii="Arial" w:cs="Arial" w:eastAsia="Arial" w:hAnsi="Arial"/>
          <w:sz w:val="20"/>
          <w:szCs w:val="20"/>
          <w:i w:val="1"/>
          <w:iCs w:val="1"/>
          <w:color w:val="auto"/>
        </w:rPr>
        <w:t xml:space="preserve"> </w:t>
      </w:r>
      <w:r>
        <w:rPr>
          <w:rFonts w:ascii="Arial" w:cs="Arial" w:eastAsia="Arial" w:hAnsi="Arial"/>
          <w:sz w:val="20"/>
          <w:szCs w:val="20"/>
          <w:color w:val="auto"/>
        </w:rPr>
        <w:t>preferred stock with rights and preferences, including voting rights, designated from time to time by our board of directors, provided that prior to the Threshold Date such designation is subject to the approval of holders of a majority of the combined voting power of our outstanding common stock.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474345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68" w:right="2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Exclusive Jurisdiction</w:t>
      </w:r>
    </w:p>
    <w:p>
      <w:pPr>
        <w:spacing w:after="0" w:line="235"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Certificate of Incorporation and Bylaws; (iv) any action to interpret, apply, enforce or determine the validity of our Certificate of Incorporation and Bylaws; or (v) any action asserting a claim against us or any of our directors, officers, or other employees or agents governed by the internal affairs doctrine.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35" w:lineRule="exact"/>
        <w:rPr>
          <w:sz w:val="20"/>
          <w:szCs w:val="20"/>
          <w:color w:val="auto"/>
        </w:rPr>
      </w:pPr>
    </w:p>
    <w:p>
      <w:pPr>
        <w:jc w:val="both"/>
        <w:ind w:right="20" w:firstLine="877"/>
        <w:spacing w:after="0" w:line="260" w:lineRule="auto"/>
        <w:rPr>
          <w:sz w:val="20"/>
          <w:szCs w:val="20"/>
          <w:color w:val="auto"/>
        </w:rPr>
      </w:pPr>
      <w:r>
        <w:rPr>
          <w:rFonts w:ascii="Arial" w:cs="Arial" w:eastAsia="Arial" w:hAnsi="Arial"/>
          <w:sz w:val="20"/>
          <w:szCs w:val="20"/>
          <w:color w:val="auto"/>
        </w:rPr>
        <w:t>The transfer agent and registrar for our Class A common stock is Broadridge Corporate Issuer Solutions. The transfer agent and registrar’s address is 1717 Arch Street, Suite 1300, Philadelphia, Pennsylvania 19103.</w:t>
      </w:r>
    </w:p>
    <w:p>
      <w:pPr>
        <w:sectPr>
          <w:pgSz w:w="11900" w:h="16838" w:orient="portrait"/>
          <w:cols w:equalWidth="0" w:num="1">
            <w:col w:w="11420"/>
          </w:cols>
          <w:pgMar w:left="240" w:top="333"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CarGurus,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Auto List,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CarGurus Canada, Inc., a company incorporated under the laws of the Province of British Columbia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CarGurus Ireland Limited, an Irish Private Company Limited by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CarGurus Securities Corp., a Massachusetts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CarGurus UK Limited, a U.K. Private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CGSC, Inc., a Massachusetts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Pistonheads Holdco Limited, a U.K. Private Limited Company</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333-221090) pertaining to the Omnibus Incentive Compensation Plan and the Amended and Restated 2015 Equity Incentive Plan of CarGurus, Inc. of our reports dated February 14, 2020, with respect to the consolidated financial statements of CarGurus, Inc. and the effectiveness of internal control over financial reporting of CarGurus, Inc., included in this Annual Report (Form 10-K)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Langley Steinert, certify that:</w:t>
      </w:r>
    </w:p>
    <w:p>
      <w:pPr>
        <w:spacing w:after="0" w:line="225"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14, 2020</w:t>
            </w: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By: /s/ Langley Steinert</w:t>
            </w:r>
          </w:p>
        </w:tc>
      </w:tr>
      <w:tr>
        <w:trPr>
          <w:trHeight w:val="222"/>
        </w:trPr>
        <w:tc>
          <w:tcPr>
            <w:tcW w:w="3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14, 2020</w:t>
            </w: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By: /s/ Jason Trevisan</w:t>
            </w:r>
          </w:p>
        </w:tc>
      </w:tr>
      <w:tr>
        <w:trPr>
          <w:trHeight w:val="222"/>
        </w:trPr>
        <w:tc>
          <w:tcPr>
            <w:tcW w:w="3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35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In connection with the Annual Report on Form 10-K of CarGurus, Inc. (the “Company”) for the period ending December 31, 2019 as filed with the Securities and Exchange Commission on the date hereof (the “Report”), I, Langley Steinert, Chief Executive Officer and Chairman of the Company, certify, pursuant to 18 U.S.C. § 1350, as adopted pursuant to § 906 of the Sarbanes-Oxley Act of 2002, that, based on my knowledge:</w:t>
      </w:r>
    </w:p>
    <w:p>
      <w:pPr>
        <w:spacing w:after="0" w:line="166" w:lineRule="exact"/>
        <w:rPr>
          <w:sz w:val="20"/>
          <w:szCs w:val="20"/>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14, 2020</w:t>
            </w: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By: /s/ Langley Steinert</w:t>
            </w:r>
          </w:p>
        </w:tc>
      </w:tr>
      <w:tr>
        <w:trPr>
          <w:trHeight w:val="222"/>
        </w:trPr>
        <w:tc>
          <w:tcPr>
            <w:tcW w:w="3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In connection with the Annual Report on Form 10-K of CarGurus, Inc. (the “Company”) for the period ending December 31, 2019 as filed with the Securities and Exchange Commission on the date hereof (the “Report”), I, Jason Trevisan, Chief Financial Officer and President, International of the Company, certify, pursuant to 18 U.S.C. § 1350, as adopted pursuant to § 906 of the Sarbanes-Oxley Act of 2002, that, based on my knowledge:</w:t>
      </w:r>
    </w:p>
    <w:p>
      <w:pPr>
        <w:spacing w:after="0" w:line="147" w:lineRule="exact"/>
        <w:rPr>
          <w:sz w:val="20"/>
          <w:szCs w:val="20"/>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14, 2020</w:t>
            </w: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By: /s/ Jason Trevisan</w:t>
            </w:r>
          </w:p>
        </w:tc>
      </w:tr>
      <w:tr>
        <w:trPr>
          <w:trHeight w:val="222"/>
        </w:trPr>
        <w:tc>
          <w:tcPr>
            <w:tcW w:w="3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 and President, International</w:t>
            </w:r>
          </w:p>
        </w:tc>
      </w:tr>
      <w:tr>
        <w:trPr>
          <w:trHeight w:val="230"/>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2"/>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1)"/>
      <w:numFmt w:val="decimal"/>
      <w:start w:val="3"/>
    </w:lvl>
  </w:abstractNum>
  <w:abstractNum w:abstractNumId="37">
    <w:nsid w:val="32FFF902"/>
    <w:multiLevelType w:val="hybridMultilevel"/>
    <w:lvl w:ilvl="0">
      <w:lvlJc w:val="left"/>
      <w:lvlText w:val="(%1)"/>
      <w:numFmt w:val="decimal"/>
      <w:start w:val="5"/>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2"/>
    </w:lvl>
  </w:abstractNum>
  <w:abstractNum w:abstractNumId="41">
    <w:nsid w:val="3DC240FB"/>
    <w:multiLevelType w:val="hybridMultilevel"/>
    <w:lvl w:ilvl="0">
      <w:lvlJc w:val="left"/>
      <w:lvlText w:val="(%1)"/>
      <w:numFmt w:val="lowerRoman"/>
      <w:start w:val="2"/>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lowerLetter"/>
      <w:start w:val="9"/>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lowerRoman"/>
      <w:start w:val="1"/>
    </w:lvl>
  </w:abstractNum>
  <w:abstractNum w:abstractNumId="49">
    <w:nsid w:val="4F4EF005"/>
    <w:multiLevelType w:val="hybridMultilevel"/>
    <w:lvl w:ilvl="0">
      <w:lvlJc w:val="left"/>
      <w:lvlText w:val="(%1)"/>
      <w:numFmt w:val="lowerLetter"/>
      <w:start w:val="1"/>
    </w:lvl>
    <w:lvl w:ilvl="1">
      <w:lvlJc w:val="left"/>
      <w:lvlText w:val="(%2)"/>
      <w:numFmt w:val="decimal"/>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42" Type="http://schemas.openxmlformats.org/officeDocument/2006/relationships/hyperlink" Target="http://www.sec.gov/Archives/edgar/data/1494259/000110465917062378/a17-24010_1ex3d1.htm" TargetMode="External"/><Relationship Id="rId143" Type="http://schemas.openxmlformats.org/officeDocument/2006/relationships/hyperlink" Target="http://www.sec.gov/Archives/edgar/data/1494259/000110465917062378/a17-24010_1ex3d2.htm" TargetMode="External"/><Relationship Id="rId144" Type="http://schemas.openxmlformats.org/officeDocument/2006/relationships/hyperlink" Target="http://www.sec.gov/Archives/edgar/data/1494259/000104746917006138/a2233329zex-4_1.htm" TargetMode="External"/><Relationship Id="rId145" Type="http://schemas.openxmlformats.org/officeDocument/2006/relationships/hyperlink" Target="http://www.sec.gov/Archives/edgar/data/1494259/000104746917005904/a2233230zex-4_2.htm" TargetMode="External"/><Relationship Id="rId146" Type="http://schemas.openxmlformats.org/officeDocument/2006/relationships/hyperlink" Target="http://www.sec.gov/Archives/edgar/data/1494259/000104746917005904/a2233230zex-10_1.htm" TargetMode="External"/><Relationship Id="rId147" Type="http://schemas.openxmlformats.org/officeDocument/2006/relationships/hyperlink" Target="http://www.sec.gov/Archives/edgar/data/1494259/000104746917005904/a2233230zex-10_2.htm" TargetMode="External"/><Relationship Id="rId148" Type="http://schemas.openxmlformats.org/officeDocument/2006/relationships/hyperlink" Target="http://www.sec.gov/Archives/edgar/data/1494259/000104746917006138/a2233329zex-10_3.htm" TargetMode="External"/><Relationship Id="rId149" Type="http://schemas.openxmlformats.org/officeDocument/2006/relationships/hyperlink" Target="http://www.sec.gov/Archives/edgar/data/1494259/000104746917006138/a2233329zex-10_4.htm" TargetMode="External"/><Relationship Id="rId150" Type="http://schemas.openxmlformats.org/officeDocument/2006/relationships/hyperlink" Target="http://www.sec.gov/Archives/edgar/data/1494259/000104746917005904/a2233230zex-10_5.htm" TargetMode="External"/><Relationship Id="rId151" Type="http://schemas.openxmlformats.org/officeDocument/2006/relationships/hyperlink" Target="http://www.sec.gov/Archives/edgar/data/1494259/000104746917005904/a2233230zex-10_6.htm" TargetMode="External"/><Relationship Id="rId152" Type="http://schemas.openxmlformats.org/officeDocument/2006/relationships/hyperlink" Target="http://www.sec.gov/Archives/edgar/data/1494259/000104746917005904/a2233230zex-10_7.htm" TargetMode="External"/><Relationship Id="rId153" Type="http://schemas.openxmlformats.org/officeDocument/2006/relationships/hyperlink" Target="http://www.sec.gov/Archives/edgar/data/1494259/000156459019005473/carg-ex108_14.htm" TargetMode="External"/><Relationship Id="rId154" Type="http://schemas.openxmlformats.org/officeDocument/2006/relationships/hyperlink" Target="http://www.sec.gov/Archives/edgar/data/1494259/000156459019005473/carg-ex109_15.htm" TargetMode="External"/><Relationship Id="rId155" Type="http://schemas.openxmlformats.org/officeDocument/2006/relationships/hyperlink" Target="http://www.sec.gov/Archives/edgar/data/1494259/000156459019005473/carg-ex1010_325.htm" TargetMode="External"/><Relationship Id="rId156" Type="http://schemas.openxmlformats.org/officeDocument/2006/relationships/hyperlink" Target="http://www.sec.gov/Archives/edgar/data/1494259/000104746917005904/a2233230zex-10_8.htm" TargetMode="External"/><Relationship Id="rId157" Type="http://schemas.openxmlformats.org/officeDocument/2006/relationships/hyperlink" Target="http://www.sec.gov/Archives/edgar/data/1494259/000104746917005904/a2233230zex-10_9.htm" TargetMode="External"/><Relationship Id="rId158" Type="http://schemas.openxmlformats.org/officeDocument/2006/relationships/hyperlink" Target="http://www.sec.gov/Archives/edgar/data/1494259/000104746917005904/a2233230zex-10_10.htm" TargetMode="External"/><Relationship Id="rId159" Type="http://schemas.openxmlformats.org/officeDocument/2006/relationships/hyperlink" Target="http://www.sec.gov/Archives/edgar/data/1494259/000119312518096041/d557263dex101.htm" TargetMode="External"/><Relationship Id="rId160" Type="http://schemas.openxmlformats.org/officeDocument/2006/relationships/hyperlink" Target="http://www.sec.gov/Archives/edgar/data/1494259/000119312518110054/d556560dex101.htm" TargetMode="External"/><Relationship Id="rId161" Type="http://schemas.openxmlformats.org/officeDocument/2006/relationships/hyperlink" Target="http://www.sec.gov/Archives/edgar/data/1494259/000156459018010708/carg-ex103_187.htm" TargetMode="External"/><Relationship Id="rId162" Type="http://schemas.openxmlformats.org/officeDocument/2006/relationships/hyperlink" Target="http://www.sec.gov/Archives/edgar/data/1494259/000119312518197983/d778651dex101.htm" TargetMode="External"/><Relationship Id="rId163" Type="http://schemas.openxmlformats.org/officeDocument/2006/relationships/hyperlink" Target="http://www.sec.gov/Archives/edgar/data/1494259/000156459019029355/carg-ex101_12.htm" TargetMode="External"/><Relationship Id="rId166" Type="http://schemas.openxmlformats.org/officeDocument/2006/relationships/hyperlink" Target="http://www.sec.gov/Archives/edgar/data/1494259/000156459019040396/carg-ex101_7.htm" TargetMode="External"/><Relationship Id="rId167" Type="http://schemas.openxmlformats.org/officeDocument/2006/relationships/hyperlink" Target="http://www.sec.gov/Archives/edgar/data/1494259/000119312519320928/d85194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2020-02-14T15:42:46Z</dcterms:created>
  <dcterms:modified xsi:type="dcterms:W3CDTF">2020-02-14T15:42:46Z</dcterms:modified>
</cp:coreProperties>
</file>