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00002D"/>
        </w:rPr>
        <w:t>UNITED STATES</w:t>
      </w:r>
    </w:p>
    <w:p>
      <w:pPr>
        <w:spacing w:after="0" w:line="1" w:lineRule="exact"/>
        <w:rPr>
          <w:sz w:val="24"/>
          <w:szCs w:val="24"/>
          <w:color w:val="auto"/>
        </w:rPr>
      </w:pPr>
    </w:p>
    <w:p>
      <w:pPr>
        <w:jc w:val="center"/>
        <w:ind w:right="40"/>
        <w:spacing w:after="0"/>
        <w:rPr>
          <w:sz w:val="20"/>
          <w:szCs w:val="20"/>
          <w:color w:val="auto"/>
        </w:rPr>
      </w:pPr>
      <w:r>
        <w:rPr>
          <w:rFonts w:ascii="Calibri" w:cs="Calibri" w:eastAsia="Calibri" w:hAnsi="Calibri"/>
          <w:sz w:val="22"/>
          <w:szCs w:val="22"/>
          <w:b w:val="1"/>
          <w:bCs w:val="1"/>
          <w:color w:val="00002D"/>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Calibri" w:cs="Calibri" w:eastAsia="Calibri" w:hAnsi="Calibri"/>
          <w:sz w:val="16"/>
          <w:szCs w:val="16"/>
          <w:b w:val="1"/>
          <w:bCs w:val="1"/>
          <w:color w:val="00002D"/>
        </w:rPr>
        <w:t>Washington, D.C .20549</w:t>
      </w:r>
    </w:p>
    <w:p>
      <w:pPr>
        <w:spacing w:after="0" w:line="42" w:lineRule="exact"/>
        <w:rPr>
          <w:sz w:val="24"/>
          <w:szCs w:val="24"/>
          <w:color w:val="auto"/>
        </w:rPr>
      </w:pPr>
    </w:p>
    <w:p>
      <w:pPr>
        <w:jc w:val="center"/>
        <w:ind w:right="40"/>
        <w:spacing w:after="0"/>
        <w:rPr>
          <w:sz w:val="20"/>
          <w:szCs w:val="20"/>
          <w:color w:val="auto"/>
        </w:rPr>
      </w:pPr>
      <w:r>
        <w:rPr>
          <w:rFonts w:ascii="Calibri" w:cs="Calibri" w:eastAsia="Calibri" w:hAnsi="Calibri"/>
          <w:sz w:val="22"/>
          <w:szCs w:val="22"/>
          <w:b w:val="1"/>
          <w:bCs w:val="1"/>
          <w:color w:val="00002D"/>
        </w:rPr>
        <w:t>FORM 10-K</w:t>
      </w:r>
    </w:p>
    <w:p>
      <w:pPr>
        <w:spacing w:after="0" w:line="12"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00002D"/>
        </w:rPr>
        <w:t>(Mark One)</w:t>
      </w:r>
    </w:p>
    <w:p>
      <w:pPr>
        <w:spacing w:after="0" w:line="2" w:lineRule="exact"/>
        <w:rPr>
          <w:sz w:val="24"/>
          <w:szCs w:val="24"/>
          <w:color w:val="auto"/>
        </w:rPr>
      </w:pPr>
    </w:p>
    <w:p>
      <w:pPr>
        <w:ind w:left="4140" w:right="2200" w:hanging="2991"/>
        <w:spacing w:after="0" w:line="296" w:lineRule="auto"/>
        <w:tabs>
          <w:tab w:leader="none" w:pos="2449" w:val="left"/>
        </w:tabs>
        <w:numPr>
          <w:ilvl w:val="0"/>
          <w:numId w:val="1"/>
        </w:numPr>
        <w:rPr>
          <w:rFonts w:ascii="MS PGothic" w:cs="MS PGothic" w:eastAsia="MS PGothic" w:hAnsi="MS PGothic"/>
          <w:sz w:val="16"/>
          <w:szCs w:val="16"/>
          <w:color w:val="auto"/>
          <w:shd w:val="clear" w:color="auto" w:fill="00002D"/>
        </w:rPr>
      </w:pPr>
      <w:r>
        <w:rPr>
          <w:rFonts w:ascii="Calibri" w:cs="Calibri" w:eastAsia="Calibri" w:hAnsi="Calibri"/>
          <w:sz w:val="16"/>
          <w:szCs w:val="16"/>
          <w:b w:val="1"/>
          <w:bCs w:val="1"/>
          <w:color w:val="00002D"/>
        </w:rPr>
        <w:t>ANNUAL REPORT PURSUANT TO SECTION 13 OR 15(d) OF THE SECURITIES EXCHANGE ACT OF 1934 For the fscal year ended December 31, 2024</w:t>
      </w:r>
    </w:p>
    <w:p>
      <w:pPr>
        <w:spacing w:after="0" w:line="259" w:lineRule="exact"/>
        <w:rPr>
          <w:sz w:val="24"/>
          <w:szCs w:val="24"/>
          <w:color w:val="auto"/>
        </w:rPr>
      </w:pPr>
    </w:p>
    <w:p>
      <w:pPr>
        <w:ind w:left="2320" w:hanging="1340"/>
        <w:spacing w:after="0"/>
        <w:tabs>
          <w:tab w:leader="none" w:pos="2320" w:val="left"/>
        </w:tabs>
        <w:numPr>
          <w:ilvl w:val="0"/>
          <w:numId w:val="2"/>
        </w:numPr>
        <w:rPr>
          <w:rFonts w:ascii="MS PGothic" w:cs="MS PGothic" w:eastAsia="MS PGothic" w:hAnsi="MS PGothic"/>
          <w:sz w:val="16"/>
          <w:szCs w:val="16"/>
          <w:color w:val="auto"/>
          <w:shd w:val="clear" w:color="auto" w:fill="00002D"/>
        </w:rPr>
      </w:pPr>
      <w:r>
        <w:rPr>
          <w:rFonts w:ascii="Calibri" w:cs="Calibri" w:eastAsia="Calibri" w:hAnsi="Calibri"/>
          <w:sz w:val="16"/>
          <w:szCs w:val="16"/>
          <w:b w:val="1"/>
          <w:bCs w:val="1"/>
          <w:color w:val="00002D"/>
        </w:rPr>
        <w:t>TRANSITION REPORT PURSUANT TO SECTION 13 OR 15(d) OF THE SECURITIES EXCHANGE ACT OF 1934</w:t>
      </w:r>
    </w:p>
    <w:p>
      <w:pPr>
        <w:spacing w:after="0" w:line="61" w:lineRule="exact"/>
        <w:rPr>
          <w:sz w:val="24"/>
          <w:szCs w:val="24"/>
          <w:color w:val="auto"/>
        </w:rPr>
      </w:pPr>
    </w:p>
    <w:p>
      <w:pPr>
        <w:ind w:left="3100"/>
        <w:spacing w:after="0"/>
        <w:rPr>
          <w:sz w:val="20"/>
          <w:szCs w:val="20"/>
          <w:color w:val="auto"/>
        </w:rPr>
      </w:pPr>
      <w:r>
        <w:rPr>
          <w:rFonts w:ascii="Calibri" w:cs="Calibri" w:eastAsia="Calibri" w:hAnsi="Calibri"/>
          <w:sz w:val="16"/>
          <w:szCs w:val="16"/>
          <w:b w:val="1"/>
          <w:bCs w:val="1"/>
          <w:color w:val="00002D"/>
        </w:rPr>
        <w:t>For the transiton period from _________________ to _________________</w:t>
      </w:r>
    </w:p>
    <w:p>
      <w:pPr>
        <w:spacing w:after="0" w:line="39" w:lineRule="exact"/>
        <w:rPr>
          <w:sz w:val="24"/>
          <w:szCs w:val="24"/>
          <w:color w:val="auto"/>
        </w:rPr>
      </w:pPr>
    </w:p>
    <w:p>
      <w:pPr>
        <w:jc w:val="center"/>
        <w:ind w:right="20"/>
        <w:spacing w:after="0"/>
        <w:rPr>
          <w:sz w:val="20"/>
          <w:szCs w:val="20"/>
          <w:color w:val="auto"/>
        </w:rPr>
      </w:pPr>
      <w:r>
        <w:rPr>
          <w:rFonts w:ascii="Calibri" w:cs="Calibri" w:eastAsia="Calibri" w:hAnsi="Calibri"/>
          <w:sz w:val="14"/>
          <w:szCs w:val="14"/>
          <w:b w:val="1"/>
          <w:bCs w:val="1"/>
          <w:color w:val="00002D"/>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12700</wp:posOffset>
            </wp:positionV>
            <wp:extent cx="108013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391"/>
        </w:trPr>
        <w:tc>
          <w:tcPr>
            <w:tcW w:w="3900" w:type="dxa"/>
            <w:vAlign w:val="bottom"/>
          </w:tcPr>
          <w:p>
            <w:pPr>
              <w:spacing w:after="0"/>
              <w:rPr>
                <w:sz w:val="24"/>
                <w:szCs w:val="24"/>
                <w:color w:val="auto"/>
              </w:rPr>
            </w:pPr>
          </w:p>
        </w:tc>
        <w:tc>
          <w:tcPr>
            <w:tcW w:w="3120" w:type="dxa"/>
            <w:vAlign w:val="bottom"/>
          </w:tcPr>
          <w:p>
            <w:pPr>
              <w:jc w:val="center"/>
              <w:ind w:left="242"/>
              <w:spacing w:after="0"/>
              <w:rPr>
                <w:sz w:val="20"/>
                <w:szCs w:val="20"/>
                <w:color w:val="auto"/>
              </w:rPr>
            </w:pPr>
            <w:r>
              <w:rPr>
                <w:rFonts w:ascii="Calibri" w:cs="Calibri" w:eastAsia="Calibri" w:hAnsi="Calibri"/>
                <w:sz w:val="32"/>
                <w:szCs w:val="32"/>
                <w:b w:val="1"/>
                <w:bCs w:val="1"/>
                <w:color w:val="00002D"/>
              </w:rPr>
              <w:t>CARGURUS, INC.</w:t>
            </w: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7"/>
        </w:trPr>
        <w:tc>
          <w:tcPr>
            <w:tcW w:w="3900" w:type="dxa"/>
            <w:vAlign w:val="bottom"/>
          </w:tcPr>
          <w:p>
            <w:pPr>
              <w:spacing w:after="0"/>
              <w:rPr>
                <w:sz w:val="17"/>
                <w:szCs w:val="17"/>
                <w:color w:val="auto"/>
              </w:rPr>
            </w:pPr>
          </w:p>
        </w:tc>
        <w:tc>
          <w:tcPr>
            <w:tcW w:w="4960" w:type="dxa"/>
            <w:vAlign w:val="bottom"/>
            <w:gridSpan w:val="2"/>
          </w:tcPr>
          <w:p>
            <w:pPr>
              <w:jc w:val="center"/>
              <w:ind w:right="1470"/>
              <w:spacing w:after="0"/>
              <w:rPr>
                <w:sz w:val="20"/>
                <w:szCs w:val="20"/>
                <w:color w:val="auto"/>
              </w:rPr>
            </w:pPr>
            <w:r>
              <w:rPr>
                <w:rFonts w:ascii="Calibri" w:cs="Calibri" w:eastAsia="Calibri" w:hAnsi="Calibri"/>
                <w:sz w:val="14"/>
                <w:szCs w:val="14"/>
                <w:b w:val="1"/>
                <w:bCs w:val="1"/>
                <w:color w:val="00002D"/>
              </w:rPr>
              <w:t>(Exact name of Registrant as specifed in its charter)</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9"/>
        </w:trPr>
        <w:tc>
          <w:tcPr>
            <w:tcW w:w="3900" w:type="dxa"/>
            <w:vAlign w:val="bottom"/>
          </w:tcPr>
          <w:p>
            <w:pPr>
              <w:ind w:left="2520"/>
              <w:spacing w:after="0"/>
              <w:rPr>
                <w:sz w:val="20"/>
                <w:szCs w:val="20"/>
                <w:color w:val="auto"/>
              </w:rPr>
            </w:pPr>
            <w:r>
              <w:rPr>
                <w:rFonts w:ascii="Calibri" w:cs="Calibri" w:eastAsia="Calibri" w:hAnsi="Calibri"/>
                <w:sz w:val="16"/>
                <w:szCs w:val="16"/>
                <w:b w:val="1"/>
                <w:bCs w:val="1"/>
                <w:color w:val="00002D"/>
              </w:rPr>
              <w:t>Delaware</w:t>
            </w:r>
          </w:p>
        </w:tc>
        <w:tc>
          <w:tcPr>
            <w:tcW w:w="3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Calibri" w:cs="Calibri" w:eastAsia="Calibri" w:hAnsi="Calibri"/>
                <w:sz w:val="16"/>
                <w:szCs w:val="16"/>
                <w:b w:val="1"/>
                <w:bCs w:val="1"/>
                <w:color w:val="00002D"/>
              </w:rPr>
              <w:t>04-3843478</w:t>
            </w:r>
          </w:p>
        </w:tc>
        <w:tc>
          <w:tcPr>
            <w:tcW w:w="1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66"/>
        </w:trPr>
        <w:tc>
          <w:tcPr>
            <w:tcW w:w="7020" w:type="dxa"/>
            <w:vAlign w:val="bottom"/>
            <w:gridSpan w:val="2"/>
          </w:tcPr>
          <w:p>
            <w:pPr>
              <w:ind w:left="1340"/>
              <w:spacing w:after="0"/>
              <w:rPr>
                <w:sz w:val="20"/>
                <w:szCs w:val="20"/>
                <w:color w:val="auto"/>
              </w:rPr>
            </w:pPr>
            <w:r>
              <w:rPr>
                <w:rFonts w:ascii="Calibri" w:cs="Calibri" w:eastAsia="Calibri" w:hAnsi="Calibri"/>
                <w:sz w:val="13"/>
                <w:szCs w:val="13"/>
                <w:i w:val="1"/>
                <w:iCs w:val="1"/>
                <w:color w:val="00002D"/>
              </w:rPr>
              <w:t>(State or other jurisdicton of incorporaton or organizaton)</w:t>
            </w:r>
          </w:p>
        </w:tc>
        <w:tc>
          <w:tcPr>
            <w:tcW w:w="3200" w:type="dxa"/>
            <w:vAlign w:val="bottom"/>
            <w:gridSpan w:val="2"/>
          </w:tcPr>
          <w:p>
            <w:pPr>
              <w:jc w:val="center"/>
              <w:ind w:right="353"/>
              <w:spacing w:after="0"/>
              <w:rPr>
                <w:sz w:val="20"/>
                <w:szCs w:val="20"/>
                <w:color w:val="auto"/>
              </w:rPr>
            </w:pPr>
            <w:r>
              <w:rPr>
                <w:rFonts w:ascii="Calibri" w:cs="Calibri" w:eastAsia="Calibri" w:hAnsi="Calibri"/>
                <w:sz w:val="13"/>
                <w:szCs w:val="13"/>
                <w:i w:val="1"/>
                <w:iCs w:val="1"/>
                <w:color w:val="00002D"/>
              </w:rPr>
              <w:t>(I.R.S. Employer Identfcaton No.)</w:t>
            </w:r>
          </w:p>
        </w:tc>
        <w:tc>
          <w:tcPr>
            <w:tcW w:w="1020" w:type="dxa"/>
            <w:vAlign w:val="bottom"/>
          </w:tcPr>
          <w:p>
            <w:pPr>
              <w:spacing w:after="0"/>
              <w:rPr>
                <w:sz w:val="14"/>
                <w:szCs w:val="14"/>
                <w:color w:val="auto"/>
              </w:rPr>
            </w:pPr>
          </w:p>
        </w:tc>
      </w:tr>
      <w:tr>
        <w:trPr>
          <w:trHeight w:val="284"/>
        </w:trPr>
        <w:tc>
          <w:tcPr>
            <w:tcW w:w="8860" w:type="dxa"/>
            <w:vAlign w:val="bottom"/>
            <w:gridSpan w:val="3"/>
          </w:tcPr>
          <w:p>
            <w:pPr>
              <w:jc w:val="center"/>
              <w:ind w:left="2332"/>
              <w:spacing w:after="0"/>
              <w:rPr>
                <w:sz w:val="20"/>
                <w:szCs w:val="20"/>
                <w:color w:val="auto"/>
              </w:rPr>
            </w:pPr>
            <w:r>
              <w:rPr>
                <w:rFonts w:ascii="Calibri" w:cs="Calibri" w:eastAsia="Calibri" w:hAnsi="Calibri"/>
                <w:sz w:val="16"/>
                <w:szCs w:val="16"/>
                <w:b w:val="1"/>
                <w:bCs w:val="1"/>
                <w:color w:val="00002D"/>
              </w:rPr>
              <w:t>1001 Boylston Street, 16</w:t>
            </w:r>
            <w:r>
              <w:rPr>
                <w:rFonts w:ascii="Calibri" w:cs="Calibri" w:eastAsia="Calibri" w:hAnsi="Calibri"/>
                <w:sz w:val="21"/>
                <w:szCs w:val="21"/>
                <w:b w:val="1"/>
                <w:bCs w:val="1"/>
                <w:color w:val="00002D"/>
                <w:vertAlign w:val="superscript"/>
              </w:rPr>
              <w:t>th</w:t>
            </w:r>
            <w:r>
              <w:rPr>
                <w:rFonts w:ascii="Calibri" w:cs="Calibri" w:eastAsia="Calibri" w:hAnsi="Calibri"/>
                <w:sz w:val="16"/>
                <w:szCs w:val="16"/>
                <w:b w:val="1"/>
                <w:bCs w:val="1"/>
                <w:color w:val="00002D"/>
              </w:rPr>
              <w:t xml:space="preserve"> Floor Boston, Massachusets 02115</w:t>
            </w: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8"/>
        </w:trPr>
        <w:tc>
          <w:tcPr>
            <w:tcW w:w="3900" w:type="dxa"/>
            <w:vAlign w:val="bottom"/>
          </w:tcPr>
          <w:p>
            <w:pPr>
              <w:spacing w:after="0"/>
              <w:rPr>
                <w:sz w:val="12"/>
                <w:szCs w:val="12"/>
                <w:color w:val="auto"/>
              </w:rPr>
            </w:pPr>
          </w:p>
        </w:tc>
        <w:tc>
          <w:tcPr>
            <w:tcW w:w="3120" w:type="dxa"/>
            <w:vAlign w:val="bottom"/>
          </w:tcPr>
          <w:p>
            <w:pPr>
              <w:jc w:val="center"/>
              <w:ind w:left="242"/>
              <w:spacing w:after="0" w:line="149" w:lineRule="exact"/>
              <w:rPr>
                <w:sz w:val="20"/>
                <w:szCs w:val="20"/>
                <w:color w:val="auto"/>
              </w:rPr>
            </w:pPr>
            <w:r>
              <w:rPr>
                <w:rFonts w:ascii="Calibri" w:cs="Calibri" w:eastAsia="Calibri" w:hAnsi="Calibri"/>
                <w:sz w:val="13"/>
                <w:szCs w:val="13"/>
                <w:i w:val="1"/>
                <w:iCs w:val="1"/>
                <w:color w:val="00002D"/>
              </w:rPr>
              <w:t>(Address of principal executve ofces Zip Code)</w:t>
            </w:r>
          </w:p>
        </w:tc>
        <w:tc>
          <w:tcPr>
            <w:tcW w:w="1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7"/>
        </w:trPr>
        <w:tc>
          <w:tcPr>
            <w:tcW w:w="3900" w:type="dxa"/>
            <w:vAlign w:val="bottom"/>
          </w:tcPr>
          <w:p>
            <w:pPr>
              <w:spacing w:after="0"/>
              <w:rPr>
                <w:sz w:val="17"/>
                <w:szCs w:val="17"/>
                <w:color w:val="auto"/>
              </w:rPr>
            </w:pPr>
          </w:p>
        </w:tc>
        <w:tc>
          <w:tcPr>
            <w:tcW w:w="3120" w:type="dxa"/>
            <w:vAlign w:val="bottom"/>
          </w:tcPr>
          <w:p>
            <w:pPr>
              <w:jc w:val="center"/>
              <w:ind w:left="222"/>
              <w:spacing w:after="0"/>
              <w:rPr>
                <w:sz w:val="20"/>
                <w:szCs w:val="20"/>
                <w:color w:val="auto"/>
              </w:rPr>
            </w:pPr>
            <w:r>
              <w:rPr>
                <w:rFonts w:ascii="Calibri" w:cs="Calibri" w:eastAsia="Calibri" w:hAnsi="Calibri"/>
                <w:sz w:val="14"/>
                <w:szCs w:val="14"/>
                <w:b w:val="1"/>
                <w:bCs w:val="1"/>
                <w:color w:val="00002D"/>
              </w:rPr>
              <w:t>(617) 354-0068</w:t>
            </w:r>
          </w:p>
        </w:tc>
        <w:tc>
          <w:tcPr>
            <w:tcW w:w="1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5"/>
        </w:trPr>
        <w:tc>
          <w:tcPr>
            <w:tcW w:w="3900" w:type="dxa"/>
            <w:vAlign w:val="bottom"/>
          </w:tcPr>
          <w:p>
            <w:pPr>
              <w:spacing w:after="0"/>
              <w:rPr>
                <w:sz w:val="16"/>
                <w:szCs w:val="16"/>
                <w:color w:val="auto"/>
              </w:rPr>
            </w:pPr>
          </w:p>
        </w:tc>
        <w:tc>
          <w:tcPr>
            <w:tcW w:w="3120" w:type="dxa"/>
            <w:vAlign w:val="bottom"/>
          </w:tcPr>
          <w:p>
            <w:pPr>
              <w:jc w:val="center"/>
              <w:ind w:left="262"/>
              <w:spacing w:after="0"/>
              <w:rPr>
                <w:sz w:val="20"/>
                <w:szCs w:val="20"/>
                <w:color w:val="auto"/>
              </w:rPr>
            </w:pPr>
            <w:r>
              <w:rPr>
                <w:rFonts w:ascii="Calibri" w:cs="Calibri" w:eastAsia="Calibri" w:hAnsi="Calibri"/>
                <w:sz w:val="13"/>
                <w:szCs w:val="13"/>
                <w:i w:val="1"/>
                <w:iCs w:val="1"/>
                <w:color w:val="00002D"/>
                <w:w w:val="96"/>
              </w:rPr>
              <w:t>(Registrant's telephone number, including area code)</w:t>
            </w: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7"/>
        </w:trPr>
        <w:tc>
          <w:tcPr>
            <w:tcW w:w="3900" w:type="dxa"/>
            <w:vAlign w:val="bottom"/>
          </w:tcPr>
          <w:p>
            <w:pPr>
              <w:spacing w:after="0"/>
              <w:rPr>
                <w:sz w:val="17"/>
                <w:szCs w:val="17"/>
                <w:color w:val="auto"/>
              </w:rPr>
            </w:pPr>
          </w:p>
        </w:tc>
        <w:tc>
          <w:tcPr>
            <w:tcW w:w="4960" w:type="dxa"/>
            <w:vAlign w:val="bottom"/>
            <w:gridSpan w:val="2"/>
          </w:tcPr>
          <w:p>
            <w:pPr>
              <w:jc w:val="center"/>
              <w:ind w:right="1450"/>
              <w:spacing w:after="0"/>
              <w:rPr>
                <w:sz w:val="20"/>
                <w:szCs w:val="20"/>
                <w:color w:val="auto"/>
              </w:rPr>
            </w:pPr>
            <w:r>
              <w:rPr>
                <w:rFonts w:ascii="Calibri" w:cs="Calibri" w:eastAsia="Calibri" w:hAnsi="Calibri"/>
                <w:sz w:val="14"/>
                <w:szCs w:val="14"/>
                <w:color w:val="00002D"/>
              </w:rPr>
              <w:t>Securites registered pursuant to Secton 12(b) of the Act:</w:t>
            </w: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900" w:type="dxa"/>
            <w:vAlign w:val="bottom"/>
          </w:tcPr>
          <w:p>
            <w:pPr>
              <w:ind w:left="860"/>
              <w:spacing w:after="0"/>
              <w:rPr>
                <w:sz w:val="20"/>
                <w:szCs w:val="20"/>
                <w:color w:val="auto"/>
              </w:rPr>
            </w:pPr>
            <w:r>
              <w:rPr>
                <w:rFonts w:ascii="Calibri" w:cs="Calibri" w:eastAsia="Calibri" w:hAnsi="Calibri"/>
                <w:sz w:val="14"/>
                <w:szCs w:val="14"/>
                <w:b w:val="1"/>
                <w:bCs w:val="1"/>
                <w:color w:val="00002D"/>
              </w:rPr>
              <w:t>Class A Common Stock, par value $0.001 per share</w:t>
            </w:r>
          </w:p>
        </w:tc>
        <w:tc>
          <w:tcPr>
            <w:tcW w:w="3120" w:type="dxa"/>
            <w:vAlign w:val="bottom"/>
          </w:tcPr>
          <w:p>
            <w:pPr>
              <w:jc w:val="center"/>
              <w:ind w:left="262"/>
              <w:spacing w:after="0"/>
              <w:rPr>
                <w:sz w:val="20"/>
                <w:szCs w:val="20"/>
                <w:color w:val="auto"/>
              </w:rPr>
            </w:pPr>
            <w:r>
              <w:rPr>
                <w:rFonts w:ascii="Calibri" w:cs="Calibri" w:eastAsia="Calibri" w:hAnsi="Calibri"/>
                <w:sz w:val="14"/>
                <w:szCs w:val="14"/>
                <w:b w:val="1"/>
                <w:bCs w:val="1"/>
                <w:color w:val="00002D"/>
              </w:rPr>
              <w:t>CARG</w:t>
            </w:r>
          </w:p>
        </w:tc>
        <w:tc>
          <w:tcPr>
            <w:tcW w:w="4220" w:type="dxa"/>
            <w:vAlign w:val="bottom"/>
            <w:gridSpan w:val="3"/>
          </w:tcPr>
          <w:p>
            <w:pPr>
              <w:jc w:val="center"/>
              <w:ind w:right="413"/>
              <w:spacing w:after="0"/>
              <w:rPr>
                <w:sz w:val="20"/>
                <w:szCs w:val="20"/>
                <w:color w:val="auto"/>
              </w:rPr>
            </w:pPr>
            <w:r>
              <w:rPr>
                <w:rFonts w:ascii="Calibri" w:cs="Calibri" w:eastAsia="Calibri" w:hAnsi="Calibri"/>
                <w:sz w:val="14"/>
                <w:szCs w:val="14"/>
                <w:b w:val="1"/>
                <w:bCs w:val="1"/>
                <w:color w:val="00002D"/>
              </w:rPr>
              <w:t>The Nasdaq Stock Market LLC (Nasdaq Global Select Market)</w:t>
            </w:r>
          </w:p>
        </w:tc>
      </w:tr>
      <w:tr>
        <w:trPr>
          <w:trHeight w:val="158"/>
        </w:trPr>
        <w:tc>
          <w:tcPr>
            <w:tcW w:w="3900" w:type="dxa"/>
            <w:vAlign w:val="bottom"/>
          </w:tcPr>
          <w:p>
            <w:pPr>
              <w:ind w:left="1880"/>
              <w:spacing w:after="0"/>
              <w:rPr>
                <w:sz w:val="20"/>
                <w:szCs w:val="20"/>
                <w:color w:val="auto"/>
              </w:rPr>
            </w:pPr>
            <w:r>
              <w:rPr>
                <w:rFonts w:ascii="Calibri" w:cs="Calibri" w:eastAsia="Calibri" w:hAnsi="Calibri"/>
                <w:sz w:val="13"/>
                <w:szCs w:val="13"/>
                <w:i w:val="1"/>
                <w:iCs w:val="1"/>
                <w:color w:val="00002D"/>
              </w:rPr>
              <w:t>(Title of Each Class)</w:t>
            </w:r>
          </w:p>
        </w:tc>
        <w:tc>
          <w:tcPr>
            <w:tcW w:w="3120" w:type="dxa"/>
            <w:vAlign w:val="bottom"/>
          </w:tcPr>
          <w:p>
            <w:pPr>
              <w:jc w:val="center"/>
              <w:ind w:left="282"/>
              <w:spacing w:after="0"/>
              <w:rPr>
                <w:sz w:val="20"/>
                <w:szCs w:val="20"/>
                <w:color w:val="auto"/>
              </w:rPr>
            </w:pPr>
            <w:r>
              <w:rPr>
                <w:rFonts w:ascii="Calibri" w:cs="Calibri" w:eastAsia="Calibri" w:hAnsi="Calibri"/>
                <w:sz w:val="13"/>
                <w:szCs w:val="13"/>
                <w:i w:val="1"/>
                <w:iCs w:val="1"/>
                <w:color w:val="00002D"/>
                <w:w w:val="98"/>
              </w:rPr>
              <w:t>(Trading Symbol)</w:t>
            </w:r>
          </w:p>
        </w:tc>
        <w:tc>
          <w:tcPr>
            <w:tcW w:w="3200" w:type="dxa"/>
            <w:vAlign w:val="bottom"/>
            <w:gridSpan w:val="2"/>
          </w:tcPr>
          <w:p>
            <w:pPr>
              <w:jc w:val="center"/>
              <w:ind w:left="470"/>
              <w:spacing w:after="0"/>
              <w:rPr>
                <w:sz w:val="20"/>
                <w:szCs w:val="20"/>
                <w:color w:val="auto"/>
              </w:rPr>
            </w:pPr>
            <w:r>
              <w:rPr>
                <w:rFonts w:ascii="Calibri" w:cs="Calibri" w:eastAsia="Calibri" w:hAnsi="Calibri"/>
                <w:sz w:val="13"/>
                <w:szCs w:val="13"/>
                <w:i w:val="1"/>
                <w:iCs w:val="1"/>
                <w:color w:val="00002D"/>
                <w:w w:val="96"/>
              </w:rPr>
              <w:t>(Name of Each Exchange on Which Registered)</w:t>
            </w:r>
          </w:p>
        </w:tc>
        <w:tc>
          <w:tcPr>
            <w:tcW w:w="1020" w:type="dxa"/>
            <w:vAlign w:val="bottom"/>
          </w:tcPr>
          <w:p>
            <w:pPr>
              <w:spacing w:after="0"/>
              <w:rPr>
                <w:sz w:val="13"/>
                <w:szCs w:val="13"/>
                <w:color w:val="auto"/>
              </w:rPr>
            </w:pPr>
          </w:p>
        </w:tc>
      </w:tr>
      <w:tr>
        <w:trPr>
          <w:trHeight w:val="220"/>
        </w:trPr>
        <w:tc>
          <w:tcPr>
            <w:tcW w:w="3900" w:type="dxa"/>
            <w:vAlign w:val="bottom"/>
          </w:tcPr>
          <w:p>
            <w:pPr>
              <w:spacing w:after="0"/>
              <w:rPr>
                <w:sz w:val="19"/>
                <w:szCs w:val="19"/>
                <w:color w:val="auto"/>
              </w:rPr>
            </w:pPr>
          </w:p>
        </w:tc>
        <w:tc>
          <w:tcPr>
            <w:tcW w:w="4960" w:type="dxa"/>
            <w:vAlign w:val="bottom"/>
            <w:gridSpan w:val="2"/>
          </w:tcPr>
          <w:p>
            <w:pPr>
              <w:jc w:val="center"/>
              <w:ind w:right="1470"/>
              <w:spacing w:after="0"/>
              <w:rPr>
                <w:sz w:val="20"/>
                <w:szCs w:val="20"/>
                <w:color w:val="auto"/>
              </w:rPr>
            </w:pPr>
            <w:r>
              <w:rPr>
                <w:rFonts w:ascii="Calibri" w:cs="Calibri" w:eastAsia="Calibri" w:hAnsi="Calibri"/>
                <w:sz w:val="14"/>
                <w:szCs w:val="14"/>
                <w:color w:val="00002D"/>
              </w:rPr>
              <w:t>Securites registered pursuant to Secton 12(g) of the Act:</w:t>
            </w: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6"/>
        </w:trPr>
        <w:tc>
          <w:tcPr>
            <w:tcW w:w="3900" w:type="dxa"/>
            <w:vAlign w:val="bottom"/>
          </w:tcPr>
          <w:p>
            <w:pPr>
              <w:spacing w:after="0"/>
              <w:rPr>
                <w:sz w:val="15"/>
                <w:szCs w:val="15"/>
                <w:color w:val="auto"/>
              </w:rPr>
            </w:pPr>
          </w:p>
        </w:tc>
        <w:tc>
          <w:tcPr>
            <w:tcW w:w="3120" w:type="dxa"/>
            <w:vAlign w:val="bottom"/>
          </w:tcPr>
          <w:p>
            <w:pPr>
              <w:jc w:val="center"/>
              <w:ind w:left="242"/>
              <w:spacing w:after="0"/>
              <w:rPr>
                <w:sz w:val="20"/>
                <w:szCs w:val="20"/>
                <w:color w:val="auto"/>
              </w:rPr>
            </w:pPr>
            <w:r>
              <w:rPr>
                <w:rFonts w:ascii="Calibri" w:cs="Calibri" w:eastAsia="Calibri" w:hAnsi="Calibri"/>
                <w:sz w:val="14"/>
                <w:szCs w:val="14"/>
                <w:b w:val="1"/>
                <w:bCs w:val="1"/>
                <w:color w:val="00002D"/>
              </w:rPr>
              <w:t>None</w:t>
            </w:r>
          </w:p>
        </w:tc>
        <w:tc>
          <w:tcPr>
            <w:tcW w:w="1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43"/>
        </w:trPr>
        <w:tc>
          <w:tcPr>
            <w:tcW w:w="3900" w:type="dxa"/>
            <w:vAlign w:val="bottom"/>
          </w:tcPr>
          <w:p>
            <w:pPr>
              <w:ind w:left="20"/>
              <w:spacing w:after="0"/>
              <w:rPr>
                <w:sz w:val="20"/>
                <w:szCs w:val="20"/>
                <w:color w:val="auto"/>
              </w:rPr>
            </w:pPr>
            <w:r>
              <w:rPr>
                <w:rFonts w:ascii="Calibri" w:cs="Calibri" w:eastAsia="Calibri" w:hAnsi="Calibri"/>
                <w:sz w:val="16"/>
                <w:szCs w:val="16"/>
                <w:b w:val="1"/>
                <w:bCs w:val="1"/>
                <w:color w:val="auto"/>
              </w:rPr>
              <w:t>Indicate by check mark:</w:t>
            </w:r>
          </w:p>
        </w:tc>
        <w:tc>
          <w:tcPr>
            <w:tcW w:w="3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jc w:val="center"/>
              <w:ind w:right="933"/>
              <w:spacing w:after="0"/>
              <w:rPr>
                <w:sz w:val="20"/>
                <w:szCs w:val="20"/>
                <w:color w:val="auto"/>
              </w:rPr>
            </w:pPr>
            <w:r>
              <w:rPr>
                <w:rFonts w:ascii="Calibri" w:cs="Calibri" w:eastAsia="Calibri" w:hAnsi="Calibri"/>
                <w:sz w:val="16"/>
                <w:szCs w:val="16"/>
                <w:b w:val="1"/>
                <w:bCs w:val="1"/>
                <w:color w:val="auto"/>
              </w:rPr>
              <w:t>Yes</w:t>
            </w:r>
          </w:p>
        </w:tc>
        <w:tc>
          <w:tcPr>
            <w:tcW w:w="1020" w:type="dxa"/>
            <w:vAlign w:val="bottom"/>
          </w:tcPr>
          <w:p>
            <w:pPr>
              <w:jc w:val="center"/>
              <w:ind w:right="513"/>
              <w:spacing w:after="0"/>
              <w:rPr>
                <w:sz w:val="20"/>
                <w:szCs w:val="20"/>
                <w:color w:val="auto"/>
              </w:rPr>
            </w:pPr>
            <w:r>
              <w:rPr>
                <w:rFonts w:ascii="Calibri" w:cs="Calibri" w:eastAsia="Calibri" w:hAnsi="Calibri"/>
                <w:sz w:val="16"/>
                <w:szCs w:val="16"/>
                <w:b w:val="1"/>
                <w:bCs w:val="1"/>
                <w:color w:val="auto"/>
              </w:rPr>
              <w:t>No</w:t>
            </w:r>
          </w:p>
        </w:tc>
      </w:tr>
      <w:tr>
        <w:trPr>
          <w:trHeight w:val="34"/>
        </w:trPr>
        <w:tc>
          <w:tcPr>
            <w:tcW w:w="7020" w:type="dxa"/>
            <w:vAlign w:val="bottom"/>
            <w:tcBorders>
              <w:bottom w:val="single" w:sz="8" w:color="3465B0"/>
            </w:tcBorders>
            <w:gridSpan w:val="2"/>
          </w:tcPr>
          <w:p>
            <w:pPr>
              <w:spacing w:after="0"/>
              <w:rPr>
                <w:sz w:val="3"/>
                <w:szCs w:val="3"/>
                <w:color w:val="auto"/>
              </w:rPr>
            </w:pPr>
          </w:p>
        </w:tc>
        <w:tc>
          <w:tcPr>
            <w:tcW w:w="1840" w:type="dxa"/>
            <w:vAlign w:val="bottom"/>
            <w:tcBorders>
              <w:bottom w:val="single" w:sz="8" w:color="3465B0"/>
            </w:tcBorders>
          </w:tcPr>
          <w:p>
            <w:pPr>
              <w:spacing w:after="0"/>
              <w:rPr>
                <w:sz w:val="3"/>
                <w:szCs w:val="3"/>
                <w:color w:val="auto"/>
              </w:rPr>
            </w:pPr>
          </w:p>
        </w:tc>
        <w:tc>
          <w:tcPr>
            <w:tcW w:w="1360" w:type="dxa"/>
            <w:vAlign w:val="bottom"/>
            <w:tcBorders>
              <w:bottom w:val="single" w:sz="8" w:color="3465B0"/>
            </w:tcBorders>
          </w:tcPr>
          <w:p>
            <w:pPr>
              <w:spacing w:after="0"/>
              <w:rPr>
                <w:sz w:val="3"/>
                <w:szCs w:val="3"/>
                <w:color w:val="auto"/>
              </w:rPr>
            </w:pPr>
          </w:p>
        </w:tc>
        <w:tc>
          <w:tcPr>
            <w:tcW w:w="1020" w:type="dxa"/>
            <w:vAlign w:val="bottom"/>
            <w:tcBorders>
              <w:bottom w:val="single" w:sz="8" w:color="3465B0"/>
            </w:tcBorders>
          </w:tcPr>
          <w:p>
            <w:pPr>
              <w:spacing w:after="0"/>
              <w:rPr>
                <w:sz w:val="3"/>
                <w:szCs w:val="3"/>
                <w:color w:val="auto"/>
              </w:rPr>
            </w:pPr>
          </w:p>
        </w:tc>
      </w:tr>
      <w:tr>
        <w:trPr>
          <w:trHeight w:val="162"/>
        </w:trPr>
        <w:tc>
          <w:tcPr>
            <w:tcW w:w="7020" w:type="dxa"/>
            <w:vAlign w:val="bottom"/>
            <w:tcBorders>
              <w:bottom w:val="single" w:sz="8" w:color="DAE1EB"/>
            </w:tcBorders>
            <w:gridSpan w:val="2"/>
          </w:tcPr>
          <w:p>
            <w:pPr>
              <w:ind w:left="80"/>
              <w:spacing w:after="0"/>
              <w:rPr>
                <w:sz w:val="20"/>
                <w:szCs w:val="20"/>
                <w:color w:val="auto"/>
              </w:rPr>
            </w:pPr>
            <w:r>
              <w:rPr>
                <w:rFonts w:ascii="Times New Roman" w:cs="Times New Roman" w:eastAsia="Times New Roman" w:hAnsi="Times New Roman"/>
                <w:sz w:val="13"/>
                <w:szCs w:val="13"/>
                <w:color w:val="3465B0"/>
              </w:rPr>
              <w:t xml:space="preserve">• </w:t>
            </w:r>
            <w:r>
              <w:rPr>
                <w:rFonts w:ascii="Calibri" w:cs="Calibri" w:eastAsia="Calibri" w:hAnsi="Calibri"/>
                <w:sz w:val="13"/>
                <w:szCs w:val="13"/>
                <w:color w:val="00002D"/>
              </w:rPr>
              <w:t>if the registrant is a well-known seasoned issuer, as defned in Rule 405 of the Securites Act.</w:t>
            </w:r>
          </w:p>
        </w:tc>
        <w:tc>
          <w:tcPr>
            <w:tcW w:w="1840" w:type="dxa"/>
            <w:vAlign w:val="bottom"/>
            <w:tcBorders>
              <w:bottom w:val="single" w:sz="8" w:color="DAE1EB"/>
            </w:tcBorders>
          </w:tcPr>
          <w:p>
            <w:pPr>
              <w:spacing w:after="0"/>
              <w:rPr>
                <w:sz w:val="14"/>
                <w:szCs w:val="14"/>
                <w:color w:val="auto"/>
              </w:rPr>
            </w:pPr>
          </w:p>
        </w:tc>
        <w:tc>
          <w:tcPr>
            <w:tcW w:w="1360" w:type="dxa"/>
            <w:vAlign w:val="bottom"/>
            <w:tcBorders>
              <w:bottom w:val="single" w:sz="8" w:color="DAE1EB"/>
            </w:tcBorders>
          </w:tcPr>
          <w:p>
            <w:pPr>
              <w:jc w:val="center"/>
              <w:ind w:right="933"/>
              <w:spacing w:after="0" w:line="131" w:lineRule="exact"/>
              <w:rPr>
                <w:sz w:val="20"/>
                <w:szCs w:val="20"/>
                <w:color w:val="auto"/>
              </w:rPr>
            </w:pPr>
            <w:r>
              <w:rPr>
                <w:rFonts w:ascii="MS PGothic" w:cs="MS PGothic" w:eastAsia="MS PGothic" w:hAnsi="MS PGothic"/>
                <w:sz w:val="13"/>
                <w:szCs w:val="13"/>
                <w:color w:val="00002D"/>
                <w:w w:val="91"/>
              </w:rPr>
              <w:t>☒</w:t>
            </w:r>
          </w:p>
        </w:tc>
        <w:tc>
          <w:tcPr>
            <w:tcW w:w="1020" w:type="dxa"/>
            <w:vAlign w:val="bottom"/>
            <w:tcBorders>
              <w:bottom w:val="single" w:sz="8" w:color="DAE1EB"/>
            </w:tcBorders>
          </w:tcPr>
          <w:p>
            <w:pPr>
              <w:jc w:val="center"/>
              <w:ind w:right="513"/>
              <w:spacing w:after="0" w:line="131" w:lineRule="exact"/>
              <w:rPr>
                <w:sz w:val="20"/>
                <w:szCs w:val="20"/>
                <w:color w:val="auto"/>
              </w:rPr>
            </w:pPr>
            <w:r>
              <w:rPr>
                <w:rFonts w:ascii="MS PGothic" w:cs="MS PGothic" w:eastAsia="MS PGothic" w:hAnsi="MS PGothic"/>
                <w:sz w:val="13"/>
                <w:szCs w:val="13"/>
                <w:color w:val="00002D"/>
                <w:w w:val="91"/>
              </w:rPr>
              <w:t>☐</w:t>
            </w:r>
          </w:p>
        </w:tc>
      </w:tr>
      <w:tr>
        <w:trPr>
          <w:trHeight w:val="155"/>
        </w:trPr>
        <w:tc>
          <w:tcPr>
            <w:tcW w:w="7020" w:type="dxa"/>
            <w:vAlign w:val="bottom"/>
            <w:tcBorders>
              <w:bottom w:val="single" w:sz="8" w:color="DAE1EB"/>
            </w:tcBorders>
            <w:gridSpan w:val="2"/>
          </w:tcPr>
          <w:p>
            <w:pPr>
              <w:ind w:left="80"/>
              <w:spacing w:after="0" w:line="156" w:lineRule="exact"/>
              <w:rPr>
                <w:sz w:val="20"/>
                <w:szCs w:val="20"/>
                <w:color w:val="auto"/>
              </w:rPr>
            </w:pPr>
            <w:r>
              <w:rPr>
                <w:rFonts w:ascii="Times New Roman" w:cs="Times New Roman" w:eastAsia="Times New Roman" w:hAnsi="Times New Roman"/>
                <w:sz w:val="13"/>
                <w:szCs w:val="13"/>
                <w:color w:val="3465B0"/>
              </w:rPr>
              <w:t xml:space="preserve">• </w:t>
            </w:r>
            <w:r>
              <w:rPr>
                <w:rFonts w:ascii="Calibri" w:cs="Calibri" w:eastAsia="Calibri" w:hAnsi="Calibri"/>
                <w:sz w:val="13"/>
                <w:szCs w:val="13"/>
                <w:color w:val="00002D"/>
              </w:rPr>
              <w:t>if the registrant is not required to fle reports pursuant to Secton 13 or 15(d) of the Act.</w:t>
            </w:r>
          </w:p>
        </w:tc>
        <w:tc>
          <w:tcPr>
            <w:tcW w:w="1840" w:type="dxa"/>
            <w:vAlign w:val="bottom"/>
            <w:tcBorders>
              <w:bottom w:val="single" w:sz="8" w:color="DAE1EB"/>
            </w:tcBorders>
          </w:tcPr>
          <w:p>
            <w:pPr>
              <w:spacing w:after="0"/>
              <w:rPr>
                <w:sz w:val="13"/>
                <w:szCs w:val="13"/>
                <w:color w:val="auto"/>
              </w:rPr>
            </w:pPr>
          </w:p>
        </w:tc>
        <w:tc>
          <w:tcPr>
            <w:tcW w:w="1360" w:type="dxa"/>
            <w:vAlign w:val="bottom"/>
            <w:tcBorders>
              <w:bottom w:val="single" w:sz="8" w:color="DAE1EB"/>
            </w:tcBorders>
          </w:tcPr>
          <w:p>
            <w:pPr>
              <w:jc w:val="center"/>
              <w:ind w:right="933"/>
              <w:spacing w:after="0" w:line="131" w:lineRule="exact"/>
              <w:rPr>
                <w:sz w:val="20"/>
                <w:szCs w:val="20"/>
                <w:color w:val="auto"/>
              </w:rPr>
            </w:pPr>
            <w:r>
              <w:rPr>
                <w:rFonts w:ascii="MS PGothic" w:cs="MS PGothic" w:eastAsia="MS PGothic" w:hAnsi="MS PGothic"/>
                <w:sz w:val="13"/>
                <w:szCs w:val="13"/>
                <w:color w:val="00002D"/>
                <w:w w:val="91"/>
              </w:rPr>
              <w:t>☐</w:t>
            </w:r>
          </w:p>
        </w:tc>
        <w:tc>
          <w:tcPr>
            <w:tcW w:w="1020" w:type="dxa"/>
            <w:vAlign w:val="bottom"/>
            <w:tcBorders>
              <w:bottom w:val="single" w:sz="8" w:color="DAE1EB"/>
            </w:tcBorders>
          </w:tcPr>
          <w:p>
            <w:pPr>
              <w:jc w:val="center"/>
              <w:ind w:right="513"/>
              <w:spacing w:after="0" w:line="131" w:lineRule="exact"/>
              <w:rPr>
                <w:sz w:val="20"/>
                <w:szCs w:val="20"/>
                <w:color w:val="auto"/>
              </w:rPr>
            </w:pPr>
            <w:r>
              <w:rPr>
                <w:rFonts w:ascii="MS PGothic" w:cs="MS PGothic" w:eastAsia="MS PGothic" w:hAnsi="MS PGothic"/>
                <w:sz w:val="13"/>
                <w:szCs w:val="13"/>
                <w:color w:val="00002D"/>
                <w:w w:val="91"/>
              </w:rPr>
              <w:t>☒</w:t>
            </w:r>
          </w:p>
        </w:tc>
      </w:tr>
      <w:tr>
        <w:trPr>
          <w:trHeight w:val="132"/>
        </w:trPr>
        <w:tc>
          <w:tcPr>
            <w:tcW w:w="886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3"/>
                <w:szCs w:val="13"/>
                <w:color w:val="3465B0"/>
              </w:rPr>
              <w:t xml:space="preserve">• </w:t>
            </w:r>
            <w:r>
              <w:rPr>
                <w:rFonts w:ascii="Calibri" w:cs="Calibri" w:eastAsia="Calibri" w:hAnsi="Calibri"/>
                <w:sz w:val="13"/>
                <w:szCs w:val="13"/>
                <w:color w:val="00002D"/>
              </w:rPr>
              <w:t>whether the registrant (1) has fled all reports required to be fled by Secton 13 or 15(d) of the Securites Exchange Act of 1934 during the preceding 12</w:t>
            </w:r>
          </w:p>
        </w:tc>
        <w:tc>
          <w:tcPr>
            <w:tcW w:w="1360" w:type="dxa"/>
            <w:vAlign w:val="bottom"/>
          </w:tcPr>
          <w:p>
            <w:pPr>
              <w:jc w:val="center"/>
              <w:ind w:right="933"/>
              <w:spacing w:after="0" w:line="131" w:lineRule="exact"/>
              <w:rPr>
                <w:sz w:val="20"/>
                <w:szCs w:val="20"/>
                <w:color w:val="auto"/>
              </w:rPr>
            </w:pPr>
            <w:r>
              <w:rPr>
                <w:rFonts w:ascii="MS PGothic" w:cs="MS PGothic" w:eastAsia="MS PGothic" w:hAnsi="MS PGothic"/>
                <w:sz w:val="13"/>
                <w:szCs w:val="13"/>
                <w:color w:val="00002D"/>
                <w:w w:val="91"/>
              </w:rPr>
              <w:t>☒</w:t>
            </w:r>
          </w:p>
        </w:tc>
        <w:tc>
          <w:tcPr>
            <w:tcW w:w="1020" w:type="dxa"/>
            <w:vAlign w:val="bottom"/>
          </w:tcPr>
          <w:p>
            <w:pPr>
              <w:jc w:val="center"/>
              <w:ind w:right="513"/>
              <w:spacing w:after="0" w:line="131" w:lineRule="exact"/>
              <w:rPr>
                <w:sz w:val="20"/>
                <w:szCs w:val="20"/>
                <w:color w:val="auto"/>
              </w:rPr>
            </w:pPr>
            <w:r>
              <w:rPr>
                <w:rFonts w:ascii="MS PGothic" w:cs="MS PGothic" w:eastAsia="MS PGothic" w:hAnsi="MS PGothic"/>
                <w:sz w:val="13"/>
                <w:szCs w:val="13"/>
                <w:color w:val="00002D"/>
                <w:w w:val="91"/>
              </w:rPr>
              <w:t>☐</w:t>
            </w:r>
          </w:p>
        </w:tc>
      </w:tr>
      <w:tr>
        <w:trPr>
          <w:trHeight w:val="148"/>
        </w:trPr>
        <w:tc>
          <w:tcPr>
            <w:tcW w:w="8860" w:type="dxa"/>
            <w:vAlign w:val="bottom"/>
            <w:gridSpan w:val="3"/>
          </w:tcPr>
          <w:p>
            <w:pPr>
              <w:ind w:left="200"/>
              <w:spacing w:after="0" w:line="149" w:lineRule="exact"/>
              <w:rPr>
                <w:sz w:val="20"/>
                <w:szCs w:val="20"/>
                <w:color w:val="auto"/>
              </w:rPr>
            </w:pPr>
            <w:r>
              <w:rPr>
                <w:rFonts w:ascii="Calibri" w:cs="Calibri" w:eastAsia="Calibri" w:hAnsi="Calibri"/>
                <w:sz w:val="13"/>
                <w:szCs w:val="13"/>
                <w:color w:val="00002D"/>
              </w:rPr>
              <w:t>months (or for such shorter period that the registrant was required to fle such reports), and (2) has been subject to such fling requirements for the past</w:t>
            </w: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3900" w:type="dxa"/>
            <w:vAlign w:val="bottom"/>
            <w:tcBorders>
              <w:bottom w:val="single" w:sz="8" w:color="DAE1EB"/>
            </w:tcBorders>
          </w:tcPr>
          <w:p>
            <w:pPr>
              <w:ind w:left="200"/>
              <w:spacing w:after="0" w:line="149" w:lineRule="exact"/>
              <w:rPr>
                <w:sz w:val="20"/>
                <w:szCs w:val="20"/>
                <w:color w:val="auto"/>
              </w:rPr>
            </w:pPr>
            <w:r>
              <w:rPr>
                <w:rFonts w:ascii="Calibri" w:cs="Calibri" w:eastAsia="Calibri" w:hAnsi="Calibri"/>
                <w:sz w:val="13"/>
                <w:szCs w:val="13"/>
                <w:color w:val="00002D"/>
              </w:rPr>
              <w:t>90 days.</w:t>
            </w:r>
          </w:p>
        </w:tc>
        <w:tc>
          <w:tcPr>
            <w:tcW w:w="3120" w:type="dxa"/>
            <w:vAlign w:val="bottom"/>
            <w:tcBorders>
              <w:bottom w:val="single" w:sz="8" w:color="DAE1EB"/>
            </w:tcBorders>
          </w:tcPr>
          <w:p>
            <w:pPr>
              <w:spacing w:after="0"/>
              <w:rPr>
                <w:sz w:val="13"/>
                <w:szCs w:val="13"/>
                <w:color w:val="auto"/>
              </w:rPr>
            </w:pPr>
          </w:p>
        </w:tc>
        <w:tc>
          <w:tcPr>
            <w:tcW w:w="1840" w:type="dxa"/>
            <w:vAlign w:val="bottom"/>
            <w:tcBorders>
              <w:bottom w:val="single" w:sz="8" w:color="DAE1EB"/>
            </w:tcBorders>
          </w:tcPr>
          <w:p>
            <w:pPr>
              <w:spacing w:after="0"/>
              <w:rPr>
                <w:sz w:val="13"/>
                <w:szCs w:val="13"/>
                <w:color w:val="auto"/>
              </w:rPr>
            </w:pPr>
          </w:p>
        </w:tc>
        <w:tc>
          <w:tcPr>
            <w:tcW w:w="1360" w:type="dxa"/>
            <w:vAlign w:val="bottom"/>
            <w:tcBorders>
              <w:bottom w:val="single" w:sz="8" w:color="DAE1EB"/>
            </w:tcBorders>
          </w:tcPr>
          <w:p>
            <w:pPr>
              <w:spacing w:after="0"/>
              <w:rPr>
                <w:sz w:val="13"/>
                <w:szCs w:val="13"/>
                <w:color w:val="auto"/>
              </w:rPr>
            </w:pPr>
          </w:p>
        </w:tc>
        <w:tc>
          <w:tcPr>
            <w:tcW w:w="1020" w:type="dxa"/>
            <w:vAlign w:val="bottom"/>
            <w:tcBorders>
              <w:bottom w:val="single" w:sz="8" w:color="DAE1EB"/>
            </w:tcBorders>
          </w:tcPr>
          <w:p>
            <w:pPr>
              <w:spacing w:after="0"/>
              <w:rPr>
                <w:sz w:val="13"/>
                <w:szCs w:val="13"/>
                <w:color w:val="auto"/>
              </w:rPr>
            </w:pPr>
          </w:p>
        </w:tc>
      </w:tr>
      <w:tr>
        <w:trPr>
          <w:trHeight w:val="137"/>
        </w:trPr>
        <w:tc>
          <w:tcPr>
            <w:tcW w:w="886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3"/>
                <w:szCs w:val="13"/>
                <w:color w:val="3465B0"/>
              </w:rPr>
              <w:t xml:space="preserve">• </w:t>
            </w:r>
            <w:r>
              <w:rPr>
                <w:rFonts w:ascii="Calibri" w:cs="Calibri" w:eastAsia="Calibri" w:hAnsi="Calibri"/>
                <w:sz w:val="13"/>
                <w:szCs w:val="13"/>
                <w:color w:val="00002D"/>
              </w:rPr>
              <w:t>whether the registrant has submited electronically every Interactve Data File required to be submited pursuant to Rule 405 of Regulaton S-T (§ 232.405</w:t>
            </w:r>
          </w:p>
        </w:tc>
        <w:tc>
          <w:tcPr>
            <w:tcW w:w="1360" w:type="dxa"/>
            <w:vAlign w:val="bottom"/>
          </w:tcPr>
          <w:p>
            <w:pPr>
              <w:jc w:val="center"/>
              <w:ind w:right="933"/>
              <w:spacing w:after="0" w:line="131" w:lineRule="exact"/>
              <w:rPr>
                <w:sz w:val="20"/>
                <w:szCs w:val="20"/>
                <w:color w:val="auto"/>
              </w:rPr>
            </w:pPr>
            <w:r>
              <w:rPr>
                <w:rFonts w:ascii="MS PGothic" w:cs="MS PGothic" w:eastAsia="MS PGothic" w:hAnsi="MS PGothic"/>
                <w:sz w:val="13"/>
                <w:szCs w:val="13"/>
                <w:color w:val="00002D"/>
                <w:w w:val="91"/>
              </w:rPr>
              <w:t>☒</w:t>
            </w:r>
          </w:p>
        </w:tc>
        <w:tc>
          <w:tcPr>
            <w:tcW w:w="1020" w:type="dxa"/>
            <w:vAlign w:val="bottom"/>
          </w:tcPr>
          <w:p>
            <w:pPr>
              <w:jc w:val="center"/>
              <w:ind w:right="513"/>
              <w:spacing w:after="0" w:line="131" w:lineRule="exact"/>
              <w:rPr>
                <w:sz w:val="20"/>
                <w:szCs w:val="20"/>
                <w:color w:val="auto"/>
              </w:rPr>
            </w:pPr>
            <w:r>
              <w:rPr>
                <w:rFonts w:ascii="MS PGothic" w:cs="MS PGothic" w:eastAsia="MS PGothic" w:hAnsi="MS PGothic"/>
                <w:sz w:val="13"/>
                <w:szCs w:val="13"/>
                <w:color w:val="00002D"/>
                <w:w w:val="91"/>
              </w:rPr>
              <w:t>☐</w:t>
            </w:r>
          </w:p>
        </w:tc>
      </w:tr>
      <w:tr>
        <w:trPr>
          <w:trHeight w:val="148"/>
        </w:trPr>
        <w:tc>
          <w:tcPr>
            <w:tcW w:w="7020" w:type="dxa"/>
            <w:vAlign w:val="bottom"/>
            <w:gridSpan w:val="2"/>
          </w:tcPr>
          <w:p>
            <w:pPr>
              <w:ind w:left="200"/>
              <w:spacing w:after="0" w:line="149" w:lineRule="exact"/>
              <w:rPr>
                <w:sz w:val="20"/>
                <w:szCs w:val="20"/>
                <w:color w:val="auto"/>
              </w:rPr>
            </w:pPr>
            <w:r>
              <w:rPr>
                <w:rFonts w:ascii="Calibri" w:cs="Calibri" w:eastAsia="Calibri" w:hAnsi="Calibri"/>
                <w:sz w:val="13"/>
                <w:szCs w:val="13"/>
                <w:color w:val="00002D"/>
              </w:rPr>
              <w:t>of this chapter) during the preceding 12 months (or for such shorter period that the registrant was required to submit such fles).</w:t>
            </w:r>
          </w:p>
        </w:tc>
        <w:tc>
          <w:tcPr>
            <w:tcW w:w="1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spacing w:after="0" w:line="14" w:lineRule="exact"/>
        <w:rPr>
          <w:sz w:val="24"/>
          <w:szCs w:val="24"/>
          <w:color w:val="auto"/>
        </w:rPr>
      </w:pPr>
    </w:p>
    <w:p>
      <w:pPr>
        <w:jc w:val="both"/>
        <w:ind w:left="200" w:right="3140" w:hanging="114"/>
        <w:spacing w:after="0" w:line="224" w:lineRule="auto"/>
        <w:tabs>
          <w:tab w:leader="none" w:pos="200" w:val="left"/>
        </w:tabs>
        <w:numPr>
          <w:ilvl w:val="0"/>
          <w:numId w:val="3"/>
        </w:numPr>
        <w:rPr>
          <w:rFonts w:ascii="Times New Roman" w:cs="Times New Roman" w:eastAsia="Times New Roman" w:hAnsi="Times New Roman"/>
          <w:sz w:val="13"/>
          <w:szCs w:val="13"/>
          <w:color w:val="3465B0"/>
        </w:rPr>
      </w:pPr>
      <w:r>
        <w:rPr>
          <w:rFonts w:ascii="Calibri" w:cs="Calibri" w:eastAsia="Calibri" w:hAnsi="Calibri"/>
          <w:sz w:val="13"/>
          <w:szCs w:val="13"/>
          <w:color w:val="00002D"/>
        </w:rPr>
        <w:t>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bottom w:val="single" w:sz="8" w:color="DAE1EB"/>
            </w:tcBorders>
          </w:tcPr>
          <w:p>
            <w:pPr>
              <w:spacing w:after="0"/>
              <w:rPr>
                <w:sz w:val="16"/>
                <w:szCs w:val="16"/>
                <w:color w:val="auto"/>
              </w:rPr>
            </w:pPr>
          </w:p>
        </w:tc>
        <w:tc>
          <w:tcPr>
            <w:tcW w:w="1620" w:type="dxa"/>
            <w:vAlign w:val="bottom"/>
            <w:tcBorders>
              <w:bottom w:val="single" w:sz="8" w:color="DAE1EB"/>
            </w:tcBorders>
          </w:tcPr>
          <w:p>
            <w:pPr>
              <w:ind w:left="240"/>
              <w:spacing w:after="0"/>
              <w:rPr>
                <w:sz w:val="20"/>
                <w:szCs w:val="20"/>
                <w:color w:val="auto"/>
              </w:rPr>
            </w:pPr>
            <w:r>
              <w:rPr>
                <w:rFonts w:ascii="Calibri" w:cs="Calibri" w:eastAsia="Calibri" w:hAnsi="Calibri"/>
                <w:sz w:val="13"/>
                <w:szCs w:val="13"/>
                <w:color w:val="00002D"/>
              </w:rPr>
              <w:t>Large accelerated fler</w:t>
            </w:r>
          </w:p>
        </w:tc>
        <w:tc>
          <w:tcPr>
            <w:tcW w:w="640" w:type="dxa"/>
            <w:vAlign w:val="bottom"/>
            <w:tcBorders>
              <w:bottom w:val="single" w:sz="8" w:color="DAE1EB"/>
            </w:tcBorders>
          </w:tcPr>
          <w:p>
            <w:pPr>
              <w:ind w:left="260"/>
              <w:spacing w:after="0" w:line="131" w:lineRule="exact"/>
              <w:rPr>
                <w:sz w:val="20"/>
                <w:szCs w:val="20"/>
                <w:color w:val="auto"/>
              </w:rPr>
            </w:pPr>
            <w:r>
              <w:rPr>
                <w:rFonts w:ascii="MS PGothic" w:cs="MS PGothic" w:eastAsia="MS PGothic" w:hAnsi="MS PGothic"/>
                <w:sz w:val="13"/>
                <w:szCs w:val="13"/>
                <w:color w:val="00002D"/>
              </w:rPr>
              <w:t>☒</w:t>
            </w:r>
          </w:p>
        </w:tc>
        <w:tc>
          <w:tcPr>
            <w:tcW w:w="1380" w:type="dxa"/>
            <w:vAlign w:val="bottom"/>
            <w:tcBorders>
              <w:bottom w:val="single" w:sz="8" w:color="DAE1EB"/>
            </w:tcBorders>
          </w:tcPr>
          <w:p>
            <w:pPr>
              <w:ind w:left="260"/>
              <w:spacing w:after="0"/>
              <w:rPr>
                <w:sz w:val="20"/>
                <w:szCs w:val="20"/>
                <w:color w:val="auto"/>
              </w:rPr>
            </w:pPr>
            <w:r>
              <w:rPr>
                <w:rFonts w:ascii="Calibri" w:cs="Calibri" w:eastAsia="Calibri" w:hAnsi="Calibri"/>
                <w:sz w:val="13"/>
                <w:szCs w:val="13"/>
                <w:color w:val="00002D"/>
              </w:rPr>
              <w:t>Accelerated fler</w:t>
            </w:r>
          </w:p>
        </w:tc>
        <w:tc>
          <w:tcPr>
            <w:tcW w:w="660" w:type="dxa"/>
            <w:vAlign w:val="bottom"/>
            <w:tcBorders>
              <w:bottom w:val="single" w:sz="8" w:color="DAE1EB"/>
            </w:tcBorders>
          </w:tcPr>
          <w:p>
            <w:pPr>
              <w:ind w:left="260"/>
              <w:spacing w:after="0" w:line="131" w:lineRule="exact"/>
              <w:rPr>
                <w:sz w:val="20"/>
                <w:szCs w:val="20"/>
                <w:color w:val="auto"/>
              </w:rPr>
            </w:pPr>
            <w:r>
              <w:rPr>
                <w:rFonts w:ascii="MS PGothic" w:cs="MS PGothic" w:eastAsia="MS PGothic" w:hAnsi="MS PGothic"/>
                <w:sz w:val="13"/>
                <w:szCs w:val="13"/>
                <w:color w:val="00002D"/>
              </w:rPr>
              <w:t>☐</w:t>
            </w:r>
          </w:p>
        </w:tc>
        <w:tc>
          <w:tcPr>
            <w:tcW w:w="1520" w:type="dxa"/>
            <w:vAlign w:val="bottom"/>
            <w:tcBorders>
              <w:bottom w:val="single" w:sz="8" w:color="DAE1EB"/>
            </w:tcBorders>
          </w:tcPr>
          <w:p>
            <w:pPr>
              <w:ind w:left="200"/>
              <w:spacing w:after="0"/>
              <w:rPr>
                <w:sz w:val="20"/>
                <w:szCs w:val="20"/>
                <w:color w:val="auto"/>
              </w:rPr>
            </w:pPr>
            <w:r>
              <w:rPr>
                <w:rFonts w:ascii="Calibri" w:cs="Calibri" w:eastAsia="Calibri" w:hAnsi="Calibri"/>
                <w:sz w:val="13"/>
                <w:szCs w:val="13"/>
                <w:color w:val="00002D"/>
              </w:rPr>
              <w:t>Non-accelerated fler</w:t>
            </w:r>
          </w:p>
        </w:tc>
        <w:tc>
          <w:tcPr>
            <w:tcW w:w="620" w:type="dxa"/>
            <w:vAlign w:val="bottom"/>
            <w:tcBorders>
              <w:bottom w:val="single" w:sz="8" w:color="DAE1EB"/>
            </w:tcBorders>
          </w:tcPr>
          <w:p>
            <w:pPr>
              <w:ind w:left="240"/>
              <w:spacing w:after="0" w:line="131" w:lineRule="exact"/>
              <w:rPr>
                <w:sz w:val="20"/>
                <w:szCs w:val="20"/>
                <w:color w:val="auto"/>
              </w:rPr>
            </w:pPr>
            <w:r>
              <w:rPr>
                <w:rFonts w:ascii="MS PGothic" w:cs="MS PGothic" w:eastAsia="MS PGothic" w:hAnsi="MS PGothic"/>
                <w:sz w:val="13"/>
                <w:szCs w:val="13"/>
                <w:color w:val="00002D"/>
              </w:rPr>
              <w:t>☐</w:t>
            </w:r>
          </w:p>
        </w:tc>
        <w:tc>
          <w:tcPr>
            <w:tcW w:w="1800" w:type="dxa"/>
            <w:vAlign w:val="bottom"/>
            <w:tcBorders>
              <w:bottom w:val="single" w:sz="8" w:color="DAE1EB"/>
            </w:tcBorders>
          </w:tcPr>
          <w:p>
            <w:pPr>
              <w:ind w:left="260"/>
              <w:spacing w:after="0"/>
              <w:rPr>
                <w:sz w:val="20"/>
                <w:szCs w:val="20"/>
                <w:color w:val="auto"/>
              </w:rPr>
            </w:pPr>
            <w:r>
              <w:rPr>
                <w:rFonts w:ascii="Calibri" w:cs="Calibri" w:eastAsia="Calibri" w:hAnsi="Calibri"/>
                <w:sz w:val="13"/>
                <w:szCs w:val="13"/>
                <w:color w:val="00002D"/>
              </w:rPr>
              <w:t>Small reportng company</w:t>
            </w:r>
          </w:p>
        </w:tc>
        <w:tc>
          <w:tcPr>
            <w:tcW w:w="640" w:type="dxa"/>
            <w:vAlign w:val="bottom"/>
            <w:tcBorders>
              <w:bottom w:val="single" w:sz="8" w:color="DAE1EB"/>
            </w:tcBorders>
          </w:tcPr>
          <w:p>
            <w:pPr>
              <w:ind w:left="280"/>
              <w:spacing w:after="0" w:line="131" w:lineRule="exact"/>
              <w:rPr>
                <w:sz w:val="20"/>
                <w:szCs w:val="20"/>
                <w:color w:val="auto"/>
              </w:rPr>
            </w:pPr>
            <w:r>
              <w:rPr>
                <w:rFonts w:ascii="MS PGothic" w:cs="MS PGothic" w:eastAsia="MS PGothic" w:hAnsi="MS PGothic"/>
                <w:sz w:val="13"/>
                <w:szCs w:val="13"/>
                <w:color w:val="00002D"/>
              </w:rPr>
              <w:t>☐</w:t>
            </w:r>
          </w:p>
        </w:tc>
        <w:tc>
          <w:tcPr>
            <w:tcW w:w="1700" w:type="dxa"/>
            <w:vAlign w:val="bottom"/>
            <w:tcBorders>
              <w:bottom w:val="single" w:sz="8" w:color="DAE1EB"/>
            </w:tcBorders>
          </w:tcPr>
          <w:p>
            <w:pPr>
              <w:ind w:left="120"/>
              <w:spacing w:after="0"/>
              <w:rPr>
                <w:sz w:val="20"/>
                <w:szCs w:val="20"/>
                <w:color w:val="auto"/>
              </w:rPr>
            </w:pPr>
            <w:r>
              <w:rPr>
                <w:rFonts w:ascii="Calibri" w:cs="Calibri" w:eastAsia="Calibri" w:hAnsi="Calibri"/>
                <w:sz w:val="13"/>
                <w:szCs w:val="13"/>
                <w:color w:val="00002D"/>
              </w:rPr>
              <w:t>Emerging growth company</w:t>
            </w:r>
          </w:p>
        </w:tc>
        <w:tc>
          <w:tcPr>
            <w:tcW w:w="500" w:type="dxa"/>
            <w:vAlign w:val="bottom"/>
            <w:tcBorders>
              <w:bottom w:val="single" w:sz="8" w:color="DAE1EB"/>
            </w:tcBorders>
          </w:tcPr>
          <w:p>
            <w:pPr>
              <w:ind w:left="220"/>
              <w:spacing w:after="0" w:line="131" w:lineRule="exact"/>
              <w:rPr>
                <w:sz w:val="20"/>
                <w:szCs w:val="20"/>
                <w:color w:val="auto"/>
              </w:rPr>
            </w:pPr>
            <w:r>
              <w:rPr>
                <w:rFonts w:ascii="MS PGothic" w:cs="MS PGothic" w:eastAsia="MS PGothic" w:hAnsi="MS PGothic"/>
                <w:sz w:val="13"/>
                <w:szCs w:val="13"/>
                <w:color w:val="00002D"/>
              </w:rPr>
              <w:t>☐</w:t>
            </w:r>
          </w:p>
        </w:tc>
      </w:tr>
      <w:tr>
        <w:trPr>
          <w:trHeight w:val="132"/>
        </w:trPr>
        <w:tc>
          <w:tcPr>
            <w:tcW w:w="8400" w:type="dxa"/>
            <w:vAlign w:val="bottom"/>
            <w:gridSpan w:val="8"/>
          </w:tcPr>
          <w:p>
            <w:pPr>
              <w:ind w:left="80"/>
              <w:spacing w:after="0" w:line="131" w:lineRule="exact"/>
              <w:rPr>
                <w:sz w:val="20"/>
                <w:szCs w:val="20"/>
                <w:color w:val="auto"/>
              </w:rPr>
            </w:pPr>
            <w:r>
              <w:rPr>
                <w:rFonts w:ascii="Times New Roman" w:cs="Times New Roman" w:eastAsia="Times New Roman" w:hAnsi="Times New Roman"/>
                <w:sz w:val="13"/>
                <w:szCs w:val="13"/>
                <w:color w:val="3465B0"/>
              </w:rPr>
              <w:t xml:space="preserve">• </w:t>
            </w:r>
            <w:r>
              <w:rPr>
                <w:rFonts w:ascii="Calibri" w:cs="Calibri" w:eastAsia="Calibri" w:hAnsi="Calibri"/>
                <w:sz w:val="13"/>
                <w:szCs w:val="13"/>
                <w:color w:val="00002D"/>
              </w:rPr>
              <w:t>If an emerging growth company, indicate by check mark if the registrant has elected not to use the extended transiton period for complying with any new</w:t>
            </w:r>
          </w:p>
        </w:tc>
        <w:tc>
          <w:tcPr>
            <w:tcW w:w="640" w:type="dxa"/>
            <w:vAlign w:val="bottom"/>
          </w:tcPr>
          <w:p>
            <w:pPr>
              <w:spacing w:after="0"/>
              <w:rPr>
                <w:sz w:val="11"/>
                <w:szCs w:val="11"/>
                <w:color w:val="auto"/>
              </w:rPr>
            </w:pPr>
          </w:p>
        </w:tc>
        <w:tc>
          <w:tcPr>
            <w:tcW w:w="1700" w:type="dxa"/>
            <w:vAlign w:val="bottom"/>
          </w:tcPr>
          <w:p>
            <w:pPr>
              <w:ind w:left="800"/>
              <w:spacing w:after="0" w:line="131" w:lineRule="exact"/>
              <w:rPr>
                <w:sz w:val="20"/>
                <w:szCs w:val="20"/>
                <w:color w:val="auto"/>
              </w:rPr>
            </w:pPr>
            <w:r>
              <w:rPr>
                <w:rFonts w:ascii="MS PGothic" w:cs="MS PGothic" w:eastAsia="MS PGothic" w:hAnsi="MS PGothic"/>
                <w:sz w:val="13"/>
                <w:szCs w:val="13"/>
                <w:color w:val="00002D"/>
              </w:rPr>
              <w:t>☐</w:t>
            </w:r>
          </w:p>
        </w:tc>
        <w:tc>
          <w:tcPr>
            <w:tcW w:w="500" w:type="dxa"/>
            <w:vAlign w:val="bottom"/>
          </w:tcPr>
          <w:p>
            <w:pPr>
              <w:spacing w:after="0"/>
              <w:rPr>
                <w:sz w:val="11"/>
                <w:szCs w:val="11"/>
                <w:color w:val="auto"/>
              </w:rPr>
            </w:pPr>
          </w:p>
        </w:tc>
      </w:tr>
      <w:tr>
        <w:trPr>
          <w:trHeight w:val="154"/>
        </w:trPr>
        <w:tc>
          <w:tcPr>
            <w:tcW w:w="160" w:type="dxa"/>
            <w:vAlign w:val="bottom"/>
            <w:tcBorders>
              <w:bottom w:val="single" w:sz="8" w:color="DAE1EB"/>
            </w:tcBorders>
          </w:tcPr>
          <w:p>
            <w:pPr>
              <w:spacing w:after="0"/>
              <w:rPr>
                <w:sz w:val="13"/>
                <w:szCs w:val="13"/>
                <w:color w:val="auto"/>
              </w:rPr>
            </w:pPr>
          </w:p>
        </w:tc>
        <w:tc>
          <w:tcPr>
            <w:tcW w:w="5820" w:type="dxa"/>
            <w:vAlign w:val="bottom"/>
            <w:tcBorders>
              <w:bottom w:val="single" w:sz="8" w:color="DAE1EB"/>
            </w:tcBorders>
            <w:gridSpan w:val="5"/>
          </w:tcPr>
          <w:p>
            <w:pPr>
              <w:ind w:left="40"/>
              <w:spacing w:after="0" w:line="149" w:lineRule="exact"/>
              <w:rPr>
                <w:sz w:val="20"/>
                <w:szCs w:val="20"/>
                <w:color w:val="auto"/>
              </w:rPr>
            </w:pPr>
            <w:r>
              <w:rPr>
                <w:rFonts w:ascii="Calibri" w:cs="Calibri" w:eastAsia="Calibri" w:hAnsi="Calibri"/>
                <w:sz w:val="13"/>
                <w:szCs w:val="13"/>
                <w:color w:val="00002D"/>
              </w:rPr>
              <w:t>or revised fnancial accountng standards provided pursuant to Secton 13(a) of the Exchange Act.</w:t>
            </w:r>
          </w:p>
        </w:tc>
        <w:tc>
          <w:tcPr>
            <w:tcW w:w="620" w:type="dxa"/>
            <w:vAlign w:val="bottom"/>
            <w:tcBorders>
              <w:bottom w:val="single" w:sz="8" w:color="DAE1EB"/>
            </w:tcBorders>
          </w:tcPr>
          <w:p>
            <w:pPr>
              <w:spacing w:after="0"/>
              <w:rPr>
                <w:sz w:val="13"/>
                <w:szCs w:val="13"/>
                <w:color w:val="auto"/>
              </w:rPr>
            </w:pPr>
          </w:p>
        </w:tc>
        <w:tc>
          <w:tcPr>
            <w:tcW w:w="1800" w:type="dxa"/>
            <w:vAlign w:val="bottom"/>
            <w:tcBorders>
              <w:bottom w:val="single" w:sz="8" w:color="DAE1EB"/>
            </w:tcBorders>
          </w:tcPr>
          <w:p>
            <w:pPr>
              <w:spacing w:after="0"/>
              <w:rPr>
                <w:sz w:val="13"/>
                <w:szCs w:val="13"/>
                <w:color w:val="auto"/>
              </w:rPr>
            </w:pPr>
          </w:p>
        </w:tc>
        <w:tc>
          <w:tcPr>
            <w:tcW w:w="640" w:type="dxa"/>
            <w:vAlign w:val="bottom"/>
            <w:tcBorders>
              <w:bottom w:val="single" w:sz="8" w:color="DAE1EB"/>
            </w:tcBorders>
          </w:tcPr>
          <w:p>
            <w:pPr>
              <w:spacing w:after="0"/>
              <w:rPr>
                <w:sz w:val="13"/>
                <w:szCs w:val="13"/>
                <w:color w:val="auto"/>
              </w:rPr>
            </w:pPr>
          </w:p>
        </w:tc>
        <w:tc>
          <w:tcPr>
            <w:tcW w:w="1700" w:type="dxa"/>
            <w:vAlign w:val="bottom"/>
            <w:tcBorders>
              <w:bottom w:val="single" w:sz="8" w:color="DAE1EB"/>
            </w:tcBorders>
          </w:tcPr>
          <w:p>
            <w:pPr>
              <w:spacing w:after="0"/>
              <w:rPr>
                <w:sz w:val="13"/>
                <w:szCs w:val="13"/>
                <w:color w:val="auto"/>
              </w:rPr>
            </w:pPr>
          </w:p>
        </w:tc>
        <w:tc>
          <w:tcPr>
            <w:tcW w:w="500" w:type="dxa"/>
            <w:vAlign w:val="bottom"/>
            <w:tcBorders>
              <w:bottom w:val="single" w:sz="8" w:color="DAE1EB"/>
            </w:tcBorders>
          </w:tcPr>
          <w:p>
            <w:pPr>
              <w:spacing w:after="0"/>
              <w:rPr>
                <w:sz w:val="13"/>
                <w:szCs w:val="13"/>
                <w:color w:val="auto"/>
              </w:rPr>
            </w:pPr>
          </w:p>
        </w:tc>
      </w:tr>
      <w:tr>
        <w:trPr>
          <w:trHeight w:val="137"/>
        </w:trPr>
        <w:tc>
          <w:tcPr>
            <w:tcW w:w="160" w:type="dxa"/>
            <w:vAlign w:val="bottom"/>
          </w:tcPr>
          <w:p>
            <w:pPr>
              <w:ind w:left="80"/>
              <w:spacing w:after="0" w:line="137" w:lineRule="exact"/>
              <w:rPr>
                <w:sz w:val="20"/>
                <w:szCs w:val="20"/>
                <w:color w:val="auto"/>
              </w:rPr>
            </w:pPr>
            <w:r>
              <w:rPr>
                <w:rFonts w:ascii="Times New Roman" w:cs="Times New Roman" w:eastAsia="Times New Roman" w:hAnsi="Times New Roman"/>
                <w:sz w:val="13"/>
                <w:szCs w:val="13"/>
                <w:color w:val="3465B0"/>
              </w:rPr>
              <w:t>•</w:t>
            </w:r>
          </w:p>
        </w:tc>
        <w:tc>
          <w:tcPr>
            <w:tcW w:w="8240" w:type="dxa"/>
            <w:vAlign w:val="bottom"/>
            <w:gridSpan w:val="7"/>
          </w:tcPr>
          <w:p>
            <w:pPr>
              <w:ind w:left="40"/>
              <w:spacing w:after="0" w:line="137" w:lineRule="exact"/>
              <w:rPr>
                <w:sz w:val="20"/>
                <w:szCs w:val="20"/>
                <w:color w:val="auto"/>
              </w:rPr>
            </w:pPr>
            <w:r>
              <w:rPr>
                <w:rFonts w:ascii="Calibri" w:cs="Calibri" w:eastAsia="Calibri" w:hAnsi="Calibri"/>
                <w:sz w:val="13"/>
                <w:szCs w:val="13"/>
                <w:color w:val="00002D"/>
              </w:rPr>
              <w:t>whether the registrant has fled a report on and atestaton to its management’s assessment of the efectveness of its internal control over fnancial</w:t>
            </w:r>
          </w:p>
        </w:tc>
        <w:tc>
          <w:tcPr>
            <w:tcW w:w="640" w:type="dxa"/>
            <w:vAlign w:val="bottom"/>
          </w:tcPr>
          <w:p>
            <w:pPr>
              <w:spacing w:after="0"/>
              <w:rPr>
                <w:sz w:val="11"/>
                <w:szCs w:val="11"/>
                <w:color w:val="auto"/>
              </w:rPr>
            </w:pPr>
          </w:p>
        </w:tc>
        <w:tc>
          <w:tcPr>
            <w:tcW w:w="1700" w:type="dxa"/>
            <w:vAlign w:val="bottom"/>
          </w:tcPr>
          <w:p>
            <w:pPr>
              <w:ind w:left="800"/>
              <w:spacing w:after="0" w:line="131" w:lineRule="exact"/>
              <w:rPr>
                <w:sz w:val="20"/>
                <w:szCs w:val="20"/>
                <w:color w:val="auto"/>
              </w:rPr>
            </w:pPr>
            <w:r>
              <w:rPr>
                <w:rFonts w:ascii="MS PGothic" w:cs="MS PGothic" w:eastAsia="MS PGothic" w:hAnsi="MS PGothic"/>
                <w:sz w:val="13"/>
                <w:szCs w:val="13"/>
                <w:color w:val="00002D"/>
              </w:rPr>
              <w:t>☒</w:t>
            </w:r>
          </w:p>
        </w:tc>
        <w:tc>
          <w:tcPr>
            <w:tcW w:w="500" w:type="dxa"/>
            <w:vAlign w:val="bottom"/>
          </w:tcPr>
          <w:p>
            <w:pPr>
              <w:spacing w:after="0"/>
              <w:rPr>
                <w:sz w:val="11"/>
                <w:szCs w:val="11"/>
                <w:color w:val="auto"/>
              </w:rPr>
            </w:pPr>
          </w:p>
        </w:tc>
      </w:tr>
      <w:tr>
        <w:trPr>
          <w:trHeight w:val="148"/>
        </w:trPr>
        <w:tc>
          <w:tcPr>
            <w:tcW w:w="160" w:type="dxa"/>
            <w:vAlign w:val="bottom"/>
          </w:tcPr>
          <w:p>
            <w:pPr>
              <w:spacing w:after="0"/>
              <w:rPr>
                <w:sz w:val="12"/>
                <w:szCs w:val="12"/>
                <w:color w:val="auto"/>
              </w:rPr>
            </w:pPr>
          </w:p>
        </w:tc>
        <w:tc>
          <w:tcPr>
            <w:tcW w:w="8240" w:type="dxa"/>
            <w:vAlign w:val="bottom"/>
            <w:gridSpan w:val="7"/>
          </w:tcPr>
          <w:p>
            <w:pPr>
              <w:ind w:left="40"/>
              <w:spacing w:after="0" w:line="149" w:lineRule="exact"/>
              <w:rPr>
                <w:sz w:val="20"/>
                <w:szCs w:val="20"/>
                <w:color w:val="auto"/>
              </w:rPr>
            </w:pPr>
            <w:r>
              <w:rPr>
                <w:rFonts w:ascii="Calibri" w:cs="Calibri" w:eastAsia="Calibri" w:hAnsi="Calibri"/>
                <w:sz w:val="13"/>
                <w:szCs w:val="13"/>
                <w:color w:val="00002D"/>
              </w:rPr>
              <w:t>reportng under Secton 404(b) of the Sarbanes-Oxley Act (15 U.S.C. 7262(b)) by the registered public accountng frm that prepared or issued its audit</w:t>
            </w: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4"/>
        </w:trPr>
        <w:tc>
          <w:tcPr>
            <w:tcW w:w="160" w:type="dxa"/>
            <w:vAlign w:val="bottom"/>
            <w:tcBorders>
              <w:bottom w:val="single" w:sz="8" w:color="DAE1EB"/>
            </w:tcBorders>
          </w:tcPr>
          <w:p>
            <w:pPr>
              <w:spacing w:after="0"/>
              <w:rPr>
                <w:sz w:val="13"/>
                <w:szCs w:val="13"/>
                <w:color w:val="auto"/>
              </w:rPr>
            </w:pPr>
          </w:p>
        </w:tc>
        <w:tc>
          <w:tcPr>
            <w:tcW w:w="1620" w:type="dxa"/>
            <w:vAlign w:val="bottom"/>
            <w:tcBorders>
              <w:bottom w:val="single" w:sz="8" w:color="DAE1EB"/>
            </w:tcBorders>
          </w:tcPr>
          <w:p>
            <w:pPr>
              <w:ind w:left="40"/>
              <w:spacing w:after="0" w:line="149" w:lineRule="exact"/>
              <w:rPr>
                <w:sz w:val="20"/>
                <w:szCs w:val="20"/>
                <w:color w:val="auto"/>
              </w:rPr>
            </w:pPr>
            <w:r>
              <w:rPr>
                <w:rFonts w:ascii="Calibri" w:cs="Calibri" w:eastAsia="Calibri" w:hAnsi="Calibri"/>
                <w:sz w:val="13"/>
                <w:szCs w:val="13"/>
                <w:color w:val="00002D"/>
              </w:rPr>
              <w:t>report.</w:t>
            </w:r>
          </w:p>
        </w:tc>
        <w:tc>
          <w:tcPr>
            <w:tcW w:w="640" w:type="dxa"/>
            <w:vAlign w:val="bottom"/>
            <w:tcBorders>
              <w:bottom w:val="single" w:sz="8" w:color="DAE1EB"/>
            </w:tcBorders>
          </w:tcPr>
          <w:p>
            <w:pPr>
              <w:spacing w:after="0"/>
              <w:rPr>
                <w:sz w:val="13"/>
                <w:szCs w:val="13"/>
                <w:color w:val="auto"/>
              </w:rPr>
            </w:pPr>
          </w:p>
        </w:tc>
        <w:tc>
          <w:tcPr>
            <w:tcW w:w="1380" w:type="dxa"/>
            <w:vAlign w:val="bottom"/>
            <w:tcBorders>
              <w:bottom w:val="single" w:sz="8" w:color="DAE1EB"/>
            </w:tcBorders>
          </w:tcPr>
          <w:p>
            <w:pPr>
              <w:spacing w:after="0"/>
              <w:rPr>
                <w:sz w:val="13"/>
                <w:szCs w:val="13"/>
                <w:color w:val="auto"/>
              </w:rPr>
            </w:pPr>
          </w:p>
        </w:tc>
        <w:tc>
          <w:tcPr>
            <w:tcW w:w="660" w:type="dxa"/>
            <w:vAlign w:val="bottom"/>
            <w:tcBorders>
              <w:bottom w:val="single" w:sz="8" w:color="DAE1EB"/>
            </w:tcBorders>
          </w:tcPr>
          <w:p>
            <w:pPr>
              <w:spacing w:after="0"/>
              <w:rPr>
                <w:sz w:val="13"/>
                <w:szCs w:val="13"/>
                <w:color w:val="auto"/>
              </w:rPr>
            </w:pPr>
          </w:p>
        </w:tc>
        <w:tc>
          <w:tcPr>
            <w:tcW w:w="1520" w:type="dxa"/>
            <w:vAlign w:val="bottom"/>
            <w:tcBorders>
              <w:bottom w:val="single" w:sz="8" w:color="DAE1EB"/>
            </w:tcBorders>
          </w:tcPr>
          <w:p>
            <w:pPr>
              <w:spacing w:after="0"/>
              <w:rPr>
                <w:sz w:val="13"/>
                <w:szCs w:val="13"/>
                <w:color w:val="auto"/>
              </w:rPr>
            </w:pPr>
          </w:p>
        </w:tc>
        <w:tc>
          <w:tcPr>
            <w:tcW w:w="620" w:type="dxa"/>
            <w:vAlign w:val="bottom"/>
            <w:tcBorders>
              <w:bottom w:val="single" w:sz="8" w:color="DAE1EB"/>
            </w:tcBorders>
          </w:tcPr>
          <w:p>
            <w:pPr>
              <w:spacing w:after="0"/>
              <w:rPr>
                <w:sz w:val="13"/>
                <w:szCs w:val="13"/>
                <w:color w:val="auto"/>
              </w:rPr>
            </w:pPr>
          </w:p>
        </w:tc>
        <w:tc>
          <w:tcPr>
            <w:tcW w:w="1800" w:type="dxa"/>
            <w:vAlign w:val="bottom"/>
            <w:tcBorders>
              <w:bottom w:val="single" w:sz="8" w:color="DAE1EB"/>
            </w:tcBorders>
          </w:tcPr>
          <w:p>
            <w:pPr>
              <w:spacing w:after="0"/>
              <w:rPr>
                <w:sz w:val="13"/>
                <w:szCs w:val="13"/>
                <w:color w:val="auto"/>
              </w:rPr>
            </w:pPr>
          </w:p>
        </w:tc>
        <w:tc>
          <w:tcPr>
            <w:tcW w:w="640" w:type="dxa"/>
            <w:vAlign w:val="bottom"/>
            <w:tcBorders>
              <w:bottom w:val="single" w:sz="8" w:color="DAE1EB"/>
            </w:tcBorders>
          </w:tcPr>
          <w:p>
            <w:pPr>
              <w:spacing w:after="0"/>
              <w:rPr>
                <w:sz w:val="13"/>
                <w:szCs w:val="13"/>
                <w:color w:val="auto"/>
              </w:rPr>
            </w:pPr>
          </w:p>
        </w:tc>
        <w:tc>
          <w:tcPr>
            <w:tcW w:w="1700" w:type="dxa"/>
            <w:vAlign w:val="bottom"/>
            <w:tcBorders>
              <w:bottom w:val="single" w:sz="8" w:color="DAE1EB"/>
            </w:tcBorders>
          </w:tcPr>
          <w:p>
            <w:pPr>
              <w:spacing w:after="0"/>
              <w:rPr>
                <w:sz w:val="13"/>
                <w:szCs w:val="13"/>
                <w:color w:val="auto"/>
              </w:rPr>
            </w:pPr>
          </w:p>
        </w:tc>
        <w:tc>
          <w:tcPr>
            <w:tcW w:w="500" w:type="dxa"/>
            <w:vAlign w:val="bottom"/>
            <w:tcBorders>
              <w:bottom w:val="single" w:sz="8" w:color="DAE1EB"/>
            </w:tcBorders>
          </w:tcPr>
          <w:p>
            <w:pPr>
              <w:spacing w:after="0"/>
              <w:rPr>
                <w:sz w:val="13"/>
                <w:szCs w:val="13"/>
                <w:color w:val="auto"/>
              </w:rPr>
            </w:pPr>
          </w:p>
        </w:tc>
      </w:tr>
      <w:tr>
        <w:trPr>
          <w:trHeight w:val="137"/>
        </w:trPr>
        <w:tc>
          <w:tcPr>
            <w:tcW w:w="8400" w:type="dxa"/>
            <w:vAlign w:val="bottom"/>
            <w:gridSpan w:val="8"/>
          </w:tcPr>
          <w:p>
            <w:pPr>
              <w:ind w:left="80"/>
              <w:spacing w:after="0" w:line="137" w:lineRule="exact"/>
              <w:rPr>
                <w:sz w:val="20"/>
                <w:szCs w:val="20"/>
                <w:color w:val="auto"/>
              </w:rPr>
            </w:pPr>
            <w:r>
              <w:rPr>
                <w:rFonts w:ascii="Times New Roman" w:cs="Times New Roman" w:eastAsia="Times New Roman" w:hAnsi="Times New Roman"/>
                <w:sz w:val="13"/>
                <w:szCs w:val="13"/>
                <w:color w:val="3465B0"/>
              </w:rPr>
              <w:t xml:space="preserve">• </w:t>
            </w:r>
            <w:r>
              <w:rPr>
                <w:rFonts w:ascii="Calibri" w:cs="Calibri" w:eastAsia="Calibri" w:hAnsi="Calibri"/>
                <w:sz w:val="13"/>
                <w:szCs w:val="13"/>
                <w:color w:val="00002D"/>
              </w:rPr>
              <w:t>If securites are registered pursuant to Secton 12(b) of the Act, indicate by check mark whether the fnancial statements of the registrant included in the</w:t>
            </w:r>
          </w:p>
        </w:tc>
        <w:tc>
          <w:tcPr>
            <w:tcW w:w="640" w:type="dxa"/>
            <w:vAlign w:val="bottom"/>
          </w:tcPr>
          <w:p>
            <w:pPr>
              <w:spacing w:after="0"/>
              <w:rPr>
                <w:sz w:val="11"/>
                <w:szCs w:val="11"/>
                <w:color w:val="auto"/>
              </w:rPr>
            </w:pPr>
          </w:p>
        </w:tc>
        <w:tc>
          <w:tcPr>
            <w:tcW w:w="1700" w:type="dxa"/>
            <w:vAlign w:val="bottom"/>
          </w:tcPr>
          <w:p>
            <w:pPr>
              <w:ind w:left="800"/>
              <w:spacing w:after="0" w:line="131" w:lineRule="exact"/>
              <w:rPr>
                <w:sz w:val="20"/>
                <w:szCs w:val="20"/>
                <w:color w:val="auto"/>
              </w:rPr>
            </w:pPr>
            <w:r>
              <w:rPr>
                <w:rFonts w:ascii="MS PGothic" w:cs="MS PGothic" w:eastAsia="MS PGothic" w:hAnsi="MS PGothic"/>
                <w:sz w:val="13"/>
                <w:szCs w:val="13"/>
                <w:color w:val="00002D"/>
              </w:rPr>
              <w:t>☐</w:t>
            </w:r>
          </w:p>
        </w:tc>
        <w:tc>
          <w:tcPr>
            <w:tcW w:w="500" w:type="dxa"/>
            <w:vAlign w:val="bottom"/>
          </w:tcPr>
          <w:p>
            <w:pPr>
              <w:spacing w:after="0"/>
              <w:rPr>
                <w:sz w:val="11"/>
                <w:szCs w:val="11"/>
                <w:color w:val="auto"/>
              </w:rPr>
            </w:pPr>
          </w:p>
        </w:tc>
      </w:tr>
      <w:tr>
        <w:trPr>
          <w:trHeight w:val="154"/>
        </w:trPr>
        <w:tc>
          <w:tcPr>
            <w:tcW w:w="160" w:type="dxa"/>
            <w:vAlign w:val="bottom"/>
            <w:tcBorders>
              <w:bottom w:val="single" w:sz="8" w:color="DAE1EB"/>
            </w:tcBorders>
          </w:tcPr>
          <w:p>
            <w:pPr>
              <w:spacing w:after="0"/>
              <w:rPr>
                <w:sz w:val="13"/>
                <w:szCs w:val="13"/>
                <w:color w:val="auto"/>
              </w:rPr>
            </w:pPr>
          </w:p>
        </w:tc>
        <w:tc>
          <w:tcPr>
            <w:tcW w:w="4300" w:type="dxa"/>
            <w:vAlign w:val="bottom"/>
            <w:tcBorders>
              <w:bottom w:val="single" w:sz="8" w:color="DAE1EB"/>
            </w:tcBorders>
            <w:gridSpan w:val="4"/>
          </w:tcPr>
          <w:p>
            <w:pPr>
              <w:ind w:left="40"/>
              <w:spacing w:after="0" w:line="149" w:lineRule="exact"/>
              <w:rPr>
                <w:sz w:val="20"/>
                <w:szCs w:val="20"/>
                <w:color w:val="auto"/>
              </w:rPr>
            </w:pPr>
            <w:r>
              <w:rPr>
                <w:rFonts w:ascii="Calibri" w:cs="Calibri" w:eastAsia="Calibri" w:hAnsi="Calibri"/>
                <w:sz w:val="13"/>
                <w:szCs w:val="13"/>
                <w:color w:val="00002D"/>
              </w:rPr>
              <w:t>fling refect the correcton of an error to previously issued fnancial statements.</w:t>
            </w:r>
          </w:p>
        </w:tc>
        <w:tc>
          <w:tcPr>
            <w:tcW w:w="1520" w:type="dxa"/>
            <w:vAlign w:val="bottom"/>
            <w:tcBorders>
              <w:bottom w:val="single" w:sz="8" w:color="DAE1EB"/>
            </w:tcBorders>
          </w:tcPr>
          <w:p>
            <w:pPr>
              <w:spacing w:after="0"/>
              <w:rPr>
                <w:sz w:val="13"/>
                <w:szCs w:val="13"/>
                <w:color w:val="auto"/>
              </w:rPr>
            </w:pPr>
          </w:p>
        </w:tc>
        <w:tc>
          <w:tcPr>
            <w:tcW w:w="620" w:type="dxa"/>
            <w:vAlign w:val="bottom"/>
            <w:tcBorders>
              <w:bottom w:val="single" w:sz="8" w:color="DAE1EB"/>
            </w:tcBorders>
          </w:tcPr>
          <w:p>
            <w:pPr>
              <w:spacing w:after="0"/>
              <w:rPr>
                <w:sz w:val="13"/>
                <w:szCs w:val="13"/>
                <w:color w:val="auto"/>
              </w:rPr>
            </w:pPr>
          </w:p>
        </w:tc>
        <w:tc>
          <w:tcPr>
            <w:tcW w:w="1800" w:type="dxa"/>
            <w:vAlign w:val="bottom"/>
            <w:tcBorders>
              <w:bottom w:val="single" w:sz="8" w:color="DAE1EB"/>
            </w:tcBorders>
          </w:tcPr>
          <w:p>
            <w:pPr>
              <w:spacing w:after="0"/>
              <w:rPr>
                <w:sz w:val="13"/>
                <w:szCs w:val="13"/>
                <w:color w:val="auto"/>
              </w:rPr>
            </w:pPr>
          </w:p>
        </w:tc>
        <w:tc>
          <w:tcPr>
            <w:tcW w:w="640" w:type="dxa"/>
            <w:vAlign w:val="bottom"/>
            <w:tcBorders>
              <w:bottom w:val="single" w:sz="8" w:color="DAE1EB"/>
            </w:tcBorders>
          </w:tcPr>
          <w:p>
            <w:pPr>
              <w:spacing w:after="0"/>
              <w:rPr>
                <w:sz w:val="13"/>
                <w:szCs w:val="13"/>
                <w:color w:val="auto"/>
              </w:rPr>
            </w:pPr>
          </w:p>
        </w:tc>
        <w:tc>
          <w:tcPr>
            <w:tcW w:w="1700" w:type="dxa"/>
            <w:vAlign w:val="bottom"/>
            <w:tcBorders>
              <w:bottom w:val="single" w:sz="8" w:color="DAE1EB"/>
            </w:tcBorders>
          </w:tcPr>
          <w:p>
            <w:pPr>
              <w:spacing w:after="0"/>
              <w:rPr>
                <w:sz w:val="13"/>
                <w:szCs w:val="13"/>
                <w:color w:val="auto"/>
              </w:rPr>
            </w:pPr>
          </w:p>
        </w:tc>
        <w:tc>
          <w:tcPr>
            <w:tcW w:w="500" w:type="dxa"/>
            <w:vAlign w:val="bottom"/>
            <w:tcBorders>
              <w:bottom w:val="single" w:sz="8" w:color="DAE1EB"/>
            </w:tcBorders>
          </w:tcPr>
          <w:p>
            <w:pPr>
              <w:spacing w:after="0"/>
              <w:rPr>
                <w:sz w:val="13"/>
                <w:szCs w:val="13"/>
                <w:color w:val="auto"/>
              </w:rPr>
            </w:pPr>
          </w:p>
        </w:tc>
      </w:tr>
      <w:tr>
        <w:trPr>
          <w:trHeight w:val="137"/>
        </w:trPr>
        <w:tc>
          <w:tcPr>
            <w:tcW w:w="160" w:type="dxa"/>
            <w:vAlign w:val="bottom"/>
          </w:tcPr>
          <w:p>
            <w:pPr>
              <w:ind w:left="80"/>
              <w:spacing w:after="0" w:line="137" w:lineRule="exact"/>
              <w:rPr>
                <w:sz w:val="20"/>
                <w:szCs w:val="20"/>
                <w:color w:val="auto"/>
              </w:rPr>
            </w:pPr>
            <w:r>
              <w:rPr>
                <w:rFonts w:ascii="Times New Roman" w:cs="Times New Roman" w:eastAsia="Times New Roman" w:hAnsi="Times New Roman"/>
                <w:sz w:val="13"/>
                <w:szCs w:val="13"/>
                <w:color w:val="3465B0"/>
              </w:rPr>
              <w:t>•</w:t>
            </w:r>
          </w:p>
        </w:tc>
        <w:tc>
          <w:tcPr>
            <w:tcW w:w="8240" w:type="dxa"/>
            <w:vAlign w:val="bottom"/>
            <w:gridSpan w:val="7"/>
          </w:tcPr>
          <w:p>
            <w:pPr>
              <w:ind w:left="40"/>
              <w:spacing w:after="0" w:line="137" w:lineRule="exact"/>
              <w:rPr>
                <w:sz w:val="20"/>
                <w:szCs w:val="20"/>
                <w:color w:val="auto"/>
              </w:rPr>
            </w:pPr>
            <w:r>
              <w:rPr>
                <w:rFonts w:ascii="Calibri" w:cs="Calibri" w:eastAsia="Calibri" w:hAnsi="Calibri"/>
                <w:sz w:val="13"/>
                <w:szCs w:val="13"/>
                <w:color w:val="00002D"/>
              </w:rPr>
              <w:t>whether any of those error correctons are restatements that required a recovery analysis of incentve-based compensaton received by any of the</w:t>
            </w:r>
          </w:p>
        </w:tc>
        <w:tc>
          <w:tcPr>
            <w:tcW w:w="640" w:type="dxa"/>
            <w:vAlign w:val="bottom"/>
          </w:tcPr>
          <w:p>
            <w:pPr>
              <w:spacing w:after="0"/>
              <w:rPr>
                <w:sz w:val="11"/>
                <w:szCs w:val="11"/>
                <w:color w:val="auto"/>
              </w:rPr>
            </w:pPr>
          </w:p>
        </w:tc>
        <w:tc>
          <w:tcPr>
            <w:tcW w:w="1700" w:type="dxa"/>
            <w:vAlign w:val="bottom"/>
          </w:tcPr>
          <w:p>
            <w:pPr>
              <w:ind w:left="800"/>
              <w:spacing w:after="0" w:line="131" w:lineRule="exact"/>
              <w:rPr>
                <w:sz w:val="20"/>
                <w:szCs w:val="20"/>
                <w:color w:val="auto"/>
              </w:rPr>
            </w:pPr>
            <w:r>
              <w:rPr>
                <w:rFonts w:ascii="MS PGothic" w:cs="MS PGothic" w:eastAsia="MS PGothic" w:hAnsi="MS PGothic"/>
                <w:sz w:val="13"/>
                <w:szCs w:val="13"/>
                <w:color w:val="00002D"/>
              </w:rPr>
              <w:t>☐</w:t>
            </w:r>
          </w:p>
        </w:tc>
        <w:tc>
          <w:tcPr>
            <w:tcW w:w="500" w:type="dxa"/>
            <w:vAlign w:val="bottom"/>
          </w:tcPr>
          <w:p>
            <w:pPr>
              <w:spacing w:after="0"/>
              <w:rPr>
                <w:sz w:val="11"/>
                <w:szCs w:val="11"/>
                <w:color w:val="auto"/>
              </w:rPr>
            </w:pPr>
          </w:p>
        </w:tc>
      </w:tr>
      <w:tr>
        <w:trPr>
          <w:trHeight w:val="154"/>
        </w:trPr>
        <w:tc>
          <w:tcPr>
            <w:tcW w:w="160" w:type="dxa"/>
            <w:vAlign w:val="bottom"/>
            <w:tcBorders>
              <w:bottom w:val="single" w:sz="8" w:color="DAE1EB"/>
            </w:tcBorders>
          </w:tcPr>
          <w:p>
            <w:pPr>
              <w:spacing w:after="0"/>
              <w:rPr>
                <w:sz w:val="13"/>
                <w:szCs w:val="13"/>
                <w:color w:val="auto"/>
              </w:rPr>
            </w:pPr>
          </w:p>
        </w:tc>
        <w:tc>
          <w:tcPr>
            <w:tcW w:w="5820" w:type="dxa"/>
            <w:vAlign w:val="bottom"/>
            <w:tcBorders>
              <w:bottom w:val="single" w:sz="8" w:color="DAE1EB"/>
            </w:tcBorders>
            <w:gridSpan w:val="5"/>
          </w:tcPr>
          <w:p>
            <w:pPr>
              <w:ind w:left="40"/>
              <w:spacing w:after="0" w:line="149" w:lineRule="exact"/>
              <w:rPr>
                <w:sz w:val="20"/>
                <w:szCs w:val="20"/>
                <w:color w:val="auto"/>
              </w:rPr>
            </w:pPr>
            <w:r>
              <w:rPr>
                <w:rFonts w:ascii="Calibri" w:cs="Calibri" w:eastAsia="Calibri" w:hAnsi="Calibri"/>
                <w:sz w:val="13"/>
                <w:szCs w:val="13"/>
                <w:color w:val="00002D"/>
              </w:rPr>
              <w:t>registrant’s executve oﬃcers during the relevant recovery period pursuant to §240.10D-1(b).</w:t>
            </w:r>
          </w:p>
        </w:tc>
        <w:tc>
          <w:tcPr>
            <w:tcW w:w="620" w:type="dxa"/>
            <w:vAlign w:val="bottom"/>
            <w:tcBorders>
              <w:bottom w:val="single" w:sz="8" w:color="DAE1EB"/>
            </w:tcBorders>
          </w:tcPr>
          <w:p>
            <w:pPr>
              <w:spacing w:after="0"/>
              <w:rPr>
                <w:sz w:val="13"/>
                <w:szCs w:val="13"/>
                <w:color w:val="auto"/>
              </w:rPr>
            </w:pPr>
          </w:p>
        </w:tc>
        <w:tc>
          <w:tcPr>
            <w:tcW w:w="1800" w:type="dxa"/>
            <w:vAlign w:val="bottom"/>
            <w:tcBorders>
              <w:bottom w:val="single" w:sz="8" w:color="DAE1EB"/>
            </w:tcBorders>
          </w:tcPr>
          <w:p>
            <w:pPr>
              <w:spacing w:after="0"/>
              <w:rPr>
                <w:sz w:val="13"/>
                <w:szCs w:val="13"/>
                <w:color w:val="auto"/>
              </w:rPr>
            </w:pPr>
          </w:p>
        </w:tc>
        <w:tc>
          <w:tcPr>
            <w:tcW w:w="640" w:type="dxa"/>
            <w:vAlign w:val="bottom"/>
            <w:tcBorders>
              <w:bottom w:val="single" w:sz="8" w:color="DAE1EB"/>
            </w:tcBorders>
          </w:tcPr>
          <w:p>
            <w:pPr>
              <w:spacing w:after="0"/>
              <w:rPr>
                <w:sz w:val="13"/>
                <w:szCs w:val="13"/>
                <w:color w:val="auto"/>
              </w:rPr>
            </w:pPr>
          </w:p>
        </w:tc>
        <w:tc>
          <w:tcPr>
            <w:tcW w:w="1700" w:type="dxa"/>
            <w:vAlign w:val="bottom"/>
            <w:tcBorders>
              <w:bottom w:val="single" w:sz="8" w:color="DAE1EB"/>
            </w:tcBorders>
          </w:tcPr>
          <w:p>
            <w:pPr>
              <w:spacing w:after="0"/>
              <w:rPr>
                <w:sz w:val="13"/>
                <w:szCs w:val="13"/>
                <w:color w:val="auto"/>
              </w:rPr>
            </w:pPr>
          </w:p>
        </w:tc>
        <w:tc>
          <w:tcPr>
            <w:tcW w:w="500" w:type="dxa"/>
            <w:vAlign w:val="bottom"/>
            <w:tcBorders>
              <w:bottom w:val="single" w:sz="8" w:color="DAE1EB"/>
            </w:tcBorders>
          </w:tcPr>
          <w:p>
            <w:pPr>
              <w:spacing w:after="0"/>
              <w:rPr>
                <w:sz w:val="13"/>
                <w:szCs w:val="13"/>
                <w:color w:val="auto"/>
              </w:rPr>
            </w:pPr>
          </w:p>
        </w:tc>
      </w:tr>
      <w:tr>
        <w:trPr>
          <w:trHeight w:val="168"/>
        </w:trPr>
        <w:tc>
          <w:tcPr>
            <w:tcW w:w="5980" w:type="dxa"/>
            <w:vAlign w:val="bottom"/>
            <w:tcBorders>
              <w:bottom w:val="single" w:sz="8" w:color="3465B0"/>
            </w:tcBorders>
            <w:gridSpan w:val="6"/>
          </w:tcPr>
          <w:p>
            <w:pPr>
              <w:ind w:left="80"/>
              <w:spacing w:after="0"/>
              <w:rPr>
                <w:sz w:val="20"/>
                <w:szCs w:val="20"/>
                <w:color w:val="auto"/>
              </w:rPr>
            </w:pPr>
            <w:r>
              <w:rPr>
                <w:rFonts w:ascii="Times New Roman" w:cs="Times New Roman" w:eastAsia="Times New Roman" w:hAnsi="Times New Roman"/>
                <w:sz w:val="13"/>
                <w:szCs w:val="13"/>
                <w:color w:val="3465B0"/>
              </w:rPr>
              <w:t xml:space="preserve">• </w:t>
            </w:r>
            <w:r>
              <w:rPr>
                <w:rFonts w:ascii="Calibri" w:cs="Calibri" w:eastAsia="Calibri" w:hAnsi="Calibri"/>
                <w:sz w:val="13"/>
                <w:szCs w:val="13"/>
                <w:color w:val="00002D"/>
              </w:rPr>
              <w:t>whether the registrant is a shell company (as defned in Rule 12b-2 of the Exchange Act).</w:t>
            </w:r>
          </w:p>
        </w:tc>
        <w:tc>
          <w:tcPr>
            <w:tcW w:w="620" w:type="dxa"/>
            <w:vAlign w:val="bottom"/>
            <w:tcBorders>
              <w:bottom w:val="single" w:sz="8" w:color="3465B0"/>
            </w:tcBorders>
          </w:tcPr>
          <w:p>
            <w:pPr>
              <w:spacing w:after="0"/>
              <w:rPr>
                <w:sz w:val="14"/>
                <w:szCs w:val="14"/>
                <w:color w:val="auto"/>
              </w:rPr>
            </w:pPr>
          </w:p>
        </w:tc>
        <w:tc>
          <w:tcPr>
            <w:tcW w:w="1800" w:type="dxa"/>
            <w:vAlign w:val="bottom"/>
            <w:tcBorders>
              <w:bottom w:val="single" w:sz="8" w:color="3465B0"/>
            </w:tcBorders>
          </w:tcPr>
          <w:p>
            <w:pPr>
              <w:spacing w:after="0"/>
              <w:rPr>
                <w:sz w:val="14"/>
                <w:szCs w:val="14"/>
                <w:color w:val="auto"/>
              </w:rPr>
            </w:pPr>
          </w:p>
        </w:tc>
        <w:tc>
          <w:tcPr>
            <w:tcW w:w="640" w:type="dxa"/>
            <w:vAlign w:val="bottom"/>
            <w:tcBorders>
              <w:bottom w:val="single" w:sz="8" w:color="3465B0"/>
            </w:tcBorders>
          </w:tcPr>
          <w:p>
            <w:pPr>
              <w:ind w:left="400"/>
              <w:spacing w:after="0" w:line="131" w:lineRule="exact"/>
              <w:rPr>
                <w:sz w:val="20"/>
                <w:szCs w:val="20"/>
                <w:color w:val="auto"/>
              </w:rPr>
            </w:pPr>
            <w:r>
              <w:rPr>
                <w:rFonts w:ascii="MS PGothic" w:cs="MS PGothic" w:eastAsia="MS PGothic" w:hAnsi="MS PGothic"/>
                <w:sz w:val="13"/>
                <w:szCs w:val="13"/>
                <w:color w:val="00002D"/>
              </w:rPr>
              <w:t>☐</w:t>
            </w:r>
          </w:p>
        </w:tc>
        <w:tc>
          <w:tcPr>
            <w:tcW w:w="1700" w:type="dxa"/>
            <w:vAlign w:val="bottom"/>
            <w:tcBorders>
              <w:bottom w:val="single" w:sz="8" w:color="3465B0"/>
            </w:tcBorders>
          </w:tcPr>
          <w:p>
            <w:pPr>
              <w:ind w:left="1340"/>
              <w:spacing w:after="0" w:line="131" w:lineRule="exact"/>
              <w:rPr>
                <w:sz w:val="20"/>
                <w:szCs w:val="20"/>
                <w:color w:val="auto"/>
              </w:rPr>
            </w:pPr>
            <w:r>
              <w:rPr>
                <w:rFonts w:ascii="MS PGothic" w:cs="MS PGothic" w:eastAsia="MS PGothic" w:hAnsi="MS PGothic"/>
                <w:sz w:val="13"/>
                <w:szCs w:val="13"/>
                <w:color w:val="00002D"/>
              </w:rPr>
              <w:t>☒</w:t>
            </w:r>
          </w:p>
        </w:tc>
        <w:tc>
          <w:tcPr>
            <w:tcW w:w="500" w:type="dxa"/>
            <w:vAlign w:val="bottom"/>
            <w:tcBorders>
              <w:bottom w:val="single" w:sz="8" w:color="3465B0"/>
            </w:tcBorders>
          </w:tcPr>
          <w:p>
            <w:pPr>
              <w:spacing w:after="0"/>
              <w:rPr>
                <w:sz w:val="14"/>
                <w:szCs w:val="14"/>
                <w:color w:val="auto"/>
              </w:rPr>
            </w:pPr>
          </w:p>
        </w:tc>
      </w:tr>
    </w:tbl>
    <w:p>
      <w:pPr>
        <w:spacing w:after="0" w:line="138" w:lineRule="exact"/>
        <w:rPr>
          <w:sz w:val="24"/>
          <w:szCs w:val="24"/>
          <w:color w:val="auto"/>
        </w:rPr>
      </w:pPr>
    </w:p>
    <w:p>
      <w:pPr>
        <w:jc w:val="both"/>
        <w:spacing w:after="0" w:line="224" w:lineRule="auto"/>
        <w:rPr>
          <w:sz w:val="20"/>
          <w:szCs w:val="20"/>
          <w:color w:val="auto"/>
        </w:rPr>
      </w:pPr>
      <w:r>
        <w:rPr>
          <w:rFonts w:ascii="Calibri" w:cs="Calibri" w:eastAsia="Calibri" w:hAnsi="Calibri"/>
          <w:sz w:val="13"/>
          <w:szCs w:val="13"/>
          <w:color w:val="00002D"/>
        </w:rPr>
        <w:t>The aggregate market value of the registrant’s Class A common stock, par value $0.001 per share, held by non-afliates of the registrant based on the closing price of the registrant’s common stock as reported on the Nasdaq Global Select Market on the last business day of the registrant’s most recently completed second fscal quarter was $1,582,604,633. Shares of votng and non-votng stock held by executve ofcers, directors, and holders of more than 10% of the outstanding stock as of such date have been excluded from this calculaton because such persons or insttutons may be deemed afliates. This determinaton of afliate status is not a conclusive determinaton for other purposes.</w:t>
      </w:r>
    </w:p>
    <w:p>
      <w:pPr>
        <w:spacing w:after="0" w:line="32" w:lineRule="exact"/>
        <w:rPr>
          <w:sz w:val="24"/>
          <w:szCs w:val="24"/>
          <w:color w:val="auto"/>
        </w:rPr>
      </w:pPr>
    </w:p>
    <w:p>
      <w:pPr>
        <w:spacing w:after="0"/>
        <w:rPr>
          <w:sz w:val="20"/>
          <w:szCs w:val="20"/>
          <w:color w:val="auto"/>
        </w:rPr>
      </w:pPr>
      <w:r>
        <w:rPr>
          <w:rFonts w:ascii="Calibri" w:cs="Calibri" w:eastAsia="Calibri" w:hAnsi="Calibri"/>
          <w:sz w:val="13"/>
          <w:szCs w:val="13"/>
          <w:color w:val="00002D"/>
        </w:rPr>
        <w:t>As of February 13, 2025, the registrant had 89,429,066 shares of Class A common stock, and 14,986,745 shares of Class B common stock, par value $0.001 per share, outstanding.</w:t>
      </w:r>
    </w:p>
    <w:p>
      <w:pPr>
        <w:spacing w:after="0" w:line="17" w:lineRule="exact"/>
        <w:rPr>
          <w:sz w:val="24"/>
          <w:szCs w:val="24"/>
          <w:color w:val="auto"/>
        </w:rPr>
      </w:pPr>
    </w:p>
    <w:p>
      <w:pPr>
        <w:ind w:left="4460"/>
        <w:spacing w:after="0"/>
        <w:rPr>
          <w:sz w:val="20"/>
          <w:szCs w:val="20"/>
          <w:color w:val="auto"/>
        </w:rPr>
      </w:pPr>
      <w:r>
        <w:rPr>
          <w:rFonts w:ascii="Calibri" w:cs="Calibri" w:eastAsia="Calibri" w:hAnsi="Calibri"/>
          <w:sz w:val="13"/>
          <w:szCs w:val="13"/>
          <w:b w:val="1"/>
          <w:bCs w:val="1"/>
          <w:color w:val="00002D"/>
        </w:rPr>
        <w:t>DOCUMENTS INCORPORATED BY REFERENCE</w:t>
      </w:r>
    </w:p>
    <w:p>
      <w:pPr>
        <w:spacing w:after="0" w:line="41" w:lineRule="exact"/>
        <w:rPr>
          <w:sz w:val="24"/>
          <w:szCs w:val="24"/>
          <w:color w:val="auto"/>
        </w:rPr>
      </w:pPr>
    </w:p>
    <w:p>
      <w:pPr>
        <w:jc w:val="both"/>
        <w:spacing w:after="0" w:line="224" w:lineRule="auto"/>
        <w:rPr>
          <w:sz w:val="20"/>
          <w:szCs w:val="20"/>
          <w:color w:val="auto"/>
        </w:rPr>
      </w:pPr>
      <w:r>
        <w:rPr>
          <w:rFonts w:ascii="Calibri" w:cs="Calibri" w:eastAsia="Calibri" w:hAnsi="Calibri"/>
          <w:sz w:val="13"/>
          <w:szCs w:val="13"/>
          <w:color w:val="00002D"/>
        </w:rPr>
        <w:t>Portons of the registrant’s defnitve Proxy Statement for its 2025 Annual Meetng of Stockholders are incorporated by reference in Part III of this Annual Report on Form 10-K. Such Proxy Statement will be fled with the U.S. Securites and Exchange Commission within 120 days afer the end of the fscal year to which this report relates. Except with respect to informaton specifcally incorporated by reference in this Form 10-K, the Proxy Statement is not deemed to be fled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Table of Contents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160" w:type="dxa"/>
            <w:vAlign w:val="bottom"/>
            <w:gridSpan w:val="6"/>
          </w:tcPr>
          <w:p>
            <w:pPr>
              <w:ind w:left="20"/>
              <w:spacing w:after="0"/>
              <w:rPr>
                <w:sz w:val="20"/>
                <w:szCs w:val="20"/>
                <w:color w:val="auto"/>
              </w:rPr>
            </w:pPr>
            <w:r>
              <w:rPr>
                <w:rFonts w:ascii="Calibri" w:cs="Calibri" w:eastAsia="Calibri" w:hAnsi="Calibri"/>
                <w:sz w:val="22"/>
                <w:szCs w:val="22"/>
                <w:b w:val="1"/>
                <w:bCs w:val="1"/>
                <w:color w:val="3465B0"/>
              </w:rPr>
              <w:t>PART I</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Calibri" w:cs="Calibri" w:eastAsia="Calibri" w:hAnsi="Calibri"/>
                <w:sz w:val="22"/>
                <w:szCs w:val="22"/>
                <w:color w:val="3465B0"/>
              </w:rPr>
              <w:t>3</w:t>
            </w:r>
          </w:p>
        </w:tc>
      </w:tr>
      <w:tr>
        <w:trPr>
          <w:trHeight w:val="156"/>
        </w:trPr>
        <w:tc>
          <w:tcPr>
            <w:tcW w:w="20" w:type="dxa"/>
            <w:vAlign w:val="bottom"/>
            <w:tcBorders>
              <w:bottom w:val="single" w:sz="8" w:color="3465B0"/>
            </w:tcBorders>
          </w:tcPr>
          <w:p>
            <w:pPr>
              <w:spacing w:after="0"/>
              <w:rPr>
                <w:sz w:val="13"/>
                <w:szCs w:val="13"/>
                <w:color w:val="auto"/>
              </w:rPr>
            </w:pPr>
          </w:p>
        </w:tc>
        <w:tc>
          <w:tcPr>
            <w:tcW w:w="580" w:type="dxa"/>
            <w:vAlign w:val="bottom"/>
            <w:tcBorders>
              <w:top w:val="single" w:sz="8" w:color="0000EE"/>
              <w:bottom w:val="single" w:sz="8" w:color="3465B0"/>
            </w:tcBorders>
          </w:tcPr>
          <w:p>
            <w:pPr>
              <w:spacing w:after="0"/>
              <w:rPr>
                <w:sz w:val="13"/>
                <w:szCs w:val="13"/>
                <w:color w:val="auto"/>
              </w:rPr>
            </w:pPr>
          </w:p>
        </w:tc>
        <w:tc>
          <w:tcPr>
            <w:tcW w:w="60" w:type="dxa"/>
            <w:vAlign w:val="bottom"/>
            <w:tcBorders>
              <w:bottom w:val="single" w:sz="8" w:color="3465B0"/>
            </w:tcBorders>
          </w:tcPr>
          <w:p>
            <w:pPr>
              <w:spacing w:after="0"/>
              <w:rPr>
                <w:sz w:val="13"/>
                <w:szCs w:val="13"/>
                <w:color w:val="auto"/>
              </w:rPr>
            </w:pPr>
          </w:p>
        </w:tc>
        <w:tc>
          <w:tcPr>
            <w:tcW w:w="60" w:type="dxa"/>
            <w:vAlign w:val="bottom"/>
            <w:tcBorders>
              <w:bottom w:val="single" w:sz="8" w:color="3465B0"/>
            </w:tcBorders>
          </w:tcPr>
          <w:p>
            <w:pPr>
              <w:spacing w:after="0"/>
              <w:rPr>
                <w:sz w:val="13"/>
                <w:szCs w:val="13"/>
                <w:color w:val="auto"/>
              </w:rPr>
            </w:pPr>
          </w:p>
        </w:tc>
        <w:tc>
          <w:tcPr>
            <w:tcW w:w="20" w:type="dxa"/>
            <w:vAlign w:val="bottom"/>
            <w:tcBorders>
              <w:bottom w:val="single" w:sz="8" w:color="3465B0"/>
            </w:tcBorders>
          </w:tcPr>
          <w:p>
            <w:pPr>
              <w:spacing w:after="0"/>
              <w:rPr>
                <w:sz w:val="13"/>
                <w:szCs w:val="13"/>
                <w:color w:val="auto"/>
              </w:rPr>
            </w:pPr>
          </w:p>
        </w:tc>
        <w:tc>
          <w:tcPr>
            <w:tcW w:w="420" w:type="dxa"/>
            <w:vAlign w:val="bottom"/>
            <w:tcBorders>
              <w:bottom w:val="single" w:sz="8" w:color="3465B0"/>
            </w:tcBorders>
          </w:tcPr>
          <w:p>
            <w:pPr>
              <w:spacing w:after="0"/>
              <w:rPr>
                <w:sz w:val="13"/>
                <w:szCs w:val="13"/>
                <w:color w:val="auto"/>
              </w:rPr>
            </w:pPr>
          </w:p>
        </w:tc>
        <w:tc>
          <w:tcPr>
            <w:tcW w:w="620" w:type="dxa"/>
            <w:vAlign w:val="bottom"/>
            <w:tcBorders>
              <w:bottom w:val="single" w:sz="8" w:color="3465B0"/>
            </w:tcBorders>
          </w:tcPr>
          <w:p>
            <w:pPr>
              <w:spacing w:after="0"/>
              <w:rPr>
                <w:sz w:val="13"/>
                <w:szCs w:val="13"/>
                <w:color w:val="auto"/>
              </w:rPr>
            </w:pPr>
          </w:p>
        </w:tc>
        <w:tc>
          <w:tcPr>
            <w:tcW w:w="12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80" w:type="dxa"/>
            <w:vAlign w:val="bottom"/>
            <w:tcBorders>
              <w:bottom w:val="single" w:sz="8" w:color="3465B0"/>
            </w:tcBorders>
          </w:tcPr>
          <w:p>
            <w:pPr>
              <w:spacing w:after="0"/>
              <w:rPr>
                <w:sz w:val="13"/>
                <w:szCs w:val="13"/>
                <w:color w:val="auto"/>
              </w:rPr>
            </w:pPr>
          </w:p>
        </w:tc>
        <w:tc>
          <w:tcPr>
            <w:tcW w:w="120" w:type="dxa"/>
            <w:vAlign w:val="bottom"/>
            <w:tcBorders>
              <w:bottom w:val="single" w:sz="8" w:color="3465B0"/>
            </w:tcBorders>
          </w:tcPr>
          <w:p>
            <w:pPr>
              <w:spacing w:after="0"/>
              <w:rPr>
                <w:sz w:val="13"/>
                <w:szCs w:val="13"/>
                <w:color w:val="auto"/>
              </w:rPr>
            </w:pPr>
          </w:p>
        </w:tc>
        <w:tc>
          <w:tcPr>
            <w:tcW w:w="30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140" w:type="dxa"/>
            <w:vAlign w:val="bottom"/>
            <w:tcBorders>
              <w:bottom w:val="single" w:sz="8" w:color="3465B0"/>
            </w:tcBorders>
          </w:tcPr>
          <w:p>
            <w:pPr>
              <w:spacing w:after="0"/>
              <w:rPr>
                <w:sz w:val="13"/>
                <w:szCs w:val="13"/>
                <w:color w:val="auto"/>
              </w:rPr>
            </w:pPr>
          </w:p>
        </w:tc>
        <w:tc>
          <w:tcPr>
            <w:tcW w:w="240" w:type="dxa"/>
            <w:vAlign w:val="bottom"/>
            <w:tcBorders>
              <w:bottom w:val="single" w:sz="8" w:color="3465B0"/>
            </w:tcBorders>
          </w:tcPr>
          <w:p>
            <w:pPr>
              <w:spacing w:after="0"/>
              <w:rPr>
                <w:sz w:val="13"/>
                <w:szCs w:val="13"/>
                <w:color w:val="auto"/>
              </w:rPr>
            </w:pPr>
          </w:p>
        </w:tc>
        <w:tc>
          <w:tcPr>
            <w:tcW w:w="60" w:type="dxa"/>
            <w:vAlign w:val="bottom"/>
            <w:tcBorders>
              <w:bottom w:val="single" w:sz="8" w:color="3465B0"/>
            </w:tcBorders>
          </w:tcPr>
          <w:p>
            <w:pPr>
              <w:spacing w:after="0"/>
              <w:rPr>
                <w:sz w:val="13"/>
                <w:szCs w:val="13"/>
                <w:color w:val="auto"/>
              </w:rPr>
            </w:pPr>
          </w:p>
        </w:tc>
        <w:tc>
          <w:tcPr>
            <w:tcW w:w="240" w:type="dxa"/>
            <w:vAlign w:val="bottom"/>
            <w:tcBorders>
              <w:bottom w:val="single" w:sz="8" w:color="3465B0"/>
            </w:tcBorders>
          </w:tcPr>
          <w:p>
            <w:pPr>
              <w:spacing w:after="0"/>
              <w:rPr>
                <w:sz w:val="13"/>
                <w:szCs w:val="13"/>
                <w:color w:val="auto"/>
              </w:rPr>
            </w:pPr>
          </w:p>
        </w:tc>
        <w:tc>
          <w:tcPr>
            <w:tcW w:w="780" w:type="dxa"/>
            <w:vAlign w:val="bottom"/>
            <w:tcBorders>
              <w:bottom w:val="single" w:sz="8" w:color="3465B0"/>
            </w:tcBorders>
          </w:tcPr>
          <w:p>
            <w:pPr>
              <w:spacing w:after="0"/>
              <w:rPr>
                <w:sz w:val="13"/>
                <w:szCs w:val="13"/>
                <w:color w:val="auto"/>
              </w:rPr>
            </w:pPr>
          </w:p>
        </w:tc>
        <w:tc>
          <w:tcPr>
            <w:tcW w:w="300" w:type="dxa"/>
            <w:vAlign w:val="bottom"/>
            <w:tcBorders>
              <w:bottom w:val="single" w:sz="8" w:color="3465B0"/>
            </w:tcBorders>
          </w:tcPr>
          <w:p>
            <w:pPr>
              <w:spacing w:after="0"/>
              <w:rPr>
                <w:sz w:val="13"/>
                <w:szCs w:val="13"/>
                <w:color w:val="auto"/>
              </w:rPr>
            </w:pPr>
          </w:p>
        </w:tc>
        <w:tc>
          <w:tcPr>
            <w:tcW w:w="220" w:type="dxa"/>
            <w:vAlign w:val="bottom"/>
            <w:tcBorders>
              <w:bottom w:val="single" w:sz="8" w:color="3465B0"/>
            </w:tcBorders>
          </w:tcPr>
          <w:p>
            <w:pPr>
              <w:spacing w:after="0"/>
              <w:rPr>
                <w:sz w:val="13"/>
                <w:szCs w:val="13"/>
                <w:color w:val="auto"/>
              </w:rPr>
            </w:pPr>
          </w:p>
        </w:tc>
        <w:tc>
          <w:tcPr>
            <w:tcW w:w="680" w:type="dxa"/>
            <w:vAlign w:val="bottom"/>
            <w:tcBorders>
              <w:bottom w:val="single" w:sz="8" w:color="3465B0"/>
            </w:tcBorders>
          </w:tcPr>
          <w:p>
            <w:pPr>
              <w:spacing w:after="0"/>
              <w:rPr>
                <w:sz w:val="13"/>
                <w:szCs w:val="13"/>
                <w:color w:val="auto"/>
              </w:rPr>
            </w:pPr>
          </w:p>
        </w:tc>
        <w:tc>
          <w:tcPr>
            <w:tcW w:w="260" w:type="dxa"/>
            <w:vAlign w:val="bottom"/>
            <w:tcBorders>
              <w:bottom w:val="single" w:sz="8" w:color="3465B0"/>
            </w:tcBorders>
          </w:tcPr>
          <w:p>
            <w:pPr>
              <w:spacing w:after="0"/>
              <w:rPr>
                <w:sz w:val="13"/>
                <w:szCs w:val="13"/>
                <w:color w:val="auto"/>
              </w:rPr>
            </w:pPr>
          </w:p>
        </w:tc>
        <w:tc>
          <w:tcPr>
            <w:tcW w:w="540" w:type="dxa"/>
            <w:vAlign w:val="bottom"/>
            <w:tcBorders>
              <w:bottom w:val="single" w:sz="8" w:color="3465B0"/>
            </w:tcBorders>
          </w:tcPr>
          <w:p>
            <w:pPr>
              <w:spacing w:after="0"/>
              <w:rPr>
                <w:sz w:val="13"/>
                <w:szCs w:val="13"/>
                <w:color w:val="auto"/>
              </w:rPr>
            </w:pPr>
          </w:p>
        </w:tc>
        <w:tc>
          <w:tcPr>
            <w:tcW w:w="600" w:type="dxa"/>
            <w:vAlign w:val="bottom"/>
            <w:tcBorders>
              <w:bottom w:val="single" w:sz="8" w:color="3465B0"/>
            </w:tcBorders>
          </w:tcPr>
          <w:p>
            <w:pPr>
              <w:spacing w:after="0"/>
              <w:rPr>
                <w:sz w:val="13"/>
                <w:szCs w:val="13"/>
                <w:color w:val="auto"/>
              </w:rPr>
            </w:pPr>
          </w:p>
        </w:tc>
        <w:tc>
          <w:tcPr>
            <w:tcW w:w="88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860" w:type="dxa"/>
            <w:vAlign w:val="bottom"/>
            <w:tcBorders>
              <w:bottom w:val="single" w:sz="8" w:color="3465B0"/>
            </w:tcBorders>
          </w:tcPr>
          <w:p>
            <w:pPr>
              <w:spacing w:after="0"/>
              <w:rPr>
                <w:sz w:val="13"/>
                <w:szCs w:val="13"/>
                <w:color w:val="auto"/>
              </w:rPr>
            </w:pPr>
          </w:p>
        </w:tc>
        <w:tc>
          <w:tcPr>
            <w:tcW w:w="740" w:type="dxa"/>
            <w:vAlign w:val="bottom"/>
            <w:tcBorders>
              <w:bottom w:val="single" w:sz="8" w:color="3465B0"/>
            </w:tcBorders>
          </w:tcPr>
          <w:p>
            <w:pPr>
              <w:spacing w:after="0"/>
              <w:rPr>
                <w:sz w:val="13"/>
                <w:szCs w:val="13"/>
                <w:color w:val="auto"/>
              </w:rPr>
            </w:pPr>
          </w:p>
        </w:tc>
        <w:tc>
          <w:tcPr>
            <w:tcW w:w="920" w:type="dxa"/>
            <w:vAlign w:val="bottom"/>
            <w:tcBorders>
              <w:bottom w:val="single" w:sz="8" w:color="3465B0"/>
            </w:tcBorders>
          </w:tcPr>
          <w:p>
            <w:pPr>
              <w:spacing w:after="0"/>
              <w:rPr>
                <w:sz w:val="13"/>
                <w:szCs w:val="13"/>
                <w:color w:val="auto"/>
              </w:rPr>
            </w:pPr>
          </w:p>
        </w:tc>
        <w:tc>
          <w:tcPr>
            <w:tcW w:w="1260" w:type="dxa"/>
            <w:vAlign w:val="bottom"/>
            <w:tcBorders>
              <w:bottom w:val="single" w:sz="8" w:color="3465B0"/>
            </w:tcBorders>
          </w:tcPr>
          <w:p>
            <w:pPr>
              <w:spacing w:after="0"/>
              <w:rPr>
                <w:sz w:val="13"/>
                <w:szCs w:val="13"/>
                <w:color w:val="auto"/>
              </w:rPr>
            </w:pPr>
          </w:p>
        </w:tc>
      </w:tr>
      <w:tr>
        <w:trPr>
          <w:trHeight w:val="290"/>
        </w:trPr>
        <w:tc>
          <w:tcPr>
            <w:tcW w:w="1160" w:type="dxa"/>
            <w:vAlign w:val="bottom"/>
            <w:gridSpan w:val="6"/>
          </w:tcPr>
          <w:p>
            <w:pPr>
              <w:ind w:left="20"/>
              <w:spacing w:after="0"/>
              <w:rPr>
                <w:sz w:val="20"/>
                <w:szCs w:val="20"/>
                <w:color w:val="auto"/>
              </w:rPr>
            </w:pPr>
            <w:r>
              <w:rPr>
                <w:rFonts w:ascii="Calibri" w:cs="Calibri" w:eastAsia="Calibri" w:hAnsi="Calibri"/>
                <w:sz w:val="18"/>
                <w:szCs w:val="18"/>
                <w:b w:val="1"/>
                <w:bCs w:val="1"/>
                <w:color w:val="00002D"/>
              </w:rPr>
              <w:t>Item 1.</w:t>
            </w:r>
          </w:p>
        </w:tc>
        <w:tc>
          <w:tcPr>
            <w:tcW w:w="8820" w:type="dxa"/>
            <w:vAlign w:val="bottom"/>
            <w:gridSpan w:val="23"/>
          </w:tcPr>
          <w:p>
            <w:pPr>
              <w:spacing w:after="0"/>
              <w:rPr>
                <w:sz w:val="20"/>
                <w:szCs w:val="20"/>
                <w:color w:val="auto"/>
              </w:rPr>
            </w:pPr>
            <w:r>
              <w:rPr>
                <w:rFonts w:ascii="Calibri" w:cs="Calibri" w:eastAsia="Calibri" w:hAnsi="Calibri"/>
                <w:sz w:val="18"/>
                <w:szCs w:val="18"/>
                <w:color w:val="00002D"/>
              </w:rPr>
              <w:t>Business</w:t>
            </w:r>
          </w:p>
        </w:tc>
        <w:tc>
          <w:tcPr>
            <w:tcW w:w="1260" w:type="dxa"/>
            <w:vAlign w:val="bottom"/>
          </w:tcPr>
          <w:p>
            <w:pPr>
              <w:jc w:val="right"/>
              <w:spacing w:after="0"/>
              <w:rPr>
                <w:sz w:val="20"/>
                <w:szCs w:val="20"/>
                <w:color w:val="auto"/>
              </w:rPr>
            </w:pPr>
            <w:r>
              <w:rPr>
                <w:rFonts w:ascii="Calibri" w:cs="Calibri" w:eastAsia="Calibri" w:hAnsi="Calibri"/>
                <w:sz w:val="18"/>
                <w:szCs w:val="18"/>
                <w:b w:val="1"/>
                <w:bCs w:val="1"/>
                <w:color w:val="00002D"/>
              </w:rPr>
              <w:t>3</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0" w:type="dxa"/>
            <w:vAlign w:val="bottom"/>
            <w:tcBorders>
              <w:bottom w:val="single" w:sz="8" w:color="DAE1EB"/>
            </w:tcBorders>
          </w:tcPr>
          <w:p>
            <w:pPr>
              <w:spacing w:after="0"/>
              <w:rPr>
                <w:sz w:val="2"/>
                <w:szCs w:val="2"/>
                <w:color w:val="auto"/>
              </w:rPr>
            </w:pPr>
          </w:p>
        </w:tc>
        <w:tc>
          <w:tcPr>
            <w:tcW w:w="12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7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6"/>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1A.</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Risk Factors</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18</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7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1B.</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Unresolved Staf Comments</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39</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7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1C.</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Cybersecurity</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39</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7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6"/>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2.</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Propertes</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40</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0" w:type="dxa"/>
            <w:vAlign w:val="bottom"/>
            <w:tcBorders>
              <w:bottom w:val="single" w:sz="8" w:color="DAE1EB"/>
            </w:tcBorders>
          </w:tcPr>
          <w:p>
            <w:pPr>
              <w:spacing w:after="0"/>
              <w:rPr>
                <w:sz w:val="2"/>
                <w:szCs w:val="2"/>
                <w:color w:val="auto"/>
              </w:rPr>
            </w:pPr>
          </w:p>
        </w:tc>
        <w:tc>
          <w:tcPr>
            <w:tcW w:w="12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7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3.</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Legal Proceedings</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40</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7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6"/>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4.</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Mine Safety Disclosures</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40</w:t>
            </w:r>
          </w:p>
        </w:tc>
      </w:tr>
      <w:tr>
        <w:trPr>
          <w:trHeight w:val="453"/>
        </w:trPr>
        <w:tc>
          <w:tcPr>
            <w:tcW w:w="1160" w:type="dxa"/>
            <w:vAlign w:val="bottom"/>
            <w:gridSpan w:val="6"/>
          </w:tcPr>
          <w:p>
            <w:pPr>
              <w:ind w:left="20"/>
              <w:spacing w:after="0"/>
              <w:rPr>
                <w:sz w:val="20"/>
                <w:szCs w:val="20"/>
                <w:color w:val="auto"/>
              </w:rPr>
            </w:pPr>
            <w:r>
              <w:rPr>
                <w:rFonts w:ascii="Calibri" w:cs="Calibri" w:eastAsia="Calibri" w:hAnsi="Calibri"/>
                <w:sz w:val="22"/>
                <w:szCs w:val="22"/>
                <w:b w:val="1"/>
                <w:bCs w:val="1"/>
                <w:color w:val="3465B0"/>
              </w:rPr>
              <w:t>PART II</w:t>
            </w: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2"/>
                <w:szCs w:val="22"/>
                <w:color w:val="3465B0"/>
              </w:rPr>
              <w:t>41</w:t>
            </w:r>
          </w:p>
        </w:tc>
      </w:tr>
      <w:tr>
        <w:trPr>
          <w:trHeight w:val="155"/>
        </w:trPr>
        <w:tc>
          <w:tcPr>
            <w:tcW w:w="20" w:type="dxa"/>
            <w:vAlign w:val="bottom"/>
            <w:tcBorders>
              <w:bottom w:val="single" w:sz="8" w:color="3465B0"/>
            </w:tcBorders>
          </w:tcPr>
          <w:p>
            <w:pPr>
              <w:spacing w:after="0"/>
              <w:rPr>
                <w:sz w:val="13"/>
                <w:szCs w:val="13"/>
                <w:color w:val="auto"/>
              </w:rPr>
            </w:pPr>
          </w:p>
        </w:tc>
        <w:tc>
          <w:tcPr>
            <w:tcW w:w="580" w:type="dxa"/>
            <w:vAlign w:val="bottom"/>
            <w:tcBorders>
              <w:top w:val="single" w:sz="8" w:color="0000EE"/>
              <w:bottom w:val="single" w:sz="8" w:color="3465B0"/>
            </w:tcBorders>
          </w:tcPr>
          <w:p>
            <w:pPr>
              <w:spacing w:after="0"/>
              <w:rPr>
                <w:sz w:val="13"/>
                <w:szCs w:val="13"/>
                <w:color w:val="auto"/>
              </w:rPr>
            </w:pPr>
          </w:p>
        </w:tc>
        <w:tc>
          <w:tcPr>
            <w:tcW w:w="60" w:type="dxa"/>
            <w:vAlign w:val="bottom"/>
            <w:tcBorders>
              <w:top w:val="single" w:sz="8" w:color="0000EE"/>
              <w:bottom w:val="single" w:sz="8" w:color="3465B0"/>
            </w:tcBorders>
          </w:tcPr>
          <w:p>
            <w:pPr>
              <w:spacing w:after="0"/>
              <w:rPr>
                <w:sz w:val="13"/>
                <w:szCs w:val="13"/>
                <w:color w:val="auto"/>
              </w:rPr>
            </w:pPr>
          </w:p>
        </w:tc>
        <w:tc>
          <w:tcPr>
            <w:tcW w:w="60" w:type="dxa"/>
            <w:vAlign w:val="bottom"/>
            <w:tcBorders>
              <w:bottom w:val="single" w:sz="8" w:color="3465B0"/>
            </w:tcBorders>
          </w:tcPr>
          <w:p>
            <w:pPr>
              <w:spacing w:after="0"/>
              <w:rPr>
                <w:sz w:val="13"/>
                <w:szCs w:val="13"/>
                <w:color w:val="auto"/>
              </w:rPr>
            </w:pPr>
          </w:p>
        </w:tc>
        <w:tc>
          <w:tcPr>
            <w:tcW w:w="20" w:type="dxa"/>
            <w:vAlign w:val="bottom"/>
            <w:tcBorders>
              <w:bottom w:val="single" w:sz="8" w:color="3465B0"/>
            </w:tcBorders>
          </w:tcPr>
          <w:p>
            <w:pPr>
              <w:spacing w:after="0"/>
              <w:rPr>
                <w:sz w:val="13"/>
                <w:szCs w:val="13"/>
                <w:color w:val="auto"/>
              </w:rPr>
            </w:pPr>
          </w:p>
        </w:tc>
        <w:tc>
          <w:tcPr>
            <w:tcW w:w="420" w:type="dxa"/>
            <w:vAlign w:val="bottom"/>
            <w:tcBorders>
              <w:bottom w:val="single" w:sz="8" w:color="3465B0"/>
            </w:tcBorders>
          </w:tcPr>
          <w:p>
            <w:pPr>
              <w:spacing w:after="0"/>
              <w:rPr>
                <w:sz w:val="13"/>
                <w:szCs w:val="13"/>
                <w:color w:val="auto"/>
              </w:rPr>
            </w:pPr>
          </w:p>
        </w:tc>
        <w:tc>
          <w:tcPr>
            <w:tcW w:w="620" w:type="dxa"/>
            <w:vAlign w:val="bottom"/>
            <w:tcBorders>
              <w:bottom w:val="single" w:sz="8" w:color="3465B0"/>
            </w:tcBorders>
          </w:tcPr>
          <w:p>
            <w:pPr>
              <w:spacing w:after="0"/>
              <w:rPr>
                <w:sz w:val="13"/>
                <w:szCs w:val="13"/>
                <w:color w:val="auto"/>
              </w:rPr>
            </w:pPr>
          </w:p>
        </w:tc>
        <w:tc>
          <w:tcPr>
            <w:tcW w:w="12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80" w:type="dxa"/>
            <w:vAlign w:val="bottom"/>
            <w:tcBorders>
              <w:bottom w:val="single" w:sz="8" w:color="3465B0"/>
            </w:tcBorders>
          </w:tcPr>
          <w:p>
            <w:pPr>
              <w:spacing w:after="0"/>
              <w:rPr>
                <w:sz w:val="13"/>
                <w:szCs w:val="13"/>
                <w:color w:val="auto"/>
              </w:rPr>
            </w:pPr>
          </w:p>
        </w:tc>
        <w:tc>
          <w:tcPr>
            <w:tcW w:w="120" w:type="dxa"/>
            <w:vAlign w:val="bottom"/>
            <w:tcBorders>
              <w:bottom w:val="single" w:sz="8" w:color="3465B0"/>
            </w:tcBorders>
          </w:tcPr>
          <w:p>
            <w:pPr>
              <w:spacing w:after="0"/>
              <w:rPr>
                <w:sz w:val="13"/>
                <w:szCs w:val="13"/>
                <w:color w:val="auto"/>
              </w:rPr>
            </w:pPr>
          </w:p>
        </w:tc>
        <w:tc>
          <w:tcPr>
            <w:tcW w:w="30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140" w:type="dxa"/>
            <w:vAlign w:val="bottom"/>
            <w:tcBorders>
              <w:bottom w:val="single" w:sz="8" w:color="3465B0"/>
            </w:tcBorders>
          </w:tcPr>
          <w:p>
            <w:pPr>
              <w:spacing w:after="0"/>
              <w:rPr>
                <w:sz w:val="13"/>
                <w:szCs w:val="13"/>
                <w:color w:val="auto"/>
              </w:rPr>
            </w:pPr>
          </w:p>
        </w:tc>
        <w:tc>
          <w:tcPr>
            <w:tcW w:w="240" w:type="dxa"/>
            <w:vAlign w:val="bottom"/>
            <w:tcBorders>
              <w:bottom w:val="single" w:sz="8" w:color="3465B0"/>
            </w:tcBorders>
          </w:tcPr>
          <w:p>
            <w:pPr>
              <w:spacing w:after="0"/>
              <w:rPr>
                <w:sz w:val="13"/>
                <w:szCs w:val="13"/>
                <w:color w:val="auto"/>
              </w:rPr>
            </w:pPr>
          </w:p>
        </w:tc>
        <w:tc>
          <w:tcPr>
            <w:tcW w:w="60" w:type="dxa"/>
            <w:vAlign w:val="bottom"/>
            <w:tcBorders>
              <w:bottom w:val="single" w:sz="8" w:color="3465B0"/>
            </w:tcBorders>
          </w:tcPr>
          <w:p>
            <w:pPr>
              <w:spacing w:after="0"/>
              <w:rPr>
                <w:sz w:val="13"/>
                <w:szCs w:val="13"/>
                <w:color w:val="auto"/>
              </w:rPr>
            </w:pPr>
          </w:p>
        </w:tc>
        <w:tc>
          <w:tcPr>
            <w:tcW w:w="240" w:type="dxa"/>
            <w:vAlign w:val="bottom"/>
            <w:tcBorders>
              <w:bottom w:val="single" w:sz="8" w:color="3465B0"/>
            </w:tcBorders>
          </w:tcPr>
          <w:p>
            <w:pPr>
              <w:spacing w:after="0"/>
              <w:rPr>
                <w:sz w:val="13"/>
                <w:szCs w:val="13"/>
                <w:color w:val="auto"/>
              </w:rPr>
            </w:pPr>
          </w:p>
        </w:tc>
        <w:tc>
          <w:tcPr>
            <w:tcW w:w="780" w:type="dxa"/>
            <w:vAlign w:val="bottom"/>
            <w:tcBorders>
              <w:bottom w:val="single" w:sz="8" w:color="3465B0"/>
            </w:tcBorders>
          </w:tcPr>
          <w:p>
            <w:pPr>
              <w:spacing w:after="0"/>
              <w:rPr>
                <w:sz w:val="13"/>
                <w:szCs w:val="13"/>
                <w:color w:val="auto"/>
              </w:rPr>
            </w:pPr>
          </w:p>
        </w:tc>
        <w:tc>
          <w:tcPr>
            <w:tcW w:w="300" w:type="dxa"/>
            <w:vAlign w:val="bottom"/>
            <w:tcBorders>
              <w:bottom w:val="single" w:sz="8" w:color="3465B0"/>
            </w:tcBorders>
          </w:tcPr>
          <w:p>
            <w:pPr>
              <w:spacing w:after="0"/>
              <w:rPr>
                <w:sz w:val="13"/>
                <w:szCs w:val="13"/>
                <w:color w:val="auto"/>
              </w:rPr>
            </w:pPr>
          </w:p>
        </w:tc>
        <w:tc>
          <w:tcPr>
            <w:tcW w:w="220" w:type="dxa"/>
            <w:vAlign w:val="bottom"/>
            <w:tcBorders>
              <w:bottom w:val="single" w:sz="8" w:color="3465B0"/>
            </w:tcBorders>
          </w:tcPr>
          <w:p>
            <w:pPr>
              <w:spacing w:after="0"/>
              <w:rPr>
                <w:sz w:val="13"/>
                <w:szCs w:val="13"/>
                <w:color w:val="auto"/>
              </w:rPr>
            </w:pPr>
          </w:p>
        </w:tc>
        <w:tc>
          <w:tcPr>
            <w:tcW w:w="680" w:type="dxa"/>
            <w:vAlign w:val="bottom"/>
            <w:tcBorders>
              <w:bottom w:val="single" w:sz="8" w:color="3465B0"/>
            </w:tcBorders>
          </w:tcPr>
          <w:p>
            <w:pPr>
              <w:spacing w:after="0"/>
              <w:rPr>
                <w:sz w:val="13"/>
                <w:szCs w:val="13"/>
                <w:color w:val="auto"/>
              </w:rPr>
            </w:pPr>
          </w:p>
        </w:tc>
        <w:tc>
          <w:tcPr>
            <w:tcW w:w="260" w:type="dxa"/>
            <w:vAlign w:val="bottom"/>
            <w:tcBorders>
              <w:bottom w:val="single" w:sz="8" w:color="3465B0"/>
            </w:tcBorders>
          </w:tcPr>
          <w:p>
            <w:pPr>
              <w:spacing w:after="0"/>
              <w:rPr>
                <w:sz w:val="13"/>
                <w:szCs w:val="13"/>
                <w:color w:val="auto"/>
              </w:rPr>
            </w:pPr>
          </w:p>
        </w:tc>
        <w:tc>
          <w:tcPr>
            <w:tcW w:w="540" w:type="dxa"/>
            <w:vAlign w:val="bottom"/>
            <w:tcBorders>
              <w:bottom w:val="single" w:sz="8" w:color="3465B0"/>
            </w:tcBorders>
          </w:tcPr>
          <w:p>
            <w:pPr>
              <w:spacing w:after="0"/>
              <w:rPr>
                <w:sz w:val="13"/>
                <w:szCs w:val="13"/>
                <w:color w:val="auto"/>
              </w:rPr>
            </w:pPr>
          </w:p>
        </w:tc>
        <w:tc>
          <w:tcPr>
            <w:tcW w:w="600" w:type="dxa"/>
            <w:vAlign w:val="bottom"/>
            <w:tcBorders>
              <w:bottom w:val="single" w:sz="8" w:color="3465B0"/>
            </w:tcBorders>
          </w:tcPr>
          <w:p>
            <w:pPr>
              <w:spacing w:after="0"/>
              <w:rPr>
                <w:sz w:val="13"/>
                <w:szCs w:val="13"/>
                <w:color w:val="auto"/>
              </w:rPr>
            </w:pPr>
          </w:p>
        </w:tc>
        <w:tc>
          <w:tcPr>
            <w:tcW w:w="88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860" w:type="dxa"/>
            <w:vAlign w:val="bottom"/>
            <w:tcBorders>
              <w:bottom w:val="single" w:sz="8" w:color="3465B0"/>
            </w:tcBorders>
          </w:tcPr>
          <w:p>
            <w:pPr>
              <w:spacing w:after="0"/>
              <w:rPr>
                <w:sz w:val="13"/>
                <w:szCs w:val="13"/>
                <w:color w:val="auto"/>
              </w:rPr>
            </w:pPr>
          </w:p>
        </w:tc>
        <w:tc>
          <w:tcPr>
            <w:tcW w:w="740" w:type="dxa"/>
            <w:vAlign w:val="bottom"/>
            <w:tcBorders>
              <w:bottom w:val="single" w:sz="8" w:color="3465B0"/>
            </w:tcBorders>
          </w:tcPr>
          <w:p>
            <w:pPr>
              <w:spacing w:after="0"/>
              <w:rPr>
                <w:sz w:val="13"/>
                <w:szCs w:val="13"/>
                <w:color w:val="auto"/>
              </w:rPr>
            </w:pPr>
          </w:p>
        </w:tc>
        <w:tc>
          <w:tcPr>
            <w:tcW w:w="920" w:type="dxa"/>
            <w:vAlign w:val="bottom"/>
            <w:tcBorders>
              <w:bottom w:val="single" w:sz="8" w:color="3465B0"/>
            </w:tcBorders>
          </w:tcPr>
          <w:p>
            <w:pPr>
              <w:spacing w:after="0"/>
              <w:rPr>
                <w:sz w:val="13"/>
                <w:szCs w:val="13"/>
                <w:color w:val="auto"/>
              </w:rPr>
            </w:pPr>
          </w:p>
        </w:tc>
        <w:tc>
          <w:tcPr>
            <w:tcW w:w="1260" w:type="dxa"/>
            <w:vAlign w:val="bottom"/>
            <w:tcBorders>
              <w:bottom w:val="single" w:sz="8" w:color="3465B0"/>
            </w:tcBorders>
          </w:tcPr>
          <w:p>
            <w:pPr>
              <w:spacing w:after="0"/>
              <w:rPr>
                <w:sz w:val="13"/>
                <w:szCs w:val="13"/>
                <w:color w:val="auto"/>
              </w:rPr>
            </w:pPr>
          </w:p>
        </w:tc>
      </w:tr>
      <w:tr>
        <w:trPr>
          <w:trHeight w:val="291"/>
        </w:trPr>
        <w:tc>
          <w:tcPr>
            <w:tcW w:w="1160" w:type="dxa"/>
            <w:vAlign w:val="bottom"/>
            <w:gridSpan w:val="6"/>
          </w:tcPr>
          <w:p>
            <w:pPr>
              <w:ind w:left="20"/>
              <w:spacing w:after="0"/>
              <w:rPr>
                <w:sz w:val="20"/>
                <w:szCs w:val="20"/>
                <w:color w:val="auto"/>
              </w:rPr>
            </w:pPr>
            <w:r>
              <w:rPr>
                <w:rFonts w:ascii="Calibri" w:cs="Calibri" w:eastAsia="Calibri" w:hAnsi="Calibri"/>
                <w:sz w:val="18"/>
                <w:szCs w:val="18"/>
                <w:b w:val="1"/>
                <w:bCs w:val="1"/>
                <w:color w:val="00002D"/>
              </w:rPr>
              <w:t>Item 5.</w:t>
            </w:r>
          </w:p>
        </w:tc>
        <w:tc>
          <w:tcPr>
            <w:tcW w:w="8820" w:type="dxa"/>
            <w:vAlign w:val="bottom"/>
            <w:gridSpan w:val="23"/>
          </w:tcPr>
          <w:p>
            <w:pPr>
              <w:spacing w:after="0"/>
              <w:rPr>
                <w:sz w:val="20"/>
                <w:szCs w:val="20"/>
                <w:color w:val="auto"/>
              </w:rPr>
            </w:pPr>
            <w:r>
              <w:rPr>
                <w:rFonts w:ascii="Calibri" w:cs="Calibri" w:eastAsia="Calibri" w:hAnsi="Calibri"/>
                <w:sz w:val="18"/>
                <w:szCs w:val="18"/>
                <w:color w:val="00002D"/>
              </w:rPr>
              <w:t>Market for Registrant’s Common Equity, Related Stockholder Maters and Issuer Purchases of Equity Securites</w:t>
            </w:r>
          </w:p>
        </w:tc>
        <w:tc>
          <w:tcPr>
            <w:tcW w:w="1260" w:type="dxa"/>
            <w:vAlign w:val="bottom"/>
          </w:tcPr>
          <w:p>
            <w:pPr>
              <w:jc w:val="right"/>
              <w:spacing w:after="0"/>
              <w:rPr>
                <w:sz w:val="20"/>
                <w:szCs w:val="20"/>
                <w:color w:val="auto"/>
              </w:rPr>
            </w:pPr>
            <w:r>
              <w:rPr>
                <w:rFonts w:ascii="Calibri" w:cs="Calibri" w:eastAsia="Calibri" w:hAnsi="Calibri"/>
                <w:sz w:val="18"/>
                <w:szCs w:val="18"/>
                <w:b w:val="1"/>
                <w:bCs w:val="1"/>
                <w:color w:val="00002D"/>
              </w:rPr>
              <w:t>41</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7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680" w:type="dxa"/>
            <w:vAlign w:val="bottom"/>
            <w:tcBorders>
              <w:top w:val="single" w:sz="8" w:color="0000EE"/>
              <w:bottom w:val="single" w:sz="8" w:color="DAE1EB"/>
            </w:tcBorders>
          </w:tcPr>
          <w:p>
            <w:pPr>
              <w:spacing w:after="0"/>
              <w:rPr>
                <w:sz w:val="2"/>
                <w:szCs w:val="2"/>
                <w:color w:val="auto"/>
              </w:rPr>
            </w:pPr>
          </w:p>
        </w:tc>
        <w:tc>
          <w:tcPr>
            <w:tcW w:w="260" w:type="dxa"/>
            <w:vAlign w:val="bottom"/>
            <w:tcBorders>
              <w:top w:val="single" w:sz="8" w:color="0000EE"/>
              <w:bottom w:val="single" w:sz="8" w:color="DAE1EB"/>
            </w:tcBorders>
          </w:tcPr>
          <w:p>
            <w:pPr>
              <w:spacing w:after="0"/>
              <w:rPr>
                <w:sz w:val="2"/>
                <w:szCs w:val="2"/>
                <w:color w:val="auto"/>
              </w:rPr>
            </w:pPr>
          </w:p>
        </w:tc>
        <w:tc>
          <w:tcPr>
            <w:tcW w:w="540" w:type="dxa"/>
            <w:vAlign w:val="bottom"/>
            <w:tcBorders>
              <w:top w:val="single" w:sz="8" w:color="0000EE"/>
              <w:bottom w:val="single" w:sz="8" w:color="DAE1EB"/>
            </w:tcBorders>
          </w:tcPr>
          <w:p>
            <w:pPr>
              <w:spacing w:after="0"/>
              <w:rPr>
                <w:sz w:val="2"/>
                <w:szCs w:val="2"/>
                <w:color w:val="auto"/>
              </w:rPr>
            </w:pPr>
          </w:p>
        </w:tc>
        <w:tc>
          <w:tcPr>
            <w:tcW w:w="600" w:type="dxa"/>
            <w:vAlign w:val="bottom"/>
            <w:tcBorders>
              <w:top w:val="single" w:sz="8" w:color="0000EE"/>
              <w:bottom w:val="single" w:sz="8" w:color="DAE1EB"/>
            </w:tcBorders>
          </w:tcPr>
          <w:p>
            <w:pPr>
              <w:spacing w:after="0"/>
              <w:rPr>
                <w:sz w:val="2"/>
                <w:szCs w:val="2"/>
                <w:color w:val="auto"/>
              </w:rPr>
            </w:pPr>
          </w:p>
        </w:tc>
        <w:tc>
          <w:tcPr>
            <w:tcW w:w="88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60" w:type="dxa"/>
            <w:vAlign w:val="bottom"/>
            <w:tcBorders>
              <w:top w:val="single" w:sz="8" w:color="0000EE"/>
              <w:bottom w:val="single" w:sz="8" w:color="DAE1EB"/>
            </w:tcBorders>
          </w:tcPr>
          <w:p>
            <w:pPr>
              <w:spacing w:after="0"/>
              <w:rPr>
                <w:sz w:val="2"/>
                <w:szCs w:val="2"/>
                <w:color w:val="auto"/>
              </w:rPr>
            </w:pPr>
          </w:p>
        </w:tc>
        <w:tc>
          <w:tcPr>
            <w:tcW w:w="740" w:type="dxa"/>
            <w:vAlign w:val="bottom"/>
            <w:tcBorders>
              <w:top w:val="single" w:sz="8" w:color="0000EE"/>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6.</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[Reserved]</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42</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bottom w:val="single" w:sz="8" w:color="DAE1EB"/>
            </w:tcBorders>
          </w:tcPr>
          <w:p>
            <w:pPr>
              <w:spacing w:after="0"/>
              <w:rPr>
                <w:sz w:val="2"/>
                <w:szCs w:val="2"/>
                <w:color w:val="auto"/>
              </w:rPr>
            </w:pPr>
          </w:p>
        </w:tc>
        <w:tc>
          <w:tcPr>
            <w:tcW w:w="12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7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7.</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Management’s Discussion and Analysis of Financial Conditon and Results of Operatons</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43</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7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680" w:type="dxa"/>
            <w:vAlign w:val="bottom"/>
            <w:tcBorders>
              <w:top w:val="single" w:sz="8" w:color="0000EE"/>
              <w:bottom w:val="single" w:sz="8" w:color="DAE1EB"/>
            </w:tcBorders>
          </w:tcPr>
          <w:p>
            <w:pPr>
              <w:spacing w:after="0"/>
              <w:rPr>
                <w:sz w:val="2"/>
                <w:szCs w:val="2"/>
                <w:color w:val="auto"/>
              </w:rPr>
            </w:pPr>
          </w:p>
        </w:tc>
        <w:tc>
          <w:tcPr>
            <w:tcW w:w="260" w:type="dxa"/>
            <w:vAlign w:val="bottom"/>
            <w:tcBorders>
              <w:top w:val="single" w:sz="8" w:color="0000EE"/>
              <w:bottom w:val="single" w:sz="8" w:color="DAE1EB"/>
            </w:tcBorders>
          </w:tcPr>
          <w:p>
            <w:pPr>
              <w:spacing w:after="0"/>
              <w:rPr>
                <w:sz w:val="2"/>
                <w:szCs w:val="2"/>
                <w:color w:val="auto"/>
              </w:rPr>
            </w:pPr>
          </w:p>
        </w:tc>
        <w:tc>
          <w:tcPr>
            <w:tcW w:w="540" w:type="dxa"/>
            <w:vAlign w:val="bottom"/>
            <w:tcBorders>
              <w:top w:val="single" w:sz="8" w:color="0000EE"/>
              <w:bottom w:val="single" w:sz="8" w:color="DAE1EB"/>
            </w:tcBorders>
          </w:tcPr>
          <w:p>
            <w:pPr>
              <w:spacing w:after="0"/>
              <w:rPr>
                <w:sz w:val="2"/>
                <w:szCs w:val="2"/>
                <w:color w:val="auto"/>
              </w:rPr>
            </w:pPr>
          </w:p>
        </w:tc>
        <w:tc>
          <w:tcPr>
            <w:tcW w:w="600" w:type="dxa"/>
            <w:vAlign w:val="bottom"/>
            <w:tcBorders>
              <w:top w:val="single" w:sz="8" w:color="0000EE"/>
              <w:bottom w:val="single" w:sz="8" w:color="DAE1EB"/>
            </w:tcBorders>
          </w:tcPr>
          <w:p>
            <w:pPr>
              <w:spacing w:after="0"/>
              <w:rPr>
                <w:sz w:val="2"/>
                <w:szCs w:val="2"/>
                <w:color w:val="auto"/>
              </w:rPr>
            </w:pPr>
          </w:p>
        </w:tc>
        <w:tc>
          <w:tcPr>
            <w:tcW w:w="880" w:type="dxa"/>
            <w:vAlign w:val="bottom"/>
            <w:tcBorders>
              <w:top w:val="single" w:sz="8" w:color="0000EE"/>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6"/>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7A.</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Quanttatve and Qualitatve Disclosures About Market Risk</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66</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7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680" w:type="dxa"/>
            <w:vAlign w:val="bottom"/>
            <w:tcBorders>
              <w:top w:val="single" w:sz="8" w:color="0000EE"/>
              <w:bottom w:val="single" w:sz="8" w:color="DAE1EB"/>
            </w:tcBorders>
          </w:tcPr>
          <w:p>
            <w:pPr>
              <w:spacing w:after="0"/>
              <w:rPr>
                <w:sz w:val="2"/>
                <w:szCs w:val="2"/>
                <w:color w:val="auto"/>
              </w:rPr>
            </w:pPr>
          </w:p>
        </w:tc>
        <w:tc>
          <w:tcPr>
            <w:tcW w:w="260" w:type="dxa"/>
            <w:vAlign w:val="bottom"/>
            <w:tcBorders>
              <w:top w:val="single" w:sz="8" w:color="0000EE"/>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8.</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Financial Statements and Supplementary Data</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67</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7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6"/>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9.</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Changes in and Disagreements with Accountants on Accountng and Financial Disclosure</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122</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7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680" w:type="dxa"/>
            <w:vAlign w:val="bottom"/>
            <w:tcBorders>
              <w:top w:val="single" w:sz="8" w:color="0000EE"/>
              <w:bottom w:val="single" w:sz="8" w:color="DAE1EB"/>
            </w:tcBorders>
          </w:tcPr>
          <w:p>
            <w:pPr>
              <w:spacing w:after="0"/>
              <w:rPr>
                <w:sz w:val="2"/>
                <w:szCs w:val="2"/>
                <w:color w:val="auto"/>
              </w:rPr>
            </w:pPr>
          </w:p>
        </w:tc>
        <w:tc>
          <w:tcPr>
            <w:tcW w:w="260" w:type="dxa"/>
            <w:vAlign w:val="bottom"/>
            <w:tcBorders>
              <w:top w:val="single" w:sz="8" w:color="0000EE"/>
              <w:bottom w:val="single" w:sz="8" w:color="DAE1EB"/>
            </w:tcBorders>
          </w:tcPr>
          <w:p>
            <w:pPr>
              <w:spacing w:after="0"/>
              <w:rPr>
                <w:sz w:val="2"/>
                <w:szCs w:val="2"/>
                <w:color w:val="auto"/>
              </w:rPr>
            </w:pPr>
          </w:p>
        </w:tc>
        <w:tc>
          <w:tcPr>
            <w:tcW w:w="540" w:type="dxa"/>
            <w:vAlign w:val="bottom"/>
            <w:tcBorders>
              <w:top w:val="single" w:sz="8" w:color="0000EE"/>
              <w:bottom w:val="single" w:sz="8" w:color="DAE1EB"/>
            </w:tcBorders>
          </w:tcPr>
          <w:p>
            <w:pPr>
              <w:spacing w:after="0"/>
              <w:rPr>
                <w:sz w:val="2"/>
                <w:szCs w:val="2"/>
                <w:color w:val="auto"/>
              </w:rPr>
            </w:pPr>
          </w:p>
        </w:tc>
        <w:tc>
          <w:tcPr>
            <w:tcW w:w="600" w:type="dxa"/>
            <w:vAlign w:val="bottom"/>
            <w:tcBorders>
              <w:top w:val="single" w:sz="8" w:color="0000EE"/>
              <w:bottom w:val="single" w:sz="8" w:color="DAE1EB"/>
            </w:tcBorders>
          </w:tcPr>
          <w:p>
            <w:pPr>
              <w:spacing w:after="0"/>
              <w:rPr>
                <w:sz w:val="2"/>
                <w:szCs w:val="2"/>
                <w:color w:val="auto"/>
              </w:rPr>
            </w:pPr>
          </w:p>
        </w:tc>
        <w:tc>
          <w:tcPr>
            <w:tcW w:w="88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6"/>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9A.</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Controls and Procedures</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122</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7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9B.</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Other Informaton</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126</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7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6"/>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9C.</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Disclosure Regarding Foreign Jurisdictons that Prevent Inspectons</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126</w:t>
            </w:r>
          </w:p>
        </w:tc>
      </w:tr>
      <w:tr>
        <w:trPr>
          <w:trHeight w:val="452"/>
        </w:trPr>
        <w:tc>
          <w:tcPr>
            <w:tcW w:w="1160" w:type="dxa"/>
            <w:vAlign w:val="bottom"/>
            <w:gridSpan w:val="6"/>
          </w:tcPr>
          <w:p>
            <w:pPr>
              <w:ind w:left="20"/>
              <w:spacing w:after="0"/>
              <w:rPr>
                <w:sz w:val="20"/>
                <w:szCs w:val="20"/>
                <w:color w:val="auto"/>
              </w:rPr>
            </w:pPr>
            <w:r>
              <w:rPr>
                <w:rFonts w:ascii="Calibri" w:cs="Calibri" w:eastAsia="Calibri" w:hAnsi="Calibri"/>
                <w:sz w:val="22"/>
                <w:szCs w:val="22"/>
                <w:b w:val="1"/>
                <w:bCs w:val="1"/>
                <w:color w:val="3465B0"/>
              </w:rPr>
              <w:t>PART III</w:t>
            </w: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2"/>
                <w:szCs w:val="22"/>
                <w:color w:val="3465B0"/>
              </w:rPr>
              <w:t>127</w:t>
            </w:r>
          </w:p>
        </w:tc>
      </w:tr>
      <w:tr>
        <w:trPr>
          <w:trHeight w:val="156"/>
        </w:trPr>
        <w:tc>
          <w:tcPr>
            <w:tcW w:w="20" w:type="dxa"/>
            <w:vAlign w:val="bottom"/>
            <w:tcBorders>
              <w:bottom w:val="single" w:sz="8" w:color="3465B0"/>
            </w:tcBorders>
          </w:tcPr>
          <w:p>
            <w:pPr>
              <w:spacing w:after="0"/>
              <w:rPr>
                <w:sz w:val="13"/>
                <w:szCs w:val="13"/>
                <w:color w:val="auto"/>
              </w:rPr>
            </w:pPr>
          </w:p>
        </w:tc>
        <w:tc>
          <w:tcPr>
            <w:tcW w:w="580" w:type="dxa"/>
            <w:vAlign w:val="bottom"/>
            <w:tcBorders>
              <w:top w:val="single" w:sz="8" w:color="0000EE"/>
              <w:bottom w:val="single" w:sz="8" w:color="3465B0"/>
            </w:tcBorders>
          </w:tcPr>
          <w:p>
            <w:pPr>
              <w:spacing w:after="0"/>
              <w:rPr>
                <w:sz w:val="13"/>
                <w:szCs w:val="13"/>
                <w:color w:val="auto"/>
              </w:rPr>
            </w:pPr>
          </w:p>
        </w:tc>
        <w:tc>
          <w:tcPr>
            <w:tcW w:w="60" w:type="dxa"/>
            <w:vAlign w:val="bottom"/>
            <w:tcBorders>
              <w:top w:val="single" w:sz="8" w:color="0000EE"/>
              <w:bottom w:val="single" w:sz="8" w:color="3465B0"/>
            </w:tcBorders>
          </w:tcPr>
          <w:p>
            <w:pPr>
              <w:spacing w:after="0"/>
              <w:rPr>
                <w:sz w:val="13"/>
                <w:szCs w:val="13"/>
                <w:color w:val="auto"/>
              </w:rPr>
            </w:pPr>
          </w:p>
        </w:tc>
        <w:tc>
          <w:tcPr>
            <w:tcW w:w="60" w:type="dxa"/>
            <w:vAlign w:val="bottom"/>
            <w:tcBorders>
              <w:top w:val="single" w:sz="8" w:color="0000EE"/>
              <w:bottom w:val="single" w:sz="8" w:color="3465B0"/>
            </w:tcBorders>
          </w:tcPr>
          <w:p>
            <w:pPr>
              <w:spacing w:after="0"/>
              <w:rPr>
                <w:sz w:val="13"/>
                <w:szCs w:val="13"/>
                <w:color w:val="auto"/>
              </w:rPr>
            </w:pPr>
          </w:p>
        </w:tc>
        <w:tc>
          <w:tcPr>
            <w:tcW w:w="20" w:type="dxa"/>
            <w:vAlign w:val="bottom"/>
            <w:tcBorders>
              <w:bottom w:val="single" w:sz="8" w:color="3465B0"/>
            </w:tcBorders>
          </w:tcPr>
          <w:p>
            <w:pPr>
              <w:spacing w:after="0"/>
              <w:rPr>
                <w:sz w:val="13"/>
                <w:szCs w:val="13"/>
                <w:color w:val="auto"/>
              </w:rPr>
            </w:pPr>
          </w:p>
        </w:tc>
        <w:tc>
          <w:tcPr>
            <w:tcW w:w="420" w:type="dxa"/>
            <w:vAlign w:val="bottom"/>
            <w:tcBorders>
              <w:bottom w:val="single" w:sz="8" w:color="3465B0"/>
            </w:tcBorders>
          </w:tcPr>
          <w:p>
            <w:pPr>
              <w:spacing w:after="0"/>
              <w:rPr>
                <w:sz w:val="13"/>
                <w:szCs w:val="13"/>
                <w:color w:val="auto"/>
              </w:rPr>
            </w:pPr>
          </w:p>
        </w:tc>
        <w:tc>
          <w:tcPr>
            <w:tcW w:w="620" w:type="dxa"/>
            <w:vAlign w:val="bottom"/>
            <w:tcBorders>
              <w:bottom w:val="single" w:sz="8" w:color="3465B0"/>
            </w:tcBorders>
          </w:tcPr>
          <w:p>
            <w:pPr>
              <w:spacing w:after="0"/>
              <w:rPr>
                <w:sz w:val="13"/>
                <w:szCs w:val="13"/>
                <w:color w:val="auto"/>
              </w:rPr>
            </w:pPr>
          </w:p>
        </w:tc>
        <w:tc>
          <w:tcPr>
            <w:tcW w:w="12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80" w:type="dxa"/>
            <w:vAlign w:val="bottom"/>
            <w:tcBorders>
              <w:bottom w:val="single" w:sz="8" w:color="3465B0"/>
            </w:tcBorders>
          </w:tcPr>
          <w:p>
            <w:pPr>
              <w:spacing w:after="0"/>
              <w:rPr>
                <w:sz w:val="13"/>
                <w:szCs w:val="13"/>
                <w:color w:val="auto"/>
              </w:rPr>
            </w:pPr>
          </w:p>
        </w:tc>
        <w:tc>
          <w:tcPr>
            <w:tcW w:w="120" w:type="dxa"/>
            <w:vAlign w:val="bottom"/>
            <w:tcBorders>
              <w:bottom w:val="single" w:sz="8" w:color="3465B0"/>
            </w:tcBorders>
          </w:tcPr>
          <w:p>
            <w:pPr>
              <w:spacing w:after="0"/>
              <w:rPr>
                <w:sz w:val="13"/>
                <w:szCs w:val="13"/>
                <w:color w:val="auto"/>
              </w:rPr>
            </w:pPr>
          </w:p>
        </w:tc>
        <w:tc>
          <w:tcPr>
            <w:tcW w:w="30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140" w:type="dxa"/>
            <w:vAlign w:val="bottom"/>
            <w:tcBorders>
              <w:bottom w:val="single" w:sz="8" w:color="3465B0"/>
            </w:tcBorders>
          </w:tcPr>
          <w:p>
            <w:pPr>
              <w:spacing w:after="0"/>
              <w:rPr>
                <w:sz w:val="13"/>
                <w:szCs w:val="13"/>
                <w:color w:val="auto"/>
              </w:rPr>
            </w:pPr>
          </w:p>
        </w:tc>
        <w:tc>
          <w:tcPr>
            <w:tcW w:w="240" w:type="dxa"/>
            <w:vAlign w:val="bottom"/>
            <w:tcBorders>
              <w:bottom w:val="single" w:sz="8" w:color="3465B0"/>
            </w:tcBorders>
          </w:tcPr>
          <w:p>
            <w:pPr>
              <w:spacing w:after="0"/>
              <w:rPr>
                <w:sz w:val="13"/>
                <w:szCs w:val="13"/>
                <w:color w:val="auto"/>
              </w:rPr>
            </w:pPr>
          </w:p>
        </w:tc>
        <w:tc>
          <w:tcPr>
            <w:tcW w:w="60" w:type="dxa"/>
            <w:vAlign w:val="bottom"/>
            <w:tcBorders>
              <w:bottom w:val="single" w:sz="8" w:color="3465B0"/>
            </w:tcBorders>
          </w:tcPr>
          <w:p>
            <w:pPr>
              <w:spacing w:after="0"/>
              <w:rPr>
                <w:sz w:val="13"/>
                <w:szCs w:val="13"/>
                <w:color w:val="auto"/>
              </w:rPr>
            </w:pPr>
          </w:p>
        </w:tc>
        <w:tc>
          <w:tcPr>
            <w:tcW w:w="240" w:type="dxa"/>
            <w:vAlign w:val="bottom"/>
            <w:tcBorders>
              <w:bottom w:val="single" w:sz="8" w:color="3465B0"/>
            </w:tcBorders>
          </w:tcPr>
          <w:p>
            <w:pPr>
              <w:spacing w:after="0"/>
              <w:rPr>
                <w:sz w:val="13"/>
                <w:szCs w:val="13"/>
                <w:color w:val="auto"/>
              </w:rPr>
            </w:pPr>
          </w:p>
        </w:tc>
        <w:tc>
          <w:tcPr>
            <w:tcW w:w="780" w:type="dxa"/>
            <w:vAlign w:val="bottom"/>
            <w:tcBorders>
              <w:bottom w:val="single" w:sz="8" w:color="3465B0"/>
            </w:tcBorders>
          </w:tcPr>
          <w:p>
            <w:pPr>
              <w:spacing w:after="0"/>
              <w:rPr>
                <w:sz w:val="13"/>
                <w:szCs w:val="13"/>
                <w:color w:val="auto"/>
              </w:rPr>
            </w:pPr>
          </w:p>
        </w:tc>
        <w:tc>
          <w:tcPr>
            <w:tcW w:w="300" w:type="dxa"/>
            <w:vAlign w:val="bottom"/>
            <w:tcBorders>
              <w:bottom w:val="single" w:sz="8" w:color="3465B0"/>
            </w:tcBorders>
          </w:tcPr>
          <w:p>
            <w:pPr>
              <w:spacing w:after="0"/>
              <w:rPr>
                <w:sz w:val="13"/>
                <w:szCs w:val="13"/>
                <w:color w:val="auto"/>
              </w:rPr>
            </w:pPr>
          </w:p>
        </w:tc>
        <w:tc>
          <w:tcPr>
            <w:tcW w:w="220" w:type="dxa"/>
            <w:vAlign w:val="bottom"/>
            <w:tcBorders>
              <w:bottom w:val="single" w:sz="8" w:color="3465B0"/>
            </w:tcBorders>
          </w:tcPr>
          <w:p>
            <w:pPr>
              <w:spacing w:after="0"/>
              <w:rPr>
                <w:sz w:val="13"/>
                <w:szCs w:val="13"/>
                <w:color w:val="auto"/>
              </w:rPr>
            </w:pPr>
          </w:p>
        </w:tc>
        <w:tc>
          <w:tcPr>
            <w:tcW w:w="680" w:type="dxa"/>
            <w:vAlign w:val="bottom"/>
            <w:tcBorders>
              <w:bottom w:val="single" w:sz="8" w:color="3465B0"/>
            </w:tcBorders>
          </w:tcPr>
          <w:p>
            <w:pPr>
              <w:spacing w:after="0"/>
              <w:rPr>
                <w:sz w:val="13"/>
                <w:szCs w:val="13"/>
                <w:color w:val="auto"/>
              </w:rPr>
            </w:pPr>
          </w:p>
        </w:tc>
        <w:tc>
          <w:tcPr>
            <w:tcW w:w="260" w:type="dxa"/>
            <w:vAlign w:val="bottom"/>
            <w:tcBorders>
              <w:bottom w:val="single" w:sz="8" w:color="3465B0"/>
            </w:tcBorders>
          </w:tcPr>
          <w:p>
            <w:pPr>
              <w:spacing w:after="0"/>
              <w:rPr>
                <w:sz w:val="13"/>
                <w:szCs w:val="13"/>
                <w:color w:val="auto"/>
              </w:rPr>
            </w:pPr>
          </w:p>
        </w:tc>
        <w:tc>
          <w:tcPr>
            <w:tcW w:w="540" w:type="dxa"/>
            <w:vAlign w:val="bottom"/>
            <w:tcBorders>
              <w:bottom w:val="single" w:sz="8" w:color="3465B0"/>
            </w:tcBorders>
          </w:tcPr>
          <w:p>
            <w:pPr>
              <w:spacing w:after="0"/>
              <w:rPr>
                <w:sz w:val="13"/>
                <w:szCs w:val="13"/>
                <w:color w:val="auto"/>
              </w:rPr>
            </w:pPr>
          </w:p>
        </w:tc>
        <w:tc>
          <w:tcPr>
            <w:tcW w:w="600" w:type="dxa"/>
            <w:vAlign w:val="bottom"/>
            <w:tcBorders>
              <w:bottom w:val="single" w:sz="8" w:color="3465B0"/>
            </w:tcBorders>
          </w:tcPr>
          <w:p>
            <w:pPr>
              <w:spacing w:after="0"/>
              <w:rPr>
                <w:sz w:val="13"/>
                <w:szCs w:val="13"/>
                <w:color w:val="auto"/>
              </w:rPr>
            </w:pPr>
          </w:p>
        </w:tc>
        <w:tc>
          <w:tcPr>
            <w:tcW w:w="88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860" w:type="dxa"/>
            <w:vAlign w:val="bottom"/>
            <w:tcBorders>
              <w:bottom w:val="single" w:sz="8" w:color="3465B0"/>
            </w:tcBorders>
          </w:tcPr>
          <w:p>
            <w:pPr>
              <w:spacing w:after="0"/>
              <w:rPr>
                <w:sz w:val="13"/>
                <w:szCs w:val="13"/>
                <w:color w:val="auto"/>
              </w:rPr>
            </w:pPr>
          </w:p>
        </w:tc>
        <w:tc>
          <w:tcPr>
            <w:tcW w:w="740" w:type="dxa"/>
            <w:vAlign w:val="bottom"/>
            <w:tcBorders>
              <w:bottom w:val="single" w:sz="8" w:color="3465B0"/>
            </w:tcBorders>
          </w:tcPr>
          <w:p>
            <w:pPr>
              <w:spacing w:after="0"/>
              <w:rPr>
                <w:sz w:val="13"/>
                <w:szCs w:val="13"/>
                <w:color w:val="auto"/>
              </w:rPr>
            </w:pPr>
          </w:p>
        </w:tc>
        <w:tc>
          <w:tcPr>
            <w:tcW w:w="920" w:type="dxa"/>
            <w:vAlign w:val="bottom"/>
            <w:tcBorders>
              <w:bottom w:val="single" w:sz="8" w:color="3465B0"/>
            </w:tcBorders>
          </w:tcPr>
          <w:p>
            <w:pPr>
              <w:spacing w:after="0"/>
              <w:rPr>
                <w:sz w:val="13"/>
                <w:szCs w:val="13"/>
                <w:color w:val="auto"/>
              </w:rPr>
            </w:pPr>
          </w:p>
        </w:tc>
        <w:tc>
          <w:tcPr>
            <w:tcW w:w="1260" w:type="dxa"/>
            <w:vAlign w:val="bottom"/>
            <w:tcBorders>
              <w:bottom w:val="single" w:sz="8" w:color="3465B0"/>
            </w:tcBorders>
          </w:tcPr>
          <w:p>
            <w:pPr>
              <w:spacing w:after="0"/>
              <w:rPr>
                <w:sz w:val="13"/>
                <w:szCs w:val="13"/>
                <w:color w:val="auto"/>
              </w:rPr>
            </w:pPr>
          </w:p>
        </w:tc>
      </w:tr>
      <w:tr>
        <w:trPr>
          <w:trHeight w:val="290"/>
        </w:trPr>
        <w:tc>
          <w:tcPr>
            <w:tcW w:w="1160" w:type="dxa"/>
            <w:vAlign w:val="bottom"/>
            <w:gridSpan w:val="6"/>
          </w:tcPr>
          <w:p>
            <w:pPr>
              <w:ind w:left="20"/>
              <w:spacing w:after="0"/>
              <w:rPr>
                <w:sz w:val="20"/>
                <w:szCs w:val="20"/>
                <w:color w:val="auto"/>
              </w:rPr>
            </w:pPr>
            <w:r>
              <w:rPr>
                <w:rFonts w:ascii="Calibri" w:cs="Calibri" w:eastAsia="Calibri" w:hAnsi="Calibri"/>
                <w:sz w:val="18"/>
                <w:szCs w:val="18"/>
                <w:b w:val="1"/>
                <w:bCs w:val="1"/>
                <w:color w:val="00002D"/>
              </w:rPr>
              <w:t>Item 10.</w:t>
            </w:r>
          </w:p>
        </w:tc>
        <w:tc>
          <w:tcPr>
            <w:tcW w:w="8820" w:type="dxa"/>
            <w:vAlign w:val="bottom"/>
            <w:gridSpan w:val="23"/>
          </w:tcPr>
          <w:p>
            <w:pPr>
              <w:spacing w:after="0"/>
              <w:rPr>
                <w:sz w:val="20"/>
                <w:szCs w:val="20"/>
                <w:color w:val="auto"/>
              </w:rPr>
            </w:pPr>
            <w:r>
              <w:rPr>
                <w:rFonts w:ascii="Calibri" w:cs="Calibri" w:eastAsia="Calibri" w:hAnsi="Calibri"/>
                <w:sz w:val="18"/>
                <w:szCs w:val="18"/>
                <w:color w:val="00002D"/>
              </w:rPr>
              <w:t>Directors, Executve Ofcers and Corporate Governance</w:t>
            </w:r>
          </w:p>
        </w:tc>
        <w:tc>
          <w:tcPr>
            <w:tcW w:w="1260" w:type="dxa"/>
            <w:vAlign w:val="bottom"/>
          </w:tcPr>
          <w:p>
            <w:pPr>
              <w:jc w:val="right"/>
              <w:spacing w:after="0"/>
              <w:rPr>
                <w:sz w:val="20"/>
                <w:szCs w:val="20"/>
                <w:color w:val="auto"/>
              </w:rPr>
            </w:pPr>
            <w:r>
              <w:rPr>
                <w:rFonts w:ascii="Calibri" w:cs="Calibri" w:eastAsia="Calibri" w:hAnsi="Calibri"/>
                <w:sz w:val="18"/>
                <w:szCs w:val="18"/>
                <w:b w:val="1"/>
                <w:bCs w:val="1"/>
                <w:color w:val="00002D"/>
              </w:rPr>
              <w:t>127</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7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680" w:type="dxa"/>
            <w:vAlign w:val="bottom"/>
            <w:tcBorders>
              <w:top w:val="single" w:sz="8" w:color="0000EE"/>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11.</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Executve Compensaton</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127</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bottom w:val="single" w:sz="8" w:color="DAE1EB"/>
            </w:tcBorders>
          </w:tcPr>
          <w:p>
            <w:pPr>
              <w:spacing w:after="0"/>
              <w:rPr>
                <w:sz w:val="2"/>
                <w:szCs w:val="2"/>
                <w:color w:val="auto"/>
              </w:rPr>
            </w:pPr>
          </w:p>
        </w:tc>
        <w:tc>
          <w:tcPr>
            <w:tcW w:w="780" w:type="dxa"/>
            <w:vAlign w:val="bottom"/>
            <w:tcBorders>
              <w:bottom w:val="single" w:sz="8" w:color="DAE1EB"/>
            </w:tcBorders>
          </w:tcPr>
          <w:p>
            <w:pPr>
              <w:spacing w:after="0"/>
              <w:rPr>
                <w:sz w:val="2"/>
                <w:szCs w:val="2"/>
                <w:color w:val="auto"/>
              </w:rPr>
            </w:pPr>
          </w:p>
        </w:tc>
        <w:tc>
          <w:tcPr>
            <w:tcW w:w="300" w:type="dxa"/>
            <w:vAlign w:val="bottom"/>
            <w:tcBorders>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12.</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Security Ownership of Certain Benefcial Owners and Management and Related Stockholder Maters</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127</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7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680" w:type="dxa"/>
            <w:vAlign w:val="bottom"/>
            <w:tcBorders>
              <w:top w:val="single" w:sz="8" w:color="0000EE"/>
              <w:bottom w:val="single" w:sz="8" w:color="DAE1EB"/>
            </w:tcBorders>
          </w:tcPr>
          <w:p>
            <w:pPr>
              <w:spacing w:after="0"/>
              <w:rPr>
                <w:sz w:val="2"/>
                <w:szCs w:val="2"/>
                <w:color w:val="auto"/>
              </w:rPr>
            </w:pPr>
          </w:p>
        </w:tc>
        <w:tc>
          <w:tcPr>
            <w:tcW w:w="260" w:type="dxa"/>
            <w:vAlign w:val="bottom"/>
            <w:tcBorders>
              <w:top w:val="single" w:sz="8" w:color="0000EE"/>
              <w:bottom w:val="single" w:sz="8" w:color="DAE1EB"/>
            </w:tcBorders>
          </w:tcPr>
          <w:p>
            <w:pPr>
              <w:spacing w:after="0"/>
              <w:rPr>
                <w:sz w:val="2"/>
                <w:szCs w:val="2"/>
                <w:color w:val="auto"/>
              </w:rPr>
            </w:pPr>
          </w:p>
        </w:tc>
        <w:tc>
          <w:tcPr>
            <w:tcW w:w="540" w:type="dxa"/>
            <w:vAlign w:val="bottom"/>
            <w:tcBorders>
              <w:top w:val="single" w:sz="8" w:color="0000EE"/>
              <w:bottom w:val="single" w:sz="8" w:color="DAE1EB"/>
            </w:tcBorders>
          </w:tcPr>
          <w:p>
            <w:pPr>
              <w:spacing w:after="0"/>
              <w:rPr>
                <w:sz w:val="2"/>
                <w:szCs w:val="2"/>
                <w:color w:val="auto"/>
              </w:rPr>
            </w:pPr>
          </w:p>
        </w:tc>
        <w:tc>
          <w:tcPr>
            <w:tcW w:w="600" w:type="dxa"/>
            <w:vAlign w:val="bottom"/>
            <w:tcBorders>
              <w:top w:val="single" w:sz="8" w:color="0000EE"/>
              <w:bottom w:val="single" w:sz="8" w:color="DAE1EB"/>
            </w:tcBorders>
          </w:tcPr>
          <w:p>
            <w:pPr>
              <w:spacing w:after="0"/>
              <w:rPr>
                <w:sz w:val="2"/>
                <w:szCs w:val="2"/>
                <w:color w:val="auto"/>
              </w:rPr>
            </w:pPr>
          </w:p>
        </w:tc>
        <w:tc>
          <w:tcPr>
            <w:tcW w:w="88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60" w:type="dxa"/>
            <w:vAlign w:val="bottom"/>
            <w:tcBorders>
              <w:top w:val="single" w:sz="8" w:color="0000EE"/>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13.</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Certain Relatonships and Related Transactons, and Director Independence</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127</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7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top w:val="single" w:sz="8" w:color="0000EE"/>
              <w:bottom w:val="single" w:sz="8" w:color="DAE1EB"/>
            </w:tcBorders>
          </w:tcPr>
          <w:p>
            <w:pPr>
              <w:spacing w:after="0"/>
              <w:rPr>
                <w:sz w:val="2"/>
                <w:szCs w:val="2"/>
                <w:color w:val="auto"/>
              </w:rPr>
            </w:pPr>
          </w:p>
        </w:tc>
        <w:tc>
          <w:tcPr>
            <w:tcW w:w="680" w:type="dxa"/>
            <w:vAlign w:val="bottom"/>
            <w:tcBorders>
              <w:top w:val="single" w:sz="8" w:color="0000EE"/>
              <w:bottom w:val="single" w:sz="8" w:color="DAE1EB"/>
            </w:tcBorders>
          </w:tcPr>
          <w:p>
            <w:pPr>
              <w:spacing w:after="0"/>
              <w:rPr>
                <w:sz w:val="2"/>
                <w:szCs w:val="2"/>
                <w:color w:val="auto"/>
              </w:rPr>
            </w:pPr>
          </w:p>
        </w:tc>
        <w:tc>
          <w:tcPr>
            <w:tcW w:w="260" w:type="dxa"/>
            <w:vAlign w:val="bottom"/>
            <w:tcBorders>
              <w:top w:val="single" w:sz="8" w:color="0000EE"/>
              <w:bottom w:val="single" w:sz="8" w:color="DAE1EB"/>
            </w:tcBorders>
          </w:tcPr>
          <w:p>
            <w:pPr>
              <w:spacing w:after="0"/>
              <w:rPr>
                <w:sz w:val="2"/>
                <w:szCs w:val="2"/>
                <w:color w:val="auto"/>
              </w:rPr>
            </w:pPr>
          </w:p>
        </w:tc>
        <w:tc>
          <w:tcPr>
            <w:tcW w:w="540" w:type="dxa"/>
            <w:vAlign w:val="bottom"/>
            <w:tcBorders>
              <w:top w:val="single" w:sz="8" w:color="0000EE"/>
              <w:bottom w:val="single" w:sz="8" w:color="DAE1EB"/>
            </w:tcBorders>
          </w:tcPr>
          <w:p>
            <w:pPr>
              <w:spacing w:after="0"/>
              <w:rPr>
                <w:sz w:val="2"/>
                <w:szCs w:val="2"/>
                <w:color w:val="auto"/>
              </w:rPr>
            </w:pPr>
          </w:p>
        </w:tc>
        <w:tc>
          <w:tcPr>
            <w:tcW w:w="600" w:type="dxa"/>
            <w:vAlign w:val="bottom"/>
            <w:tcBorders>
              <w:top w:val="single" w:sz="8" w:color="0000EE"/>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14.</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Principal Accountant Fees and Services</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127</w:t>
            </w:r>
          </w:p>
        </w:tc>
      </w:tr>
      <w:tr>
        <w:trPr>
          <w:trHeight w:val="453"/>
        </w:trPr>
        <w:tc>
          <w:tcPr>
            <w:tcW w:w="1160" w:type="dxa"/>
            <w:vAlign w:val="bottom"/>
            <w:gridSpan w:val="6"/>
          </w:tcPr>
          <w:p>
            <w:pPr>
              <w:ind w:left="20"/>
              <w:spacing w:after="0"/>
              <w:rPr>
                <w:sz w:val="20"/>
                <w:szCs w:val="20"/>
                <w:color w:val="auto"/>
              </w:rPr>
            </w:pPr>
            <w:r>
              <w:rPr>
                <w:rFonts w:ascii="Calibri" w:cs="Calibri" w:eastAsia="Calibri" w:hAnsi="Calibri"/>
                <w:sz w:val="22"/>
                <w:szCs w:val="22"/>
                <w:b w:val="1"/>
                <w:bCs w:val="1"/>
                <w:color w:val="3465B0"/>
              </w:rPr>
              <w:t>PART IV</w:t>
            </w: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2"/>
                <w:szCs w:val="22"/>
                <w:color w:val="3465B0"/>
              </w:rPr>
              <w:t>128</w:t>
            </w:r>
          </w:p>
        </w:tc>
      </w:tr>
      <w:tr>
        <w:trPr>
          <w:trHeight w:val="155"/>
        </w:trPr>
        <w:tc>
          <w:tcPr>
            <w:tcW w:w="20" w:type="dxa"/>
            <w:vAlign w:val="bottom"/>
            <w:tcBorders>
              <w:bottom w:val="single" w:sz="8" w:color="3465B0"/>
            </w:tcBorders>
          </w:tcPr>
          <w:p>
            <w:pPr>
              <w:spacing w:after="0"/>
              <w:rPr>
                <w:sz w:val="13"/>
                <w:szCs w:val="13"/>
                <w:color w:val="auto"/>
              </w:rPr>
            </w:pPr>
          </w:p>
        </w:tc>
        <w:tc>
          <w:tcPr>
            <w:tcW w:w="580" w:type="dxa"/>
            <w:vAlign w:val="bottom"/>
            <w:tcBorders>
              <w:top w:val="single" w:sz="8" w:color="0000EE"/>
              <w:bottom w:val="single" w:sz="8" w:color="3465B0"/>
            </w:tcBorders>
          </w:tcPr>
          <w:p>
            <w:pPr>
              <w:spacing w:after="0"/>
              <w:rPr>
                <w:sz w:val="13"/>
                <w:szCs w:val="13"/>
                <w:color w:val="auto"/>
              </w:rPr>
            </w:pPr>
          </w:p>
        </w:tc>
        <w:tc>
          <w:tcPr>
            <w:tcW w:w="60" w:type="dxa"/>
            <w:vAlign w:val="bottom"/>
            <w:tcBorders>
              <w:top w:val="single" w:sz="8" w:color="0000EE"/>
              <w:bottom w:val="single" w:sz="8" w:color="3465B0"/>
            </w:tcBorders>
          </w:tcPr>
          <w:p>
            <w:pPr>
              <w:spacing w:after="0"/>
              <w:rPr>
                <w:sz w:val="13"/>
                <w:szCs w:val="13"/>
                <w:color w:val="auto"/>
              </w:rPr>
            </w:pPr>
          </w:p>
        </w:tc>
        <w:tc>
          <w:tcPr>
            <w:tcW w:w="60" w:type="dxa"/>
            <w:vAlign w:val="bottom"/>
            <w:tcBorders>
              <w:top w:val="single" w:sz="8" w:color="0000EE"/>
              <w:bottom w:val="single" w:sz="8" w:color="3465B0"/>
            </w:tcBorders>
          </w:tcPr>
          <w:p>
            <w:pPr>
              <w:spacing w:after="0"/>
              <w:rPr>
                <w:sz w:val="13"/>
                <w:szCs w:val="13"/>
                <w:color w:val="auto"/>
              </w:rPr>
            </w:pPr>
          </w:p>
        </w:tc>
        <w:tc>
          <w:tcPr>
            <w:tcW w:w="20" w:type="dxa"/>
            <w:vAlign w:val="bottom"/>
            <w:tcBorders>
              <w:top w:val="single" w:sz="8" w:color="0000EE"/>
              <w:bottom w:val="single" w:sz="8" w:color="3465B0"/>
            </w:tcBorders>
          </w:tcPr>
          <w:p>
            <w:pPr>
              <w:spacing w:after="0"/>
              <w:rPr>
                <w:sz w:val="13"/>
                <w:szCs w:val="13"/>
                <w:color w:val="auto"/>
              </w:rPr>
            </w:pPr>
          </w:p>
        </w:tc>
        <w:tc>
          <w:tcPr>
            <w:tcW w:w="420" w:type="dxa"/>
            <w:vAlign w:val="bottom"/>
            <w:tcBorders>
              <w:bottom w:val="single" w:sz="8" w:color="3465B0"/>
            </w:tcBorders>
          </w:tcPr>
          <w:p>
            <w:pPr>
              <w:spacing w:after="0"/>
              <w:rPr>
                <w:sz w:val="13"/>
                <w:szCs w:val="13"/>
                <w:color w:val="auto"/>
              </w:rPr>
            </w:pPr>
          </w:p>
        </w:tc>
        <w:tc>
          <w:tcPr>
            <w:tcW w:w="620" w:type="dxa"/>
            <w:vAlign w:val="bottom"/>
            <w:tcBorders>
              <w:bottom w:val="single" w:sz="8" w:color="3465B0"/>
            </w:tcBorders>
          </w:tcPr>
          <w:p>
            <w:pPr>
              <w:spacing w:after="0"/>
              <w:rPr>
                <w:sz w:val="13"/>
                <w:szCs w:val="13"/>
                <w:color w:val="auto"/>
              </w:rPr>
            </w:pPr>
          </w:p>
        </w:tc>
        <w:tc>
          <w:tcPr>
            <w:tcW w:w="12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80" w:type="dxa"/>
            <w:vAlign w:val="bottom"/>
            <w:tcBorders>
              <w:bottom w:val="single" w:sz="8" w:color="3465B0"/>
            </w:tcBorders>
          </w:tcPr>
          <w:p>
            <w:pPr>
              <w:spacing w:after="0"/>
              <w:rPr>
                <w:sz w:val="13"/>
                <w:szCs w:val="13"/>
                <w:color w:val="auto"/>
              </w:rPr>
            </w:pPr>
          </w:p>
        </w:tc>
        <w:tc>
          <w:tcPr>
            <w:tcW w:w="120" w:type="dxa"/>
            <w:vAlign w:val="bottom"/>
            <w:tcBorders>
              <w:bottom w:val="single" w:sz="8" w:color="3465B0"/>
            </w:tcBorders>
          </w:tcPr>
          <w:p>
            <w:pPr>
              <w:spacing w:after="0"/>
              <w:rPr>
                <w:sz w:val="13"/>
                <w:szCs w:val="13"/>
                <w:color w:val="auto"/>
              </w:rPr>
            </w:pPr>
          </w:p>
        </w:tc>
        <w:tc>
          <w:tcPr>
            <w:tcW w:w="30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140" w:type="dxa"/>
            <w:vAlign w:val="bottom"/>
            <w:tcBorders>
              <w:bottom w:val="single" w:sz="8" w:color="3465B0"/>
            </w:tcBorders>
          </w:tcPr>
          <w:p>
            <w:pPr>
              <w:spacing w:after="0"/>
              <w:rPr>
                <w:sz w:val="13"/>
                <w:szCs w:val="13"/>
                <w:color w:val="auto"/>
              </w:rPr>
            </w:pPr>
          </w:p>
        </w:tc>
        <w:tc>
          <w:tcPr>
            <w:tcW w:w="240" w:type="dxa"/>
            <w:vAlign w:val="bottom"/>
            <w:tcBorders>
              <w:bottom w:val="single" w:sz="8" w:color="3465B0"/>
            </w:tcBorders>
          </w:tcPr>
          <w:p>
            <w:pPr>
              <w:spacing w:after="0"/>
              <w:rPr>
                <w:sz w:val="13"/>
                <w:szCs w:val="13"/>
                <w:color w:val="auto"/>
              </w:rPr>
            </w:pPr>
          </w:p>
        </w:tc>
        <w:tc>
          <w:tcPr>
            <w:tcW w:w="60" w:type="dxa"/>
            <w:vAlign w:val="bottom"/>
            <w:tcBorders>
              <w:bottom w:val="single" w:sz="8" w:color="3465B0"/>
            </w:tcBorders>
          </w:tcPr>
          <w:p>
            <w:pPr>
              <w:spacing w:after="0"/>
              <w:rPr>
                <w:sz w:val="13"/>
                <w:szCs w:val="13"/>
                <w:color w:val="auto"/>
              </w:rPr>
            </w:pPr>
          </w:p>
        </w:tc>
        <w:tc>
          <w:tcPr>
            <w:tcW w:w="240" w:type="dxa"/>
            <w:vAlign w:val="bottom"/>
            <w:tcBorders>
              <w:bottom w:val="single" w:sz="8" w:color="3465B0"/>
            </w:tcBorders>
          </w:tcPr>
          <w:p>
            <w:pPr>
              <w:spacing w:after="0"/>
              <w:rPr>
                <w:sz w:val="13"/>
                <w:szCs w:val="13"/>
                <w:color w:val="auto"/>
              </w:rPr>
            </w:pPr>
          </w:p>
        </w:tc>
        <w:tc>
          <w:tcPr>
            <w:tcW w:w="780" w:type="dxa"/>
            <w:vAlign w:val="bottom"/>
            <w:tcBorders>
              <w:bottom w:val="single" w:sz="8" w:color="3465B0"/>
            </w:tcBorders>
          </w:tcPr>
          <w:p>
            <w:pPr>
              <w:spacing w:after="0"/>
              <w:rPr>
                <w:sz w:val="13"/>
                <w:szCs w:val="13"/>
                <w:color w:val="auto"/>
              </w:rPr>
            </w:pPr>
          </w:p>
        </w:tc>
        <w:tc>
          <w:tcPr>
            <w:tcW w:w="300" w:type="dxa"/>
            <w:vAlign w:val="bottom"/>
            <w:tcBorders>
              <w:bottom w:val="single" w:sz="8" w:color="3465B0"/>
            </w:tcBorders>
          </w:tcPr>
          <w:p>
            <w:pPr>
              <w:spacing w:after="0"/>
              <w:rPr>
                <w:sz w:val="13"/>
                <w:szCs w:val="13"/>
                <w:color w:val="auto"/>
              </w:rPr>
            </w:pPr>
          </w:p>
        </w:tc>
        <w:tc>
          <w:tcPr>
            <w:tcW w:w="220" w:type="dxa"/>
            <w:vAlign w:val="bottom"/>
            <w:tcBorders>
              <w:bottom w:val="single" w:sz="8" w:color="3465B0"/>
            </w:tcBorders>
          </w:tcPr>
          <w:p>
            <w:pPr>
              <w:spacing w:after="0"/>
              <w:rPr>
                <w:sz w:val="13"/>
                <w:szCs w:val="13"/>
                <w:color w:val="auto"/>
              </w:rPr>
            </w:pPr>
          </w:p>
        </w:tc>
        <w:tc>
          <w:tcPr>
            <w:tcW w:w="680" w:type="dxa"/>
            <w:vAlign w:val="bottom"/>
            <w:tcBorders>
              <w:bottom w:val="single" w:sz="8" w:color="3465B0"/>
            </w:tcBorders>
          </w:tcPr>
          <w:p>
            <w:pPr>
              <w:spacing w:after="0"/>
              <w:rPr>
                <w:sz w:val="13"/>
                <w:szCs w:val="13"/>
                <w:color w:val="auto"/>
              </w:rPr>
            </w:pPr>
          </w:p>
        </w:tc>
        <w:tc>
          <w:tcPr>
            <w:tcW w:w="260" w:type="dxa"/>
            <w:vAlign w:val="bottom"/>
            <w:tcBorders>
              <w:bottom w:val="single" w:sz="8" w:color="3465B0"/>
            </w:tcBorders>
          </w:tcPr>
          <w:p>
            <w:pPr>
              <w:spacing w:after="0"/>
              <w:rPr>
                <w:sz w:val="13"/>
                <w:szCs w:val="13"/>
                <w:color w:val="auto"/>
              </w:rPr>
            </w:pPr>
          </w:p>
        </w:tc>
        <w:tc>
          <w:tcPr>
            <w:tcW w:w="540" w:type="dxa"/>
            <w:vAlign w:val="bottom"/>
            <w:tcBorders>
              <w:bottom w:val="single" w:sz="8" w:color="3465B0"/>
            </w:tcBorders>
          </w:tcPr>
          <w:p>
            <w:pPr>
              <w:spacing w:after="0"/>
              <w:rPr>
                <w:sz w:val="13"/>
                <w:szCs w:val="13"/>
                <w:color w:val="auto"/>
              </w:rPr>
            </w:pPr>
          </w:p>
        </w:tc>
        <w:tc>
          <w:tcPr>
            <w:tcW w:w="600" w:type="dxa"/>
            <w:vAlign w:val="bottom"/>
            <w:tcBorders>
              <w:bottom w:val="single" w:sz="8" w:color="3465B0"/>
            </w:tcBorders>
          </w:tcPr>
          <w:p>
            <w:pPr>
              <w:spacing w:after="0"/>
              <w:rPr>
                <w:sz w:val="13"/>
                <w:szCs w:val="13"/>
                <w:color w:val="auto"/>
              </w:rPr>
            </w:pPr>
          </w:p>
        </w:tc>
        <w:tc>
          <w:tcPr>
            <w:tcW w:w="880" w:type="dxa"/>
            <w:vAlign w:val="bottom"/>
            <w:tcBorders>
              <w:bottom w:val="single" w:sz="8" w:color="3465B0"/>
            </w:tcBorders>
          </w:tcPr>
          <w:p>
            <w:pPr>
              <w:spacing w:after="0"/>
              <w:rPr>
                <w:sz w:val="13"/>
                <w:szCs w:val="13"/>
                <w:color w:val="auto"/>
              </w:rPr>
            </w:pPr>
          </w:p>
        </w:tc>
        <w:tc>
          <w:tcPr>
            <w:tcW w:w="40" w:type="dxa"/>
            <w:vAlign w:val="bottom"/>
            <w:tcBorders>
              <w:bottom w:val="single" w:sz="8" w:color="3465B0"/>
            </w:tcBorders>
          </w:tcPr>
          <w:p>
            <w:pPr>
              <w:spacing w:after="0"/>
              <w:rPr>
                <w:sz w:val="13"/>
                <w:szCs w:val="13"/>
                <w:color w:val="auto"/>
              </w:rPr>
            </w:pPr>
          </w:p>
        </w:tc>
        <w:tc>
          <w:tcPr>
            <w:tcW w:w="860" w:type="dxa"/>
            <w:vAlign w:val="bottom"/>
            <w:tcBorders>
              <w:bottom w:val="single" w:sz="8" w:color="3465B0"/>
            </w:tcBorders>
          </w:tcPr>
          <w:p>
            <w:pPr>
              <w:spacing w:after="0"/>
              <w:rPr>
                <w:sz w:val="13"/>
                <w:szCs w:val="13"/>
                <w:color w:val="auto"/>
              </w:rPr>
            </w:pPr>
          </w:p>
        </w:tc>
        <w:tc>
          <w:tcPr>
            <w:tcW w:w="740" w:type="dxa"/>
            <w:vAlign w:val="bottom"/>
            <w:tcBorders>
              <w:bottom w:val="single" w:sz="8" w:color="3465B0"/>
            </w:tcBorders>
          </w:tcPr>
          <w:p>
            <w:pPr>
              <w:spacing w:after="0"/>
              <w:rPr>
                <w:sz w:val="13"/>
                <w:szCs w:val="13"/>
                <w:color w:val="auto"/>
              </w:rPr>
            </w:pPr>
          </w:p>
        </w:tc>
        <w:tc>
          <w:tcPr>
            <w:tcW w:w="920" w:type="dxa"/>
            <w:vAlign w:val="bottom"/>
            <w:tcBorders>
              <w:bottom w:val="single" w:sz="8" w:color="3465B0"/>
            </w:tcBorders>
          </w:tcPr>
          <w:p>
            <w:pPr>
              <w:spacing w:after="0"/>
              <w:rPr>
                <w:sz w:val="13"/>
                <w:szCs w:val="13"/>
                <w:color w:val="auto"/>
              </w:rPr>
            </w:pPr>
          </w:p>
        </w:tc>
        <w:tc>
          <w:tcPr>
            <w:tcW w:w="1260" w:type="dxa"/>
            <w:vAlign w:val="bottom"/>
            <w:tcBorders>
              <w:bottom w:val="single" w:sz="8" w:color="3465B0"/>
            </w:tcBorders>
          </w:tcPr>
          <w:p>
            <w:pPr>
              <w:spacing w:after="0"/>
              <w:rPr>
                <w:sz w:val="13"/>
                <w:szCs w:val="13"/>
                <w:color w:val="auto"/>
              </w:rPr>
            </w:pPr>
          </w:p>
        </w:tc>
      </w:tr>
      <w:tr>
        <w:trPr>
          <w:trHeight w:val="290"/>
        </w:trPr>
        <w:tc>
          <w:tcPr>
            <w:tcW w:w="1160" w:type="dxa"/>
            <w:vAlign w:val="bottom"/>
            <w:gridSpan w:val="6"/>
          </w:tcPr>
          <w:p>
            <w:pPr>
              <w:ind w:left="20"/>
              <w:spacing w:after="0"/>
              <w:rPr>
                <w:sz w:val="20"/>
                <w:szCs w:val="20"/>
                <w:color w:val="auto"/>
              </w:rPr>
            </w:pPr>
            <w:r>
              <w:rPr>
                <w:rFonts w:ascii="Calibri" w:cs="Calibri" w:eastAsia="Calibri" w:hAnsi="Calibri"/>
                <w:sz w:val="18"/>
                <w:szCs w:val="18"/>
                <w:b w:val="1"/>
                <w:bCs w:val="1"/>
                <w:color w:val="00002D"/>
              </w:rPr>
              <w:t>Item 15.</w:t>
            </w:r>
          </w:p>
        </w:tc>
        <w:tc>
          <w:tcPr>
            <w:tcW w:w="8820" w:type="dxa"/>
            <w:vAlign w:val="bottom"/>
            <w:gridSpan w:val="23"/>
          </w:tcPr>
          <w:p>
            <w:pPr>
              <w:spacing w:after="0"/>
              <w:rPr>
                <w:sz w:val="20"/>
                <w:szCs w:val="20"/>
                <w:color w:val="auto"/>
              </w:rPr>
            </w:pPr>
            <w:r>
              <w:rPr>
                <w:rFonts w:ascii="Calibri" w:cs="Calibri" w:eastAsia="Calibri" w:hAnsi="Calibri"/>
                <w:sz w:val="18"/>
                <w:szCs w:val="18"/>
                <w:color w:val="00002D"/>
              </w:rPr>
              <w:t>Exhibits and Financial Statement Schedules</w:t>
            </w:r>
          </w:p>
        </w:tc>
        <w:tc>
          <w:tcPr>
            <w:tcW w:w="1260" w:type="dxa"/>
            <w:vAlign w:val="bottom"/>
          </w:tcPr>
          <w:p>
            <w:pPr>
              <w:jc w:val="right"/>
              <w:spacing w:after="0"/>
              <w:rPr>
                <w:sz w:val="20"/>
                <w:szCs w:val="20"/>
                <w:color w:val="auto"/>
              </w:rPr>
            </w:pPr>
            <w:r>
              <w:rPr>
                <w:rFonts w:ascii="Calibri" w:cs="Calibri" w:eastAsia="Calibri" w:hAnsi="Calibri"/>
                <w:sz w:val="18"/>
                <w:szCs w:val="18"/>
                <w:b w:val="1"/>
                <w:bCs w:val="1"/>
                <w:color w:val="00002D"/>
              </w:rPr>
              <w:t>128</w:t>
            </w:r>
          </w:p>
        </w:tc>
      </w:tr>
      <w:tr>
        <w:trPr>
          <w:trHeight w:val="34"/>
        </w:trPr>
        <w:tc>
          <w:tcPr>
            <w:tcW w:w="20" w:type="dxa"/>
            <w:vAlign w:val="bottom"/>
            <w:tcBorders>
              <w:bottom w:val="single" w:sz="8" w:color="DAE1EB"/>
            </w:tcBorders>
          </w:tcPr>
          <w:p>
            <w:pPr>
              <w:spacing w:after="0"/>
              <w:rPr>
                <w:sz w:val="2"/>
                <w:szCs w:val="2"/>
                <w:color w:val="auto"/>
              </w:rPr>
            </w:pPr>
          </w:p>
        </w:tc>
        <w:tc>
          <w:tcPr>
            <w:tcW w:w="58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60" w:type="dxa"/>
            <w:vAlign w:val="bottom"/>
            <w:tcBorders>
              <w:bottom w:val="single" w:sz="8" w:color="DAE1EB"/>
            </w:tcBorders>
          </w:tcPr>
          <w:p>
            <w:pPr>
              <w:spacing w:after="0"/>
              <w:rPr>
                <w:sz w:val="2"/>
                <w:szCs w:val="2"/>
                <w:color w:val="auto"/>
              </w:rPr>
            </w:pPr>
          </w:p>
        </w:tc>
        <w:tc>
          <w:tcPr>
            <w:tcW w:w="20" w:type="dxa"/>
            <w:vAlign w:val="bottom"/>
            <w:tcBorders>
              <w:bottom w:val="single" w:sz="8" w:color="DAE1EB"/>
            </w:tcBorders>
          </w:tcPr>
          <w:p>
            <w:pPr>
              <w:spacing w:after="0"/>
              <w:rPr>
                <w:sz w:val="2"/>
                <w:szCs w:val="2"/>
                <w:color w:val="auto"/>
              </w:rPr>
            </w:pPr>
          </w:p>
        </w:tc>
        <w:tc>
          <w:tcPr>
            <w:tcW w:w="420" w:type="dxa"/>
            <w:vAlign w:val="bottom"/>
            <w:tcBorders>
              <w:bottom w:val="single" w:sz="8" w:color="DAE1EB"/>
            </w:tcBorders>
          </w:tcPr>
          <w:p>
            <w:pPr>
              <w:spacing w:after="0"/>
              <w:rPr>
                <w:sz w:val="2"/>
                <w:szCs w:val="2"/>
                <w:color w:val="auto"/>
              </w:rPr>
            </w:pPr>
          </w:p>
        </w:tc>
        <w:tc>
          <w:tcPr>
            <w:tcW w:w="62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80" w:type="dxa"/>
            <w:vAlign w:val="bottom"/>
            <w:tcBorders>
              <w:top w:val="single" w:sz="8" w:color="0000EE"/>
              <w:bottom w:val="single" w:sz="8" w:color="DAE1EB"/>
            </w:tcBorders>
          </w:tcPr>
          <w:p>
            <w:pPr>
              <w:spacing w:after="0"/>
              <w:rPr>
                <w:sz w:val="2"/>
                <w:szCs w:val="2"/>
                <w:color w:val="auto"/>
              </w:rPr>
            </w:pPr>
          </w:p>
        </w:tc>
        <w:tc>
          <w:tcPr>
            <w:tcW w:w="12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40" w:type="dxa"/>
            <w:vAlign w:val="bottom"/>
            <w:tcBorders>
              <w:top w:val="single" w:sz="8" w:color="0000EE"/>
              <w:bottom w:val="single" w:sz="8" w:color="DAE1EB"/>
            </w:tcBorders>
          </w:tcPr>
          <w:p>
            <w:pPr>
              <w:spacing w:after="0"/>
              <w:rPr>
                <w:sz w:val="2"/>
                <w:szCs w:val="2"/>
                <w:color w:val="auto"/>
              </w:rPr>
            </w:pPr>
          </w:p>
        </w:tc>
        <w:tc>
          <w:tcPr>
            <w:tcW w:w="14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60" w:type="dxa"/>
            <w:vAlign w:val="bottom"/>
            <w:tcBorders>
              <w:top w:val="single" w:sz="8" w:color="0000EE"/>
              <w:bottom w:val="single" w:sz="8" w:color="DAE1EB"/>
            </w:tcBorders>
          </w:tcPr>
          <w:p>
            <w:pPr>
              <w:spacing w:after="0"/>
              <w:rPr>
                <w:sz w:val="2"/>
                <w:szCs w:val="2"/>
                <w:color w:val="auto"/>
              </w:rPr>
            </w:pPr>
          </w:p>
        </w:tc>
        <w:tc>
          <w:tcPr>
            <w:tcW w:w="240" w:type="dxa"/>
            <w:vAlign w:val="bottom"/>
            <w:tcBorders>
              <w:top w:val="single" w:sz="8" w:color="0000EE"/>
              <w:bottom w:val="single" w:sz="8" w:color="DAE1EB"/>
            </w:tcBorders>
          </w:tcPr>
          <w:p>
            <w:pPr>
              <w:spacing w:after="0"/>
              <w:rPr>
                <w:sz w:val="2"/>
                <w:szCs w:val="2"/>
                <w:color w:val="auto"/>
              </w:rPr>
            </w:pPr>
          </w:p>
        </w:tc>
        <w:tc>
          <w:tcPr>
            <w:tcW w:w="780" w:type="dxa"/>
            <w:vAlign w:val="bottom"/>
            <w:tcBorders>
              <w:top w:val="single" w:sz="8" w:color="0000EE"/>
              <w:bottom w:val="single" w:sz="8" w:color="DAE1EB"/>
            </w:tcBorders>
          </w:tcPr>
          <w:p>
            <w:pPr>
              <w:spacing w:after="0"/>
              <w:rPr>
                <w:sz w:val="2"/>
                <w:szCs w:val="2"/>
                <w:color w:val="auto"/>
              </w:rPr>
            </w:pPr>
          </w:p>
        </w:tc>
        <w:tc>
          <w:tcPr>
            <w:tcW w:w="300" w:type="dxa"/>
            <w:vAlign w:val="bottom"/>
            <w:tcBorders>
              <w:top w:val="single" w:sz="8" w:color="0000EE"/>
              <w:bottom w:val="single" w:sz="8" w:color="DAE1EB"/>
            </w:tcBorders>
          </w:tcPr>
          <w:p>
            <w:pPr>
              <w:spacing w:after="0"/>
              <w:rPr>
                <w:sz w:val="2"/>
                <w:szCs w:val="2"/>
                <w:color w:val="auto"/>
              </w:rPr>
            </w:pPr>
          </w:p>
        </w:tc>
        <w:tc>
          <w:tcPr>
            <w:tcW w:w="220" w:type="dxa"/>
            <w:vAlign w:val="bottom"/>
            <w:tcBorders>
              <w:bottom w:val="single" w:sz="8" w:color="DAE1EB"/>
            </w:tcBorders>
          </w:tcPr>
          <w:p>
            <w:pPr>
              <w:spacing w:after="0"/>
              <w:rPr>
                <w:sz w:val="2"/>
                <w:szCs w:val="2"/>
                <w:color w:val="auto"/>
              </w:rPr>
            </w:pPr>
          </w:p>
        </w:tc>
        <w:tc>
          <w:tcPr>
            <w:tcW w:w="680" w:type="dxa"/>
            <w:vAlign w:val="bottom"/>
            <w:tcBorders>
              <w:bottom w:val="single" w:sz="8" w:color="DAE1EB"/>
            </w:tcBorders>
          </w:tcPr>
          <w:p>
            <w:pPr>
              <w:spacing w:after="0"/>
              <w:rPr>
                <w:sz w:val="2"/>
                <w:szCs w:val="2"/>
                <w:color w:val="auto"/>
              </w:rPr>
            </w:pPr>
          </w:p>
        </w:tc>
        <w:tc>
          <w:tcPr>
            <w:tcW w:w="260" w:type="dxa"/>
            <w:vAlign w:val="bottom"/>
            <w:tcBorders>
              <w:bottom w:val="single" w:sz="8" w:color="DAE1EB"/>
            </w:tcBorders>
          </w:tcPr>
          <w:p>
            <w:pPr>
              <w:spacing w:after="0"/>
              <w:rPr>
                <w:sz w:val="2"/>
                <w:szCs w:val="2"/>
                <w:color w:val="auto"/>
              </w:rPr>
            </w:pPr>
          </w:p>
        </w:tc>
        <w:tc>
          <w:tcPr>
            <w:tcW w:w="540" w:type="dxa"/>
            <w:vAlign w:val="bottom"/>
            <w:tcBorders>
              <w:bottom w:val="single" w:sz="8" w:color="DAE1EB"/>
            </w:tcBorders>
          </w:tcPr>
          <w:p>
            <w:pPr>
              <w:spacing w:after="0"/>
              <w:rPr>
                <w:sz w:val="2"/>
                <w:szCs w:val="2"/>
                <w:color w:val="auto"/>
              </w:rPr>
            </w:pPr>
          </w:p>
        </w:tc>
        <w:tc>
          <w:tcPr>
            <w:tcW w:w="600" w:type="dxa"/>
            <w:vAlign w:val="bottom"/>
            <w:tcBorders>
              <w:bottom w:val="single" w:sz="8" w:color="DAE1EB"/>
            </w:tcBorders>
          </w:tcPr>
          <w:p>
            <w:pPr>
              <w:spacing w:after="0"/>
              <w:rPr>
                <w:sz w:val="2"/>
                <w:szCs w:val="2"/>
                <w:color w:val="auto"/>
              </w:rPr>
            </w:pPr>
          </w:p>
        </w:tc>
        <w:tc>
          <w:tcPr>
            <w:tcW w:w="880" w:type="dxa"/>
            <w:vAlign w:val="bottom"/>
            <w:tcBorders>
              <w:bottom w:val="single" w:sz="8" w:color="DAE1EB"/>
            </w:tcBorders>
          </w:tcPr>
          <w:p>
            <w:pPr>
              <w:spacing w:after="0"/>
              <w:rPr>
                <w:sz w:val="2"/>
                <w:szCs w:val="2"/>
                <w:color w:val="auto"/>
              </w:rPr>
            </w:pPr>
          </w:p>
        </w:tc>
        <w:tc>
          <w:tcPr>
            <w:tcW w:w="40" w:type="dxa"/>
            <w:vAlign w:val="bottom"/>
            <w:tcBorders>
              <w:bottom w:val="single" w:sz="8" w:color="DAE1EB"/>
            </w:tcBorders>
          </w:tcPr>
          <w:p>
            <w:pPr>
              <w:spacing w:after="0"/>
              <w:rPr>
                <w:sz w:val="2"/>
                <w:szCs w:val="2"/>
                <w:color w:val="auto"/>
              </w:rPr>
            </w:pPr>
          </w:p>
        </w:tc>
        <w:tc>
          <w:tcPr>
            <w:tcW w:w="860" w:type="dxa"/>
            <w:vAlign w:val="bottom"/>
            <w:tcBorders>
              <w:bottom w:val="single" w:sz="8" w:color="DAE1EB"/>
            </w:tcBorders>
          </w:tcPr>
          <w:p>
            <w:pPr>
              <w:spacing w:after="0"/>
              <w:rPr>
                <w:sz w:val="2"/>
                <w:szCs w:val="2"/>
                <w:color w:val="auto"/>
              </w:rPr>
            </w:pPr>
          </w:p>
        </w:tc>
        <w:tc>
          <w:tcPr>
            <w:tcW w:w="740" w:type="dxa"/>
            <w:vAlign w:val="bottom"/>
            <w:tcBorders>
              <w:bottom w:val="single" w:sz="8" w:color="DAE1EB"/>
            </w:tcBorders>
          </w:tcPr>
          <w:p>
            <w:pPr>
              <w:spacing w:after="0"/>
              <w:rPr>
                <w:sz w:val="2"/>
                <w:szCs w:val="2"/>
                <w:color w:val="auto"/>
              </w:rPr>
            </w:pPr>
          </w:p>
        </w:tc>
        <w:tc>
          <w:tcPr>
            <w:tcW w:w="920" w:type="dxa"/>
            <w:vAlign w:val="bottom"/>
            <w:tcBorders>
              <w:bottom w:val="single" w:sz="8" w:color="DAE1EB"/>
            </w:tcBorders>
          </w:tcPr>
          <w:p>
            <w:pPr>
              <w:spacing w:after="0"/>
              <w:rPr>
                <w:sz w:val="2"/>
                <w:szCs w:val="2"/>
                <w:color w:val="auto"/>
              </w:rPr>
            </w:pPr>
          </w:p>
        </w:tc>
        <w:tc>
          <w:tcPr>
            <w:tcW w:w="1260" w:type="dxa"/>
            <w:vAlign w:val="bottom"/>
            <w:tcBorders>
              <w:bottom w:val="single" w:sz="8" w:color="DAE1EB"/>
            </w:tcBorders>
          </w:tcPr>
          <w:p>
            <w:pPr>
              <w:spacing w:after="0"/>
              <w:rPr>
                <w:sz w:val="2"/>
                <w:szCs w:val="2"/>
                <w:color w:val="auto"/>
              </w:rPr>
            </w:pPr>
          </w:p>
        </w:tc>
      </w:tr>
      <w:tr>
        <w:trPr>
          <w:trHeight w:val="155"/>
        </w:trPr>
        <w:tc>
          <w:tcPr>
            <w:tcW w:w="1160" w:type="dxa"/>
            <w:vAlign w:val="bottom"/>
            <w:gridSpan w:val="6"/>
          </w:tcPr>
          <w:p>
            <w:pPr>
              <w:ind w:left="20"/>
              <w:spacing w:after="0" w:line="156" w:lineRule="exact"/>
              <w:rPr>
                <w:sz w:val="20"/>
                <w:szCs w:val="20"/>
                <w:color w:val="auto"/>
              </w:rPr>
            </w:pPr>
            <w:r>
              <w:rPr>
                <w:rFonts w:ascii="Calibri" w:cs="Calibri" w:eastAsia="Calibri" w:hAnsi="Calibri"/>
                <w:sz w:val="16"/>
                <w:szCs w:val="16"/>
                <w:b w:val="1"/>
                <w:bCs w:val="1"/>
                <w:color w:val="00002D"/>
              </w:rPr>
              <w:t>Item 16.</w:t>
            </w:r>
          </w:p>
        </w:tc>
        <w:tc>
          <w:tcPr>
            <w:tcW w:w="8820" w:type="dxa"/>
            <w:vAlign w:val="bottom"/>
            <w:gridSpan w:val="23"/>
          </w:tcPr>
          <w:p>
            <w:pPr>
              <w:spacing w:after="0" w:line="156" w:lineRule="exact"/>
              <w:rPr>
                <w:sz w:val="20"/>
                <w:szCs w:val="20"/>
                <w:color w:val="auto"/>
              </w:rPr>
            </w:pPr>
            <w:r>
              <w:rPr>
                <w:rFonts w:ascii="Calibri" w:cs="Calibri" w:eastAsia="Calibri" w:hAnsi="Calibri"/>
                <w:sz w:val="16"/>
                <w:szCs w:val="16"/>
                <w:color w:val="00002D"/>
              </w:rPr>
              <w:t>Form 10-K Summary</w:t>
            </w:r>
          </w:p>
        </w:tc>
        <w:tc>
          <w:tcPr>
            <w:tcW w:w="1260" w:type="dxa"/>
            <w:vAlign w:val="bottom"/>
          </w:tcPr>
          <w:p>
            <w:pPr>
              <w:jc w:val="right"/>
              <w:spacing w:after="0" w:line="156" w:lineRule="exact"/>
              <w:rPr>
                <w:sz w:val="20"/>
                <w:szCs w:val="20"/>
                <w:color w:val="auto"/>
              </w:rPr>
            </w:pPr>
            <w:r>
              <w:rPr>
                <w:rFonts w:ascii="Calibri" w:cs="Calibri" w:eastAsia="Calibri" w:hAnsi="Calibri"/>
                <w:sz w:val="16"/>
                <w:szCs w:val="16"/>
                <w:b w:val="1"/>
                <w:bCs w:val="1"/>
                <w:color w:val="00002D"/>
              </w:rPr>
              <w:t>128</w:t>
            </w:r>
          </w:p>
        </w:tc>
      </w:tr>
      <w:tr>
        <w:trPr>
          <w:trHeight w:val="1229"/>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SPECIAL NOTE REGARDING FORWARD-LOOKING STATEMENTS</w:t>
      </w:r>
    </w:p>
    <w:p>
      <w:pPr>
        <w:spacing w:after="0" w:line="241" w:lineRule="exact"/>
        <w:rPr>
          <w:sz w:val="20"/>
          <w:szCs w:val="20"/>
          <w:color w:val="auto"/>
        </w:rPr>
      </w:pPr>
    </w:p>
    <w:p>
      <w:pPr>
        <w:jc w:val="both"/>
        <w:spacing w:after="0" w:line="320" w:lineRule="auto"/>
        <w:rPr>
          <w:sz w:val="20"/>
          <w:szCs w:val="20"/>
          <w:color w:val="auto"/>
        </w:rPr>
      </w:pPr>
      <w:r>
        <w:rPr>
          <w:rFonts w:ascii="MS PGothic" w:cs="MS PGothic" w:eastAsia="MS PGothic" w:hAnsi="MS PGothic"/>
          <w:sz w:val="17"/>
          <w:szCs w:val="17"/>
          <w:color w:val="00002D"/>
        </w:rPr>
        <w:t>This Annual Report on Form 10-K, or Annual Report, contains forward‑looking statements within the meaning of the federal securites laws, which statements involve substantal risks and uncertaintes. Forward‑looking statements generally relate to future events or our future fnancial or operatng performance. In some cases, you can identfy forward‑looking statements because they contain words such as “aim,” “antcipates,” “believes,” “could,” “estmates,” “expects,” “goal,” “intends,” “may,” “might,” “plans,” “potental,” “predicts,” “projects,” “seeks,” “should,” “target,” “will,” “would,” or similar expressions and the negatves of those terms. Forward-looking statements contained in this Annual Report include statements about:</w:t>
      </w:r>
    </w:p>
    <w:p>
      <w:pPr>
        <w:spacing w:after="0" w:line="68" w:lineRule="exact"/>
        <w:rPr>
          <w:sz w:val="20"/>
          <w:szCs w:val="20"/>
          <w:color w:val="auto"/>
        </w:rPr>
      </w:pPr>
    </w:p>
    <w:p>
      <w:pPr>
        <w:ind w:left="1020" w:hanging="503"/>
        <w:spacing w:after="0" w:line="298" w:lineRule="auto"/>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future fnancial performance, including our expectatons regarding our revenue, cost of revenue, gross proft or gross margin, operatng expenses, ability to generate cash fow, and ability to achieve and maintain future proftability;</w:t>
      </w:r>
    </w:p>
    <w:p>
      <w:pPr>
        <w:spacing w:after="0" w:line="72"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growth strategies and our ability to efectvely manage any growth;</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the value propositon of our product oferings for dealers and consumers;</w:t>
      </w:r>
    </w:p>
    <w:p>
      <w:pPr>
        <w:spacing w:after="0" w:line="130" w:lineRule="exact"/>
        <w:rPr>
          <w:rFonts w:ascii="Times New Roman" w:cs="Times New Roman" w:eastAsia="Times New Roman" w:hAnsi="Times New Roman"/>
          <w:sz w:val="18"/>
          <w:szCs w:val="18"/>
          <w:color w:val="00002D"/>
        </w:rPr>
      </w:pPr>
    </w:p>
    <w:p>
      <w:pPr>
        <w:ind w:left="1020" w:hanging="503"/>
        <w:spacing w:after="0" w:line="298" w:lineRule="auto"/>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the ability of our combined suite of oferings to increase a dealer’s return on investment, add scale to our marketplace network, create synergies for dealers, and become the marketplace for all steps of the vehicle acquisiton and sale processes;</w:t>
      </w:r>
    </w:p>
    <w:p>
      <w:pPr>
        <w:spacing w:after="0" w:line="72" w:lineRule="exact"/>
        <w:rPr>
          <w:rFonts w:ascii="Times New Roman" w:cs="Times New Roman" w:eastAsia="Times New Roman" w:hAnsi="Times New Roman"/>
          <w:sz w:val="18"/>
          <w:szCs w:val="18"/>
          <w:color w:val="00002D"/>
        </w:rPr>
      </w:pPr>
    </w:p>
    <w:p>
      <w:pPr>
        <w:ind w:left="1020" w:hanging="503"/>
        <w:spacing w:after="0" w:line="298" w:lineRule="auto"/>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evoluton to becoming a transacton-enabled platorm where consumers can shop, buy, seek fnancing, and sell their cars and dealers can price, source, market, and sell their cars;</w:t>
      </w:r>
    </w:p>
    <w:p>
      <w:pPr>
        <w:spacing w:after="0" w:line="72"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the value propositon of the CarOfer, LLC, or CarOfer, online wholesale platorm;</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ability to deliver quality leads at a high volume for our dealer customers and to provide the highest return on a dealer’s investment;</w:t>
      </w:r>
    </w:p>
    <w:p>
      <w:pPr>
        <w:spacing w:after="0" w:line="130" w:lineRule="exact"/>
        <w:rPr>
          <w:rFonts w:ascii="Times New Roman" w:cs="Times New Roman" w:eastAsia="Times New Roman" w:hAnsi="Times New Roman"/>
          <w:sz w:val="18"/>
          <w:szCs w:val="18"/>
          <w:color w:val="00002D"/>
        </w:rPr>
      </w:pPr>
    </w:p>
    <w:p>
      <w:pPr>
        <w:ind w:left="1020" w:hanging="503"/>
        <w:spacing w:after="0" w:line="298" w:lineRule="auto"/>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expectatons for CarGurus Sell My Car (Instant Max Cash Ofer and Top Dealer Ofers) as well as our digital retail oferings and contnued investments;</w:t>
      </w:r>
    </w:p>
    <w:p>
      <w:pPr>
        <w:spacing w:after="0" w:line="72"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ability to maintain and acquire new customers;</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ability to maintain and build our brand;</w:t>
      </w:r>
    </w:p>
    <w:p>
      <w:pPr>
        <w:spacing w:after="0" w:line="130" w:lineRule="exact"/>
        <w:rPr>
          <w:rFonts w:ascii="Times New Roman" w:cs="Times New Roman" w:eastAsia="Times New Roman" w:hAnsi="Times New Roman"/>
          <w:sz w:val="18"/>
          <w:szCs w:val="18"/>
          <w:color w:val="00002D"/>
        </w:rPr>
      </w:pPr>
    </w:p>
    <w:p>
      <w:pPr>
        <w:ind w:left="1020" w:hanging="503"/>
        <w:spacing w:after="0" w:line="298" w:lineRule="auto"/>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belief that our partnerships with automotve lending companies provide more transparency to car shoppers and deliver highly qualifed car shopper leads to partcipatng dealers;</w:t>
      </w:r>
    </w:p>
    <w:p>
      <w:pPr>
        <w:spacing w:after="0" w:line="72"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the impact of competton in our industry and innovaton by our compettors;</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ability to adapt to technological change and efectvely enhance, innovate, and scale our platorm and oferings;</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ability to realize benefts from our acquisitons and successfully implement the integraton strategies in connecton therewith;</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impairments of the carrying value of our goodwill or other assets;</w:t>
      </w:r>
    </w:p>
    <w:p>
      <w:pPr>
        <w:spacing w:after="0" w:line="130" w:lineRule="exact"/>
        <w:rPr>
          <w:rFonts w:ascii="Times New Roman" w:cs="Times New Roman" w:eastAsia="Times New Roman" w:hAnsi="Times New Roman"/>
          <w:sz w:val="18"/>
          <w:szCs w:val="18"/>
          <w:color w:val="00002D"/>
        </w:rPr>
      </w:pPr>
    </w:p>
    <w:p>
      <w:pPr>
        <w:jc w:val="both"/>
        <w:ind w:left="1020" w:hanging="503"/>
        <w:spacing w:after="0" w:line="289" w:lineRule="auto"/>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ability to overcome challenges facing the automotve industry ecosystem, including inventory supply problems, global supply chain challenges, changes to trade policies, fnancial market volatlity and disrupton, increased interest rates, infatonary concerns, and other macroeconomic issues, including uncertain economic conditons in the United States, or U.S., and abroad;</w:t>
      </w:r>
    </w:p>
    <w:p>
      <w:pPr>
        <w:spacing w:after="0" w:line="86"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expectatons regarding cash generaton and the sufciency of our cash to fund our operatons;</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expected returns on investments;</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expectatons regarding our deferred tax assets;</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the impact of changes in tax law and related guidance and regulatons that may be implemented, including on tax rates;</w:t>
      </w:r>
    </w:p>
    <w:p>
      <w:pPr>
        <w:spacing w:after="0" w:line="130" w:lineRule="exact"/>
        <w:rPr>
          <w:rFonts w:ascii="Times New Roman" w:cs="Times New Roman" w:eastAsia="Times New Roman" w:hAnsi="Times New Roman"/>
          <w:sz w:val="18"/>
          <w:szCs w:val="18"/>
          <w:color w:val="00002D"/>
        </w:rPr>
      </w:pPr>
    </w:p>
    <w:p>
      <w:pPr>
        <w:ind w:left="1020" w:hanging="503"/>
        <w:spacing w:after="0" w:line="298" w:lineRule="auto"/>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expectatons regarding our expenses generally, including general and administratve, product, technology, and development, and sales and marketng expenses;</w:t>
      </w:r>
    </w:p>
    <w:p>
      <w:pPr>
        <w:spacing w:after="0" w:line="72"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domestc and global economic conditons afectng us or our customers;</w:t>
      </w:r>
    </w:p>
    <w:p>
      <w:pPr>
        <w:spacing w:after="0" w:line="225"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expectatons regarding the funding of our share repurchase program;</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revolving credit facility;</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ability to adequately protect our intellectual property;</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ability to atract, hire, and retain necessary qualifed employees to expand our operatons;</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the impact of accountng pronouncements;</w:t>
      </w:r>
    </w:p>
    <w:p>
      <w:pPr>
        <w:spacing w:after="0" w:line="130" w:lineRule="exact"/>
        <w:rPr>
          <w:rFonts w:ascii="Times New Roman" w:cs="Times New Roman" w:eastAsia="Times New Roman" w:hAnsi="Times New Roman"/>
          <w:sz w:val="18"/>
          <w:szCs w:val="18"/>
          <w:color w:val="00002D"/>
        </w:rPr>
      </w:pPr>
    </w:p>
    <w:p>
      <w:pPr>
        <w:ind w:left="1020" w:hanging="503"/>
        <w:spacing w:after="0" w:line="298" w:lineRule="auto"/>
        <w:tabs>
          <w:tab w:leader="none" w:pos="1020" w:val="left"/>
        </w:tabs>
        <w:numPr>
          <w:ilvl w:val="0"/>
          <w:numId w:val="5"/>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our ability to stay abreast of, and efectvely comply with, new or modifed laws and regulatons that currently apply or become applicable to our business and our beliefs regarding our compliance therewith;</w:t>
      </w:r>
    </w:p>
    <w:p>
      <w:pPr>
        <w:spacing w:after="0" w:line="72"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the impact of litgaton and the potental impact of unasserted claims; and</w:t>
      </w:r>
    </w:p>
    <w:p>
      <w:pPr>
        <w:spacing w:after="0" w:line="130"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00002D"/>
        </w:rPr>
      </w:pPr>
      <w:r>
        <w:rPr>
          <w:rFonts w:ascii="MS PGothic" w:cs="MS PGothic" w:eastAsia="MS PGothic" w:hAnsi="MS PGothic"/>
          <w:sz w:val="18"/>
          <w:szCs w:val="18"/>
          <w:color w:val="00002D"/>
        </w:rPr>
        <w:t>the future trading prices of our Class A common stock.</w:t>
      </w:r>
    </w:p>
    <w:p>
      <w:pPr>
        <w:spacing w:after="0" w:line="225" w:lineRule="exact"/>
        <w:rPr>
          <w:sz w:val="20"/>
          <w:szCs w:val="20"/>
          <w:color w:val="auto"/>
        </w:rPr>
      </w:pPr>
    </w:p>
    <w:p>
      <w:pPr>
        <w:jc w:val="both"/>
        <w:spacing w:after="0" w:line="293" w:lineRule="auto"/>
        <w:rPr>
          <w:sz w:val="20"/>
          <w:szCs w:val="20"/>
          <w:color w:val="auto"/>
        </w:rPr>
      </w:pPr>
      <w:r>
        <w:rPr>
          <w:rFonts w:ascii="MS PGothic" w:cs="MS PGothic" w:eastAsia="MS PGothic" w:hAnsi="MS PGothic"/>
          <w:sz w:val="18"/>
          <w:szCs w:val="18"/>
          <w:color w:val="00002D"/>
        </w:rPr>
        <w:t>You should not rely upon forward‑looking statements as predictons of future events. We have based the forward‑looking statements contained in this Annual Report primarily on our current expectatons and projectons about future events and trends that we believe may afect our business, fnancial conditon, operatng results, and growth prospects. The outcome of the events described in these forward‑looking statements is subject to risks, uncertaintes, and other factors described in the secton ttled “Risk Factors” and elsewhere in this Annual Report. Moreover, we operate in a very compettve and rapidly changing environment. New risks and uncertaintes emerge from tme to tme, and it is not possible for us to predict all risks and uncertaintes that could have an impact on the forward‑looking statements contained in this Annual Report. Further, our forward‑looking statements do not refect the potental impact of any future acquisitons, mergers, dispositons, or joint ventures in which we may be involved, or investments we may make. We cannot assure you that the results, events, and circumstances refected in the forward‑looking statements will be achieved or occur, and actual results, events, or circumstances could difer materially from those described in the forward‑looking statements.</w:t>
      </w:r>
    </w:p>
    <w:p>
      <w:pPr>
        <w:spacing w:after="0" w:line="182"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The forward‑looking statements made in this Annual Report speak only as of the date of this Annual Report. We undertake no obligaton to update any forward‑looking statement made in this Annual Report to refect events or circumstances afer the date of this Annual Report or to refect new informaton or the occurrence of unantcipated events, except as required by law.</w:t>
      </w:r>
    </w:p>
    <w:p>
      <w:pPr>
        <w:spacing w:after="0" w:line="146"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NOTE REGARDING TRADEMARKS</w:t>
      </w:r>
    </w:p>
    <w:p>
      <w:pPr>
        <w:spacing w:after="0" w:line="241"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CarGurus® and Autolist® are each a registered trademark of CarGurus, Inc., CarOfer® is a registered trademark of CarOfer, LLC, and PistonHeads® is a registered trademark of CarGurus Ireland Limited in the United Kingdom, or the U.K., and the European Union, or EU. All other product names, trademarks, and registered trademarks are property of their respectve owners. We have omited the ® and ™ designatons, as applicable, for the trademarks used in this Annual Report.</w:t>
      </w:r>
    </w:p>
    <w:p>
      <w:pPr>
        <w:spacing w:after="0" w:line="171"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36"/>
          <w:szCs w:val="36"/>
          <w:b w:val="1"/>
          <w:bCs w:val="1"/>
          <w:color w:val="3465B0"/>
        </w:rPr>
        <w:t>PART I</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1. Business.</w:t>
      </w:r>
    </w:p>
    <w:p>
      <w:pPr>
        <w:spacing w:after="0" w:line="22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Who We Are</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CarGurus is a multnatonal, online automotve platorm for buying and selling vehicles that is building upon its industry-leading listngs marketplace with both digital retail solutons and the CarOfer online wholesale platorm, each powered by data-driven insights. The CarGurus platorm gives consumers the confdence to purchase and/or sell a vehicle either online or in person, and it gives dealerships the power to accurately price, efectvely market, instantly acquire, and quickly sell vehicles, all with a natonwide reach. We use proprietary technology, search algorithms, and data analytcs to bring trust, transparency, and compettve pricing to the automotve shopping experience.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00002D"/>
        </w:rPr>
        <w:t>We operate the following 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151765</wp:posOffset>
            </wp:positionV>
            <wp:extent cx="619760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7600" cy="274320"/>
                    </a:xfrm>
                    <a:prstGeom prst="rect">
                      <a:avLst/>
                    </a:prstGeom>
                    <a:noFill/>
                  </pic:spPr>
                </pic:pic>
              </a:graphicData>
            </a:graphic>
          </wp:anchor>
        </w:drawing>
      </w:r>
    </w:p>
    <w:p>
      <w:pPr>
        <w:spacing w:after="0" w:line="275" w:lineRule="exact"/>
        <w:rPr>
          <w:sz w:val="20"/>
          <w:szCs w:val="20"/>
          <w:color w:val="auto"/>
        </w:rPr>
      </w:pPr>
    </w:p>
    <w:p>
      <w:pPr>
        <w:ind w:left="1320"/>
        <w:spacing w:after="0"/>
        <w:tabs>
          <w:tab w:leader="none" w:pos="5560" w:val="left"/>
          <w:tab w:leader="none" w:pos="8860" w:val="left"/>
        </w:tabs>
        <w:rPr>
          <w:sz w:val="20"/>
          <w:szCs w:val="20"/>
          <w:color w:val="auto"/>
        </w:rPr>
      </w:pPr>
      <w:r>
        <w:rPr>
          <w:rFonts w:ascii="Calibri" w:cs="Calibri" w:eastAsia="Calibri" w:hAnsi="Calibri"/>
          <w:sz w:val="22"/>
          <w:szCs w:val="22"/>
          <w:b w:val="1"/>
          <w:bCs w:val="1"/>
          <w:color w:val="3465B0"/>
        </w:rPr>
        <w:t>U.S., U.K., and Canada</w:t>
      </w:r>
      <w:r>
        <w:rPr>
          <w:sz w:val="20"/>
          <w:szCs w:val="20"/>
          <w:color w:val="auto"/>
        </w:rPr>
        <w:tab/>
      </w:r>
      <w:r>
        <w:rPr>
          <w:rFonts w:ascii="Calibri" w:cs="Calibri" w:eastAsia="Calibri" w:hAnsi="Calibri"/>
          <w:sz w:val="22"/>
          <w:szCs w:val="22"/>
          <w:b w:val="1"/>
          <w:bCs w:val="1"/>
          <w:color w:val="3465B0"/>
        </w:rPr>
        <w:t>U.S.</w:t>
      </w:r>
      <w:r>
        <w:rPr>
          <w:sz w:val="20"/>
          <w:szCs w:val="20"/>
          <w:color w:val="auto"/>
        </w:rPr>
        <w:tab/>
      </w:r>
      <w:r>
        <w:rPr>
          <w:rFonts w:ascii="Calibri" w:cs="Calibri" w:eastAsia="Calibri" w:hAnsi="Calibri"/>
          <w:sz w:val="19"/>
          <w:szCs w:val="19"/>
          <w:b w:val="1"/>
          <w:bCs w:val="1"/>
          <w:color w:val="3465B0"/>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120015</wp:posOffset>
            </wp:positionV>
            <wp:extent cx="570103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1030" cy="43688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659765</wp:posOffset>
            </wp:positionV>
            <wp:extent cx="153416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spacing w:after="0"/>
        <w:rPr>
          <w:sz w:val="20"/>
          <w:szCs w:val="20"/>
          <w:color w:val="auto"/>
        </w:rPr>
      </w:pPr>
      <w:r>
        <w:rPr>
          <w:rFonts w:ascii="Calibri" w:cs="Calibri" w:eastAsia="Calibri" w:hAnsi="Calibri"/>
          <w:sz w:val="14"/>
          <w:szCs w:val="14"/>
          <w:i w:val="1"/>
          <w:iCs w:val="1"/>
          <w:color w:val="00002D"/>
        </w:rPr>
        <w:t>CarOfer is a subsidiary of CarGurus and operates as an independent brand.</w:t>
      </w:r>
    </w:p>
    <w:p>
      <w:pPr>
        <w:spacing w:after="0" w:line="5" w:lineRule="exact"/>
        <w:rPr>
          <w:sz w:val="20"/>
          <w:szCs w:val="20"/>
          <w:color w:val="auto"/>
        </w:rPr>
      </w:pPr>
    </w:p>
    <w:p>
      <w:pPr>
        <w:ind w:left="760"/>
        <w:spacing w:after="0"/>
        <w:rPr>
          <w:sz w:val="20"/>
          <w:szCs w:val="20"/>
          <w:color w:val="auto"/>
        </w:rPr>
      </w:pPr>
      <w:r>
        <w:rPr>
          <w:rFonts w:ascii="Calibri" w:cs="Calibri" w:eastAsia="Calibri" w:hAnsi="Calibri"/>
          <w:sz w:val="14"/>
          <w:szCs w:val="14"/>
          <w:i w:val="1"/>
          <w:iCs w:val="1"/>
          <w:color w:val="00002D"/>
        </w:rPr>
        <w:t>Autolist and PistonHeads operate as independent brands.</w:t>
      </w: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CarGurus is the most visited online automotve marketplace in the U.S. (Similarweb, Trafc Report (Cars.com, Autotrader, CARFAX Listngs (defned as CARFAX total visits minus Vehicle History Reports trafc), TrueCar, Q4 2024). Founded in 2006 by Langley Steinert, our intelligence-driven platorm provides easily accessible vehicle prices and transparent dealer ratngs, informaton imperatve to a consumer’s vehicle purchase. By providing car-shoppers with the tools and insights necessary for their car-shopping journey, we have garnered a high-intent, ready-to-purchase consumer audience. As of December 31, 2024, we had 29.3 million average monthly visitors in the U.S., which, in turn, has atracted over 30,000 dealers (including 24,692 paying dealers) to list on our U.S. marketplace platorm. As a result, we have the largest inventory selecton among listngs sites in the U.S. (compared to Autotrader.com, Cars.com, TrueCar.com (YipitData as of 12/31/2024), and CARFAX (Joreca as of 12/31/2024)).</w:t>
      </w:r>
    </w:p>
    <w:p>
      <w:pPr>
        <w:spacing w:after="0" w:line="2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 xml:space="preserve">Our platorm supports consumers and dealers alike across the full cycle of their buying and selling needs: allowing consumers to shop, fnance, buy, and sell and allowing dealers to source, price, market, and sell vehicles. Through our evoluton, our ultmate goal remains the same: to empower our customers by giving them all the tools and informaton they need to buy or sell any car, anywhere, at the right price, and in the right way for them. At CarGurus, </w:t>
      </w:r>
      <w:r>
        <w:rPr>
          <w:rFonts w:ascii="Calibri" w:cs="Calibri" w:eastAsia="Calibri" w:hAnsi="Calibri"/>
          <w:sz w:val="18"/>
          <w:szCs w:val="18"/>
          <w:i w:val="1"/>
          <w:iCs w:val="1"/>
          <w:color w:val="00002D"/>
        </w:rPr>
        <w:t>we give</w:t>
      </w:r>
      <w:r>
        <w:rPr>
          <w:rFonts w:ascii="Calibri" w:cs="Calibri" w:eastAsia="Calibri" w:hAnsi="Calibri"/>
          <w:sz w:val="18"/>
          <w:szCs w:val="18"/>
          <w:color w:val="00002D"/>
        </w:rPr>
        <w:t xml:space="preserve"> </w:t>
      </w:r>
      <w:r>
        <w:rPr>
          <w:rFonts w:ascii="Calibri" w:cs="Calibri" w:eastAsia="Calibri" w:hAnsi="Calibri"/>
          <w:sz w:val="18"/>
          <w:szCs w:val="18"/>
          <w:i w:val="1"/>
          <w:iCs w:val="1"/>
          <w:color w:val="00002D"/>
        </w:rPr>
        <w:t>people the power to reach their destnaton</w:t>
      </w:r>
      <w:r>
        <w:rPr>
          <w:rFonts w:ascii="Calibri" w:cs="Calibri" w:eastAsia="Calibri" w:hAnsi="Calibri"/>
          <w:sz w:val="18"/>
          <w:szCs w:val="18"/>
          <w:color w:val="00002D"/>
        </w:rPr>
        <w:t>.</w:t>
      </w:r>
    </w:p>
    <w:p>
      <w:pPr>
        <w:spacing w:after="0" w:line="20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Segments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During the year ended December 31, 2024, we managed our business and reported earnings through two reportable segments:</w:t>
      </w:r>
    </w:p>
    <w:p>
      <w:pPr>
        <w:spacing w:after="0" w:line="11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U.S. Marketplace: Derives revenue from marketplace services for customers within the U.S.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Digital Wholesale: Primarily derives revenue from our Dealer-to-Dealer and Instant Max Cash Ofer services sold on our CarOfer platorm.</w:t>
      </w:r>
    </w:p>
    <w:p>
      <w:pPr>
        <w:spacing w:after="0" w:line="217" w:lineRule="exact"/>
        <w:rPr>
          <w:sz w:val="20"/>
          <w:szCs w:val="20"/>
          <w:color w:val="auto"/>
        </w:rPr>
      </w:pPr>
    </w:p>
    <w:p>
      <w:pPr>
        <w:spacing w:after="0"/>
        <w:rPr>
          <w:sz w:val="20"/>
          <w:szCs w:val="20"/>
          <w:color w:val="auto"/>
        </w:rPr>
      </w:pPr>
      <w:r>
        <w:rPr>
          <w:rFonts w:ascii="Calibri" w:cs="Calibri" w:eastAsia="Calibri" w:hAnsi="Calibri"/>
          <w:sz w:val="17"/>
          <w:szCs w:val="17"/>
          <w:color w:val="auto"/>
        </w:rPr>
        <w:t>See Note 14 to our consolidated fnancial statements included elsewhere in this Annual Report for further segment reportng and geographical informaton.</w:t>
      </w:r>
    </w:p>
    <w:p>
      <w:pPr>
        <w:spacing w:after="0" w:line="22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Our Products and Services</w:t>
      </w:r>
    </w:p>
    <w:p>
      <w:pPr>
        <w:spacing w:after="0" w:line="22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U.S. Marketplace and Other</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color w:val="00002D"/>
        </w:rPr>
        <w:t>The product oferings described below are available through our U.S. marketplace; availability on our other marketplaces varies.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Marketplace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Our online automotve marketplace allows consumers to search for new and used car listngs from our dealers based on our proprietary search algorithm.</w:t>
      </w:r>
    </w:p>
    <w:p>
      <w:pPr>
        <w:spacing w:after="0" w:line="235" w:lineRule="auto"/>
        <w:rPr>
          <w:sz w:val="20"/>
          <w:szCs w:val="20"/>
          <w:color w:val="auto"/>
        </w:rPr>
      </w:pPr>
      <w:r>
        <w:rPr>
          <w:rFonts w:ascii="Calibri" w:cs="Calibri" w:eastAsia="Calibri" w:hAnsi="Calibri"/>
          <w:sz w:val="18"/>
          <w:szCs w:val="18"/>
          <w:color w:val="00002D"/>
        </w:rPr>
        <w:t>Our marketplace is the trusted source for consumers based on the key algorithms that make up the major elements of our marketplace product:</w:t>
      </w:r>
    </w:p>
    <w:p>
      <w:pPr>
        <w:spacing w:after="0" w:line="123" w:lineRule="exact"/>
        <w:rPr>
          <w:sz w:val="20"/>
          <w:szCs w:val="20"/>
          <w:color w:val="auto"/>
        </w:rPr>
      </w:pPr>
    </w:p>
    <w:p>
      <w:pPr>
        <w:jc w:val="both"/>
        <w:ind w:left="1020" w:hanging="503"/>
        <w:spacing w:after="0" w:line="235" w:lineRule="auto"/>
        <w:tabs>
          <w:tab w:leader="none" w:pos="1020" w:val="left"/>
        </w:tabs>
        <w:numPr>
          <w:ilvl w:val="0"/>
          <w:numId w:val="7"/>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Deal Ratng</w:t>
      </w:r>
      <w:r>
        <w:rPr>
          <w:rFonts w:ascii="Calibri" w:cs="Calibri" w:eastAsia="Calibri" w:hAnsi="Calibri"/>
          <w:sz w:val="18"/>
          <w:szCs w:val="18"/>
          <w:color w:val="00002D"/>
        </w:rPr>
        <w:t>: Eligible used car listngs in our marketplace are assigned one of fve Deal Ratngs: Great Deal, Good Deal, Fair Deal, High Priced, or</w:t>
      </w:r>
      <w:r>
        <w:rPr>
          <w:rFonts w:ascii="Calibri" w:cs="Calibri" w:eastAsia="Calibri" w:hAnsi="Calibri"/>
          <w:sz w:val="18"/>
          <w:szCs w:val="18"/>
          <w:i w:val="1"/>
          <w:iCs w:val="1"/>
          <w:color w:val="00002D"/>
        </w:rPr>
        <w:t xml:space="preserve"> </w:t>
      </w:r>
      <w:r>
        <w:rPr>
          <w:rFonts w:ascii="Calibri" w:cs="Calibri" w:eastAsia="Calibri" w:hAnsi="Calibri"/>
          <w:sz w:val="18"/>
          <w:szCs w:val="18"/>
          <w:color w:val="00002D"/>
        </w:rPr>
        <w:t>Overpriced. Deal Ratngs are based on Instant Market Value, or IMV (our proprietary algorithm that assesses the market value of a used vehicle in a local market), and Dealer Ratngs (ratngs derived from our users’ experiences with the dealers they have connected with). We calculate IMV by applying more than 20 ranking signals and more than 100 normalizaton rules to tens of millions of data points, including the make, model, trim, year, features, conditon, history, geographic locaton, and mileage of the car.</w:t>
      </w:r>
    </w:p>
    <w:p>
      <w:pPr>
        <w:spacing w:after="0" w:line="125"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7"/>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New Car Price Informaton</w:t>
      </w:r>
      <w:r>
        <w:rPr>
          <w:rFonts w:ascii="Calibri" w:cs="Calibri" w:eastAsia="Calibri" w:hAnsi="Calibri"/>
          <w:sz w:val="18"/>
          <w:szCs w:val="18"/>
          <w:color w:val="00002D"/>
        </w:rPr>
        <w:t>: Deal Ratng is not applicable to listngs of new cars because it utlizes data not relevant to new cars. Instead, we</w:t>
      </w:r>
      <w:r>
        <w:rPr>
          <w:rFonts w:ascii="Calibri" w:cs="Calibri" w:eastAsia="Calibri" w:hAnsi="Calibri"/>
          <w:sz w:val="18"/>
          <w:szCs w:val="18"/>
          <w:i w:val="1"/>
          <w:iCs w:val="1"/>
          <w:color w:val="00002D"/>
        </w:rPr>
        <w:t xml:space="preserve"> </w:t>
      </w:r>
      <w:r>
        <w:rPr>
          <w:rFonts w:ascii="Calibri" w:cs="Calibri" w:eastAsia="Calibri" w:hAnsi="Calibri"/>
          <w:sz w:val="18"/>
          <w:szCs w:val="18"/>
          <w:color w:val="00002D"/>
        </w:rPr>
        <w:t>analyze data on manufacturers’ suggested retail prices and recent sales of similar new vehicles, accountng for trade-ins, incentves, and other factors that can afect the price of a new car, to provide users with comparatve price informaton.</w:t>
      </w:r>
    </w:p>
    <w:p>
      <w:pPr>
        <w:spacing w:after="0" w:line="124"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7"/>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Search Results Page and Vehicle Detail Page</w:t>
      </w:r>
      <w:r>
        <w:rPr>
          <w:rFonts w:ascii="Calibri" w:cs="Calibri" w:eastAsia="Calibri" w:hAnsi="Calibri"/>
          <w:sz w:val="18"/>
          <w:szCs w:val="18"/>
          <w:color w:val="00002D"/>
        </w:rPr>
        <w:t>: Our Search Results Page, or SRP, provides users with vehicle-specifc details such as Deal Ratngs</w:t>
      </w:r>
      <w:r>
        <w:rPr>
          <w:rFonts w:ascii="Calibri" w:cs="Calibri" w:eastAsia="Calibri" w:hAnsi="Calibri"/>
          <w:sz w:val="18"/>
          <w:szCs w:val="18"/>
          <w:i w:val="1"/>
          <w:iCs w:val="1"/>
          <w:color w:val="00002D"/>
        </w:rPr>
        <w:t xml:space="preserve"> </w:t>
      </w:r>
      <w:r>
        <w:rPr>
          <w:rFonts w:ascii="Calibri" w:cs="Calibri" w:eastAsia="Calibri" w:hAnsi="Calibri"/>
          <w:sz w:val="18"/>
          <w:szCs w:val="18"/>
          <w:color w:val="00002D"/>
        </w:rPr>
        <w:t>as well as in-depth search flters, which we believe deliver the most comprehensive search capability among major U.S. online automotve marketplaces. We also provide our users with additonal features to aid their search, including similar vehicle recommendatons, side-by-side vehicle comparisons, expert reviews, and user rankings. Vehicle Detail Pages, or VDPs, include comprehensive informaton about the vehicle, including details such as dealership informaton, dealer reviews and ratngs, payment calculators, vehicle history, price history, and tme on site as well as numerous photos.</w:t>
      </w:r>
    </w:p>
    <w:p>
      <w:pPr>
        <w:spacing w:after="0" w:line="126"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7"/>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Artfcial Intelligence, or AI, Features</w:t>
      </w:r>
      <w:r>
        <w:rPr>
          <w:rFonts w:ascii="Calibri" w:cs="Calibri" w:eastAsia="Calibri" w:hAnsi="Calibri"/>
          <w:sz w:val="18"/>
          <w:szCs w:val="18"/>
          <w:color w:val="00002D"/>
        </w:rPr>
        <w:t>: Rapid advancements in consumer-facing AI have transformed the way that consumers search for and</w:t>
      </w:r>
      <w:r>
        <w:rPr>
          <w:rFonts w:ascii="Calibri" w:cs="Calibri" w:eastAsia="Calibri" w:hAnsi="Calibri"/>
          <w:sz w:val="18"/>
          <w:szCs w:val="18"/>
          <w:i w:val="1"/>
          <w:iCs w:val="1"/>
          <w:color w:val="00002D"/>
        </w:rPr>
        <w:t xml:space="preserve"> </w:t>
      </w:r>
      <w:r>
        <w:rPr>
          <w:rFonts w:ascii="Calibri" w:cs="Calibri" w:eastAsia="Calibri" w:hAnsi="Calibri"/>
          <w:sz w:val="18"/>
          <w:szCs w:val="18"/>
          <w:color w:val="00002D"/>
        </w:rPr>
        <w:t>gather informaton, and we have introduced functonality based on generatve AI to improve the user experience on our website, such as features assistng consumer research and reviews.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3465B0"/>
        </w:rPr>
        <w:t>Digital Deal</w:t>
      </w:r>
    </w:p>
    <w:p>
      <w:pPr>
        <w:spacing w:after="0" w:line="21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00002D"/>
        </w:rPr>
        <w:t>We ofer consumers the ability to transact additonal elements of their car-buying experience through our websites as they seek to complete more of this process online. Our Digital Deal ofering allows shoppers to “start purchase” from a VDP on eligible listngs, providing them with purchase optons, including estmatng a car’s trade-in value, deciding on payment optons, selectng fnance and insurance products, making an appointment, placing a reservaton deposit, and/or taking delivery of the vehicle (through our Geo Expansion tool), all while undergoing a seamless online-to-in-store experience. Digital Deal generates revenue by charging subscripton fees to dealerships to enroll in this program and through our Finance in Advance product, as described below.</w:t>
      </w:r>
    </w:p>
    <w:p>
      <w:pPr>
        <w:spacing w:after="0" w:line="206" w:lineRule="exact"/>
        <w:rPr>
          <w:sz w:val="20"/>
          <w:szCs w:val="20"/>
          <w:color w:val="auto"/>
        </w:rPr>
      </w:pPr>
    </w:p>
    <w:p>
      <w:pPr>
        <w:spacing w:after="0"/>
        <w:rPr>
          <w:sz w:val="20"/>
          <w:szCs w:val="20"/>
          <w:color w:val="auto"/>
        </w:rPr>
      </w:pPr>
      <w:r>
        <w:rPr>
          <w:rFonts w:ascii="Calibri" w:cs="Calibri" w:eastAsia="Calibri" w:hAnsi="Calibri"/>
          <w:sz w:val="18"/>
          <w:szCs w:val="18"/>
          <w:color w:val="3465B0"/>
        </w:rPr>
        <w:t>Finance in Advance</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Through partnerships with automotve lending companies, eligible consumers can pre-qualify for fnancing on cars from dealerships that ofer fnancing from these partners. We primarily generate revenue from these partnerships based on the number of funded loans from consumers who pre-qualify with our lending partners through our site. We believe this program provides more transparency to car-shoppers about actual payments to be ofered at the dealership specifc to partcipatng lenders and delivers highly qualifed car-shopper leads to partcipatng dealers.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3465B0"/>
        </w:rPr>
        <w:t>Sell My Car – Top Dealer Ofers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have two products that allow consumers to sell their cars: (1) Sell My Car – Top Dealer Ofers and (2) Sell My Car – Instant Max Cash Ofer. Top Dealer Ofers allows dealers to make tailored trade-in ofers on CarGurus consumer vehicles, generatng valuable</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trade-in leads for their business. CarGurus dealers have control over their bidding and direct access to consumers actvely looking to sell their vehicles. All leads are delivered directly to the dealer and include detailed consumer contact informaton and other insights to help the dealer close the deal. Instant Max Cash Ofer is part of our Digital Wholesale segment (see “Sell My Car – Instant Max Cash Ofer” below for more details).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Dealer Listngs and Data Insights Products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the trusted source for consumers, our marketplace connects dealers to a large audience of informed and engaged consumers while providing dealers with actonable data based insights. We ofer the following Listngs and Data Insights subscriptons to dealers through tered sets of packages providing: (1) leads and connectons; (2) sponsored placements; (3) branding; and (4) tools and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153035</wp:posOffset>
            </wp:positionV>
            <wp:extent cx="5246370" cy="4560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46370" cy="456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ofer Featured and Featured Priority subscriptons, comparable to Featured+ and Featured Priority+, respectvely, but without access to Digital Deal leads. Listngs and Data Insights subscriptons are priced monthly, quarterly, semiannually, or annually based on a dealer’s inventory size and region and our assessment of the return on investment, or ROI, we expect to deliver through our lead quantty and quality and our innovaton. Dealers may be renewed at higher rates commensurate with growth and updated performance expectatons. In additon, dealers using our free service (Restricted) have access to capped anonymous leads and connectons.</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Dealer Data Dashboard and Merchandising Tools</w:t>
      </w:r>
    </w:p>
    <w:p>
      <w:pPr>
        <w:spacing w:after="0" w:line="252" w:lineRule="exact"/>
        <w:rPr>
          <w:sz w:val="20"/>
          <w:szCs w:val="20"/>
          <w:color w:val="auto"/>
        </w:rPr>
      </w:pPr>
    </w:p>
    <w:p>
      <w:pPr>
        <w:spacing w:after="0" w:line="334" w:lineRule="auto"/>
        <w:rPr>
          <w:sz w:val="20"/>
          <w:szCs w:val="20"/>
          <w:color w:val="auto"/>
        </w:rPr>
      </w:pPr>
      <w:r>
        <w:rPr>
          <w:rFonts w:ascii="MS PGothic" w:cs="MS PGothic" w:eastAsia="MS PGothic" w:hAnsi="MS PGothic"/>
          <w:sz w:val="18"/>
          <w:szCs w:val="18"/>
          <w:color w:val="00002D"/>
        </w:rPr>
        <w:t>Dealers with an applicable Listngs and Data Insights subscripton have access to the following Dealer Dashboard features and merchandising tools that provide dealers with data insights and informaton to facilitate efcient and efectve management, pricing, and advertsing of inventory.</w:t>
      </w:r>
    </w:p>
    <w:p>
      <w:pPr>
        <w:spacing w:after="0" w:line="53" w:lineRule="exact"/>
        <w:rPr>
          <w:sz w:val="20"/>
          <w:szCs w:val="20"/>
          <w:color w:val="auto"/>
        </w:rPr>
      </w:pPr>
    </w:p>
    <w:p>
      <w:pPr>
        <w:ind w:left="1020" w:hanging="503"/>
        <w:spacing w:after="0" w:line="235" w:lineRule="auto"/>
        <w:tabs>
          <w:tab w:leader="none" w:pos="1020" w:val="left"/>
        </w:tabs>
        <w:numPr>
          <w:ilvl w:val="0"/>
          <w:numId w:val="8"/>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Performance Summary</w:t>
      </w:r>
      <w:r>
        <w:rPr>
          <w:rFonts w:ascii="MS PGothic" w:cs="MS PGothic" w:eastAsia="MS PGothic" w:hAnsi="MS PGothic"/>
          <w:sz w:val="18"/>
          <w:szCs w:val="18"/>
          <w:color w:val="00002D"/>
        </w:rPr>
        <w:t>: Real‑tme and historical data enabling dealers to analyze connectons, SRP, and VDP views at a granular level to inform</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a dealer’s sales and merchandising eforts.</w:t>
      </w:r>
    </w:p>
    <w:p>
      <w:pPr>
        <w:spacing w:after="0" w:line="123" w:lineRule="exact"/>
        <w:rPr>
          <w:rFonts w:ascii="Times New Roman" w:cs="Times New Roman" w:eastAsia="Times New Roman" w:hAnsi="Times New Roman"/>
          <w:sz w:val="18"/>
          <w:szCs w:val="18"/>
          <w:color w:val="00002D"/>
        </w:rPr>
      </w:pPr>
    </w:p>
    <w:p>
      <w:pPr>
        <w:jc w:val="both"/>
        <w:ind w:left="1020" w:hanging="503"/>
        <w:spacing w:after="0" w:line="256" w:lineRule="auto"/>
        <w:tabs>
          <w:tab w:leader="none" w:pos="1020" w:val="left"/>
        </w:tabs>
        <w:numPr>
          <w:ilvl w:val="0"/>
          <w:numId w:val="8"/>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Dealer Data Insights</w:t>
      </w:r>
      <w:r>
        <w:rPr>
          <w:rFonts w:ascii="MS PGothic" w:cs="MS PGothic" w:eastAsia="MS PGothic" w:hAnsi="MS PGothic"/>
          <w:sz w:val="18"/>
          <w:szCs w:val="18"/>
          <w:color w:val="00002D"/>
        </w:rPr>
        <w:t>: Pricing analysis of the dealer’s inventory, including beter access to automated data that fts into a dealer’s workfow and</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a summary of a vehicle’s missing informaton such as price, photos, or trim, helping dealers beter merchandise their vehicles and allowing them to react more quickly to the market and turn units.</w:t>
      </w:r>
    </w:p>
    <w:p>
      <w:pPr>
        <w:spacing w:after="0" w:line="99" w:lineRule="exact"/>
        <w:rPr>
          <w:rFonts w:ascii="Times New Roman" w:cs="Times New Roman" w:eastAsia="Times New Roman" w:hAnsi="Times New Roman"/>
          <w:sz w:val="18"/>
          <w:szCs w:val="18"/>
          <w:color w:val="00002D"/>
        </w:rPr>
      </w:pPr>
    </w:p>
    <w:p>
      <w:pPr>
        <w:ind w:left="1540" w:hanging="509"/>
        <w:spacing w:after="0" w:line="235" w:lineRule="auto"/>
        <w:rPr>
          <w:rFonts w:ascii="Times New Roman" w:cs="Times New Roman" w:eastAsia="Times New Roman" w:hAnsi="Times New Roman"/>
          <w:sz w:val="18"/>
          <w:szCs w:val="18"/>
          <w:color w:val="00002D"/>
        </w:rPr>
      </w:pPr>
      <w:r>
        <w:rPr>
          <w:rFonts w:ascii="Times New Roman" w:cs="Times New Roman" w:eastAsia="Times New Roman" w:hAnsi="Times New Roman"/>
          <w:sz w:val="18"/>
          <w:szCs w:val="18"/>
          <w:color w:val="00002D"/>
        </w:rPr>
        <w:t>o</w:t>
      </w:r>
      <w:r>
        <w:rPr>
          <w:rFonts w:ascii="Calibri" w:cs="Calibri" w:eastAsia="Calibri" w:hAnsi="Calibri"/>
          <w:sz w:val="18"/>
          <w:szCs w:val="18"/>
          <w:i w:val="1"/>
          <w:iCs w:val="1"/>
          <w:color w:val="00002D"/>
        </w:rPr>
        <w:t>Acquisiton Insights Report</w:t>
      </w:r>
      <w:r>
        <w:rPr>
          <w:rFonts w:ascii="MS PGothic" w:cs="MS PGothic" w:eastAsia="MS PGothic" w:hAnsi="MS PGothic"/>
          <w:sz w:val="18"/>
          <w:szCs w:val="18"/>
          <w:color w:val="00002D"/>
        </w:rPr>
        <w:t>: Automated email and dashboard tool that uses CarGurus data to help dealers identfy the in-market</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inventory that is turning at their desired rate.</w:t>
      </w:r>
    </w:p>
    <w:p>
      <w:pPr>
        <w:spacing w:after="0" w:line="123" w:lineRule="exact"/>
        <w:rPr>
          <w:rFonts w:ascii="Times New Roman" w:cs="Times New Roman" w:eastAsia="Times New Roman" w:hAnsi="Times New Roman"/>
          <w:sz w:val="18"/>
          <w:szCs w:val="18"/>
          <w:color w:val="00002D"/>
        </w:rPr>
      </w:pPr>
    </w:p>
    <w:p>
      <w:pPr>
        <w:ind w:left="1540" w:hanging="509"/>
        <w:spacing w:after="0" w:line="256" w:lineRule="auto"/>
        <w:rPr>
          <w:rFonts w:ascii="Times New Roman" w:cs="Times New Roman" w:eastAsia="Times New Roman" w:hAnsi="Times New Roman"/>
          <w:sz w:val="18"/>
          <w:szCs w:val="18"/>
          <w:color w:val="00002D"/>
        </w:rPr>
      </w:pPr>
      <w:r>
        <w:rPr>
          <w:rFonts w:ascii="Times New Roman" w:cs="Times New Roman" w:eastAsia="Times New Roman" w:hAnsi="Times New Roman"/>
          <w:sz w:val="18"/>
          <w:szCs w:val="18"/>
          <w:color w:val="00002D"/>
        </w:rPr>
        <w:t>o</w:t>
      </w:r>
      <w:r>
        <w:rPr>
          <w:rFonts w:ascii="Calibri" w:cs="Calibri" w:eastAsia="Calibri" w:hAnsi="Calibri"/>
          <w:sz w:val="18"/>
          <w:szCs w:val="18"/>
          <w:i w:val="1"/>
          <w:iCs w:val="1"/>
          <w:color w:val="00002D"/>
        </w:rPr>
        <w:t>Next Best Deal Ratng</w:t>
      </w:r>
      <w:r>
        <w:rPr>
          <w:rFonts w:ascii="MS PGothic" w:cs="MS PGothic" w:eastAsia="MS PGothic" w:hAnsi="MS PGothic"/>
          <w:sz w:val="18"/>
          <w:szCs w:val="18"/>
          <w:color w:val="00002D"/>
        </w:rPr>
        <w:t>: Insights tool that provides dealers with the blueprint for the smallest price reducton needed to achieve the next</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best deal ratng on that vehicle’s listng. Dealers can specify price reducton thresholds on their specifc inventory and receive an automated weekly report to inform price changes that will optmize dealer volume and margin.</w:t>
      </w:r>
    </w:p>
    <w:p>
      <w:pPr>
        <w:spacing w:after="0" w:line="108" w:lineRule="exact"/>
        <w:rPr>
          <w:rFonts w:ascii="Times New Roman" w:cs="Times New Roman" w:eastAsia="Times New Roman" w:hAnsi="Times New Roman"/>
          <w:sz w:val="18"/>
          <w:szCs w:val="18"/>
          <w:color w:val="00002D"/>
        </w:rPr>
      </w:pPr>
    </w:p>
    <w:p>
      <w:pPr>
        <w:ind w:left="1540" w:hanging="509"/>
        <w:spacing w:after="0" w:line="235" w:lineRule="auto"/>
        <w:rPr>
          <w:rFonts w:ascii="Times New Roman" w:cs="Times New Roman" w:eastAsia="Times New Roman" w:hAnsi="Times New Roman"/>
          <w:sz w:val="18"/>
          <w:szCs w:val="18"/>
          <w:color w:val="00002D"/>
        </w:rPr>
      </w:pPr>
      <w:r>
        <w:rPr>
          <w:rFonts w:ascii="Times New Roman" w:cs="Times New Roman" w:eastAsia="Times New Roman" w:hAnsi="Times New Roman"/>
          <w:sz w:val="18"/>
          <w:szCs w:val="18"/>
          <w:color w:val="00002D"/>
        </w:rPr>
        <w:t>o</w:t>
      </w:r>
      <w:r>
        <w:rPr>
          <w:rFonts w:ascii="Calibri" w:cs="Calibri" w:eastAsia="Calibri" w:hAnsi="Calibri"/>
          <w:sz w:val="18"/>
          <w:szCs w:val="18"/>
          <w:i w:val="1"/>
          <w:iCs w:val="1"/>
          <w:color w:val="00002D"/>
        </w:rPr>
        <w:t>Maximize Margin Report</w:t>
      </w:r>
      <w:r>
        <w:rPr>
          <w:rFonts w:ascii="MS PGothic" w:cs="MS PGothic" w:eastAsia="MS PGothic" w:hAnsi="MS PGothic"/>
          <w:sz w:val="18"/>
          <w:szCs w:val="18"/>
          <w:color w:val="00002D"/>
        </w:rPr>
        <w:t>: Report that shows available price increases on vehicles while retaining deal ratng or dropping one deal ratng</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(minimum Fair Deal).</w:t>
      </w:r>
    </w:p>
    <w:p>
      <w:pPr>
        <w:spacing w:after="0" w:line="123" w:lineRule="exact"/>
        <w:rPr>
          <w:rFonts w:ascii="Times New Roman" w:cs="Times New Roman" w:eastAsia="Times New Roman" w:hAnsi="Times New Roman"/>
          <w:sz w:val="18"/>
          <w:szCs w:val="18"/>
          <w:color w:val="00002D"/>
        </w:rPr>
      </w:pPr>
    </w:p>
    <w:p>
      <w:pPr>
        <w:ind w:left="1020"/>
        <w:spacing w:after="0"/>
        <w:rPr>
          <w:rFonts w:ascii="Times New Roman" w:cs="Times New Roman" w:eastAsia="Times New Roman" w:hAnsi="Times New Roman"/>
          <w:sz w:val="18"/>
          <w:szCs w:val="18"/>
          <w:color w:val="00002D"/>
        </w:rPr>
      </w:pPr>
      <w:r>
        <w:rPr>
          <w:rFonts w:ascii="Times New Roman" w:cs="Times New Roman" w:eastAsia="Times New Roman" w:hAnsi="Times New Roman"/>
          <w:sz w:val="18"/>
          <w:szCs w:val="18"/>
          <w:color w:val="00002D"/>
        </w:rPr>
        <w:t>o</w:t>
      </w:r>
      <w:r>
        <w:rPr>
          <w:rFonts w:ascii="Calibri" w:cs="Calibri" w:eastAsia="Calibri" w:hAnsi="Calibri"/>
          <w:sz w:val="17"/>
          <w:szCs w:val="17"/>
          <w:i w:val="1"/>
          <w:iCs w:val="1"/>
          <w:color w:val="00002D"/>
        </w:rPr>
        <w:t>Merchandising Health Report</w:t>
      </w:r>
      <w:r>
        <w:rPr>
          <w:rFonts w:ascii="MS PGothic" w:cs="MS PGothic" w:eastAsia="MS PGothic" w:hAnsi="MS PGothic"/>
          <w:sz w:val="17"/>
          <w:szCs w:val="17"/>
          <w:color w:val="00002D"/>
        </w:rPr>
        <w:t>: Sends alerts when a dealer is missing vehicle photos and details that can improve a listng’s performance.</w:t>
      </w:r>
    </w:p>
    <w:p>
      <w:pPr>
        <w:spacing w:after="0" w:line="139" w:lineRule="exact"/>
        <w:rPr>
          <w:rFonts w:ascii="Times New Roman" w:cs="Times New Roman" w:eastAsia="Times New Roman" w:hAnsi="Times New Roman"/>
          <w:sz w:val="18"/>
          <w:szCs w:val="18"/>
          <w:color w:val="00002D"/>
        </w:rPr>
      </w:pPr>
    </w:p>
    <w:p>
      <w:pPr>
        <w:ind w:left="1020" w:hanging="503"/>
        <w:spacing w:after="0" w:line="258" w:lineRule="auto"/>
        <w:tabs>
          <w:tab w:leader="none" w:pos="1020" w:val="left"/>
        </w:tabs>
        <w:numPr>
          <w:ilvl w:val="0"/>
          <w:numId w:val="8"/>
        </w:numPr>
        <w:rPr>
          <w:rFonts w:ascii="Times New Roman" w:cs="Times New Roman" w:eastAsia="Times New Roman" w:hAnsi="Times New Roman"/>
          <w:sz w:val="17"/>
          <w:szCs w:val="17"/>
          <w:color w:val="00002D"/>
        </w:rPr>
      </w:pPr>
      <w:r>
        <w:rPr>
          <w:rFonts w:ascii="Calibri" w:cs="Calibri" w:eastAsia="Calibri" w:hAnsi="Calibri"/>
          <w:sz w:val="17"/>
          <w:szCs w:val="17"/>
          <w:i w:val="1"/>
          <w:iCs w:val="1"/>
          <w:color w:val="00002D"/>
        </w:rPr>
        <w:t>User Review Management</w:t>
      </w:r>
      <w:r>
        <w:rPr>
          <w:rFonts w:ascii="MS PGothic" w:cs="MS PGothic" w:eastAsia="MS PGothic" w:hAnsi="MS PGothic"/>
          <w:sz w:val="17"/>
          <w:szCs w:val="17"/>
          <w:color w:val="00002D"/>
        </w:rPr>
        <w:t>: Ability for dealers to track and manage – but not edit or manipulate – reviews about them from our users, including</w:t>
      </w:r>
      <w:r>
        <w:rPr>
          <w:rFonts w:ascii="Calibri" w:cs="Calibri" w:eastAsia="Calibri" w:hAnsi="Calibri"/>
          <w:sz w:val="17"/>
          <w:szCs w:val="17"/>
          <w:i w:val="1"/>
          <w:iCs w:val="1"/>
          <w:color w:val="00002D"/>
        </w:rPr>
        <w:t xml:space="preserve"> </w:t>
      </w:r>
      <w:r>
        <w:rPr>
          <w:rFonts w:ascii="MS PGothic" w:cs="MS PGothic" w:eastAsia="MS PGothic" w:hAnsi="MS PGothic"/>
          <w:sz w:val="17"/>
          <w:szCs w:val="17"/>
          <w:color w:val="00002D"/>
        </w:rPr>
        <w:t>responding to users, reportng potentally fraudulent reviews, and publishing positve reviews to social media platorms for broader exposure.</w:t>
      </w:r>
    </w:p>
    <w:p>
      <w:pPr>
        <w:spacing w:after="0" w:line="202" w:lineRule="exact"/>
        <w:rPr>
          <w:sz w:val="20"/>
          <w:szCs w:val="20"/>
          <w:color w:val="auto"/>
        </w:rPr>
      </w:pPr>
    </w:p>
    <w:p>
      <w:pPr>
        <w:spacing w:after="0"/>
        <w:rPr>
          <w:sz w:val="20"/>
          <w:szCs w:val="20"/>
          <w:color w:val="auto"/>
        </w:rPr>
      </w:pPr>
      <w:r>
        <w:rPr>
          <w:rFonts w:ascii="MS PGothic" w:cs="MS PGothic" w:eastAsia="MS PGothic" w:hAnsi="MS PGothic"/>
          <w:sz w:val="17"/>
          <w:szCs w:val="17"/>
          <w:color w:val="00002D"/>
        </w:rPr>
        <w:t>Dealers with an applicable Listngs and Data Insights subscripton also have access to the following additonal Dealer Data Dashboard features and tools:</w:t>
      </w:r>
    </w:p>
    <w:p>
      <w:pPr>
        <w:spacing w:after="0" w:line="168" w:lineRule="exact"/>
        <w:rPr>
          <w:sz w:val="20"/>
          <w:szCs w:val="20"/>
          <w:color w:val="auto"/>
        </w:rPr>
      </w:pPr>
    </w:p>
    <w:p>
      <w:pPr>
        <w:ind w:left="1020" w:hanging="503"/>
        <w:spacing w:after="0" w:line="235" w:lineRule="auto"/>
        <w:tabs>
          <w:tab w:leader="none" w:pos="1020" w:val="left"/>
        </w:tabs>
        <w:numPr>
          <w:ilvl w:val="0"/>
          <w:numId w:val="9"/>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Pricing Tool</w:t>
      </w:r>
      <w:r>
        <w:rPr>
          <w:rFonts w:ascii="MS PGothic" w:cs="MS PGothic" w:eastAsia="MS PGothic" w:hAnsi="MS PGothic"/>
          <w:sz w:val="18"/>
          <w:szCs w:val="18"/>
          <w:color w:val="00002D"/>
        </w:rPr>
        <w:t>: Enables dealers to assess how pricing changes impact each vehicle’s Deal Ratng, helping them make informed decisions using</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local market data.</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9"/>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Market Analysis</w:t>
      </w:r>
      <w:r>
        <w:rPr>
          <w:rFonts w:ascii="MS PGothic" w:cs="MS PGothic" w:eastAsia="MS PGothic" w:hAnsi="MS PGothic"/>
          <w:sz w:val="18"/>
          <w:szCs w:val="18"/>
          <w:color w:val="00002D"/>
        </w:rPr>
        <w:t>: Highlights local trends, such as the most searched makes and models, to help dealers align inventory strategies with</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consumer preferences.</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9"/>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LeadAI</w:t>
      </w:r>
      <w:r>
        <w:rPr>
          <w:rFonts w:ascii="MS PGothic" w:cs="MS PGothic" w:eastAsia="MS PGothic" w:hAnsi="MS PGothic"/>
          <w:sz w:val="18"/>
          <w:szCs w:val="18"/>
          <w:color w:val="00002D"/>
        </w:rPr>
        <w:t>: Identfes high-intent leads by scoring and labeling them as “Hot” or “Warm” based on user behavior for Enhanced, Featured, and</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Featured Priority Listngs and Data Insights subscribers.</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9"/>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IMV Scan</w:t>
      </w:r>
      <w:r>
        <w:rPr>
          <w:rFonts w:ascii="MS PGothic" w:cs="MS PGothic" w:eastAsia="MS PGothic" w:hAnsi="MS PGothic"/>
          <w:sz w:val="18"/>
          <w:szCs w:val="18"/>
          <w:color w:val="00002D"/>
        </w:rPr>
        <w:t>: Allows dealers to scan a vehicle identfcaton number using their smartphone to access IMV data, aiding wholesale pricing decisions.</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IMV scan is built into the CarGurus app for Enhanced, Featured, or Featured Priority Listngs subscribers in the U.S.</w:t>
      </w:r>
    </w:p>
    <w:p>
      <w:pPr>
        <w:spacing w:after="0" w:line="118"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Dealer Mobile App</w:t>
      </w:r>
      <w:r>
        <w:rPr>
          <w:rFonts w:ascii="MS PGothic" w:cs="MS PGothic" w:eastAsia="MS PGothic" w:hAnsi="MS PGothic"/>
          <w:sz w:val="18"/>
          <w:szCs w:val="18"/>
          <w:color w:val="00002D"/>
        </w:rPr>
        <w:t>: Provides mobile access to Dealer Dashboard features, including leads, tools, and customizable notfcatons.</w:t>
      </w:r>
    </w:p>
    <w:p>
      <w:pPr>
        <w:spacing w:after="0" w:line="217"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Dealer Listngs and Data Insights Subscripton Add-Ons</w:t>
      </w:r>
    </w:p>
    <w:p>
      <w:pPr>
        <w:spacing w:after="0" w:line="252"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In additon to Listngs and Data Insights subscriptons, dealers can purchase value add-on products à la carte to further the exposure of their vehicles.</w:t>
      </w:r>
    </w:p>
    <w:p>
      <w:pPr>
        <w:spacing w:after="0" w:line="15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7"/>
          <w:szCs w:val="17"/>
          <w:color w:val="00002D"/>
        </w:rPr>
      </w:pPr>
      <w:r>
        <w:rPr>
          <w:rFonts w:ascii="Calibri" w:cs="Calibri" w:eastAsia="Calibri" w:hAnsi="Calibri"/>
          <w:sz w:val="17"/>
          <w:szCs w:val="17"/>
          <w:i w:val="1"/>
          <w:iCs w:val="1"/>
          <w:color w:val="00002D"/>
        </w:rPr>
        <w:t>Highlight</w:t>
      </w:r>
      <w:r>
        <w:rPr>
          <w:rFonts w:ascii="MS PGothic" w:cs="MS PGothic" w:eastAsia="MS PGothic" w:hAnsi="MS PGothic"/>
          <w:sz w:val="17"/>
          <w:szCs w:val="17"/>
          <w:color w:val="00002D"/>
        </w:rPr>
        <w:t>: Allows dealers to showcase inventory in additonal featured slots that are not currently available to dealers in existng products.</w:t>
      </w:r>
    </w:p>
    <w:p>
      <w:pPr>
        <w:spacing w:after="0" w:line="129" w:lineRule="exact"/>
        <w:rPr>
          <w:rFonts w:ascii="Times New Roman" w:cs="Times New Roman" w:eastAsia="Times New Roman" w:hAnsi="Times New Roman"/>
          <w:sz w:val="17"/>
          <w:szCs w:val="17"/>
          <w:color w:val="00002D"/>
        </w:rPr>
      </w:pPr>
    </w:p>
    <w:p>
      <w:pPr>
        <w:jc w:val="both"/>
        <w:ind w:left="1020" w:hanging="503"/>
        <w:spacing w:after="0" w:line="264" w:lineRule="auto"/>
        <w:tabs>
          <w:tab w:leader="none" w:pos="1020" w:val="left"/>
        </w:tabs>
        <w:numPr>
          <w:ilvl w:val="0"/>
          <w:numId w:val="10"/>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 xml:space="preserve">Real Time Performance Marketng, </w:t>
      </w:r>
      <w:r>
        <w:rPr>
          <w:rFonts w:ascii="MS PGothic" w:cs="MS PGothic" w:eastAsia="MS PGothic" w:hAnsi="MS PGothic"/>
          <w:sz w:val="18"/>
          <w:szCs w:val="18"/>
          <w:color w:val="00002D"/>
        </w:rPr>
        <w:t>or</w:t>
      </w:r>
      <w:r>
        <w:rPr>
          <w:rFonts w:ascii="Calibri" w:cs="Calibri" w:eastAsia="Calibri" w:hAnsi="Calibri"/>
          <w:sz w:val="18"/>
          <w:szCs w:val="18"/>
          <w:i w:val="1"/>
          <w:iCs w:val="1"/>
          <w:color w:val="00002D"/>
        </w:rPr>
        <w:t xml:space="preserve"> RPM</w:t>
      </w:r>
      <w:r>
        <w:rPr>
          <w:rFonts w:ascii="MS PGothic" w:cs="MS PGothic" w:eastAsia="MS PGothic" w:hAnsi="MS PGothic"/>
          <w:sz w:val="18"/>
          <w:szCs w:val="18"/>
          <w:color w:val="00002D"/>
        </w:rPr>
        <w:t>: Allows dealers to leverage the engaged CarGurus audience to reach high-intent car buyers on</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other websites and social media platorms across the internet. These targeted placements on third party sites help dealers build their brand presence and drive additonal trafc directly to the dealers website. Advertsements can be targeted by the user’s geography, search history, CarGurus website actvity, and a number of other</w:t>
      </w:r>
    </w:p>
    <w:p>
      <w:pPr>
        <w:spacing w:after="0" w:line="201"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20" w:right="20"/>
        <w:spacing w:after="0" w:line="235" w:lineRule="auto"/>
        <w:rPr>
          <w:sz w:val="20"/>
          <w:szCs w:val="20"/>
          <w:color w:val="auto"/>
        </w:rPr>
      </w:pPr>
      <w:r>
        <w:rPr>
          <w:rFonts w:ascii="Calibri" w:cs="Calibri" w:eastAsia="Calibri" w:hAnsi="Calibri"/>
          <w:sz w:val="18"/>
          <w:szCs w:val="18"/>
          <w:color w:val="00002D"/>
        </w:rPr>
        <w:t>factors. RPM is sold as a subscripton and priced as a percentage of Listngs and Data Insights while accountng for factors such as dealership characteristcs and performance expectatons.</w:t>
      </w:r>
    </w:p>
    <w:p>
      <w:pPr>
        <w:spacing w:after="0" w:line="123" w:lineRule="exact"/>
        <w:rPr>
          <w:sz w:val="20"/>
          <w:szCs w:val="20"/>
          <w:color w:val="auto"/>
        </w:rPr>
      </w:pPr>
    </w:p>
    <w:p>
      <w:pPr>
        <w:jc w:val="both"/>
        <w:ind w:left="1020" w:hanging="503"/>
        <w:spacing w:after="0" w:line="235" w:lineRule="auto"/>
        <w:tabs>
          <w:tab w:leader="none" w:pos="1020" w:val="left"/>
        </w:tabs>
        <w:numPr>
          <w:ilvl w:val="0"/>
          <w:numId w:val="11"/>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Digital Deal with Geo Expansion</w:t>
      </w:r>
      <w:r>
        <w:rPr>
          <w:rFonts w:ascii="Calibri" w:cs="Calibri" w:eastAsia="Calibri" w:hAnsi="Calibri"/>
          <w:sz w:val="18"/>
          <w:szCs w:val="18"/>
          <w:color w:val="00002D"/>
        </w:rPr>
        <w:t>: Allows dealerships to expand their VDP geographic footprint to non-local customers via dealer home delivery</w:t>
      </w:r>
      <w:r>
        <w:rPr>
          <w:rFonts w:ascii="Calibri" w:cs="Calibri" w:eastAsia="Calibri" w:hAnsi="Calibri"/>
          <w:sz w:val="18"/>
          <w:szCs w:val="18"/>
          <w:i w:val="1"/>
          <w:iCs w:val="1"/>
          <w:color w:val="00002D"/>
        </w:rPr>
        <w:t xml:space="preserve"> </w:t>
      </w:r>
      <w:r>
        <w:rPr>
          <w:rFonts w:ascii="Calibri" w:cs="Calibri" w:eastAsia="Calibri" w:hAnsi="Calibri"/>
          <w:sz w:val="18"/>
          <w:szCs w:val="18"/>
          <w:color w:val="00002D"/>
        </w:rPr>
        <w:t>services. Revenue is generated through fees charged to the dealership to enable listngs beyond the default geographical radius. This program provides additonal vehicle optons to car shoppers open to home delivery services while promotng partcipatng dealers’ delivery capabilites and increasing non-local VDP views.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Auto Manufacturer and Other Advertser Products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Our platorm enables auto manufacturers and others to purchase targeted advertsing on our sites and third-party platorms, including social media:</w:t>
      </w:r>
    </w:p>
    <w:p>
      <w:pPr>
        <w:spacing w:after="0" w:line="123" w:lineRule="exact"/>
        <w:rPr>
          <w:sz w:val="20"/>
          <w:szCs w:val="20"/>
          <w:color w:val="auto"/>
        </w:rPr>
      </w:pPr>
    </w:p>
    <w:p>
      <w:pPr>
        <w:ind w:left="1020" w:right="20" w:hanging="503"/>
        <w:spacing w:after="0" w:line="235" w:lineRule="auto"/>
        <w:tabs>
          <w:tab w:leader="none" w:pos="1020" w:val="left"/>
        </w:tabs>
        <w:numPr>
          <w:ilvl w:val="0"/>
          <w:numId w:val="12"/>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Brand Reinforcement</w:t>
      </w:r>
      <w:r>
        <w:rPr>
          <w:rFonts w:ascii="Calibri" w:cs="Calibri" w:eastAsia="Calibri" w:hAnsi="Calibri"/>
          <w:sz w:val="18"/>
          <w:szCs w:val="18"/>
          <w:color w:val="00002D"/>
        </w:rPr>
        <w:t>: Manufacturers can advertse to consumers based on the make, model, and locaton of vehicles they are searching for,</w:t>
      </w:r>
      <w:r>
        <w:rPr>
          <w:rFonts w:ascii="Calibri" w:cs="Calibri" w:eastAsia="Calibri" w:hAnsi="Calibri"/>
          <w:sz w:val="18"/>
          <w:szCs w:val="18"/>
          <w:i w:val="1"/>
          <w:iCs w:val="1"/>
          <w:color w:val="00002D"/>
        </w:rPr>
        <w:t xml:space="preserve"> </w:t>
      </w:r>
      <w:r>
        <w:rPr>
          <w:rFonts w:ascii="Calibri" w:cs="Calibri" w:eastAsia="Calibri" w:hAnsi="Calibri"/>
          <w:sz w:val="18"/>
          <w:szCs w:val="18"/>
          <w:color w:val="00002D"/>
        </w:rPr>
        <w:t>increasing exposure to interested buyers.</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12"/>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Category Sponsorship</w:t>
      </w:r>
      <w:r>
        <w:rPr>
          <w:rFonts w:ascii="Calibri" w:cs="Calibri" w:eastAsia="Calibri" w:hAnsi="Calibri"/>
          <w:sz w:val="18"/>
          <w:szCs w:val="18"/>
          <w:color w:val="00002D"/>
        </w:rPr>
        <w:t>: Sponsors can secure exclusive spots on high-trafc pages, such as the New Car front page, Used Car front page, or</w:t>
      </w:r>
      <w:r>
        <w:rPr>
          <w:rFonts w:ascii="Calibri" w:cs="Calibri" w:eastAsia="Calibri" w:hAnsi="Calibri"/>
          <w:sz w:val="18"/>
          <w:szCs w:val="18"/>
          <w:i w:val="1"/>
          <w:iCs w:val="1"/>
          <w:color w:val="00002D"/>
        </w:rPr>
        <w:t xml:space="preserve"> </w:t>
      </w:r>
      <w:r>
        <w:rPr>
          <w:rFonts w:ascii="Calibri" w:cs="Calibri" w:eastAsia="Calibri" w:hAnsi="Calibri"/>
          <w:sz w:val="18"/>
          <w:szCs w:val="18"/>
          <w:color w:val="00002D"/>
        </w:rPr>
        <w:t>Research Center.</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12"/>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Automobile Segment Exclusivity</w:t>
      </w:r>
      <w:r>
        <w:rPr>
          <w:rFonts w:ascii="Calibri" w:cs="Calibri" w:eastAsia="Calibri" w:hAnsi="Calibri"/>
          <w:sz w:val="18"/>
          <w:szCs w:val="18"/>
          <w:color w:val="00002D"/>
        </w:rPr>
        <w:t>: Manufacturers can target specifc segments (e.g., SUV, sedan, hybrid, luxury) to support new or existng</w:t>
      </w:r>
      <w:r>
        <w:rPr>
          <w:rFonts w:ascii="Calibri" w:cs="Calibri" w:eastAsia="Calibri" w:hAnsi="Calibri"/>
          <w:sz w:val="18"/>
          <w:szCs w:val="18"/>
          <w:i w:val="1"/>
          <w:iCs w:val="1"/>
          <w:color w:val="00002D"/>
        </w:rPr>
        <w:t xml:space="preserve"> </w:t>
      </w:r>
      <w:r>
        <w:rPr>
          <w:rFonts w:ascii="Calibri" w:cs="Calibri" w:eastAsia="Calibri" w:hAnsi="Calibri"/>
          <w:sz w:val="18"/>
          <w:szCs w:val="18"/>
          <w:color w:val="00002D"/>
        </w:rPr>
        <w:t>model launches.</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12"/>
        </w:numPr>
        <w:rPr>
          <w:rFonts w:ascii="Times New Roman" w:cs="Times New Roman" w:eastAsia="Times New Roman" w:hAnsi="Times New Roman"/>
          <w:sz w:val="18"/>
          <w:szCs w:val="18"/>
          <w:color w:val="00002D"/>
        </w:rPr>
      </w:pPr>
      <w:r>
        <w:rPr>
          <w:rFonts w:ascii="Calibri" w:cs="Calibri" w:eastAsia="Calibri" w:hAnsi="Calibri"/>
          <w:sz w:val="18"/>
          <w:szCs w:val="18"/>
          <w:i w:val="1"/>
          <w:iCs w:val="1"/>
          <w:color w:val="00002D"/>
        </w:rPr>
        <w:t>Consumer Segment Exposure</w:t>
      </w:r>
      <w:r>
        <w:rPr>
          <w:rFonts w:ascii="Calibri" w:cs="Calibri" w:eastAsia="Calibri" w:hAnsi="Calibri"/>
          <w:sz w:val="18"/>
          <w:szCs w:val="18"/>
          <w:color w:val="00002D"/>
        </w:rPr>
        <w:t>: Targeted advertsing based on parameters like budget, vehicle preferences, and locaton can reach relevant</w:t>
      </w:r>
      <w:r>
        <w:rPr>
          <w:rFonts w:ascii="Calibri" w:cs="Calibri" w:eastAsia="Calibri" w:hAnsi="Calibri"/>
          <w:sz w:val="18"/>
          <w:szCs w:val="18"/>
          <w:i w:val="1"/>
          <w:iCs w:val="1"/>
          <w:color w:val="00002D"/>
        </w:rPr>
        <w:t xml:space="preserve"> </w:t>
      </w:r>
      <w:r>
        <w:rPr>
          <w:rFonts w:ascii="Calibri" w:cs="Calibri" w:eastAsia="Calibri" w:hAnsi="Calibri"/>
          <w:sz w:val="18"/>
          <w:szCs w:val="18"/>
          <w:color w:val="00002D"/>
        </w:rPr>
        <w:t>audiences on CarGurus and third-party websites.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Internatonal</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also connect high-intent consumers with automotve dealers operatng a leading automotve marketplace in Canada and the U.K., ofering a transparent shopping experience similar to our U.S. marketplace. In the U.K., we provide one of the largest inventories of used vehicles and expert reviews, complemented by privately listed vehicles and expert review content on our PistonHeads website, as discussed below.</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Autolist</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Autolist provides consumers an online automotve marketplace through mobile applicatons and a website. The platorm includes inventory from top automotve dealers across the U.S. and gives consumers quick access to manage their search on the go with real-tme alerts of newly available inventory and changes that occur on vehicles and saved searches they have confgured. An independent editorial staf produces content to keep consumers informed on the latest vehicles and trends in the automotve market.</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PistonHeads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PistonHeads is a U.K. automotve marketplace, aucton platorm, and editorial site geared towards automotve enthusiasts. The platorm allows consumers to search across a broad range of dealer and private seller listngs and stay informed about automotve news through editorial artcles and expert reviews. Paying U.K. dealers who list on the CarGurus platorm automatcally have their inventory added to the PistonHeads site for greater consumer reach. PistonHeads also runs PistonHeads Auctons, a platorm that allows individuals and dealers to list their vehicles for aucton and buyers to either bid at aucton, make an ofer before the aucton starts, or commit to buy a vehicle at a set price before the aucton starts.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Digital Wholesale</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Dealer-to-Dealer</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CarOfer platorm delivers market insights directly into wholesale buying and selling decisions, empowering dealers to identfy the most proftable opportunites and execute transactons within a data-driven wholesale platorm. The CarOfer Matrix streamlines this process by allowing dealers to set standing buy orders and make instant ofers, eliminatng the need for manual bidding as well as by providing selling dealers with real-tme market pricing and interest informaton for their vehicles. To ensure that dealers feel confdent that their purchase will meet their expectatons, we ofer detailed mechanical inspectons on the vehicles they purchase.</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Sell My Car – Instant Max Cash Ofer</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Sell My Car – Instant Max Cash Ofer allows consumers to sell vehicles to dealers entrely online, providing dealers with a fresh source of trade-in inventory and helping to ensure liquidity amongst CarOfer’s platorm. Consumers answer a few questons to receive instant compettve ofers and, afer receiving an ofer, can customize the process with virtual pre-inspectons and vehicle pickup arrangements. CarOfer processes transactons directly and collects dealer fees.</w:t>
      </w:r>
    </w:p>
    <w:p>
      <w:pPr>
        <w:spacing w:after="0" w:line="20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Mobile Applicatons</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Consumer Mobile Applicaton</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CarGurus’ consumer mobile applicaton ofers a seamless experience for buying and selling cars with features such as search and browse tools with detailed flters, price analysis to evaluate deals, dealer reviews for informed decisions, and fnancing optons with payment calculators. Consumers can save searches, set alerts for new listngs, and get an ofer to sell their car through Top Dealer Ofers. The app supports personalized accounts, push notfcatons for updates, and secure authentcaton for smooth access.</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Dealer Mobile Applicaton</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CarGurus’ dealer mobile applicaton enables dealership operatons with a suite of tools designed for efciency and efectveness. Key features include an IMV scan for quick vehicle identfcaton number scanning or manual input, inventory management for adding, updatng, or removing vehicles, and lead management for tracking and responding to inquiries. The app provides pricing tools to set compettve prices, dealer insights for performance and market analysis, and push notfcatons for tmely updates. It supports localizaton with mult-language and country-specifc setngs, leverages natve device features like the camera, and ofers customizable app setngs.</w:t>
      </w:r>
    </w:p>
    <w:p>
      <w:pPr>
        <w:spacing w:after="0" w:line="20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Technology and Product Development</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are a technology and data company focused on utlizing our background as a trusted marketplace for consumers and dealers to provide our customers with innovatve and actonable data analysis. We have built an extensive repository of data on cars, prices, dealers, and the interactons between consumers and dealers that is the result of many years of data aggregaton and regression modeling. We design our mobile and web products to create a transparent experience for both consumers and dealers. We believe in rapid development, release frequent updates, and have internal tools and automaton that allow us to efciently evolve our products. Our sofware is built using a combinaton of internally developed sofware, third-party sofware and services, and open-source sofware.</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Infrastructure</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development servers and U.S. and Canadian websites are hosted through third-party cloud services in the U.S. and at third-party data centers in the U.S. near Dallas, Texas. Our European websites are hosted on third-party cloud computng services near each of London, England; Dublin, Ireland; and Frankfurt, Germany. We use third-party content distributon networks to cache and serve many portons of our sites at locatons across the globe. We monitor and test at the applicaton, host, network, and full-site levels to maintain availability and promote performance. We use third-party cloud computng services for many data processing jobs and backup/recovery services.</w:t>
      </w:r>
    </w:p>
    <w:p>
      <w:pPr>
        <w:spacing w:after="0" w:line="20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Marketng and Brand</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Consumer Marketng</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Through our consumer marketng program we engage consumers at all points of the consumers’ journey to communicate our brand values and value propositons as well as to drive consumer leads and transactons for our dealers and partners. We advertse through online and ofine channels including linear, cable, and connected television, video, social media, display, search, content marketng, partnerships, sponsorships, infuencers, and afliate relatonships. We contnually test into emerging and new channels with the goal of optmizing our customer acquisiton cost and driving awareness of our brand. We use our owned channels, including email, text</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messages, and on-site and in-app messaging, to deepen our relatonships with existng customers. Leveraging our proprietary data and content, we also engage in press outreach to deliver our messages through organic media and artcles. We largely drive our consumer marketng eforts internally, but engage agency partners when appropriate. Outside of the U.S., we tailor marketng eforts to local markets.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Dealer Marketng</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dealer marketng team is primarily focused on building marketng assets that best educate dealer customers and prospects about our products. We execute dealer campaigns through a number of channels including email, direct mail, and social media with the aim to both drive leads to our sales teams and to increase product adopton and usage with new and existng customers. In additon, we host events to deepen our understanding of dealer needs and relatonships and provide content and thought leadership to support dealer success.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00002D"/>
        </w:rPr>
        <w:t>Our marketng team consistently uses research to support ongoing improvement and development of our customer experience.</w:t>
      </w:r>
    </w:p>
    <w:p>
      <w:pPr>
        <w:spacing w:after="0" w:line="198"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Sales</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sales team is responsible for driving dealer acquisiton, subscripton conversions, and product adopton across franchise and independent dealerships. Both inside and feld sales teams support strategic dealership groups in major markets in the U.S., Canada, and the U.K., with additonal advertsing sales staf based in the U.S., Canada, and the U.K.</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Account Managers work with paying dealers to enhance satsfacton and retenton through tailored support, including product usage guidance, inventory merchandising, ROI tracking, and proft growth strategies. Actve communicaton with dealers strengthens relatonships and fosters success on our platorm.</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CarOfer’s sales and service team focuses on supportng dealer satsfacton and retenton, facilitatng transactons, and onboarding new dealers to its platorm.</w:t>
      </w:r>
    </w:p>
    <w:p>
      <w:pPr>
        <w:spacing w:after="0" w:line="199"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Competton</w:t>
      </w:r>
    </w:p>
    <w:p>
      <w:pPr>
        <w:spacing w:after="0" w:line="23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00002D"/>
        </w:rPr>
        <w:t>We face competton to atract consumers and paying dealers to our marketplaces and services and to atract advertsers to purchase our advertsing products and services. Our compettors ofer various marketplaces, products, and services that compete with us. Some of these compettors include:</w:t>
      </w:r>
    </w:p>
    <w:p>
      <w:pPr>
        <w:spacing w:after="0" w:line="11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major U.S. online automotve marketplaces, such as AutoTrader.com, Carfax.com, Cars.com, and TrueCar.com;</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other U.S. automotve websites, such as Edmunds.com and KBB.com;</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online automotve marketplaces and websites in our internatonal markets;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online dealerships, such as Carvana.com;</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sites operated by individual automobile dealers;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internet search engines, including aggregaton sites and AI-generated search engines;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social media marketplaces;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peer-to-peer marketplaces, such as Craigslist.com;</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vehicle aucton companies, including digital wholesale platorms, such as ACV Auctons, OPENLANE, and E INC; and</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e-commerce sites, such as the partnership between Amazon.com, Inc., or Amazon, and Hyundai to sell cars on Amazon.com.</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Competton for Consumers and Dealers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compete for consumer visits with other online automotve marketplaces, free listng services, general search engines, online dealerships, and dealers’ websites. We compete for consumers primarily on the basis of the quality of the consumer experience and the breadth of oferings that we are able to provide. We believe we compare favorably on user experience due to the number of our vehicle listngs, the transparency of the informaton we provide on cars, prices, and dealers, the intuitve nature of our user interface, and our mobile user experience, among other factors.</w:t>
      </w:r>
    </w:p>
    <w:p>
      <w:pPr>
        <w:spacing w:after="0" w:line="21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00002D"/>
        </w:rPr>
        <w:t>We compete for dealers’ marketng spend with ofine customer acquisiton channels, other online automotve marketplaces, dealers’ own customer acquisiton eforts on search engines, social media marketplaces, and other internet sites, online dealerships, and vehicle aucton companies that atract consumers and dealers searching for vehicles, as applicable. We compete primarily on the basis of the ROI that our marketplace ofers and the synergies provided by the combinaton of our foundatonal Listngs business with digital wholesale and digital retail oferings complemented by the leveraging our marketplace standing into insightul data analysis. We believe we compare favorably due to our large user audience, high user engagement, the volume and quality of connectons we provide to well-informed consumers, and the high impact data insights we provide, which results in an atractve ROI for dealers.</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Competton for Advertsers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compete for a share of advertsers’ total marketng budgets against media sites, websites dedicated to helping consumers shop for cars, major internet portals, search engines, and social media sites, among others. We also compete for a share of advertsers’ overall marketng budgets with traditonal media, such as television, radio, magazines, newspapers, automotve publicatons, billboards, and other ofine advertsing channels. We compete for advertsing spend based on the marketng ROI that our marketplace provides. We believe we compare favorably due to our large user audience, high user engagement, and the efectveness and relevance of our advertsing products.</w:t>
      </w:r>
    </w:p>
    <w:p>
      <w:pPr>
        <w:spacing w:after="0" w:line="20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Seasonality</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Across the retail automotve industry, consumer purchasing actvity is typically greatest in the frst three quarters of each year, due in part to the introducton of new vehicle models from manufacturers and the seasonal nature of consumer spending.</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Additonally, the volume of wholesale vehicle sales can fuctuate from quarter to quarter driven by several factors, including the tming of used vehicles available for sale from selling customers, the seasonality of the retail market for used vehicles, and/or inventory challenges in the automotve industry, which afect the demand side of the wholesale industry. Macroeconomic conditons, such as slower growth or recession, higher interest rates, unemployment, infaton, consumer confdence in the economy, consumer debt levels, labor disruptons, work stoppages, or strikes, geopolitcal conficts, foreign currency exchange rate fuctuatons, and other maters that infuence consumer spending and preferences, can also impact the volume of wholesale vehicle sales, as was evidenced by the global semiconductor chip shortage and other supply-related shortages.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Digital Wholesale segment operatng results have refected the general seasonality of the wholesale vehicle sales market and macroeconomic conditons of the automotve industry. The U.S. Marketplace segment operatng results have refected the macroeconomic conditons of the automotve industry. However, to date, the U.S. Marketplace segment operatng results have not been materially impacted by the general seasonality of the automotve industry. This could possibly change as our business and markets mature.</w:t>
      </w:r>
    </w:p>
    <w:p>
      <w:pPr>
        <w:spacing w:after="0" w:line="20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People and Talent</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investment in our greatest asset – our people – is integral to our core values, evidenced by our inclusion of employee development as components of our 2024 strategic and organizatonal initatves. Our Board of Directors oversees our people and talent eforts and views building our culture – from employee development and retenton to diversity, equity, inclusion, and belonging initatves – as key to driving long-term value for our business and helping mitgate risks. As of December 31, 2024, we had 1,282 full-tme employees, 72 of whom were based outside the U.S. None of our employees are represented by a labor union or covered by a collectve bargaining agreement.</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Culture, Values, and Standards</w:t>
      </w: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73"/>
        </w:trPr>
        <w:tc>
          <w:tcPr>
            <w:tcW w:w="2400" w:type="dxa"/>
            <w:vAlign w:val="bottom"/>
            <w:shd w:val="clear" w:color="auto" w:fill="E4F5FE"/>
          </w:tcPr>
          <w:p>
            <w:pPr>
              <w:spacing w:after="0"/>
              <w:rPr>
                <w:sz w:val="23"/>
                <w:szCs w:val="23"/>
                <w:color w:val="auto"/>
              </w:rPr>
            </w:pPr>
          </w:p>
        </w:tc>
        <w:tc>
          <w:tcPr>
            <w:tcW w:w="4460" w:type="dxa"/>
            <w:vAlign w:val="bottom"/>
            <w:shd w:val="clear" w:color="auto" w:fill="E4F5FE"/>
          </w:tcPr>
          <w:p>
            <w:pPr>
              <w:ind w:left="2460"/>
              <w:spacing w:after="0"/>
              <w:rPr>
                <w:sz w:val="20"/>
                <w:szCs w:val="20"/>
                <w:color w:val="auto"/>
              </w:rPr>
            </w:pPr>
            <w:r>
              <w:rPr>
                <w:rFonts w:ascii="Calibri" w:cs="Calibri" w:eastAsia="Calibri" w:hAnsi="Calibri"/>
                <w:sz w:val="18"/>
                <w:szCs w:val="18"/>
                <w:b w:val="1"/>
                <w:bCs w:val="1"/>
                <w:color w:val="3465B0"/>
              </w:rPr>
              <w:t>OUR CORE VALUES</w:t>
            </w:r>
          </w:p>
        </w:tc>
        <w:tc>
          <w:tcPr>
            <w:tcW w:w="4240" w:type="dxa"/>
            <w:vAlign w:val="bottom"/>
            <w:shd w:val="clear" w:color="auto" w:fill="E4F5FE"/>
          </w:tcPr>
          <w:p>
            <w:pPr>
              <w:spacing w:after="0"/>
              <w:rPr>
                <w:sz w:val="23"/>
                <w:szCs w:val="23"/>
                <w:color w:val="auto"/>
              </w:rPr>
            </w:pPr>
          </w:p>
        </w:tc>
      </w:tr>
      <w:tr>
        <w:trPr>
          <w:trHeight w:val="104"/>
        </w:trPr>
        <w:tc>
          <w:tcPr>
            <w:tcW w:w="2400" w:type="dxa"/>
            <w:vAlign w:val="bottom"/>
            <w:shd w:val="clear" w:color="auto" w:fill="E4F5FE"/>
          </w:tcPr>
          <w:p>
            <w:pPr>
              <w:spacing w:after="0"/>
              <w:rPr>
                <w:sz w:val="9"/>
                <w:szCs w:val="9"/>
                <w:color w:val="auto"/>
              </w:rPr>
            </w:pPr>
          </w:p>
        </w:tc>
        <w:tc>
          <w:tcPr>
            <w:tcW w:w="4460" w:type="dxa"/>
            <w:vAlign w:val="bottom"/>
            <w:shd w:val="clear" w:color="auto" w:fill="E4F5FE"/>
          </w:tcPr>
          <w:p>
            <w:pPr>
              <w:spacing w:after="0"/>
              <w:rPr>
                <w:sz w:val="9"/>
                <w:szCs w:val="9"/>
                <w:color w:val="auto"/>
              </w:rPr>
            </w:pPr>
          </w:p>
        </w:tc>
        <w:tc>
          <w:tcPr>
            <w:tcW w:w="4240" w:type="dxa"/>
            <w:vAlign w:val="bottom"/>
            <w:shd w:val="clear" w:color="auto" w:fill="E4F5FE"/>
          </w:tcPr>
          <w:p>
            <w:pPr>
              <w:spacing w:after="0"/>
              <w:rPr>
                <w:sz w:val="9"/>
                <w:szCs w:val="9"/>
                <w:color w:val="auto"/>
              </w:rPr>
            </w:pPr>
          </w:p>
        </w:tc>
      </w:tr>
      <w:tr>
        <w:trPr>
          <w:trHeight w:val="274"/>
        </w:trPr>
        <w:tc>
          <w:tcPr>
            <w:tcW w:w="2400" w:type="dxa"/>
            <w:vAlign w:val="bottom"/>
          </w:tcPr>
          <w:p>
            <w:pPr>
              <w:ind w:left="80"/>
              <w:spacing w:after="0"/>
              <w:rPr>
                <w:sz w:val="20"/>
                <w:szCs w:val="20"/>
                <w:color w:val="auto"/>
              </w:rPr>
            </w:pPr>
            <w:r>
              <w:rPr>
                <w:rFonts w:ascii="Calibri" w:cs="Calibri" w:eastAsia="Calibri" w:hAnsi="Calibri"/>
                <w:sz w:val="18"/>
                <w:szCs w:val="18"/>
                <w:b w:val="1"/>
                <w:bCs w:val="1"/>
                <w:color w:val="00002D"/>
              </w:rPr>
              <w:t>WE ARE</w:t>
            </w:r>
          </w:p>
        </w:tc>
        <w:tc>
          <w:tcPr>
            <w:tcW w:w="4460" w:type="dxa"/>
            <w:vAlign w:val="bottom"/>
          </w:tcPr>
          <w:p>
            <w:pPr>
              <w:ind w:left="1400"/>
              <w:spacing w:after="0"/>
              <w:rPr>
                <w:sz w:val="20"/>
                <w:szCs w:val="20"/>
                <w:color w:val="auto"/>
              </w:rPr>
            </w:pPr>
            <w:r>
              <w:rPr>
                <w:rFonts w:ascii="Calibri" w:cs="Calibri" w:eastAsia="Calibri" w:hAnsi="Calibri"/>
                <w:sz w:val="18"/>
                <w:szCs w:val="18"/>
                <w:b w:val="1"/>
                <w:bCs w:val="1"/>
                <w:color w:val="00002D"/>
              </w:rPr>
              <w:t>WE ARE</w:t>
            </w:r>
          </w:p>
        </w:tc>
        <w:tc>
          <w:tcPr>
            <w:tcW w:w="4240" w:type="dxa"/>
            <w:vAlign w:val="bottom"/>
          </w:tcPr>
          <w:p>
            <w:pPr>
              <w:ind w:left="640"/>
              <w:spacing w:after="0"/>
              <w:rPr>
                <w:sz w:val="20"/>
                <w:szCs w:val="20"/>
                <w:color w:val="auto"/>
              </w:rPr>
            </w:pPr>
            <w:r>
              <w:rPr>
                <w:rFonts w:ascii="Calibri" w:cs="Calibri" w:eastAsia="Calibri" w:hAnsi="Calibri"/>
                <w:sz w:val="18"/>
                <w:szCs w:val="18"/>
                <w:b w:val="1"/>
                <w:bCs w:val="1"/>
                <w:color w:val="00002D"/>
              </w:rPr>
              <w:t>WE ARE</w:t>
            </w:r>
          </w:p>
        </w:tc>
      </w:tr>
      <w:tr>
        <w:trPr>
          <w:trHeight w:val="216"/>
        </w:trPr>
        <w:tc>
          <w:tcPr>
            <w:tcW w:w="2400" w:type="dxa"/>
            <w:vAlign w:val="bottom"/>
          </w:tcPr>
          <w:p>
            <w:pPr>
              <w:ind w:left="80"/>
              <w:spacing w:after="0" w:line="216" w:lineRule="exact"/>
              <w:rPr>
                <w:sz w:val="20"/>
                <w:szCs w:val="20"/>
                <w:color w:val="auto"/>
              </w:rPr>
            </w:pPr>
            <w:r>
              <w:rPr>
                <w:rFonts w:ascii="Calibri" w:cs="Calibri" w:eastAsia="Calibri" w:hAnsi="Calibri"/>
                <w:sz w:val="18"/>
                <w:szCs w:val="18"/>
                <w:b w:val="1"/>
                <w:bCs w:val="1"/>
                <w:color w:val="3465B0"/>
              </w:rPr>
              <w:t>PIONEERING</w:t>
            </w:r>
          </w:p>
        </w:tc>
        <w:tc>
          <w:tcPr>
            <w:tcW w:w="4460" w:type="dxa"/>
            <w:vAlign w:val="bottom"/>
          </w:tcPr>
          <w:p>
            <w:pPr>
              <w:ind w:left="1400"/>
              <w:spacing w:after="0" w:line="216" w:lineRule="exact"/>
              <w:rPr>
                <w:sz w:val="20"/>
                <w:szCs w:val="20"/>
                <w:color w:val="auto"/>
              </w:rPr>
            </w:pPr>
            <w:r>
              <w:rPr>
                <w:rFonts w:ascii="Calibri" w:cs="Calibri" w:eastAsia="Calibri" w:hAnsi="Calibri"/>
                <w:sz w:val="18"/>
                <w:szCs w:val="18"/>
                <w:b w:val="1"/>
                <w:bCs w:val="1"/>
                <w:color w:val="3465B0"/>
              </w:rPr>
              <w:t>TRANSPARENT</w:t>
            </w:r>
          </w:p>
        </w:tc>
        <w:tc>
          <w:tcPr>
            <w:tcW w:w="4240" w:type="dxa"/>
            <w:vAlign w:val="bottom"/>
          </w:tcPr>
          <w:p>
            <w:pPr>
              <w:ind w:left="640"/>
              <w:spacing w:after="0" w:line="216" w:lineRule="exact"/>
              <w:rPr>
                <w:sz w:val="20"/>
                <w:szCs w:val="20"/>
                <w:color w:val="auto"/>
              </w:rPr>
            </w:pPr>
            <w:r>
              <w:rPr>
                <w:rFonts w:ascii="Calibri" w:cs="Calibri" w:eastAsia="Calibri" w:hAnsi="Calibri"/>
                <w:sz w:val="18"/>
                <w:szCs w:val="18"/>
                <w:b w:val="1"/>
                <w:bCs w:val="1"/>
                <w:color w:val="3465B0"/>
              </w:rPr>
              <w:t>DATA-DRIVEN</w:t>
            </w:r>
          </w:p>
        </w:tc>
      </w:tr>
      <w:tr>
        <w:trPr>
          <w:trHeight w:val="378"/>
        </w:trPr>
        <w:tc>
          <w:tcPr>
            <w:tcW w:w="2400" w:type="dxa"/>
            <w:vAlign w:val="bottom"/>
          </w:tcPr>
          <w:p>
            <w:pPr>
              <w:ind w:left="80"/>
              <w:spacing w:after="0"/>
              <w:rPr>
                <w:sz w:val="20"/>
                <w:szCs w:val="20"/>
                <w:color w:val="auto"/>
              </w:rPr>
            </w:pPr>
            <w:r>
              <w:rPr>
                <w:rFonts w:ascii="Calibri" w:cs="Calibri" w:eastAsia="Calibri" w:hAnsi="Calibri"/>
                <w:sz w:val="18"/>
                <w:szCs w:val="18"/>
                <w:b w:val="1"/>
                <w:bCs w:val="1"/>
                <w:color w:val="00002D"/>
              </w:rPr>
              <w:t>WE MOVE</w:t>
            </w:r>
          </w:p>
        </w:tc>
        <w:tc>
          <w:tcPr>
            <w:tcW w:w="4460" w:type="dxa"/>
            <w:vAlign w:val="bottom"/>
          </w:tcPr>
          <w:p>
            <w:pPr>
              <w:ind w:left="1400"/>
              <w:spacing w:after="0"/>
              <w:rPr>
                <w:sz w:val="20"/>
                <w:szCs w:val="20"/>
                <w:color w:val="auto"/>
              </w:rPr>
            </w:pPr>
            <w:r>
              <w:rPr>
                <w:rFonts w:ascii="Calibri" w:cs="Calibri" w:eastAsia="Calibri" w:hAnsi="Calibri"/>
                <w:sz w:val="18"/>
                <w:szCs w:val="18"/>
                <w:b w:val="1"/>
                <w:bCs w:val="1"/>
                <w:color w:val="00002D"/>
              </w:rPr>
              <w:t>WE ARE</w:t>
            </w:r>
          </w:p>
        </w:tc>
        <w:tc>
          <w:tcPr>
            <w:tcW w:w="4240" w:type="dxa"/>
            <w:vAlign w:val="bottom"/>
          </w:tcPr>
          <w:p>
            <w:pPr>
              <w:ind w:left="640"/>
              <w:spacing w:after="0"/>
              <w:rPr>
                <w:sz w:val="20"/>
                <w:szCs w:val="20"/>
                <w:color w:val="auto"/>
              </w:rPr>
            </w:pPr>
            <w:r>
              <w:rPr>
                <w:rFonts w:ascii="Calibri" w:cs="Calibri" w:eastAsia="Calibri" w:hAnsi="Calibri"/>
                <w:sz w:val="18"/>
                <w:szCs w:val="18"/>
                <w:b w:val="1"/>
                <w:bCs w:val="1"/>
                <w:color w:val="00002D"/>
              </w:rPr>
              <w:t>WE HAVE</w:t>
            </w:r>
          </w:p>
        </w:tc>
      </w:tr>
      <w:tr>
        <w:trPr>
          <w:trHeight w:val="216"/>
        </w:trPr>
        <w:tc>
          <w:tcPr>
            <w:tcW w:w="2400" w:type="dxa"/>
            <w:vAlign w:val="bottom"/>
          </w:tcPr>
          <w:p>
            <w:pPr>
              <w:ind w:left="80"/>
              <w:spacing w:after="0" w:line="216" w:lineRule="exact"/>
              <w:rPr>
                <w:sz w:val="20"/>
                <w:szCs w:val="20"/>
                <w:color w:val="auto"/>
              </w:rPr>
            </w:pPr>
            <w:r>
              <w:rPr>
                <w:rFonts w:ascii="Calibri" w:cs="Calibri" w:eastAsia="Calibri" w:hAnsi="Calibri"/>
                <w:sz w:val="18"/>
                <w:szCs w:val="18"/>
                <w:b w:val="1"/>
                <w:bCs w:val="1"/>
                <w:color w:val="3465B0"/>
              </w:rPr>
              <w:t>QUICKLY</w:t>
            </w:r>
          </w:p>
        </w:tc>
        <w:tc>
          <w:tcPr>
            <w:tcW w:w="4460" w:type="dxa"/>
            <w:vAlign w:val="bottom"/>
          </w:tcPr>
          <w:p>
            <w:pPr>
              <w:ind w:left="1400"/>
              <w:spacing w:after="0" w:line="216" w:lineRule="exact"/>
              <w:rPr>
                <w:sz w:val="20"/>
                <w:szCs w:val="20"/>
                <w:color w:val="auto"/>
              </w:rPr>
            </w:pPr>
            <w:r>
              <w:rPr>
                <w:rFonts w:ascii="Calibri" w:cs="Calibri" w:eastAsia="Calibri" w:hAnsi="Calibri"/>
                <w:sz w:val="18"/>
                <w:szCs w:val="18"/>
                <w:b w:val="1"/>
                <w:bCs w:val="1"/>
                <w:color w:val="3465B0"/>
              </w:rPr>
              <w:t>COLLABORATIVE</w:t>
            </w:r>
          </w:p>
        </w:tc>
        <w:tc>
          <w:tcPr>
            <w:tcW w:w="4240" w:type="dxa"/>
            <w:vAlign w:val="bottom"/>
          </w:tcPr>
          <w:p>
            <w:pPr>
              <w:ind w:left="640"/>
              <w:spacing w:after="0" w:line="216" w:lineRule="exact"/>
              <w:rPr>
                <w:sz w:val="20"/>
                <w:szCs w:val="20"/>
                <w:color w:val="auto"/>
              </w:rPr>
            </w:pPr>
            <w:r>
              <w:rPr>
                <w:rFonts w:ascii="Calibri" w:cs="Calibri" w:eastAsia="Calibri" w:hAnsi="Calibri"/>
                <w:sz w:val="18"/>
                <w:szCs w:val="18"/>
                <w:b w:val="1"/>
                <w:bCs w:val="1"/>
                <w:color w:val="3465B0"/>
              </w:rPr>
              <w:t>INTEGRITY</w:t>
            </w:r>
          </w:p>
        </w:tc>
      </w:tr>
    </w:tbl>
    <w:p>
      <w:pPr>
        <w:spacing w:after="0" w:line="200" w:lineRule="exact"/>
        <w:rPr>
          <w:sz w:val="20"/>
          <w:szCs w:val="20"/>
          <w:color w:val="auto"/>
        </w:rPr>
      </w:pPr>
    </w:p>
    <w:p>
      <w:pPr>
        <w:spacing w:after="0" w:line="2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company culture is rooted in a data-driven, innovatve approach to the automotve market, fostering thought leadership, collaboraton, and contnuous improvement to serve our consumers, dealers, and partners. We are an equal opportunity employer and strive to build and nurture a culture where inclusiveness is a refex, not an initatve. We also have fve universal leadership capabilites that diferentate us from the market as part of our contnued commitment to give employees the power to own their career development and impact and guide how we work and drive impact. They include:</w:t>
      </w:r>
    </w:p>
    <w:p>
      <w:pPr>
        <w:spacing w:after="0" w:line="296" w:lineRule="exact"/>
        <w:rPr>
          <w:sz w:val="20"/>
          <w:szCs w:val="20"/>
          <w:color w:val="auto"/>
        </w:rPr>
      </w:pPr>
    </w:p>
    <w:p>
      <w:pPr>
        <w:ind w:left="100"/>
        <w:spacing w:after="0"/>
        <w:rPr>
          <w:sz w:val="20"/>
          <w:szCs w:val="20"/>
          <w:color w:val="auto"/>
        </w:rPr>
      </w:pPr>
      <w:r>
        <w:rPr>
          <w:rFonts w:ascii="Calibri" w:cs="Calibri" w:eastAsia="Calibri" w:hAnsi="Calibri"/>
          <w:sz w:val="18"/>
          <w:szCs w:val="18"/>
          <w:b w:val="1"/>
          <w:bCs w:val="1"/>
          <w:color w:val="3465B0"/>
        </w:rPr>
        <w:t xml:space="preserve">CATALYST FOR IMPACT. </w:t>
      </w:r>
      <w:r>
        <w:rPr>
          <w:rFonts w:ascii="Calibri" w:cs="Calibri" w:eastAsia="Calibri" w:hAnsi="Calibri"/>
          <w:sz w:val="18"/>
          <w:szCs w:val="18"/>
          <w:color w:val="000000"/>
        </w:rPr>
        <w:t>We set high standards and take full ownership for our work. We are decisive, results-oriented, and have a bias for acton.</w:t>
      </w:r>
    </w:p>
    <w:p>
      <w:pPr>
        <w:spacing w:after="0" w:line="158" w:lineRule="exact"/>
        <w:rPr>
          <w:sz w:val="20"/>
          <w:szCs w:val="20"/>
          <w:color w:val="auto"/>
        </w:rPr>
      </w:pPr>
    </w:p>
    <w:p>
      <w:pPr>
        <w:ind w:left="100"/>
        <w:spacing w:after="0"/>
        <w:rPr>
          <w:sz w:val="20"/>
          <w:szCs w:val="20"/>
          <w:color w:val="auto"/>
        </w:rPr>
      </w:pPr>
      <w:r>
        <w:rPr>
          <w:rFonts w:ascii="Calibri" w:cs="Calibri" w:eastAsia="Calibri" w:hAnsi="Calibri"/>
          <w:sz w:val="18"/>
          <w:szCs w:val="18"/>
          <w:b w:val="1"/>
          <w:bCs w:val="1"/>
          <w:color w:val="3465B0"/>
        </w:rPr>
        <w:t xml:space="preserve">COACH. </w:t>
      </w:r>
      <w:r>
        <w:rPr>
          <w:rFonts w:ascii="Calibri" w:cs="Calibri" w:eastAsia="Calibri" w:hAnsi="Calibri"/>
          <w:sz w:val="18"/>
          <w:szCs w:val="18"/>
          <w:color w:val="000000"/>
        </w:rPr>
        <w:t>We embody a growth mindset and foster an environment of learning, developing, and growing together.</w:t>
      </w:r>
    </w:p>
    <w:p>
      <w:pPr>
        <w:spacing w:after="0" w:line="163" w:lineRule="exact"/>
        <w:rPr>
          <w:sz w:val="20"/>
          <w:szCs w:val="20"/>
          <w:color w:val="auto"/>
        </w:rPr>
      </w:pPr>
    </w:p>
    <w:p>
      <w:pPr>
        <w:ind w:left="100" w:right="720"/>
        <w:spacing w:after="0" w:line="235" w:lineRule="auto"/>
        <w:rPr>
          <w:sz w:val="20"/>
          <w:szCs w:val="20"/>
          <w:color w:val="auto"/>
        </w:rPr>
      </w:pPr>
      <w:r>
        <w:rPr>
          <w:rFonts w:ascii="Calibri" w:cs="Calibri" w:eastAsia="Calibri" w:hAnsi="Calibri"/>
          <w:sz w:val="18"/>
          <w:szCs w:val="18"/>
          <w:b w:val="1"/>
          <w:bCs w:val="1"/>
          <w:color w:val="3465B0"/>
        </w:rPr>
        <w:t xml:space="preserve">COMMUNICATOR. </w:t>
      </w:r>
      <w:r>
        <w:rPr>
          <w:rFonts w:ascii="Calibri" w:cs="Calibri" w:eastAsia="Calibri" w:hAnsi="Calibri"/>
          <w:sz w:val="18"/>
          <w:szCs w:val="18"/>
          <w:color w:val="000000"/>
        </w:rPr>
        <w:t>We share our vision and bring people along. We communicate clearly and simply, using data and facts to inform and shape our</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00"/>
        </w:rPr>
        <w:t>priorites.</w:t>
      </w:r>
    </w:p>
    <w:p>
      <w:pPr>
        <w:spacing w:after="0" w:line="164" w:lineRule="exact"/>
        <w:rPr>
          <w:sz w:val="20"/>
          <w:szCs w:val="20"/>
          <w:color w:val="auto"/>
        </w:rPr>
      </w:pPr>
    </w:p>
    <w:p>
      <w:pPr>
        <w:ind w:left="100" w:right="280"/>
        <w:spacing w:after="0" w:line="235" w:lineRule="auto"/>
        <w:rPr>
          <w:sz w:val="20"/>
          <w:szCs w:val="20"/>
          <w:color w:val="auto"/>
        </w:rPr>
      </w:pPr>
      <w:r>
        <w:rPr>
          <w:rFonts w:ascii="Calibri" w:cs="Calibri" w:eastAsia="Calibri" w:hAnsi="Calibri"/>
          <w:sz w:val="18"/>
          <w:szCs w:val="18"/>
          <w:b w:val="1"/>
          <w:bCs w:val="1"/>
          <w:color w:val="3465B0"/>
        </w:rPr>
        <w:t xml:space="preserve">CHANGE LEADER. </w:t>
      </w:r>
      <w:r>
        <w:rPr>
          <w:rFonts w:ascii="Calibri" w:cs="Calibri" w:eastAsia="Calibri" w:hAnsi="Calibri"/>
          <w:sz w:val="18"/>
          <w:szCs w:val="18"/>
          <w:color w:val="000000"/>
        </w:rPr>
        <w:t>We challenge ourselves and others to innovate and experiment. We are comfortable with ambiguity and adapt quickly when priorites</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00"/>
        </w:rPr>
        <w:t>change, remaining focused on the big picture.</w:t>
      </w:r>
    </w:p>
    <w:p>
      <w:pPr>
        <w:spacing w:after="0" w:line="164" w:lineRule="exact"/>
        <w:rPr>
          <w:sz w:val="20"/>
          <w:szCs w:val="20"/>
          <w:color w:val="auto"/>
        </w:rPr>
      </w:pPr>
    </w:p>
    <w:p>
      <w:pPr>
        <w:ind w:left="100" w:right="380"/>
        <w:spacing w:after="0" w:line="235" w:lineRule="auto"/>
        <w:rPr>
          <w:sz w:val="20"/>
          <w:szCs w:val="20"/>
          <w:color w:val="auto"/>
        </w:rPr>
      </w:pPr>
      <w:r>
        <w:rPr>
          <w:rFonts w:ascii="Calibri" w:cs="Calibri" w:eastAsia="Calibri" w:hAnsi="Calibri"/>
          <w:sz w:val="18"/>
          <w:szCs w:val="18"/>
          <w:b w:val="1"/>
          <w:bCs w:val="1"/>
          <w:color w:val="3465B0"/>
        </w:rPr>
        <w:t xml:space="preserve">CARING COLLABORATOR. </w:t>
      </w:r>
      <w:r>
        <w:rPr>
          <w:rFonts w:ascii="Calibri" w:cs="Calibri" w:eastAsia="Calibri" w:hAnsi="Calibri"/>
          <w:sz w:val="18"/>
          <w:szCs w:val="18"/>
          <w:color w:val="000000"/>
        </w:rPr>
        <w:t>We create meaningful partnerships and a sense of belonging, setng foundatons of trust, respect, inclusion, and empathy in</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00"/>
        </w:rPr>
        <w:t>how we work.</w:t>
      </w:r>
    </w:p>
    <w:p>
      <w:pPr>
        <w:spacing w:after="0" w:line="29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contnually invest in employee career growth and a wide range of development opportunites, including compliance training, mentoring, coaching, and hybrid learning formats.</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Compensaton and Benefts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success of our business is fundamentally connected to the well-being of our people. Accordingly, we provide our eligible employees with compettve wages and access to fexible and convenient healthcare programs intended to meet their needs and the needs of their families, including for all eligible U.S. employees: medical, dental, and vision coverage; health savings accounts with company contributons and fexible spending accounts; paid tme of; fexible hybrid work schedules or remote work on a case-by-case basis; employee assistance programs; short-term and long-term disability insurance; term life insurance; and fertlity health and family-forming benefts; as well as company-paid access to certain wellness and family care resources. Additonally, we ofer a 401(k) plan that includes a company matching program.</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Employee Engagement</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Each year we conduct an employee engagement survey to help our management team gain insight into and gauge employees’ feelings, attudes, and behaviors around working at CarGurus. Our latest survey, which closed on November 1, 2024, had a partcipaton rate of approximately 80% of our eligible employees worldwide (this survey excluded CarOfer employees, employees on leave, and employees hired afer July 21, 2024). We take employee feedback seriously. Our culture and commitment to building a workplace where we can all thrive has been recognized externally – we have received numerous awards acknowledging our eforts in creatng a desirable workplace.</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Intellectual Property</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protect our intellectual property through a combinaton of patents, copyrights, trademarks, service marks, domain names, trade secret protectons, confdentality procedures, and contractual restrictons.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CarGurus has one issued U.S. patent with an expiraton date of May 2034, one pending U.S. patent applicaton, and one pending internatonal patent applicaton. CarOfer has one pending U.S. patent applicaton. These applicatons cover proprietary technology that relates to various functonalites on our platorm, generally in connecton with pricing, ranking, and detectng fraud in online listngs. We intend to pursue additonal patent protecton to the extent we believe it would be benefcial to our compettve positon.</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have a number of registered and unregistered trademarks in the U.S. and certain other jurisdictons. We pursue additonal trademark registratons to the extent we believe doing so would be benefcial to our compettve positon. Our registered trademarks remain enforceable in the countries in which they are registered for as long as we contnue to use the marks, and pay the fees to maintain the registratons, in those countries.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are the registered holder of several domestc and internatonal domain names that include “CarGurus”, “CarOfer”, “Pistonheads”, and “Autolist” and other variatons of our trade names.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enter into confdentality and proprietary rights agreements with our employees and relevant consultants, contractors, and business partners. We control the use of our proprietary technology and intellectual property through provisions in contracts with our customers and partners and our general and product-specifc terms of use on our websites.</w:t>
      </w:r>
    </w:p>
    <w:p>
      <w:pPr>
        <w:spacing w:after="0" w:line="200"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Regulatory</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Various aspects of our business are, may become, or may be viewed by regulators from tme to tme as subject, directly or indirectly, to U.S. federal, state, local, and foreign laws and regulatons. In partcular, the advertsing and sale of new or used motor vehicles is highly regulated by the states and jurisdictons in which we do business. Regulatory authorites or third partes could take the positon that some of the laws or regulatons applicable to dealers or to the manner in which motor vehicles are advertsed and sold generally are directly applicable to our business. These advertsing laws and regulatons, which ofen originated decades before the emergence of the internet, are frequently subject to multple interpretatons, are not uniform across jurisdictons, sometmes impose inconsistent requirements with respect to new or used motor vehicles, and the manner in which they should be applied to our business model is not always clear. Regulators or other third partes could take, and on some occasions have taken, the positon that our marketplace or related products violate applicable brokering, bird-dog, consumer protecton, or advertsing laws or regulatons.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wholesale operatons through CarOfer are regulated by the states in which we operate and by the U.S. federal government. These actvites may also be subject to state and local licensing requirements. Additonally, we may be subject to regulaton by individual state dealer licensing authorites and state and local consumer protecton agencies.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order to operate in this regulated environment, we develop our products and services with a view toward appropriately managing the risk that our regulatory compliance, or the regulatory compliance of the dealers whose inventory is listed on our websites, could be challenged.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consider applicable advertsing and consumer protecton laws and regulatons in designing our products and services. We endeavor to design our website content in a manner that would comply with relevant advertsing regulatons and consumer protecton laws if the content were to be considered vehicle sales advertsing.</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websites and mobile applicatons enable us, dealers, and users to send and receive text messages and other mobile phone communicatons, which requires us to comply with the Telephone Consumer Protecton Act, or TCPA, in the U.S. The TCPA, as interpreted and implemented by the Federal Communicatons Commission, or the FCC, and federal and state courts, imposes signifcant restrictons on utlizaton of telephone calls and text messages to residental and mobile telephone numbers as a means of communicaton, partcularly when the prior express consent of the person being contacted has not been obtained. In additon, we are subject to numerous federal, natonal, state, and local laws and regulatons in the U.S. and around the world regarding privacy and the collecton, processing, storage, sharing, disclosure, use, cross-border transfer, and protecton of personal informaton and other data. While the scope of these laws and regulatons is changing and remains subject to difering interpretatons, we seek to comply</w:t>
      </w: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with industry standards and all applicable laws, policies, legal obligatons, and industry codes of conduct relatng to privacy and data protecton. We are also subject to the terms of our privacy policies and privacy-related obligatons to third partes.</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Informaton about Our Executve Ofcers (as of February 20, 2025)</w:t>
      </w:r>
    </w:p>
    <w:p>
      <w:pPr>
        <w:spacing w:after="0" w:line="232" w:lineRule="exact"/>
        <w:rPr>
          <w:sz w:val="20"/>
          <w:szCs w:val="20"/>
          <w:color w:val="auto"/>
        </w:rPr>
      </w:pPr>
    </w:p>
    <w:p>
      <w:pPr>
        <w:jc w:val="both"/>
        <w:ind w:left="2160"/>
        <w:spacing w:after="0" w:line="235" w:lineRule="auto"/>
        <w:rPr>
          <w:sz w:val="20"/>
          <w:szCs w:val="20"/>
          <w:color w:val="auto"/>
        </w:rPr>
      </w:pPr>
      <w:r>
        <w:rPr>
          <w:rFonts w:ascii="Calibri" w:cs="Calibri" w:eastAsia="Calibri" w:hAnsi="Calibri"/>
          <w:sz w:val="18"/>
          <w:szCs w:val="18"/>
          <w:b w:val="1"/>
          <w:bCs w:val="1"/>
          <w:color w:val="3465B0"/>
        </w:rPr>
        <w:t xml:space="preserve">Jason Trevisan, Chief Executve Ofcer and Director </w:t>
      </w:r>
      <w:r>
        <w:rPr>
          <w:rFonts w:ascii="Calibri" w:cs="Calibri" w:eastAsia="Calibri" w:hAnsi="Calibri"/>
          <w:sz w:val="18"/>
          <w:szCs w:val="18"/>
          <w:i w:val="1"/>
          <w:iCs w:val="1"/>
          <w:color w:val="00002D"/>
        </w:rPr>
        <w:t>(Age 50)</w:t>
      </w:r>
      <w:r>
        <w:rPr>
          <w:rFonts w:ascii="Calibri" w:cs="Calibri" w:eastAsia="Calibri" w:hAnsi="Calibri"/>
          <w:sz w:val="18"/>
          <w:szCs w:val="18"/>
          <w:color w:val="00002D"/>
        </w:rPr>
        <w:t>. Mr. Trevisan has served as our Chief Executve Ofcer and a</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2D"/>
        </w:rPr>
        <w:t>member of our Board of Directors since January 2021. Prior to such appointments, he served as our Chief Financial Ofcer from September 2015 to January 2021, as our Treasurer from July 2016 to January 2021, and as our President, Internatonal from January 2020 to January 2021. He served as our interim Principal Financial Ofcer from October 2022 to December 2023. Prior to joining CarGurus, Mr. Trevisan was a General Partner with Polaris Partners, a venture capital frm, from September 2003 to August 2015. While at Polaris Partners, Mr. Trevisan led investments in and served as a director of numerous consumer internet and sofware companies including LegalZoom, PartsSource, Shoedazzle, and The Roberts Group. Prior to that, from September 1999 to June 2001, Mr. Trevisan held management roles in analytcs and client services at aQuantve, a digital marketng service and technology company, which was acquired by Microsof Corporaton in 2007. Earlier in his career, from July 1996 to August 1999, he served as a consultant with Bain &amp; Company, a management consultng company. Mr. Trevisan received a Master of Business Administraton degree from the Tuck School of Business at Dartmouth College and a Bachelor of Arts degree from Duke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-1572895</wp:posOffset>
            </wp:positionV>
            <wp:extent cx="994410" cy="129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4410" cy="1294130"/>
                    </a:xfrm>
                    <a:prstGeom prst="rect">
                      <a:avLst/>
                    </a:prstGeom>
                    <a:noFill/>
                  </pic:spPr>
                </pic:pic>
              </a:graphicData>
            </a:graphic>
          </wp:anchor>
        </w:drawing>
      </w:r>
    </w:p>
    <w:p>
      <w:pPr>
        <w:spacing w:after="0" w:line="112" w:lineRule="exact"/>
        <w:rPr>
          <w:sz w:val="20"/>
          <w:szCs w:val="20"/>
          <w:color w:val="auto"/>
        </w:rPr>
      </w:pPr>
    </w:p>
    <w:p>
      <w:pPr>
        <w:jc w:val="both"/>
        <w:ind w:left="2160"/>
        <w:spacing w:after="0" w:line="235" w:lineRule="auto"/>
        <w:rPr>
          <w:sz w:val="20"/>
          <w:szCs w:val="20"/>
          <w:color w:val="auto"/>
        </w:rPr>
      </w:pPr>
      <w:r>
        <w:rPr>
          <w:rFonts w:ascii="Calibri" w:cs="Calibri" w:eastAsia="Calibri" w:hAnsi="Calibri"/>
          <w:sz w:val="18"/>
          <w:szCs w:val="18"/>
          <w:b w:val="1"/>
          <w:bCs w:val="1"/>
          <w:color w:val="3465B0"/>
        </w:rPr>
        <w:t xml:space="preserve">Langley Steinert, Executve Chair and Chair of the Board of Directors </w:t>
      </w:r>
      <w:r>
        <w:rPr>
          <w:rFonts w:ascii="Calibri" w:cs="Calibri" w:eastAsia="Calibri" w:hAnsi="Calibri"/>
          <w:sz w:val="18"/>
          <w:szCs w:val="18"/>
          <w:i w:val="1"/>
          <w:iCs w:val="1"/>
          <w:color w:val="00002D"/>
        </w:rPr>
        <w:t>(Age 61)</w:t>
      </w:r>
      <w:r>
        <w:rPr>
          <w:rFonts w:ascii="Calibri" w:cs="Calibri" w:eastAsia="Calibri" w:hAnsi="Calibri"/>
          <w:sz w:val="18"/>
          <w:szCs w:val="18"/>
          <w:color w:val="00002D"/>
        </w:rPr>
        <w:t>. Mr. Steinert is our founder and has served as</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2D"/>
        </w:rPr>
        <w:t>our Executve Chair since January 2021 and as a member of our Board of Directors since our founding. Mr. Steinert has served as our Chair since September 2017 and served as our Chief Executve Ofcer from our founding to January 2021 and as our President from June 2015 to February 2019. Mr. Steinert is also the co-founder of ApartmentAdvisor, Inc., an apartment rental marketplace, and has served as Chairman of its board of directors since October 2020. Mr. Steinert also serves as a board member at the Tuck School of Business at Dartmouth College. From February 2000 through February 2006 Mr. Steinert was Chairman and co-founder of TripAdvisor, Inc., an online marketplace for travel-related content. Mr. Steinert holds a Master of Business Administraton degree from the Tuck School of Business at Dartmouth College and a Bachelor of Arts degree from Georgetown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-1163320</wp:posOffset>
            </wp:positionV>
            <wp:extent cx="994410" cy="129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1294130"/>
                    </a:xfrm>
                    <a:prstGeom prst="rect">
                      <a:avLst/>
                    </a:prstGeom>
                    <a:noFill/>
                  </pic:spPr>
                </pic:pic>
              </a:graphicData>
            </a:graphic>
          </wp:anchor>
        </w:drawing>
      </w:r>
    </w:p>
    <w:p>
      <w:pPr>
        <w:spacing w:after="0" w:line="244" w:lineRule="exact"/>
        <w:rPr>
          <w:sz w:val="20"/>
          <w:szCs w:val="20"/>
          <w:color w:val="auto"/>
        </w:rPr>
      </w:pPr>
    </w:p>
    <w:p>
      <w:pPr>
        <w:jc w:val="both"/>
        <w:ind w:left="2160"/>
        <w:spacing w:after="0" w:line="235" w:lineRule="auto"/>
        <w:rPr>
          <w:sz w:val="20"/>
          <w:szCs w:val="20"/>
          <w:color w:val="auto"/>
        </w:rPr>
      </w:pPr>
      <w:r>
        <w:rPr>
          <w:rFonts w:ascii="Calibri" w:cs="Calibri" w:eastAsia="Calibri" w:hAnsi="Calibri"/>
          <w:sz w:val="18"/>
          <w:szCs w:val="18"/>
          <w:b w:val="1"/>
          <w:bCs w:val="1"/>
          <w:color w:val="3465B0"/>
        </w:rPr>
        <w:t xml:space="preserve">Ismail Elshareef, Chief Product Ofcer </w:t>
      </w:r>
      <w:r>
        <w:rPr>
          <w:rFonts w:ascii="Calibri" w:cs="Calibri" w:eastAsia="Calibri" w:hAnsi="Calibri"/>
          <w:sz w:val="18"/>
          <w:szCs w:val="18"/>
          <w:i w:val="1"/>
          <w:iCs w:val="1"/>
          <w:color w:val="00002D"/>
        </w:rPr>
        <w:t>(Age 49)</w:t>
      </w:r>
      <w:r>
        <w:rPr>
          <w:rFonts w:ascii="Calibri" w:cs="Calibri" w:eastAsia="Calibri" w:hAnsi="Calibri"/>
          <w:sz w:val="18"/>
          <w:szCs w:val="18"/>
          <w:color w:val="00002D"/>
        </w:rPr>
        <w:t>. Mr. Elshareef has served as our Chief Product Ofcer since February 2024.</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2D"/>
        </w:rPr>
        <w:t>Prior to joining CarGurus, Mr. Elshareef served as the Chief Product Ofcer at OneFootball, a platorm-based football media company, from January 2022 to January 2024. Prior to that, he served as the Chief Product Ofcer at UpKeep, Inc., an asset operatons management platorm company, from August 2019 to December 2021. Previously, Mr. Elshareef served in various roles at Ticketmaster Entertainment, LLC, a tcket sales and distributon company, including SVP, Consumer Products from September 2016 to July 2019 and VP, Open Platorm and Innovaton from July 2015 to September 2016, and in various roles at Edmunds.com Inc., an online resource for automotve inventory and informaton, including Executve Director, Open Platorm from May 2011 to July 2015, Principal Architect from May 2010 to May 2011, and Director, Engineering from December 2007 to May 2010. Mr. Elshareef holds a Bachelor of Science in Computer Engineering degree from the King Fahd University of Petroleum and Minerals and a Master of Science in Electrical Engineering degree from California State University, Los Angeles. He also completed the Executve Management Program at Kellogg Graduate School of Management at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-1572895</wp:posOffset>
            </wp:positionV>
            <wp:extent cx="994410" cy="129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4410" cy="1294130"/>
                    </a:xfrm>
                    <a:prstGeom prst="rect">
                      <a:avLst/>
                    </a:prstGeom>
                    <a:noFill/>
                  </pic:spPr>
                </pic:pic>
              </a:graphicData>
            </a:graphic>
          </wp:anchor>
        </w:drawing>
      </w:r>
    </w:p>
    <w:p>
      <w:pPr>
        <w:spacing w:after="0" w:line="3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2160"/>
        <w:spacing w:after="0" w:line="235" w:lineRule="auto"/>
        <w:rPr>
          <w:sz w:val="20"/>
          <w:szCs w:val="20"/>
          <w:color w:val="auto"/>
        </w:rPr>
      </w:pPr>
      <w:r>
        <w:rPr>
          <w:rFonts w:ascii="Calibri" w:cs="Calibri" w:eastAsia="Calibri" w:hAnsi="Calibri"/>
          <w:sz w:val="18"/>
          <w:szCs w:val="18"/>
          <w:b w:val="1"/>
          <w:bCs w:val="1"/>
          <w:color w:val="3465B0"/>
        </w:rPr>
        <w:t xml:space="preserve">Zachary Hallowell, Chief Executve Ofcer, CarOfer </w:t>
      </w:r>
      <w:r>
        <w:rPr>
          <w:rFonts w:ascii="Calibri" w:cs="Calibri" w:eastAsia="Calibri" w:hAnsi="Calibri"/>
          <w:sz w:val="18"/>
          <w:szCs w:val="18"/>
          <w:i w:val="1"/>
          <w:iCs w:val="1"/>
          <w:color w:val="00002D"/>
        </w:rPr>
        <w:t>(Age 49)</w:t>
      </w:r>
      <w:r>
        <w:rPr>
          <w:rFonts w:ascii="Calibri" w:cs="Calibri" w:eastAsia="Calibri" w:hAnsi="Calibri"/>
          <w:sz w:val="18"/>
          <w:szCs w:val="18"/>
          <w:color w:val="00002D"/>
        </w:rPr>
        <w:t>. Mr. Hallowell has served as Chief Executve Ofcer, CarOfer</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2D"/>
        </w:rPr>
        <w:t>since December 2023 and served as our Head of Industry Transformaton from October 2023 to December 2023. Prior to joining CarGurus, Mr. Hallowell served in various roles at Cox Automotve Inc., an automotve services and technology provider, including as Senior Vice President, Manheim Digital from October 2020 to October 2023, Vice President, Manheim Digital Marketplace from January 2018 to October 2020, and General Manager/Head of Operatonal Excellence at RMS Automotve from November 2015 to December 2017. Prior to that, he served in various roles at OPENLANE, Inc. (formerly known as KAR Aucton Services, Inc.), an online aucton company for automotve dealers, including as Vice President, Online Product Management, ADESA from December 2014 to October 2015, President/COO Recovery Database Network from January 2013 to October 2015, Business Line Director, OPENLANE from October 2007 to December 2012, Director, Product and Program Management from April 2004 to December 2006, and Product Manager from November 1999 to April 2004. From January 2007 to October 2007 Mr. Hallowell served as a Senior Project Manager at L.L. Bean, a mult-chain retailer. Mr. Hallowell holds a Bachelor of Arts in Politcal Science degree from Middlebury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-1572895</wp:posOffset>
            </wp:positionV>
            <wp:extent cx="994410" cy="129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4410" cy="1294130"/>
                    </a:xfrm>
                    <a:prstGeom prst="rect">
                      <a:avLst/>
                    </a:prstGeom>
                    <a:noFill/>
                  </pic:spPr>
                </pic:pic>
              </a:graphicData>
            </a:graphic>
          </wp:anchor>
        </w:drawing>
      </w:r>
    </w:p>
    <w:p>
      <w:pPr>
        <w:spacing w:after="0" w:line="112" w:lineRule="exact"/>
        <w:rPr>
          <w:sz w:val="20"/>
          <w:szCs w:val="20"/>
          <w:color w:val="auto"/>
        </w:rPr>
      </w:pPr>
    </w:p>
    <w:p>
      <w:pPr>
        <w:jc w:val="both"/>
        <w:ind w:left="2160"/>
        <w:spacing w:after="0" w:line="235" w:lineRule="auto"/>
        <w:rPr>
          <w:sz w:val="20"/>
          <w:szCs w:val="20"/>
          <w:color w:val="auto"/>
        </w:rPr>
      </w:pPr>
      <w:r>
        <w:rPr>
          <w:rFonts w:ascii="Calibri" w:cs="Calibri" w:eastAsia="Calibri" w:hAnsi="Calibri"/>
          <w:sz w:val="18"/>
          <w:szCs w:val="18"/>
          <w:b w:val="1"/>
          <w:bCs w:val="1"/>
          <w:color w:val="3465B0"/>
        </w:rPr>
        <w:t xml:space="preserve">Jennifer Hanson, Chief People Ofcer </w:t>
      </w:r>
      <w:r>
        <w:rPr>
          <w:rFonts w:ascii="Calibri" w:cs="Calibri" w:eastAsia="Calibri" w:hAnsi="Calibri"/>
          <w:sz w:val="18"/>
          <w:szCs w:val="18"/>
          <w:i w:val="1"/>
          <w:iCs w:val="1"/>
          <w:color w:val="00002D"/>
        </w:rPr>
        <w:t>(Age 54)</w:t>
      </w:r>
      <w:r>
        <w:rPr>
          <w:rFonts w:ascii="Calibri" w:cs="Calibri" w:eastAsia="Calibri" w:hAnsi="Calibri"/>
          <w:sz w:val="18"/>
          <w:szCs w:val="18"/>
          <w:color w:val="00002D"/>
        </w:rPr>
        <w:t>. Ms. Hanson has served as our Chief People Ofcer since September 2024. Prior</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2D"/>
        </w:rPr>
        <w:t>to joining CarGurus, Ms. Hanson served as a Senior Corporate Advisor at Accolade, Inc., a healthcare company, from May 2024 to July 2024 and as Accolade’s Chief Human Resources Ofcer from May 2022 to April 2024. Prior to that, she served in various roles at Fidelity Investments, a fnancial services corporaton, including as Senior Vice President, Head of Fidelity Medicare Services from February 2019 to April 2022, Senior Vice President, Managing Director at Fidelity Labs from July 2018 to February 2019, Senior Vice President, Head of Associate Experience and Benefts from June 2012 to June 2018, and Vice President and Associate General Counsel from October 2006 to June 2012. Ms. Hanson served as Associate General Counsel at Tufs Health Plan, an insurance agency, from October 2003 to October 2006 and Assistant General Counsel from April 1999 to October 2003, as Counsel at Unicare, a health insurance company, from March 1997 to April 1999, and as a Contracts Manager at Unicare from December 1995 to March 1997. Ms. Hanson holds a Juris Doctor degree from Northeastern University School of Law and a Bachelor of the Arts degree from University of 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-1436370</wp:posOffset>
            </wp:positionV>
            <wp:extent cx="994410" cy="129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4410" cy="1294130"/>
                    </a:xfrm>
                    <a:prstGeom prst="rect">
                      <a:avLst/>
                    </a:prstGeom>
                    <a:noFill/>
                  </pic:spPr>
                </pic:pic>
              </a:graphicData>
            </a:graphic>
          </wp:anchor>
        </w:drawing>
      </w:r>
    </w:p>
    <w:p>
      <w:pPr>
        <w:spacing w:after="0" w:line="111" w:lineRule="exact"/>
        <w:rPr>
          <w:sz w:val="20"/>
          <w:szCs w:val="20"/>
          <w:color w:val="auto"/>
        </w:rPr>
      </w:pPr>
    </w:p>
    <w:p>
      <w:pPr>
        <w:jc w:val="both"/>
        <w:ind w:left="2160"/>
        <w:spacing w:after="0" w:line="235" w:lineRule="auto"/>
        <w:rPr>
          <w:sz w:val="20"/>
          <w:szCs w:val="20"/>
          <w:color w:val="auto"/>
        </w:rPr>
      </w:pPr>
      <w:r>
        <w:rPr>
          <w:rFonts w:ascii="Calibri" w:cs="Calibri" w:eastAsia="Calibri" w:hAnsi="Calibri"/>
          <w:sz w:val="18"/>
          <w:szCs w:val="18"/>
          <w:b w:val="1"/>
          <w:bCs w:val="1"/>
          <w:color w:val="3465B0"/>
        </w:rPr>
        <w:t xml:space="preserve">Elisa Palazzo, Chief Financial Ofcer </w:t>
      </w:r>
      <w:r>
        <w:rPr>
          <w:rFonts w:ascii="Calibri" w:cs="Calibri" w:eastAsia="Calibri" w:hAnsi="Calibri"/>
          <w:sz w:val="18"/>
          <w:szCs w:val="18"/>
          <w:i w:val="1"/>
          <w:iCs w:val="1"/>
          <w:color w:val="00002D"/>
        </w:rPr>
        <w:t>(Age 43)</w:t>
      </w:r>
      <w:r>
        <w:rPr>
          <w:rFonts w:ascii="Calibri" w:cs="Calibri" w:eastAsia="Calibri" w:hAnsi="Calibri"/>
          <w:sz w:val="18"/>
          <w:szCs w:val="18"/>
          <w:color w:val="00002D"/>
        </w:rPr>
        <w:t>. Ms. Palazzo has served as our Chief Financial Ofcer since December 2023. Prior</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2D"/>
        </w:rPr>
        <w:t>to joining CarGurus, Ms. Palazzo served in various roles at Talkspace, Inc., a healthcare sofware company, including as Deputy Chief Financial Ofcer, from April 2023 to November 2023, and as Senior Vice President of Finance, a role she assumed as part of Hudson Executve Capital’s involvement in Talkspace, Inc., from 2021 to April 2023. Between October 2020 and April 2023 she was a Senior Analyst and Managing Director at Hudson Executve Capital, a hedge fund company, overseeing investments in consumer, online, and digital media companies. Previously, from January 2019 to September 2020, she served as an investor and Director at PSP Investments, a pension investment manager company. Prior to that, Ms. Palazzo served as a Senior Investment Analyst at Point72 Asset Management, a hedge fund company, from August 2016 to November 2018, and as an Investment Analyst at Coltrane Asset Management, a hedge fund company, from November 2012 to August 2016. Between 2005 and 2012 she held various roles at Credit Suisse, a fnancial services company. Ms. Palazzo holds a Master of Business Administraton degree from Harvard Business School and a Master of Science in Corporate Finance degree from Bocconi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-1572895</wp:posOffset>
            </wp:positionV>
            <wp:extent cx="994410" cy="129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1294130"/>
                    </a:xfrm>
                    <a:prstGeom prst="rect">
                      <a:avLst/>
                    </a:prstGeom>
                    <a:noFill/>
                  </pic:spPr>
                </pic:pic>
              </a:graphicData>
            </a:graphic>
          </wp:anchor>
        </w:drawing>
      </w:r>
    </w:p>
    <w:p>
      <w:pPr>
        <w:spacing w:after="0" w:line="3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2160"/>
        <w:spacing w:after="0" w:line="235" w:lineRule="auto"/>
        <w:rPr>
          <w:sz w:val="20"/>
          <w:szCs w:val="20"/>
          <w:color w:val="auto"/>
        </w:rPr>
      </w:pPr>
      <w:r>
        <w:rPr>
          <w:rFonts w:ascii="Calibri" w:cs="Calibri" w:eastAsia="Calibri" w:hAnsi="Calibri"/>
          <w:sz w:val="18"/>
          <w:szCs w:val="18"/>
          <w:b w:val="1"/>
          <w:bCs w:val="1"/>
          <w:color w:val="3465B0"/>
        </w:rPr>
        <w:t xml:space="preserve">Mathew Quinn, Chief Technology Ofcer </w:t>
      </w:r>
      <w:r>
        <w:rPr>
          <w:rFonts w:ascii="Calibri" w:cs="Calibri" w:eastAsia="Calibri" w:hAnsi="Calibri"/>
          <w:sz w:val="18"/>
          <w:szCs w:val="18"/>
          <w:i w:val="1"/>
          <w:iCs w:val="1"/>
          <w:color w:val="00002D"/>
        </w:rPr>
        <w:t>(Age 53)</w:t>
      </w:r>
      <w:r>
        <w:rPr>
          <w:rFonts w:ascii="Calibri" w:cs="Calibri" w:eastAsia="Calibri" w:hAnsi="Calibri"/>
          <w:sz w:val="18"/>
          <w:szCs w:val="18"/>
          <w:color w:val="00002D"/>
        </w:rPr>
        <w:t>. Mr. Quinn has served as our Chief Technology Ofcer since January 2022.</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2D"/>
        </w:rPr>
        <w:t>Prior to joining CarGurus, from January 2020 to December 2021, Mr. Quinn was Vice President of Engineering at the small business referral network, Alignable, Inc. He has also led large development teams at technology companies such as Audible, Inc., an Amazon company providing online audiobook and podcast services, where he served in various roles from June 2015 to December 2019, including as Vice President of Sofware Development from May 2018 to December 2019, as well as Vistaprint, a Cimpress plc company providing online marketng and printng services to small businesses, and Amazon, an e-commerce and cloud computng company. Mr. Quinn pioneered Vistaprint’s promotonal products business, built and led their digital services engineering team, managed teams on Amazon’s Fire Phone launch, served as the site lead for Audible’s Boston ofce, and led teams that launched Audible on Alexa, FireTV, and Kindle. Mr. Quinn holds a Master of Science degree in Management from Emmanuel College and a Bachelor of Arts degree in Mathematcs and Computer Science from the College of the Holy 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-1436370</wp:posOffset>
            </wp:positionV>
            <wp:extent cx="994410" cy="129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4410" cy="1294130"/>
                    </a:xfrm>
                    <a:prstGeom prst="rect">
                      <a:avLst/>
                    </a:prstGeom>
                    <a:noFill/>
                  </pic:spPr>
                </pic:pic>
              </a:graphicData>
            </a:graphic>
          </wp:anchor>
        </w:drawing>
      </w:r>
    </w:p>
    <w:p>
      <w:pPr>
        <w:spacing w:after="0" w:line="111" w:lineRule="exact"/>
        <w:rPr>
          <w:sz w:val="20"/>
          <w:szCs w:val="20"/>
          <w:color w:val="auto"/>
        </w:rPr>
      </w:pPr>
    </w:p>
    <w:p>
      <w:pPr>
        <w:jc w:val="both"/>
        <w:ind w:left="2160"/>
        <w:spacing w:after="0" w:line="235" w:lineRule="auto"/>
        <w:rPr>
          <w:sz w:val="20"/>
          <w:szCs w:val="20"/>
          <w:color w:val="auto"/>
        </w:rPr>
      </w:pPr>
      <w:r>
        <w:rPr>
          <w:rFonts w:ascii="Calibri" w:cs="Calibri" w:eastAsia="Calibri" w:hAnsi="Calibri"/>
          <w:sz w:val="18"/>
          <w:szCs w:val="18"/>
          <w:b w:val="1"/>
          <w:bCs w:val="1"/>
          <w:color w:val="3465B0"/>
        </w:rPr>
        <w:t xml:space="preserve">Dafna Sarnof, Chief Marketng Ofcer </w:t>
      </w:r>
      <w:r>
        <w:rPr>
          <w:rFonts w:ascii="Calibri" w:cs="Calibri" w:eastAsia="Calibri" w:hAnsi="Calibri"/>
          <w:sz w:val="18"/>
          <w:szCs w:val="18"/>
          <w:i w:val="1"/>
          <w:iCs w:val="1"/>
          <w:color w:val="00002D"/>
        </w:rPr>
        <w:t>(Age 61)</w:t>
      </w:r>
      <w:r>
        <w:rPr>
          <w:rFonts w:ascii="Calibri" w:cs="Calibri" w:eastAsia="Calibri" w:hAnsi="Calibri"/>
          <w:sz w:val="18"/>
          <w:szCs w:val="18"/>
          <w:color w:val="00002D"/>
        </w:rPr>
        <w:t>. Ms. Sarnof has served as our Chief Marketng Ofcer since December 2021.</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2D"/>
        </w:rPr>
        <w:t>Prior to joining CarGurus, Ms. Sarnof led marketng for several technology and growth companies, including Aura Sub, LLC, a digital security innovator, from September 2020 to November 2021, Intersecton Parent, Inc., an experience-driven media and technology company, from August 2016 to September 2020, and Yodle, Inc., a digital marketng sofware-as-a-service business that was acquired by Web.Com Group, Inc. in 2016, from November 2012 to August 2016. Ms. Sarnof also held various leadership roles over ten years at American Express Company, a bank holding company and multnatonal fnancial services corporaton that specializes in payment cards, in both consumer and B2B marketng, afer startng her career at Bain &amp; Company, Inc. Ms. Sarnof holds a Master of Business Administraton degree from Harvard Business School and a Bachelor of Arts degree in Mathematcs from Dartmouth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-1163320</wp:posOffset>
            </wp:positionV>
            <wp:extent cx="994410" cy="129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94410" cy="1294130"/>
                    </a:xfrm>
                    <a:prstGeom prst="rect">
                      <a:avLst/>
                    </a:prstGeom>
                    <a:noFill/>
                  </pic:spPr>
                </pic:pic>
              </a:graphicData>
            </a:graphic>
          </wp:anchor>
        </w:drawing>
      </w:r>
    </w:p>
    <w:p>
      <w:pPr>
        <w:spacing w:after="0" w:line="244" w:lineRule="exact"/>
        <w:rPr>
          <w:sz w:val="20"/>
          <w:szCs w:val="20"/>
          <w:color w:val="auto"/>
        </w:rPr>
      </w:pPr>
    </w:p>
    <w:p>
      <w:pPr>
        <w:jc w:val="both"/>
        <w:ind w:left="2160"/>
        <w:spacing w:after="0" w:line="235" w:lineRule="auto"/>
        <w:rPr>
          <w:sz w:val="20"/>
          <w:szCs w:val="20"/>
          <w:color w:val="auto"/>
        </w:rPr>
      </w:pPr>
      <w:r>
        <w:rPr>
          <w:rFonts w:ascii="Calibri" w:cs="Calibri" w:eastAsia="Calibri" w:hAnsi="Calibri"/>
          <w:sz w:val="18"/>
          <w:szCs w:val="18"/>
          <w:b w:val="1"/>
          <w:bCs w:val="1"/>
          <w:color w:val="3465B0"/>
        </w:rPr>
        <w:t xml:space="preserve">Samuel Zales, Chief Operatng Ofcer and President </w:t>
      </w:r>
      <w:r>
        <w:rPr>
          <w:rFonts w:ascii="Calibri" w:cs="Calibri" w:eastAsia="Calibri" w:hAnsi="Calibri"/>
          <w:sz w:val="18"/>
          <w:szCs w:val="18"/>
          <w:i w:val="1"/>
          <w:iCs w:val="1"/>
          <w:color w:val="00002D"/>
        </w:rPr>
        <w:t>(Age 61)</w:t>
      </w:r>
      <w:r>
        <w:rPr>
          <w:rFonts w:ascii="Calibri" w:cs="Calibri" w:eastAsia="Calibri" w:hAnsi="Calibri"/>
          <w:sz w:val="18"/>
          <w:szCs w:val="18"/>
          <w:color w:val="00002D"/>
        </w:rPr>
        <w:t>. Mr. Zales has served as our Chief Operatng Ofcer since</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2D"/>
        </w:rPr>
        <w:t>September 2017 and as our President since February 2019. Mr. Zales also served as our Chief Revenue Ofcer from December 2015 to September 2017 and as our President of Dealer Operatons and Internatonal from November 2014 to December 2015. Prior to joining CarGurus, from January 2014 to October 2014, Mr. Zales was Executve Vice President of Zeta Interactve, a marketng sofware company that acquired ClickSquared, Inc., a marketng sofware company, in January 2014. From March 2013 to January 2014 Mr. Zales was Chief Executve Ofcer of ClickSquared. Prior to that, Mr. Zales was a consultant to multple technology and sofware companies and served on the boards of four venture-backed companies. From October 2008 to November 2011 Mr. Zales was President of Zoom Informaton, Inc., a sofware-as-a-service company, where he led day-to-day operatons and oversaw the company’s growth strategy into the marketng services and sales intelligence arenas. Prior to that, from January 2007 to October 2008, Mr. Zales was Chief Executve Ofcer of BuyerZone.com LLC, an online marketplace for business purchasing and a division of Reed Business Informaton, a business unit of Reed Elsevier PLC, which acquired BuyerZone.com in January 2007. From November 1999 to January 2007, Mr. Zales was President and Chief Executve Ofcer of BuyerZone.com, which he led to its acquisiton by Reed Business Informaton. Mr. Zales holds a Master of Business Administraton degree from the Kellogg Graduate School of Management at Northwestern University and a Bachelor of Arts degree from Dartmouth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-1983105</wp:posOffset>
            </wp:positionV>
            <wp:extent cx="994410" cy="129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94410" cy="1294130"/>
                    </a:xfrm>
                    <a:prstGeom prst="rect">
                      <a:avLst/>
                    </a:prstGeom>
                    <a:noFill/>
                  </pic:spPr>
                </pic:pic>
              </a:graphicData>
            </a:graphic>
          </wp:anchor>
        </w:drawing>
      </w:r>
    </w:p>
    <w:p>
      <w:pPr>
        <w:spacing w:after="0" w:line="114" w:lineRule="exact"/>
        <w:rPr>
          <w:sz w:val="20"/>
          <w:szCs w:val="20"/>
          <w:color w:val="auto"/>
        </w:rPr>
      </w:pPr>
    </w:p>
    <w:p>
      <w:pPr>
        <w:jc w:val="both"/>
        <w:ind w:left="2160"/>
        <w:spacing w:after="0" w:line="235" w:lineRule="auto"/>
        <w:rPr>
          <w:sz w:val="20"/>
          <w:szCs w:val="20"/>
          <w:color w:val="auto"/>
        </w:rPr>
      </w:pPr>
      <w:r>
        <w:rPr>
          <w:rFonts w:ascii="Calibri" w:cs="Calibri" w:eastAsia="Calibri" w:hAnsi="Calibri"/>
          <w:sz w:val="18"/>
          <w:szCs w:val="18"/>
          <w:b w:val="1"/>
          <w:bCs w:val="1"/>
          <w:color w:val="3465B0"/>
        </w:rPr>
        <w:t xml:space="preserve">Javier Zamora, General Counsel and Corporate Secretary </w:t>
      </w:r>
      <w:r>
        <w:rPr>
          <w:rFonts w:ascii="Calibri" w:cs="Calibri" w:eastAsia="Calibri" w:hAnsi="Calibri"/>
          <w:sz w:val="18"/>
          <w:szCs w:val="18"/>
          <w:i w:val="1"/>
          <w:iCs w:val="1"/>
          <w:color w:val="00002D"/>
        </w:rPr>
        <w:t>(Age 54)</w:t>
      </w:r>
      <w:r>
        <w:rPr>
          <w:rFonts w:ascii="Calibri" w:cs="Calibri" w:eastAsia="Calibri" w:hAnsi="Calibri"/>
          <w:sz w:val="18"/>
          <w:szCs w:val="18"/>
          <w:color w:val="00002D"/>
        </w:rPr>
        <w:t>. Mr. Zamora has served as our General Counsel and</w:t>
      </w:r>
      <w:r>
        <w:rPr>
          <w:rFonts w:ascii="Calibri" w:cs="Calibri" w:eastAsia="Calibri" w:hAnsi="Calibri"/>
          <w:sz w:val="18"/>
          <w:szCs w:val="18"/>
          <w:b w:val="1"/>
          <w:bCs w:val="1"/>
          <w:color w:val="3465B0"/>
        </w:rPr>
        <w:t xml:space="preserve"> </w:t>
      </w:r>
      <w:r>
        <w:rPr>
          <w:rFonts w:ascii="Calibri" w:cs="Calibri" w:eastAsia="Calibri" w:hAnsi="Calibri"/>
          <w:sz w:val="18"/>
          <w:szCs w:val="18"/>
          <w:color w:val="00002D"/>
        </w:rPr>
        <w:t>Corporate Secretary since August 2022. Prior to joining CarGurus, Mr. Zamora was VP, General Counsel &amp; Corporate Secretary of Converse, Inc., a footwear and apparel company, from February 2021 to July 2022. From March 2008 to January 2021 he served as Assistant General Counsel at Nike, Inc., a global footwear and apparel company. Prior to that, Mr. Zamora practced corporate and securites law at Hinshaw &amp; Culberston LLP, a natonal law frm based in Chicago, and was an ofcer in the military who served a tour of duty in Iraq. Mr. Zamora holds a Juris Doctor degree from DePaul University and a Bachelor of Arts degree in Politcal Science from the University of California, Los Angeles.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-890270</wp:posOffset>
            </wp:positionV>
            <wp:extent cx="994410" cy="129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441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Additonal Informaton</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following flings are available on our investor relatons website afer we fle them with the U.S. Securites and Exchange Commission, or the SEC: Annual Reports on Form 10-K, Quarterly Reports on Form 10-Q, Current Reports on Form 8-K, Proxy Statements for our annual meetngs of stockholders, and any amendments to those reports or statements. These flings are also available for download free of charge on our investor relatons website. Our investor relatons website is located at htp://investors.cargurus.com.</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webcast our earnings calls and certain events that we partcipate in or host with members of the investment community on our investor relatons website. Additonally, we provide news and announcements regarding our fnancial performance, including SEC flings, investor events, and press and earnings releases, on our investor relatons website. Corporate governance informaton, including our policies concerning business conduct and ethics, is also available on our investor relatons website under the heading “Governance.” No content from any of our websites is incorporated by reference into this Annual Report or in any other report or document we fle with the SEC, and any reference to our websites is intended to be an inactve textual reference only.</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1A. Risk Factors.</w:t>
      </w:r>
    </w:p>
    <w:p>
      <w:pPr>
        <w:spacing w:after="0" w:line="241"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i w:val="1"/>
          <w:iCs w:val="1"/>
          <w:color w:val="00002D"/>
        </w:rPr>
        <w:t>Investng in our Class A common stock involves a high degree of risk. You should carefully consider the risks and uncertaintes described below, some of which have previously occurred and any of which may occur in the future, together with all of the other informaton contained in this Annual Report, including “Management’s Discussion and Analysis of Financial Conditon and Results of Operatons” and our audited consolidated fnancial statements and related notes, before evaluatng our business. Our business, fnancial conditon, operatng results, cash fow, and prospects could be materially and adversely afected by any of these risks or uncertaintes. In that event, the trading price of our Class A common stock could decline. See “Special Note Regarding Forward‑Looking Statements.”</w:t>
      </w:r>
    </w:p>
    <w:p>
      <w:pPr>
        <w:spacing w:after="0" w:line="15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Summary Risk Factors</w:t>
      </w:r>
    </w:p>
    <w:p>
      <w:pPr>
        <w:spacing w:after="0" w:line="232"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00002D"/>
        </w:rPr>
        <w:t>Our business is subject to a number of risks, including risks that may prevent us from achieving our business objectves or may adversely afect our business, fnancial conditon, operatng results, cash fow, and prospects. These risks are discussed more fully below and include, but are not limited to, risks related to:</w:t>
      </w:r>
    </w:p>
    <w:p>
      <w:pPr>
        <w:spacing w:after="0" w:line="183"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Risks Related to Our Business and Industry</w:t>
      </w:r>
    </w:p>
    <w:p>
      <w:pPr>
        <w:spacing w:after="0" w:line="137" w:lineRule="exact"/>
        <w:rPr>
          <w:sz w:val="20"/>
          <w:szCs w:val="20"/>
          <w:color w:val="auto"/>
        </w:rPr>
      </w:pPr>
    </w:p>
    <w:p>
      <w:pPr>
        <w:jc w:val="both"/>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Our business is substantally dependent on our relatonships with dealers. If a signifcant number of dealers terminate their subscripton agreements with us and/or dealer closures or consolidatons occur that reduce demand for our products, our business and fnancial results would be materially and adversely afected.</w:t>
      </w:r>
    </w:p>
    <w:p>
      <w:pPr>
        <w:spacing w:after="0" w:line="124" w:lineRule="exact"/>
        <w:rPr>
          <w:rFonts w:ascii="Times New Roman" w:cs="Times New Roman" w:eastAsia="Times New Roman" w:hAnsi="Times New Roman"/>
          <w:sz w:val="18"/>
          <w:szCs w:val="18"/>
          <w:color w:val="00002D"/>
        </w:rPr>
      </w:pPr>
    </w:p>
    <w:p>
      <w:pPr>
        <w:ind w:left="1020" w:right="20" w:hanging="503"/>
        <w:spacing w:after="0" w:line="235" w:lineRule="auto"/>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If we fail to maintain or increase the number of dealers that pay subscripton fees to us, or fail to maintain or increase the fees paid to us for subscriptons, our business and fnancial results would be materially and adversely afected.</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Our business is subject to risks related to the larger automotve industry ecosystem, which could have a material adverse efect on our business, revenue, results of operatons, and fnancial conditon.</w:t>
      </w:r>
    </w:p>
    <w:p>
      <w:pPr>
        <w:spacing w:after="0" w:line="118"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If the CarOfer business and/or our combined oferings do not grow, our revenue and business could be adversely afected.</w:t>
      </w:r>
    </w:p>
    <w:p>
      <w:pPr>
        <w:spacing w:after="0" w:line="122" w:lineRule="exact"/>
        <w:rPr>
          <w:rFonts w:ascii="Times New Roman" w:cs="Times New Roman" w:eastAsia="Times New Roman" w:hAnsi="Times New Roman"/>
          <w:sz w:val="18"/>
          <w:szCs w:val="18"/>
          <w:color w:val="00002D"/>
        </w:rPr>
      </w:pPr>
    </w:p>
    <w:p>
      <w:pPr>
        <w:ind w:left="1020" w:right="20" w:hanging="503"/>
        <w:spacing w:after="0" w:line="235" w:lineRule="auto"/>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If we are unable to provide a compelling experience to consumers on our marketplaces, connectons between consumers and dealers using our marketplaces may decline and our business and fnancial results would be materially and adversely afected.</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Any inability by us to develop new products, adapt to new technologies, or achieve widespread consumer and dealer adopton of those products could negatvely impact our business and fnancial results.</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We rely, in part, on internet search engines to drive trafc to our websites, and if we fail to appear prominently in the search results, our trafc would decline and our business would be adversely afected.</w:t>
      </w:r>
    </w:p>
    <w:p>
      <w:pPr>
        <w:spacing w:after="0" w:line="123"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Our future revenue is uncertain, including due to potental macroeconomic efects, including fnancial market volatlity and disrupton, infatonary concerns, changes in tax laws and regulatons, interest and currency exchange rates, uncertain economic conditons in the U.S. and abroad, and additonal tarifs, including as a result of the recent U.S. presidental electon.</w:t>
      </w:r>
    </w:p>
    <w:p>
      <w:pPr>
        <w:spacing w:after="0" w:line="124"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We may require additonal capital to pursue our business objectves and respond to business opportunites, challenges, or unforeseen circumstances. If we are unable to generate sufcient cash fows or if capital is not available to us, our business, operatng results, fnancial conditon, and prospects could be adversely afected.</w:t>
      </w:r>
    </w:p>
    <w:p>
      <w:pPr>
        <w:spacing w:after="0" w:line="119"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Our internatonal operatons involve risks that may difer from, or are in additon to, our domestc operatonal risks.</w:t>
      </w:r>
    </w:p>
    <w:p>
      <w:pPr>
        <w:spacing w:after="0" w:line="122"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1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Our goodwill, intangible assets, and other assets have been subject to impairment in the past and may be subject to further impairment in the future, which could have a material adverse efect on our results of operatons, fnancial conditon, or future operatng results.</w:t>
      </w:r>
    </w:p>
    <w:p>
      <w:pPr>
        <w:spacing w:after="0" w:line="123" w:lineRule="exact"/>
        <w:rPr>
          <w:rFonts w:ascii="Times New Roman" w:cs="Times New Roman" w:eastAsia="Times New Roman" w:hAnsi="Times New Roman"/>
          <w:sz w:val="18"/>
          <w:szCs w:val="18"/>
          <w:color w:val="00002D"/>
        </w:rPr>
      </w:pPr>
    </w:p>
    <w:p>
      <w:pPr>
        <w:jc w:val="both"/>
        <w:ind w:left="1020" w:hanging="503"/>
        <w:spacing w:after="0" w:line="258" w:lineRule="auto"/>
        <w:tabs>
          <w:tab w:leader="none" w:pos="1020" w:val="left"/>
        </w:tabs>
        <w:numPr>
          <w:ilvl w:val="0"/>
          <w:numId w:val="14"/>
        </w:numPr>
        <w:rPr>
          <w:rFonts w:ascii="Times New Roman" w:cs="Times New Roman" w:eastAsia="Times New Roman" w:hAnsi="Times New Roman"/>
          <w:sz w:val="17"/>
          <w:szCs w:val="17"/>
          <w:color w:val="00002D"/>
        </w:rPr>
      </w:pPr>
      <w:r>
        <w:rPr>
          <w:rFonts w:ascii="Calibri" w:cs="Calibri" w:eastAsia="Calibri" w:hAnsi="Calibri"/>
          <w:sz w:val="17"/>
          <w:szCs w:val="17"/>
          <w:color w:val="00002D"/>
        </w:rPr>
        <w:t>We depend on key personnel to operate our business, and if we are unable to retain, atract, and integrate highly qualifed personnel, or if we experience turnover of our key personnel, our ability to develop and successfully grow our business could be materially and adversely afected.</w:t>
      </w:r>
    </w:p>
    <w:p>
      <w:pPr>
        <w:spacing w:after="0" w:line="19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20" w:hanging="503"/>
        <w:spacing w:after="0" w:line="235" w:lineRule="auto"/>
        <w:tabs>
          <w:tab w:leader="none" w:pos="1020" w:val="left"/>
        </w:tabs>
        <w:numPr>
          <w:ilvl w:val="0"/>
          <w:numId w:val="15"/>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We may be subject to disputes regarding the accuracy of IMV, Deal Ratngs, Dealer Ratngs, New Car Price Informaton, and other features of our marketplaces.</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15"/>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We are subject to a complex framework of laws and regulatons, many of which are unsetled, stll developing, and contradictory, which have in the past, and could in the future, subject us to claims, challenge our business model or otherwise harm our business.</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15"/>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 signifcant disrupton in service on our websites or mobile applicatons could damage our reputaton and result in a loss of consumers, which could harm our business, brands, operatng results, and fnancial conditon.</w:t>
      </w:r>
    </w:p>
    <w:p>
      <w:pPr>
        <w:spacing w:after="0" w:line="123"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15"/>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We and our third-party service providers collect, process, store, transfer, share, disclose, and use consumer informaton and other data, and the actual or perceived failure of us or our third-party service providers to protect such informaton and data or respect users’ privacy could expose us to liability and adversely afect our reputaton, brands, business, and operatng results.</w:t>
      </w:r>
    </w:p>
    <w:p>
      <w:pPr>
        <w:spacing w:after="0" w:line="124"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15"/>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Our ability to atract consumers to our websites and to provide certain services to our customers depends on the collecton of consumer data from various sources, which may be restricted by consumer choice, privacy restrictons, and developments in laws, regulatons, and industry standards.</w:t>
      </w:r>
    </w:p>
    <w:p>
      <w:pPr>
        <w:spacing w:after="0" w:line="119"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Failure to adequately protect our intellectual property could harm our business and operatng results.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We may be unable to halt the operatons of websites that aggregate or misappropriate our data.</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Seasonality and other factors may cause fuctuatons in our operatng results and our marketng spend.</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Failure to deal efectvely with fraud or other illegal actvity could harm our business.</w:t>
      </w:r>
    </w:p>
    <w:p>
      <w:pPr>
        <w:spacing w:after="0" w:line="198"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Risks Related to Our Class A Common Stock</w:t>
      </w:r>
    </w:p>
    <w:p>
      <w:pPr>
        <w:spacing w:after="0" w:line="137" w:lineRule="exact"/>
        <w:rPr>
          <w:sz w:val="20"/>
          <w:szCs w:val="20"/>
          <w:color w:val="auto"/>
        </w:rPr>
      </w:pPr>
    </w:p>
    <w:p>
      <w:pPr>
        <w:ind w:left="1020" w:hanging="503"/>
        <w:spacing w:after="0" w:line="235" w:lineRule="auto"/>
        <w:tabs>
          <w:tab w:leader="none" w:pos="1020" w:val="left"/>
        </w:tabs>
        <w:numPr>
          <w:ilvl w:val="0"/>
          <w:numId w:val="1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Our founder controls a majority of the votng power of our outstanding capital stock, and, therefore, has control over key decision-making and could control our actons in a manner that conficts with the interests of other stockholders.</w:t>
      </w:r>
    </w:p>
    <w:p>
      <w:pPr>
        <w:spacing w:after="0" w:line="123" w:lineRule="exact"/>
        <w:rPr>
          <w:rFonts w:ascii="Times New Roman" w:cs="Times New Roman" w:eastAsia="Times New Roman" w:hAnsi="Times New Roman"/>
          <w:sz w:val="18"/>
          <w:szCs w:val="18"/>
          <w:color w:val="00002D"/>
        </w:rPr>
      </w:pPr>
    </w:p>
    <w:p>
      <w:pPr>
        <w:ind w:left="1020" w:right="20" w:hanging="503"/>
        <w:spacing w:after="0" w:line="235" w:lineRule="auto"/>
        <w:tabs>
          <w:tab w:leader="none" w:pos="1020" w:val="left"/>
        </w:tabs>
        <w:numPr>
          <w:ilvl w:val="0"/>
          <w:numId w:val="1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The trading price of our Class A common stock has been and may contnue to be volatle and the value of our stockholders’ investment in our stock could decline.</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1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There can be no assurance that we will contnue to repurchase shares or that our share repurchase program will enhance stockholder value, and share repurchases could afect the price of our Class A common stock.</w:t>
      </w:r>
    </w:p>
    <w:p>
      <w:pPr>
        <w:spacing w:after="0" w:line="199"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General Risk Factors</w:t>
      </w:r>
    </w:p>
    <w:p>
      <w:pPr>
        <w:spacing w:after="0" w:line="137" w:lineRule="exact"/>
        <w:rPr>
          <w:sz w:val="20"/>
          <w:szCs w:val="20"/>
          <w:color w:val="auto"/>
        </w:rPr>
      </w:pPr>
    </w:p>
    <w:p>
      <w:pPr>
        <w:ind w:left="1020" w:hanging="503"/>
        <w:spacing w:after="0" w:line="235" w:lineRule="auto"/>
        <w:tabs>
          <w:tab w:leader="none" w:pos="1020" w:val="left"/>
        </w:tabs>
        <w:numPr>
          <w:ilvl w:val="0"/>
          <w:numId w:val="17"/>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We partcipate in a highly compettve market, and pressure from existng and new companies may adversely afect our business and operatng results.</w:t>
      </w:r>
    </w:p>
    <w:p>
      <w:pPr>
        <w:spacing w:after="0" w:line="118"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We expect our results of operatons to fuctuate on a quarterly and annual basis.</w:t>
      </w:r>
    </w:p>
    <w:p>
      <w:pPr>
        <w:spacing w:after="0" w:line="198"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Risks Related to Our Business and Industry</w:t>
      </w:r>
    </w:p>
    <w:p>
      <w:pPr>
        <w:spacing w:after="0" w:line="239"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3465B0"/>
        </w:rPr>
        <w:t>Our business is substantally dependent on our relatonships with dealers. If a signifcant number of dealers terminate their subscripton agreements with us and/or dealer closures or consolidatons occur that reduce demand for our products, our business and fnancial results would be materially and adversely afected.</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 signifcant source of our revenue consists of subscripton fees paid to us by dealers for access to enhanced features on our automotve marketplaces. The majority of our contracts with dealers currently provide for one-month commited terms and do not contain contractual obligatons requiring a dealer to maintain its relatonship with us beyond the commited term. If a signifcant number of our paying dealers independently or under advisement from infuental groups (such as dealer associatons, regulators, automotve manufacturers, and consumer advocates) decide to terminate their subscriptons with us, our business and fnancial results would be materially and adversely afected.</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Additonally, in the past, the number of U.S. dealers has declined due to dealership closures and consolidatons as a result of industry dynamics and macroeconomic issues. When dealers consolidate, the services they previously purchased separately are ofen purchased by the combined entty in a lesser quantty or for a lower aggregate price than before, leading to volume compression and loss of revenue. Further dealership consolidatons or closures could reduce the aggregate demand for our products and services. In additon, further proliferaton of automotve manufacturer direct-to-consumer sales models could result in a decline in the number of U.S. dealers and consolidaton in buying power. If dealership closures and consolidatons occur in the future, our business and fnancial results would be materially and adversely afected.</w:t>
      </w:r>
    </w:p>
    <w:p>
      <w:pPr>
        <w:spacing w:after="0" w:line="229"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If we fail to maintain or increase the number of dealers that pay subscripton fees to us, or fail to maintain or increase the fees paid to us for subscriptons, our business and fnancial results would be materially and adversely afected.</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If paying dealers do not receive the volume of consumer connectons that they expect during their subscripton period, do not experience the level of car sales they expect from those connectons, or fail to atribute consumer connectons or sales to our platorm, they may terminate their subscriptons prior to the commencement of the applicable renewal term. If we fail to maintain or increase the number of paying dealers or fail to maintain or increase the level of fees that we receive from them, our business and fnancial results would be materially and adversely afected.</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allow dealers to list their inventory in our marketplaces for free; however, we impose certain limitatons on such free listngs. In the future, we may decide to impose additonal restrictons on Restricted Listngs or modify the services available to non-paying dealers. These changes to our Restricted Listngs product may result in less inventory being displayed to consumers, which may impair our eforts to atract consumers, and cause paying and non-paying dealers to receive fewer leads and connectons, which may make it more difcult for us to convert non-paying dealers to paying dealers or maintain or increase the number of paying dealers. If dealers do not subscribe to our paid oferings at the rates we expect, our business and fnancial results would be materially and adversely afected.</w:t>
      </w:r>
    </w:p>
    <w:p>
      <w:pPr>
        <w:spacing w:after="0" w:line="229"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Our business is subject to risks related to the larger automotve industry ecosystem, which could have a material adverse efect on our business, revenue, results of operatons, and fnancial conditon.</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Decreases in consumer demand could adversely afect the market for automobile purchases and, in turn, reduce the number of consumers using our platorm. Consumer purchases of new and used automobiles generally decline during recessionary periods and other periods in which disposable income is adversely afected. Purchases of new and used automobiles are typically discretonary for consumers and have been, and may contnue to be, afected by negatve trends, including:</w:t>
      </w:r>
    </w:p>
    <w:p>
      <w:pPr>
        <w:spacing w:after="0" w:line="120"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energy costs;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the availability and cost of credit;</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increased interest rates;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infaton;</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reductons in business and consumer confdence;</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stock market volatlity;</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unemployment levels;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government shutdowns, politcal unrest, or uncertainty; and</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other global economic conditons.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Further, in recent years the market for motor vehicles has experienced rapid changes in technology and consumer demands. Self-driving technology, ride sharing, transportaton networks, and other fundamental changes in transportaton could impact consumer demand for the purchase of automobiles. A reducton in the number of automobiles purchased by consumers could adversely afect dealers and car manufacturers and lead to a reducton in other spending by these groups, including targeted incentve programs. In additon, our business has been and may contnue to be negatvely afected by challenges to the larger automotve industry ecosystem, including:</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global supply chain challenges;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labor disruptons, work stoppages, or strikes;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economic instability;</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changes in tax laws and regulatons;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export controls;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changes to trade policies, including higher tarif rates and customs dutes;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economic sanctons and trade restrictons;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geopolitcal tensions and military conficts; and</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other macroeconomic issues, including increased interest rates and infaton.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Both the availability and cost of credit are factors afectng consumer confdence, which is a critcal driver of vehicle sales for our consumers and dealers. Additonally, vehicle afordability for our consumers is becoming more challenging due to a combinaton of factors, including elevated vehicle pricing resultng from infatonary cost increases and declines in inventory supply, rising vehicle fnance costs due to increased interest rates, and rising auto insurance rates. These factors could have a material adverse efect on our business, revenue, results of operatons, and fnancial conditon.</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3465B0"/>
        </w:rPr>
        <w:t>If the CarOfer business and/or our combined oferings do not grow, our revenue and business could be adversely afected.</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Digital Wholesale segment revenue, which is comprised of wholesale revenue and product revenue, decreased $118.3 million, or 55%, in the year ended December 31, 2024, compared to the year ended December 31, 2023, and represented 11% of total revenue for the year ended December 31, 2024, compared to 24% of total revenue for the year ended December 31, 2023. There can be no assurances that we will be able to increase the revenue atributable to our Digital Wholesale segment or whether such segment will be able to achieve proftable growth in the future. Our ability to grow our Digital Wholesale segment and the revenue associated with it depends on a number of factors, including, but not limited to, our ability to:</w:t>
      </w:r>
    </w:p>
    <w:p>
      <w:pPr>
        <w:spacing w:after="0" w:line="121"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expand the number of dealers engaging on the CarOfer platorm;</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retain existng customers and increase the share of wholesale transactons that they complete on the CarOfer platorm;</w:t>
      </w:r>
    </w:p>
    <w:p>
      <w:pPr>
        <w:spacing w:after="0" w:line="122"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20"/>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atract prospectve customers who have historically purchased or sold vehicles through physical auctons and may choose not to transact online; and</w:t>
      </w:r>
    </w:p>
    <w:p>
      <w:pPr>
        <w:spacing w:after="0" w:line="123"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20"/>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successfully compete with compettors, including other online vehicle aucton companies and large, natonal ofine vehicle aucton companies that are expanding into the online channel and have launched online auctons in connecton with their physical auctons.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Additonally, our ability to grow Instant Max Cash Ofer and the revenue associated with it depends on a number of factors, including our ability to efectvely scale and market Instant Max Cash Ofer; atract consumers to sell their vehicles online through Instant Max Cash Ofer; and successfully compete with compettors, including online dealerships. If our antcipated transacton synergies do not fully materialize, or the CarOfer business and/or Instant Max Cash Ofer fail to grow at the rate we expect, our revenue and business could be adversely afected.</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While we have taken actons intended to improve the operatonal efciency at CarOfer and to capitalize on synergies between the CarOfer platorm and our other businesses, there are no assurances that we will be able to improve the performance of our CarOfer platorm or increase the revenue derived from our Digital Wholesale segment.</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Industry conditons such as a signifcant change in retail vehicle prices or a decline in the used vehicle inventory supply coming to the wholesale market could also adversely impact CarOfer’s business and growth. For example, if retail prices for used vehicles rise relatve to retail prices for new vehicles, it could make buying a new vehicle more atractve to consumers than buying a used vehicle, which could result in reduced used vehicle wholesale sales on the CarOfer platorm. Used vehicle dealers may also decide to retail more of their vehicles, which could adversely impact the volume of vehicles ofered for sale on the CarOfer platorm. In additon, the decline in the supply of inventory and increase in the cost of fnancing have, among other factors, led to an increase in wholesale</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aucton prices and the prices that dealers charge consumers for automobiles. We also face inventory risk in connecton with vehicles acquired by CarOfer via arbitraton, including the risk of inventory obsolescence, a decline in values, and signifcant inventory write-downs or write-ofs, as well as increased costs associated with the arbitraton process. Such inventory risk and costs would be higher if arbitratons increase, which is more likely to occur in connecton with declining wholesale market conditons.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Furthermore, actvity on the CarOfer platorm has in the past fuctuated, and may again in the future fuctuate, from period to period based on macroeconomic conditons and changing demand requirements, which could adversely impact our revenue, results of operatons, and fnancial conditon for such period(s). Macroeconomic issues, including increased interest rates and lower consumer confdence, could also adversely impact dealer demand for sourcing inventory and, therefore, lead to a reducton in the number of vehicle wholesale sales on the CarOfer platorm and/or transacted via Instant Max Cash Ofer, which would adversely impact CarOfer’s business and fnancial results. Additonally, inventory challenges in the automotve industry have contributed and could contnue to contribute to a decrease in the supply of vehicles coming to the wholesale market and reduce the number of vehicles sold on the CarOfer platorm and/or transacted via Instant Max Cash Ofer. An inability by CarOfer to retain customers and/or increase or fnd alternatve sources of vehicle supply could adversely impact our revenue and business.</w:t>
      </w:r>
    </w:p>
    <w:p>
      <w:pPr>
        <w:spacing w:after="0" w:line="23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3465B0"/>
        </w:rPr>
        <w:t>We may fail to successfully integrate CarOfer and/or fail to fully realize all of the antcipated benefts of the 2023 CarOfer Transacton, which could harm our business, brands, operatng results, and fnancial conditon.</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December 1, 2023, we completed our acquisiton of the remaining minority equity interests in CarOfer, or the 2023 CarOfer Transacton. Successful integraton of CarOfer’s operatons and personnel into our existng operatons places an additonal burden on management and other internal resources. The integraton process could distract our management, disrupt our ongoing business, or result in inconsistencies in our services, standards, controls, procedures, and policies, any of which could adversely afect our ability to maintain relatonships with customers and employees or to achieve the antcipated benefts of the 2023 CarOfer Transacton, which could, in turn, harm our business, brands, operatng results, and fnancial conditon.</w:t>
      </w:r>
    </w:p>
    <w:p>
      <w:pPr>
        <w:spacing w:after="0" w:line="22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3465B0"/>
        </w:rPr>
        <w:t>If dealers or other advertsers reduce their spending with us, our advertsing revenue and business and our fnancial results would be harmed.</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 porton of our revenue is derived from advertsing revenue generated primarily through short-term advertsing sales, including on-site advertsing and audience targetng services, to dealers, auto manufacturers, and other auto-related brand advertsers as well as non-endemic programmatc advertsers. We compete for this advertsing revenue with other online automotve marketplaces and with traditonal media, such as television, radio, magazines, newspapers, automotve publicatons, billboards, and other ofine advertsing channels. Our ability to atract and retain advertsers and to generate advertsing revenue depends on a number of factors, including our ability to:</w:t>
      </w:r>
    </w:p>
    <w:p>
      <w:pPr>
        <w:spacing w:after="0" w:line="12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increase the number of consumers using our marketplaces;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compete efectvely for advertsing spending with other online automotve marketplaces;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contnue to develop our advertsing products;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keep pace with changes in technology and the practces and oferings of our compettors, including the use of AI;</w:t>
      </w:r>
    </w:p>
    <w:p>
      <w:pPr>
        <w:spacing w:after="0" w:line="122"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21"/>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keep pace with changes to data privacy regulatons as well as the implementaton of consent mechanisms to support the changing regulatory landscape; and</w:t>
      </w:r>
    </w:p>
    <w:p>
      <w:pPr>
        <w:spacing w:after="0" w:line="118"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ofer an atractve ROI to our advertsers for their advertsing spend with us.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It is possible that advertsing customers will cancel or reduce their advertsing with us for a variety of reasons, including macroeconomic issues, such as increased interest rates and other maters that infuence consumer spending. In additon, a decline in the number of consumer visits to our sites could have an adverse impact on our advertsing revenue. We may not succeed in capturing a greater share of our advertsers’ spending if we are unable to convince advertsers of the efectveness or superiority of our advertsing oferings as compared to alternatve channels. If current advertsers reduce their advertsing spending with us and we are unable to replace such reduced advertsing spending, our advertsing revenue and business and fnancial results would be harmed.</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3465B0"/>
        </w:rPr>
        <w:t>If we are unable to provide a compelling experience to consumers on our marketplaces, connectons between consumers and dealers using our marketplaces may decline and our business and fnancial results would be materially and adversely afected.</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If we are unable to provide a compelling experience to consumers on our marketplaces, the number of connectons between consumers and dealers using our marketplaces may decline, which, in turn, could lead dealers to stop listng their inventory in our marketplaces, cancel their subscriptons, or reduce their spending with us. If dealers pause or cancel listng their inventory in our marketplaces, we may not be able to atract a large consumer audience, which may cause other dealers to pause or cancel their use of our marketplaces. This reducton in the amount of inventory available on our marketplaces would materially and adversely afect our business and fnancial results. Our ability to provide a compelling consumer experience, both on desktop computers and through mobile devices, is subject to a number of factors, including our ability to:</w:t>
      </w:r>
    </w:p>
    <w:p>
      <w:pPr>
        <w:spacing w:after="0" w:line="12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maintain atractve marketplaces for consumers and dealers;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contnue to innovate and introduce products for our marketplaces;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antcipate or adapt to new and changing technologies, including the use of AI, and consumer requirements on a tmely basis;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launch new products that are efectve and have a high degree of consumer engagement;</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display a wide variety of automobile inventory to atract more consumers to our websites;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provide mobile applicatons that engage consumers;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maintain the compatbility of our mobile applicatons with operatng systems and with mobile devices running such operatng systems; and</w:t>
      </w:r>
    </w:p>
    <w:p>
      <w:pPr>
        <w:spacing w:after="0" w:line="122"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2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access and analyze a sufcient amount of data to enable us to provide relevant informaton to consumers, including pricing informaton and accurate vehicle details.</w:t>
      </w:r>
    </w:p>
    <w:p>
      <w:pPr>
        <w:spacing w:after="0" w:line="225"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Any inability by us to develop new products, adapt to new technologies, or achieve widespread consumer and dealer adopton of those products could negatvely impact our business and fnancial results.</w:t>
      </w:r>
    </w:p>
    <w:p>
      <w:pPr>
        <w:spacing w:after="0" w:line="223"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00002D"/>
        </w:rPr>
        <w:t>Our success depends on our contnued innovaton to provide products that make our marketplaces, websites, and mobile applicatons useful for consumers and dealers or that otherwise provide value to consumers and dealers, including, for example, features of vehicle listng, research, search, and transactonal oferings. A failure by us to capture the benefts that we expect from these product investments could negatvely impact our business and fnancial results.</w:t>
      </w:r>
    </w:p>
    <w:p>
      <w:pPr>
        <w:spacing w:after="0" w:line="205"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00002D"/>
        </w:rPr>
        <w:t>We also antcipate that over tme our investments in our current products may become less productve and the growth of our revenue will require more focus on developing new products. These new products must be widely adopted by consumers and dealers in order for us to contnue to atract consumers to our marketplaces and dealers to our products and services. Accordingly, we must contnually invest resources in product, technology, and development to improve the atractveness of our marketplaces and adapt to new and changing technologies and consumer requirements. Our ability to engage in these actvites may decline as a result of macroeconomic factors and any cost-savings initatves on our business. These product, technology, and development expenses may include costs of hiring additonal personnel and retaining our current employees, engaging third-party service providers, and conductng other research and development actvites. There can be no assurance that innovatons to our products, like Instant Max Cash Ofer or Top Dealer Ofers, or the development of future products, will increase consumer or dealer engagement, achieve market acceptance, create additonal revenue, or become proftable. There can also be no assurance that our future products will meet consumer expectatons in light of new technologies ofered by others in the marketplace.</w:t>
      </w:r>
    </w:p>
    <w:p>
      <w:pPr>
        <w:spacing w:after="0" w:line="2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additon, revenue relatng to new products is typically unpredictable and our new products may have lower gross margins, lower retenton rates, and higher marketng and sales costs than our existng products. We are likely to contnue to modify our pricing models for both existng and new products so that our prices for our oferings refect the value those oferings are providing to consumers and dealers. Our pricing models may not efectvely refect the value of products to dealers and if we are unable to provide marketplaces and products that consumers and dealers want to use, they may reduce or cease the use of our marketplaces and products. Without innovatve marketplaces and related products, we may be unable to atract additonal, unique consumers or retain current consumers, which could afect the number of dealers that become paying dealers and the number of advertsers that want to</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advertse in our marketplaces as well as the amounts that they are willing to pay for our products, which could, in turn, negatvely impact our business and fnancial results.</w:t>
      </w:r>
    </w:p>
    <w:p>
      <w:pPr>
        <w:spacing w:after="0" w:line="225"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We rely, in part, on internet search engines to drive trafc to our websites, and if we fail to appear prominently in the search results, our trafc would decline and our business would be adversely afected.</w:t>
      </w:r>
    </w:p>
    <w:p>
      <w:pPr>
        <w:spacing w:after="0" w:line="223"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00002D"/>
        </w:rPr>
        <w:t>We rely, in part, on internet search engines such as Google, Bing, and Yahoo! to drive trafc to our websites. The number of consumers we atract to our marketplaces from search engines is due in part to how and where our websites rank in unpaid search results. These rankings can be afected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compettors’ internet search engine optmizaton eforts may result in their websites receiving higher search result rankings than ours, or internet search engines could change their methodologies and/or introduce competng products in a way that would adversely afect our search result rankings. If internet search engines modify their methodologies in ways that are detrimental to us, as they have done from tme to tme, or if our eforts to improve our search engine optmizaton are unsuccessful or less successful than our compettors’ eforts, our ability to atract a large consumer audience could diminish, trafc to our marketplaces could decline, and the number of leads that we send to our dealers could be adversely impacted. Additonally, competng products from internet search engine providers, such as those that provide dealer and vehicle pricing and other informaton directly in search results or decreases in consumer use of search engines, for example, as a result of the contnued development of AI technology, could also adversely impact trafc to our websites and the number of leads that we are able to send to our dealers. Our business would also be adversely afected if internet search engine providers choose to align with our compettors. Reductons in our own search advertsing spend, more aggressive spending by our compettors, or increased costs from internet search engines could cause us to incur higher advertsing costs and/or reduce our market visibility to prospectve users, which could, in turn, adversely impact our ability to atract a large consumer audience, the amount of trafc to our marketplaces, and the number of leads that we send to our dealers. Our websites have experienced fuctuatons in organic and paid search result rankings in the past, and we antcipate fuctuatons in the future. Any reducton in the number of consumers directed to our websites through internet search engines would harm our business and operatng results.</w:t>
      </w:r>
    </w:p>
    <w:p>
      <w:pPr>
        <w:spacing w:after="0" w:line="200" w:lineRule="exact"/>
        <w:rPr>
          <w:sz w:val="20"/>
          <w:szCs w:val="20"/>
          <w:color w:val="auto"/>
        </w:rPr>
      </w:pPr>
    </w:p>
    <w:p>
      <w:pPr>
        <w:spacing w:after="0" w:line="237"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3465B0"/>
        </w:rPr>
        <w:t>We may be unable to maintain or grow relatonships with data providers, or may experience interruptons in the data they provide, which may create a less valuable or transparent shopping experience and negatvely afect our business and operatng results.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obtain data from many third-party data providers, including inventory management systems, automotve website providers, customer relatonship management systems, dealer management systems, governmental enttes, and third-party data brokers or licensors. Our business relies on our ability to obtain data for the beneft of consumers and dealers using our marketplaces and ourselves. For example, our success in each market is dependent in part upon our ability to obtain and maintain inventory data and other vehicle informaton for those markets. The loss or interrupton of such inventory data or other vehicle informaton could decrease the number of consumers and dealers using our marketplaces. We could experience interruptons in our data access for a number of reasons, including difcultes in renewing our agreements with data providers, changes to the sofware used by data providers, eforts by industry partcipants to restrict access to data, and increased fees we may be charged by data providers. Our marketplaces could be negatvely afected if any current provider terminates its relatonship with us or our service from any provider is interrupted. If there is a material disrupton in the data provided to us, the informaton that we provide to consumers and dealers using our marketplaces may be limited. In additon, the quality, accuracy, and tmeliness of this informaton may sufer, which may lead to a less valuable or transparent shopping experience for consumers using our marketplaces and could negatvely afect our business and operatng results.</w:t>
      </w: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The failure to build, maintain, and protect our brands would harm our ability to atract a large consumer audience and to expand the use of our marketplaces by consumers and dealers.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Maintaining and enhancing our brands will depend largely on the success of our eforts to maintain the trust of consumers and dealers and to deliver value to each consumer and dealer using our marketplaces. Our ability to protect our brands is also impacted by the success of our eforts to optmize our signifcant brand spend and overcome the intense competton in brand marketng across our industry, including compettors that may imitate our messaging. In additon, we have reduced our brand spend in comparison to our pre-COVID-19 pandemic levels, and it is possible that we may in the future decide to further reduce such spend depending on macroeconomic conditons. If consumers believe that we are not focused on providing them with a beter automobile shopping</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experience, or if we fail to overcome brand marketng competton and maintain a diferentated value propositon in consumers’ minds, our reputaton and the strength of our brands may be adversely afected.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Complaints or negatve publicity about our business practces and culture, our management team and employees, our marketng and advertsing campaigns, our compliance with applicable laws and regulatons, the integrity of the data that we provide to consumers, data privacy and security issues, third party content and conduct on our websites, and other aspects of our business, irrespectve of their validity, could diminish consumers’ and dealers’ confdence and partcipaton in our marketplaces and could adversely afect our brands. There can be no assurance that we will be able to maintain or enhance our brands, and failure to do so would harm our business and operatng results.</w:t>
      </w:r>
    </w:p>
    <w:p>
      <w:pPr>
        <w:spacing w:after="0" w:line="228" w:lineRule="exact"/>
        <w:rPr>
          <w:sz w:val="20"/>
          <w:szCs w:val="20"/>
          <w:color w:val="auto"/>
        </w:rPr>
      </w:pPr>
    </w:p>
    <w:p>
      <w:pPr>
        <w:jc w:val="both"/>
        <w:spacing w:after="0"/>
        <w:rPr>
          <w:sz w:val="20"/>
          <w:szCs w:val="20"/>
          <w:color w:val="auto"/>
        </w:rPr>
      </w:pPr>
      <w:r>
        <w:rPr>
          <w:rFonts w:ascii="Calibri" w:cs="Calibri" w:eastAsia="Calibri" w:hAnsi="Calibri"/>
          <w:sz w:val="22"/>
          <w:szCs w:val="22"/>
          <w:b w:val="1"/>
          <w:bCs w:val="1"/>
          <w:i w:val="1"/>
          <w:iCs w:val="1"/>
          <w:color w:val="3465B0"/>
        </w:rPr>
        <w:t>Our future revenue is uncertain, including due to potental macroeconomic efects, including fnancial market volatlity and disrupton, infatonary concerns, changes in tax laws and regulatons, interest and currency exchange rates, uncertain economic conditons in the U.S. and abroad, and additonal tarifs, including as a result of the recent U.S. presidental electon.</w:t>
      </w:r>
    </w:p>
    <w:p>
      <w:pPr>
        <w:spacing w:after="0" w:line="200" w:lineRule="exact"/>
        <w:rPr>
          <w:sz w:val="20"/>
          <w:szCs w:val="20"/>
          <w:color w:val="auto"/>
        </w:rPr>
      </w:pPr>
    </w:p>
    <w:p>
      <w:pPr>
        <w:spacing w:after="0" w:line="28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Our revenue decreased to $894.4 million for the year ended December 31, 2024, from $914.2 million for the year ended December 31, 2023, representng a 2% decrease between such periods. Our future revenue is uncertain and could potentally be impacted by macroeconomic issues, including:</w:t>
      </w:r>
    </w:p>
    <w:p>
      <w:pPr>
        <w:spacing w:after="0" w:line="11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declining wholesale vehicle prices;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reductons in business and consumer confdence;</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labor disruptons, work stoppages, or strikes;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unemployment levels;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consumer debt levels;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fnancial market volatlity and disrupton;</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infatonary concerns;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changes in tax laws and regulatons;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interest and currency exchange rates;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uncertain economic conditons in the U.S. and abroad;</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additonal tarifs, including as a result of on the recent U.S. presidental electon;</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export controls;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geopolitcal events;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economic sanctons and trade restrictons; and</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other maters that infuence consumer spending and preferences as well as changes to the regulatory landscape.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We will also not be able to grow as expected, or at all, if we fail to:</w:t>
      </w:r>
    </w:p>
    <w:p>
      <w:pPr>
        <w:spacing w:after="0" w:line="11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increase the number of consumers using our marketplaces;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maintain and expand the number of dealers that subscribe to our marketplaces and maintain and increase the fees that they are paying;</w:t>
      </w:r>
    </w:p>
    <w:p>
      <w:pPr>
        <w:spacing w:after="0" w:line="122"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2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expand the number of dealers engaging on the CarOfer platorm and increase the share of wholesale transactons which they complete on such platorm;</w:t>
      </w:r>
    </w:p>
    <w:p>
      <w:pPr>
        <w:spacing w:after="0" w:line="118"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atract and retain advertsers placing advertsements in our marketplaces;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atract new consumers to sell their vehicles online through Instant Max Cash Ofer;</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further improve the quality of our marketplaces and introduce high quality new products; and</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increase the number of connectons between consumers and dealers using our marketplaces and connectons to paying dealers.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If our revenue declines or fails to grow, investors’ perceptons of our business may be adversely afected, and the market price of our Class A common stock could decline.</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3465B0"/>
        </w:rPr>
        <w:t>We may require additonal capital to pursue our business objectves and respond to business opportunites, challenges, or unforeseen circumstances. If we are unable to generate sufcient cash fows or if capital is not available to us, our business, operatng results, fnancial conditon, and prospects could be adversely afected.</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If we are unable to generate sufcient cash fows, we would require additonal capital to pursue our business objectves and respond to business opportunites, challenges, or unforeseen circumstances, including the efects of macroeconomic issues, as well as to make marketng expenditures to improve our brand awareness, develop new products, further improve our platorm and existng products, enhance our operatng infrastructure, and acquire complementary businesses and technologies. We may need to engage in equity or debt fnancings to secure additonal funds, in additon to our revolving credit facility associated with the Credit Agreement (as defned below), which we refer to as the 2022 Revolver. Additonal funds may not be available when we need them on terms that are acceptable to us or at all. Volatlity in the equity and credit markets, including heightened infaton and interest rate and currency rate fuctuaton, may also have an adverse efect on our ability to obtain equity or debt fnancing. An inability to obtain adequate fnancing or fnancing on terms satsfactory to us when we require it could signifcantly limit our ability to contnue to pursue our business objectves and to respond to business opportunites, challenges, or unforeseen circumstances and could adversely afect our business, operatng results, fnancial conditon, and prospects.</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3465B0"/>
        </w:rPr>
        <w:t>Our internatonal operatons involve risks that may difer from, or are in additon to, our domestc operatonal risks.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additon to the U.S., we operate marketplaces in the U.K. and Canada, which are less familiar compettve environments and involve various risks, including the need to invest signifcant resources and the likelihood that returns on such investments will not be achieved for several years, or possibly at all. We have incurred losses in prior periods in the U.K. and Canada and may incur losses there again in the future. We also face various other challenges in those jurisdictons. Our compettors may be more established or otherwise beter positoned than we are to succeed in the U.K. and Canada. Our compettors may ofer services to dealers that make dealers dependent on them, such as hostng dealers’ websites and providing inventory feeds for dealers, which would make it difcult to atract dealers to our marketplaces. Any of these barriers could impede our operatons in our internatonal markets, which could afect our business and potental growth.</w:t>
      </w:r>
    </w:p>
    <w:p>
      <w:pPr>
        <w:spacing w:after="0" w:line="2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ability to manage our business and conduct our operatons internatonally requires considerable management atenton and resources, and is subject to the partcular challenges of supportng a business in an environment of multple cultures, customs, legal and regulatory systems, alternatve dispute resoluton systems, and commercial infrastructures. Operatng internatonally may subject us to diferent risks or increase our exposure in connecton with current risks, including:</w:t>
      </w:r>
    </w:p>
    <w:p>
      <w:pPr>
        <w:spacing w:after="0" w:line="120"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adaptng our websites, mobile applicatons, and services to conform to local consumer behavior;</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increased competton from local providers and potental preferences by local populatons for local providers;</w:t>
      </w:r>
    </w:p>
    <w:p>
      <w:pPr>
        <w:spacing w:after="0" w:line="122"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2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compliance with applicable foreign laws and regulatons, including diferent privacy, consumer, fnancial, censorship, and liability standards and regulatons and diferent intellectual property laws;</w:t>
      </w:r>
    </w:p>
    <w:p>
      <w:pPr>
        <w:spacing w:after="0" w:line="118"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the enforceability of our intellectual property rights;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credit risk and higher levels of payment fraud;</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compliance with ant-bribery laws, including compliance with currency exchange rate fuctuatons;</w:t>
      </w:r>
    </w:p>
    <w:p>
      <w:pPr>
        <w:spacing w:after="0" w:line="122"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2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adverse changes in trade relatonships among foreign countries and/or between the U.S. and such countries (which could result in the potental implementaton of more restrictve trade policies, higher tarifs, or the renegotaton of existng trade agreements in the U.S. or countries that could adversely afect our supply chain and our business);</w:t>
      </w:r>
    </w:p>
    <w:p>
      <w:pPr>
        <w:spacing w:after="0" w:line="124"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26"/>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double taxaton of our internatonal earnings and potentally adverse tax consequences arising from the tax laws of the U.S. or the foreign jurisdictons in which we operate; and</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higher costs of doing business internatonally.</w:t>
      </w:r>
    </w:p>
    <w:p>
      <w:pPr>
        <w:spacing w:after="0" w:line="224"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3465B0"/>
        </w:rPr>
        <w:t>Our goodwill, intangible assets, and other assets have been subject to impairment in the past and may be subject to further impairment in the future, which could have a material adverse efect on our results of operatons, fnancial conditon, or future operatng results.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evaluate the recoverability of recognized goodwill, intangible assets, and other assets for impairment at least annually and whenever events or changes in circumstances indicate that the carrying value of the asset may not be recoverable. These impairment tests are based on several factors requiring management’s judgment, including identfcaton of triggering events for reassessment and determinaton of the fair value of related assets. If such goodwill, intangible assets, or other assets are deemed to be impaired, an impairment loss equal to the amount by which the asset group’s carrying value exceeds the fair value of the net assets would be recognized. Future events may cause impairments of our goodwill, intangible assets, or other assets based on factors such as the price of our Class A common stock, projected cash fows, assumptons used, operatonal challenges, or other variables. We cannot accurately predict the amount and tming of any impairment of goodwill, intangible assets, or other assets.</w:t>
      </w:r>
    </w:p>
    <w:p>
      <w:pPr>
        <w:spacing w:after="0" w:line="2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the three months ended June 30, 2024, we recognized a partal impairment charge of $127.5 million related to the CarOfer reportng unit. If we determine that there has been a further impairment of our goodwill, intangible assets, or other assets related to the CarOfer reportng unit or there has been an impairment of goodwill, intangible assets, or other assets, we may be required to record additonal charges, which could have a material adverse efect on our results of operatons, fnancial conditon, or future operatng results.</w:t>
      </w:r>
    </w:p>
    <w:p>
      <w:pPr>
        <w:spacing w:after="0" w:line="227"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3465B0"/>
        </w:rPr>
        <w:t>We depend on key personnel to operate our business, and if we are unable to retain, atract, and integrate highly qualifed personnel, or if we experience turnover of our key personnel, our ability to develop and successfully grow our business could be materially and adversely afected.</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believe our success has depended, and contnues to depend, on our contnuing ability to atract, develop, motvate, and retain highly qualifed and skilled employees. We have encountered intense competton for retaining and atractng highly qualifed and skilled employees. Retaining highly qualifed personnel can be infuenced by external market conditons, employee well-being, our employer reputaton, and compettve poaching. Accordingly, we have incurred, and we may contnue to incur, signifcant costs to atract new employees and retain existng ones, and we may in the future become less compettve in atractng and retaining employees as a result of any expense reducton eforts that we may initate. If we do not succeed in atractng well-qualifed employees or retaining and motvatng existng employees, our business could be materially and adversely afected.</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additon, any unplanned turnover, reduced involvement, or our failure to develop an adequate succession plan for any of our executve ofcers or key employees, or the reducton in their involvement in the management of our business, could materially adversely afect our ability to execute our business plan and strategy, and we may not be able to fnd adequate replacements on a tmely basis, or at all. Our executve ofcers and other employees are at-will, which means they may terminate their employment relatonships with us at any tme. We cannot ensure that we will be able to retain the services of any members of our senior management or other key employees. Furthermore, changes in our senior management team and other key employees have the potental to disrupt our business, and any such disrupton could adversely afect our operatons, growth, fnancial conditon, or results of operatons.</w:t>
      </w:r>
    </w:p>
    <w:p>
      <w:pPr>
        <w:spacing w:after="0" w:line="229"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We may be subject to disputes regarding the accuracy of IMV, Deal Ratngs, Dealer Ratngs, New Car Price Informaton, and other features of our marketplaces.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provide consumers using our CarGurus platorm and dealers using our CarGurus and CarOfer platorms with our proprietary IMV, Deal Ratngs, and Dealer Ratngs as well as other data insights and features to help them evaluate vehicle pricing, including New Car Price Informaton. Our valuaton models depend on the inventory listed on our websites as well as informaton regarding automotve sales. If the inventory on our websites declines signifcantly, if the number of automotve sales declines signifcantly, or if used car sales prices become volatle, whether as a result of macroeconomic efects or otherwise, our valuaton models may not perform as expected. Revisions to or errors in our automated valuaton models, or the algorithms that underlie them, may cause the IMV, the Deal Ratng, New Car Price Informaton, or other features to vary from our expectatons regarding the accuracy of these tools. In additon, from tme to tme, regulators, consumers, dealers, and other industry partcipants may queston or disagree with our IMV, Deal Ratng, Dealer Ratng, or New Car Price Informaton. Any such questons or disagreements could result in distracton from our</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business or potentally harm our reputaton, could result in a decline in consumers’ confdence in, or use of, our marketplaces, and could result in legal disputes.</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3465B0"/>
        </w:rPr>
        <w:t>We are subject to a complex framework of laws and regulatons, many of which are unsetled, stll developing, and contradictory, which have in the past, and could in the future, subject us to claims, challenge our business model, or otherwise harm our business.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Various aspects of our business are, may become, or may be viewed by regulators from tme to tme as subject, directly or indirectly, to U.S. federal, state, and local laws and regulatons and to foreign laws and regulatons.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Local Motor Vehicle Sales, Advertsing and Brokering, and Consumer Protecton Laws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advertsing and sale of new and used motor vehicles is highly regulated by the jurisdictons in which we do business. Regulatory authorites or third partes could take the positon that some of the laws or regulatons applicable to dealers or to the manner in which motor vehicles are advertsed and sold generally are directly applicable to certain aspects of our business. If our marketplaces and related products are determined to not comply with relevant regulatory requirements, we or dealers could be subject to civil and criminal penaltes, including fnes, or the award of signifcant damages in class actons or other civil litgaton, as well as orders interfering with our ability to contnue providing our marketplaces and related products and services in certain jurisdictons. In additon, even absent such a determinaton, to the extent dealers are uncertain about the applicability of such laws and regulatons to our business, we may lose or have difculty increasing the number of paying dealers, which would afect our future growth.</w:t>
      </w:r>
    </w:p>
    <w:p>
      <w:pPr>
        <w:spacing w:after="0" w:line="2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If regulators or other third partes take the positon that our marketplaces or related products violate applicable dealer licensing, brokering, bird-dog, consumer protecton, consumer fnance, or advertsing laws or regulatons, responding to such allegatons could be costly, could require us to pay signifcant sums in setlements, could require us to pay civil and criminal penaltes, including fnes, could interfere with our ability to contnue providing our marketplaces and related products in certain jurisdictons, or could require us to make adjustments to our marketplaces and related products or the manner in which we derive revenue from dealers using our platorm, any or all of which could result in substantal adverse publicity, terminaton of subscriptons by dealers, decreased revenue, distracton for our employees, increased expenses, and decreased proftability.</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Federal Laws and Regulatons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Federal Trade Commission, or the FTC, has the authority to take actons to remedy or prevent acts or practces that it considers to be unfair or deceptve and that afect commerce in the U.S. If the FTC or any other state regulatory body takes the positon in the future that any aspect of our business, including our advertsing and privacy practces, consttutes an unfair or deceptve act or practce, responding to such allegatons could require us to defend our practces and pay signifcant damages, setlements, and civil penaltes, or could require us to make adjustments to our marketplaces and related products and services, any or all of which could result in substantal adverse publicity, distracton for our employees, loss of partcipatng dealers, lost revenue, increased expenses, and decreased proftability.</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platorms enable us, dealers, and users to send and receive text messages and other mobile phone communicatons. The TCPA, as interpreted and implemented by the FCC and federal and state courts, impose signifcant restrictons on utlizaton of telephone calls and text messages to residental and mobile telephone numbers as a means of communicaton, partcularly if the prior express consent of the person being contacted has not been obtained. Violatons of the TCPA may be enforced by the FCC, by state atorneys general, or by others through litgaton, including class actons. Furthermore, several provisions of the TCPA, as well as applicable rules and orders, are open to multple interpretatons and compliance may involve fact-specifc analyses.</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Any failure by us, or the third partes on which we rely, to follow, or successfully implement, appropriate processes and procedures in response to existng or future laws and regulatons could result in legal and monetary liability, fnes, and penaltes or damage to our reputaton in the marketplace, any of which could have a material adverse efect on our business, fnancial conditon, and results of operatons. Even if the claims are meritless, we may be required to expend resources and pay costs to defend against regulatory actons or third-party claims. Additonally, any change to applicable laws or their interpretatons that further restricts the way consumers and dealers interact through our platorms, or any governmental or private enforcement actons related thereto, could adversely afect our ability to atract customers and could harm our business, fnancial conditon, results of operatons, and cash fows.</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Anttrust and Other Laws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Anttrust and competton laws prohibit, among other things, any joint conduct among compettors that would lessen competton in the marketplace. A governmental or private civil acton alleging unlawful or antcompettve actvity could be costly to defend and could harm our business, results of operatons, fnancial conditon, and cash fows.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Claims could be made against us under both U.S. and foreign laws, including claims for defamaton, libel, privacy violatons, false advertsing, unfair trade or deceptve practces, or intellectual property infringement, or claims based on other theories related to the nature and content of the materials disseminated by our marketplaces and on portons of our websites. Our defense against any of these actons could be costly and involve signifcant tme and atenton of our management and other resources. If we become liable for informaton transmited in our marketplaces, we could be directly harmed and we may be forced to implement new measures to reduce our exposure to this liability.</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foregoing descripton of laws and regulatons to which we are or may be subject is not exhaustve, and the regulatory framework governing our operatons is subject to contnuous change. We are, and we will contnue to be, exposed to legal and regulatory risks including with respect to privacy, tax, law enforcement, content, intellectual property, competton, and other maters. The enactment of new laws and regulatons or the interpretaton of existng laws and regulatons, both domestcally and internatonally, may afect the operaton of our business, directly or indirectly, which could result in substantal regulatory compliance costs, civil or criminal penaltes, including fnes, adverse publicity, loss of subscribing dealers, lost revenue, increased expenses, and decreased proftability. Further, investgatons by federal and state governmental agencies, including the FTC, into allegedly antcompettve, unfair, deceptve or other business practces by us or dealers using our marketplaces, or state atorney general ofces combining resources to investgate state privacy law violatons, could cause us to incur additonal expenses and, if adversely concluded, could result in substantal civil or criminal penaltes and signifcant legal liability, or orders requiring us to make adjustments to our marketplaces and related products and services.</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We rely on third-party service providers and strategic partners for many aspects of our business, and any failure to maintain these relatonships or to successfully integrate certain third-party platorms could harm our business.</w:t>
      </w:r>
    </w:p>
    <w:p>
      <w:pPr>
        <w:spacing w:after="0" w:line="223"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00002D"/>
        </w:rPr>
        <w:t>Our success depends upon our relatonships with third partes, including our transacton processor; our data center hosts; our informaton technology providers; our data providers for inventory and vehicle informaton; our advertsing serving platorms; and our partners for vehicle transportaton, inspecton, and other logistcs associated with our CarOfer business and Instant Max Cash Ofer. If these third partes experience difculty meetng our requirements or standards, have adverse audit results, violate the terms of our agreements or applicable law, fail to obtain or maintain applicable licenses, or if the relatonships we have established with such third partes expire or otherwise terminate, it could make it difcult for us to operate some aspects of our business, which could damage our business and reputaton. In additon, if such third-party service providers or strategic partners were to cease operatons, temporarily or permanently, face fnancial distress or other business disruptons, or increase their fees or if our relatonships with these providers or partners deteriorate or terminate, whether as a result of macroeconomic conditons or otherwise, we could sufer increased costs and we may be unable to provide similar services untl an equivalent provider could be found or we could develop replacement technology or operatons. For example, primarily in connecton with the purchase and sale of vehicles between dealers, or Dealer-to-Dealer transactons, we utlize a single third-party transacton processor that collects customer payments on our behalf and remits them to us, provides payments in advance for certain selling dealers, provides ttling services for transactons, and holds aucton licenses. If our relatonship with this third-party transacton processor were to deteriorate or terminate, we would have to identfy a succeeding transacton processor or assume in-house facilitaton of these services, which would disrupt our business and could adversely afect our revenue, results of operatons, and fnancial conditon. Furthermore, if we are unsuccessful in identfying or fnding high-quality partners, if we fail to negotate cost-efectve relatonships with them, or if we inefectvely manage these relatonships, it could have an adverse impact on our business and fnancial results.</w:t>
      </w: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enterprise systems require that we integrate the platorms hosted by certain third-party service providers. We are responsible for integratng these platorms and updatng them to maintain proper functonality. Issues with these integratons, our failure to properly update third-party platorms, or any interruptons to our internal enterprise systems could harm our business by causing delays in our ability to quote, actvate service, maintain service, and bill new and existng customers on our platorm.</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3465B0"/>
        </w:rPr>
        <w:t>A signifcant disrupton in service on our websites or mobile applicatons could damage our reputaton and result in a loss of consumers, which could harm our business, brands, operatng results, and fnancial conditon.</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brands, reputaton, and ability to atract consumers, dealers, and advertsers depend on the reliable performance of our technology infrastructure and content delivery. We have experienced, and we may in the future experience, interruptons with our systems. Interruptons in these systems could afect the security or availability of our marketplaces, and prevent or inhibit the ability of dealers and consumers to access our marketplaces. For example, past disruptons have impacted our ability to actvate customer accounts and manage our billing actvites in a tmely manner. Such interruptons have resulted, and may in the future result, in third partes accessing our confdental and proprietary informaton, including our intellectual property. Problems with the reliability or security of our systems could harm our reputaton, harm our ability to protect our confdental and proprietary informaton, result in a loss of consumers and dealers, and result in additonal costs.</w:t>
      </w:r>
    </w:p>
    <w:p>
      <w:pPr>
        <w:spacing w:after="0" w:line="2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Substantally all of the communicatons, network, and computer hardware used to operate our platorms is located in the Eastern region of the U.S., and internatonally near each of London, England; Dublin, Ireland; and Frankfurt, Germany. These facilites include hostng through Amazon Web Services, a provider of cloud infrastructure services. Although we can host our U.S. CarGurus’ marketplace from two alternatve locatons and we believe our systems are redundant, there may be exceptons for certain hardware or sofware. In additon, we do not own or control the operaton of these facilites. Any disruptons or other operatonal performance problems with these facilites or problems faced by their operators, including our cloud infrastructure service provider, could result in material interruptons in our services, adversely afect our reputaton and results of operatons, and subject us to liability. We also use third-party hostng services to back up some data but do not maintain redundant systems or facilites for some of the services. A disrupton to one or more of these systems has caused, and may in the future cause, us to experience an extended period of system unavailability, which could negatvely impact our relatonship with consumers, customers, and advertsers. Our systems and operatons are vulnerable to damage or interrupton from fre, food, extreme weather conditons, power loss, telecommunicatons failure, terrorist atacks, acts of war, electronic breaches, cyber-atacks, phishing atempts, errors by employees, physical break-ins, computer viruses, earthquakes, and similar events. The occurrence of any of these events could result in damage to our systems and hardware or could cause them to fail. In additon, we may not have sufcient protecton or recovery plans in certain circumstances.</w:t>
      </w:r>
    </w:p>
    <w:p>
      <w:pPr>
        <w:spacing w:after="0" w:line="22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Any errors, defects, disruptons, or other performance or reliability problems with our network operatons could cause interruptons in access to our marketplaces as well as delays and additonal expense in arranging new facilites and services and fxing or replacing any afected systems or hardware and could harm our reputaton, business, brands, operatng results, and fnancial conditon. Although we carry insurance, it may not be sufcient to compensate us for the potentally signifcant losses, including the potental harm to the future growth of our business, that may result from interruptons in our service as a result of system failures.</w:t>
      </w:r>
    </w:p>
    <w:p>
      <w:pPr>
        <w:spacing w:after="0" w:line="228"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b w:val="1"/>
          <w:bCs w:val="1"/>
          <w:i w:val="1"/>
          <w:iCs w:val="1"/>
          <w:color w:val="3465B0"/>
        </w:rPr>
        <w:t>We and our third-party service providers collect, process, store, transfer, share, disclose, and use consumer informaton and other data, and the actual or perceived failure of us or our third-party service providers to protect such informaton and data or respect users’ privacy could expose us to liability and adversely afect our reputaton, brands, business, and operatng results.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Some functons of our marketplaces involve the storage and transmission of consumers’ informaton, such as IP addresses and site actvity data, contact informaton of users who connect with dealers, credit applicatons, and other fnancial data and profle informaton of users who create accounts on our marketplaces as well as dealers’ informaton. We also process and store personal and confdental informaton of our vendors, partners, and employees, and we employ third-party service providers, such as payment processing providers, who also regularly have access to customer and consumer data. Some of this informaton may be sensitve, and any cybersecurity atack, data breach, or other security incident impactng such informaton, including the unauthorized acquisiton or access, compromise, or loss of such informaton, against us or our third-party service providers could expose us to a risk of loss or exposure of this informaton, which could result in potental liability, litgaton (including class acton litgaton) or regulatory acton, and remediaton costs. We rely on encrypton and authentcaton technology licensed from third partes to efect secure transmission of such informaton, and we also rely on our third-party service providers to use sufcient security measures to protect such informaton. Despite all of our eforts designed to protect this informaton, none of our security measures or those of our third-party service providers provide absolute security, and they may not be efectve in preventng a future failure of our systems. Like all informaton systems and technology, our websites, mobile applicatons, and informaton systems, and those of our third-party service providers, are subject to computer viruses, break-ins, phishing atacks, atempts to overload the systems with denial-of-service or other atacks, ransomware, and similar incidents or disruptons from unauthorized use of our or our third-party service providers’</w:t>
      </w:r>
    </w:p>
    <w:p>
      <w:pPr>
        <w:spacing w:after="0" w:line="22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systems, any of which could lead to interruptons, delays, or website shutdowns, and could cause loss of critcal data and the unauthorized disclosure, access, acquisiton, alteraton, or use of personal or other confdental informaton. If we or our third-party service providers experience compromises to data security that result in website or mobile applicaton performance or availability problems, the complete shutdown of our websites or mobile applicatons, or the loss or unauthorized disclosure, access, acquisiton, alteraton, or use of confdental informaton, consumers, customers, advertsers, partners, vendors, and employees may lose trust and confdence in us, and consumers may decrease the use of our websites or stop using our websites entrely, dealers may stop or decrease their subscriptons with us, and advertsers may decrease or stop advertsing on our websites.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Further, outside partes have atempted and will likely contnue to atempt to fraudulently induce employees, consumers, or advertsers to disclose sensitve informaton in order to gain access to our informaton or our informaton of consumers, dealers, advertsers, and employees. As cyber-atacks increase in frequency and sophistcaton, our cyber-security and disaster recovery plans may not be efectve in antcipatng, preventng, and efectvely responding to all potental cyber-risk exposures. In additon, because the techniques used to obtain unauthorized access, disable, or degrade service or sabotage systems constantly evolve, ofen are not recognized untl afer having been launched against a target, and may originate from less regulated and remote areas around the world, we may be unable to proactvely address these techniques or to implement adequate measures for preventon and detecton. For example, as AI contnues to evolve, cybercriminals could also use AI to develop malicious code and sophistcated phishing atempts.</w:t>
      </w:r>
    </w:p>
    <w:p>
      <w:pPr>
        <w:spacing w:after="0" w:line="2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Any or all of the issues above could adversely afect our brand reputaton, negatvely impact our ability to atract new consumers, and increase engagement by existng consumers, cause existng consumers to reduce or stop the use of our marketplaces or close their accounts, cause existng dealers and advertsers to cancel their contracts, cause employees to terminate their employment, cause employment candidates to be unwilling to pursue employment opportunites or accept employment ofers, and/or subject us to governmental or third-party lawsuits, investgatons, regulatory fnes, or other actons or liability, thereby harming our business, results of operatons, and fnancial conditon. Although we carry privacy, data breach, and network security liability insurance, we cannot be certain that our coverage will be adequate for liabilites actually incurred or sufcient to compensate us for the potentally signifcant losses, or that insurance will contnue to be available to us on economically reasonable terms or at all.</w:t>
      </w:r>
    </w:p>
    <w:p>
      <w:pPr>
        <w:spacing w:after="0" w:line="222"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00002D"/>
        </w:rPr>
        <w:t>There are numerous federal, natonal, state, and local laws and regulatons in the U.S. and around the world regarding privacy and the collecton, processing, storage, sharing, disclosure, use, cross-border transfer, and protecton of personal informaton and other data. These laws and regulatons are evolving, are subject to difering interpretatons, may be costly to comply with, may result in regulatory fnes, penaltes, or on-going monitoring, may subject us to investgatons and/or third-party lawsuits, may be inconsistent between countries and state-level jurisdictons, and may confict with other requirements. We seek to comply with applicable industry standards and are subject to the terms of our privacy policies and privacy-related obligatons to third partes, as well as all applicable laws and regulatons relatng to privacy and data protecton. However, given the recency of these laws and the lack of enforcement examples so far, especially in the U.S., it is possible that these obligatons may be interpreted and applied in new ways or in a manner that is inconsistent from one jurisdicton to another and may confict with other rules or our practces and that new regulatons could be enacted. Several proposals have recently become efectve or are pending, as applicable, before federal, state, local, and foreign legislatve and regulatory bodies that could signifcantly afect our business, which we refer to collectvely as the Privacy Regulatons. The Privacy Regulatons include the EU’s General Data Protecton Regulaton, the California Consumer Protecton Act, and an additonal 18 separate U.S. state consumer privacy laws that are currently in efect or will be going into efect over the next year (Colorado, Connectcut, Delaware, Indiana, Iowa, Kentucky, Maryland, Minnesota, Montana, Nebraska, New Hampshire, New Jersey, Oregon, Rhode Island, Tennessee, Texas, Utah, and Virginia). Certain of the Privacy Regulatons have already required, and certain others may further require, us to change our policies and procedures and may in the future require us to make changes to our marketplaces and other products. These and other requirements could reduce demand for our marketplaces and other oferings, require us to take on more onerous obligatons in our contracts, and restrict our ability to store, transfer, and process data, which may seriously harm our business. Similarly, the gradual industry shif away from relying on third-party cookies may require us to change our policies and procedures and, if we are not in compliance, may also seriously harm our business. We may not be entrely successful in our eforts to efectvely transiton away from third-party cookies as well as comply with the evolving regulatons to which we are subject due to various factors within our control, such as limited internal resource allocaton, or outside our control, such as a lack of vendor cooperaton, new regulatory interpretatons, or lack of regulatory guidance in respect of certain Privacy Regulatons and other statutory requirements.</w:t>
      </w: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Any failure or perceived failure by us to comply with U.S. and internatonal data protecton laws and regulatons, our privacy policies, or our privacy-related obligatons to consumers, customers, employees, and other third partes, or any compromise of security that results in the unauthorized release or transfer of data, which could include personal informaton or other user data, may result in governmental investgatons, enforcement actons, regulatory fnes, litgaton, criminal penaltes, or public statements against us by consumer advocacy groups or others, and could cause consumers and dealers to lose trust in us, which could signifcantly impact our brand reputaton and have an adverse efect on our business. Additonally, if any third party that we share informaton with experiences a security breach or fails to comply with its privacy-related legal obligatons or commitments to us, such maters may put employee, consumer, or dealer informaton at risk and could, in turn, expose us to claims for damages, regulatory fnes, penaltes, or litgaton and harm our reputaton, business, and operatng results.</w:t>
      </w:r>
    </w:p>
    <w:p>
      <w:pPr>
        <w:spacing w:after="0" w:line="230"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3465B0"/>
        </w:rPr>
        <w:t>Our ability to atract consumers to our websites and to provide certain services to our customers depends on the collecton of consumer data from various sources, which may be restricted by consumer choice, privacy restrictons, and developments in laws, regulatons, and industry standards.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success of our on-site monetzaton eforts, consumer marketng, and the delivery of digital advertsements for our customers depends on our ability to leverage data, including data that we collect from our customers, data we receive from our publisher partners and third partes, and data from our operatons. Using cookies and non-cookie technologies, such as mobile advertsing identfers, we collect informaton about the interactons of users with our customers’ and publishers’ digital propertes (including, for example, informaton about the placement of advertsements and users’ shopping or other interactons with our customers’ websites or advertsements). Our ability to successfully leverage such data depends on our contnued ability to access and use such data, which could be restricted by a number of factors, including:</w:t>
      </w:r>
    </w:p>
    <w:p>
      <w:pPr>
        <w:spacing w:after="0" w:line="12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increasing consumer adopton of browser preference signals as a result of legislaton;</w:t>
      </w:r>
    </w:p>
    <w:p>
      <w:pPr>
        <w:spacing w:after="0" w:line="122"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2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privacy restrictons imposed by web browser developers, advertsing partners, or other sofware developers that impair our ability to understand the preferences of consumers by limitng the use of third-party cookies or other tracking technologies or data indicatng or predictng consumer preferences; and</w:t>
      </w:r>
    </w:p>
    <w:p>
      <w:pPr>
        <w:spacing w:after="0" w:line="119"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new developments in, or new interpretatons of, privacy laws, regulatons, and industry standards.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Each of these developments could materially impact our ability to collect consumer data and deliver relevant digital advertsements to atract consumers to our websites or to deliver targeted advertsing for our advertsing customers. If we are unsuccessful in evolving our advertsing and marketng strategies to adapt to and mitgate these evolving consumer data limitatons, our business could be materially impacted.</w:t>
      </w:r>
    </w:p>
    <w:p>
      <w:pPr>
        <w:spacing w:after="0" w:line="226"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We have been, and may again be, subject to intellectual property disputes, which are costly to defend and could harm our business and operatng results.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have been, and may in the future be, subject to claims and litgaton alleging that we or content on our websites infringe others’ intellectual property rights, including the trademarks, copyrights, patents, and other intellectual property rights of third partes, including from our compettors or non-practcing enttes. We may also learn of possible infringement to our trademarks, copyrights, patents, and other intellectual property. Patent and other intellectual property litgaton may be protracted and expensive, and the results are difcult to predict and may result in signifcant setlement costs or payment of substantal damages. We host third-party images on our website and mobile applicaton and may be subject to third-party claims of those images infringing on intellectual property rights of third partes. Many potental litgants, including patent holding companies, have the ability to dedicate substantally greater resources to enforce their intellectual property rights and to defend claims that may be brought against them. Furthermore, a successful claimant could secure a judgment that requires us to stop ofering some features or prevents us from conductng our business as we have historically done or may desire to do in the future. We might also be required to seek a license and pay royaltes for the use of such intellectual property, which may not be available on commercially acceptable terms, or at all. Alternatvely, we may be required to modify our marketplaces and features, which could require signifcant efort and expense and may ultmately not be successful.</w:t>
      </w:r>
    </w:p>
    <w:p>
      <w:pPr>
        <w:spacing w:after="0" w:line="22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additon, we use open source sofware in our platorm and will use open source sofware in the future. From tme to tme, we may face claims regarding ownership of, or demanding release of, the source code, the open source sofware or derivatve works that were developed using such sofware, or otherwise seeking to enforce the terms of the applicable open source license. These claims could also result in litgaton, require us to purchase a costly license, or require us to devote additonal product, technology, and development</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resources to change our platorms or services, any of which would have a negatve efect on our business and operatng results. Even if these maters do not result in litgaton or are resolved in our favor or without signifcant cash setlements, these maters, and the tme and resources necessary to litgate or resolve them, could harm our business, our operatng results, and our reputaton.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3465B0"/>
        </w:rPr>
        <w:t>Failure to adequately protect our intellectual property could harm our business and operatng results.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business depends on our intellectual property, the protecton of which is crucial to the success of our business. We rely on a combinaton of patent, trademark, trade secret, and copyright law and contractual restrictons to protect our intellectual property. In additon, we atempt to protect our intellectual property, technology, and confdental informaton by requiring our employees and consultants to enter into confdentality and assignment of inventons agreements and third partes to enter into nondisclosure agreements as we deem appropriate. Despite our eforts to protect our proprietary rights, unauthorized partes may atempt to copy aspects of our platorm’s features, sofware, and functonality or obtain and use informaton that we consider proprietary.</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Compettors may adopt trademarks or trade names similar to ours, thereby harming our ability to build brand identty and possibly leading to user confusion. In additon, there could be potental trade name or trademark infringement claims asserted against us by owners of other registered or unregistered trademarks logos or slogans, for our use of registered or unregistered trademarks, logos, or slogans or third-party trademarks that incorporate variatons of our trademarks.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currently hold various internet domain names relatng to our brands. The regulaton of domain names is subject to change. Regulatory bodies could establish additonal top-level domains, appoint additonal domain name registrars or modify the requirements for holding domain names. As a result, we may not be able to acquire or maintain all domain names that use the names of our brands. In additon, third partes have created and may in the future create copycat or squater domains to deceive consumers, which could harm our brands, interfere with our ability to register domain names, and result in additonal costs.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3465B0"/>
        </w:rPr>
        <w:t>We may be unable to halt the operatons of websites that aggregate or misappropriate our data.</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From tme to tme, third partes may misappropriate our data through website crawling, website scraping, or other means and aggregate this data with data from other sources. In additon, copycat websites may misappropriate data in our marketplaces and atempt to imitate our brands or the functonality of our websites, or to use data from our marketplace to develop data analytcs and insights. This actvity may also interfere with the operaton of our marketplace. We may be unable to detect and remedy all such actvites in a tmely and adequate manner. Regardless of whether we can successfully enforce our rights against these third partes, any measures that we may take could require us to expend signifcant fnancial or other resources, which could harm our business, results of operatons, and fnancial conditon. In additon, to the extent that such actvity creates confusion among consumers or advertsers, our brands and business could be harmed.</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3465B0"/>
        </w:rPr>
        <w:t>Seasonality and other factors may cause fuctuatons in our operatng results and our marketng spend.</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Across the retail automotve industry, consumer purchasing actvity is typically greatest in the frst three quarters of each year, due in part to the introducton of new vehicle models from manufacturers and the seasonal nature of consumer spending, and our consumer-marketng spend generally fuctuates accordingly. In additon, any reducton of our marketng spend in response to macroeconomic-related expense management or otherwise, and shifs in demand from dealers and consumers could impact the efciency of our marketng spend. As our growth rates moderate or cease, the impact of these seasonality trends and other infuences on our results of operatons could become more pronounced. This seasonality has afected the demand for our services in the past, and may contnue to in the future. In additon, the volume of wholesale vehicle sales can fuctuate from quarter to quarter as a result of macroeconomic issues, which may have a corresponding impact on our results of operatons. This variability is due to several factors including the tming of used vehicles available for sale from selling customers, the seasonality of the retail market for used vehicles, and/or inventory challenges in the automotve industry, which afect the demand side of the wholesale industry. This variability has afected our Digital Wholesale segment in the past, and may contnue to in the future.</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3465B0"/>
        </w:rPr>
        <w:t>Failure to deal efectvely with fraud or other illegal actvity could harm our business.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are exposed to potental fraudulent and illegal actvity in our marketplaces, including listngs of automobiles that are not owned by the purported dealer or that the dealer has no intenton of selling at the listed price; and receipt of fraudulent leads that we may send to our dealers. The measures we have in place to detect and limit the occurrence of such fraudulent and illegal actvity in our marketplaces may not always be efectve or account for all types of fraudulent or other illegal actvity now or in the future. Failure to</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limit the impact of fraudulent and illegal actvity on our websites could lead to potental legal liability, harm our business, cause us to lose paying dealer customers, and adversely afect our reputaton, fnancial performance, and growth prospects.</w:t>
      </w:r>
    </w:p>
    <w:p>
      <w:pPr>
        <w:spacing w:after="0" w:line="225"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b w:val="1"/>
          <w:bCs w:val="1"/>
          <w:i w:val="1"/>
          <w:iCs w:val="1"/>
          <w:color w:val="3465B0"/>
        </w:rPr>
        <w:t>We have previously identfed a material weakness in our internal control over fnancial reportng. If we fail to maintain efectve internal control and remediate any future control defciencies, we may not be able to accurately or tmely report our fnancial conditon or results of operatons, which may adversely afect our business and the market price of our Class A common stock.</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have previously identfed a material weakness in our internal control over fnancial reportng, which was subsequently remediated during the year ended December 31, 2024. A material weakness is a defciency, or a combinaton of defciencies, in internal control over fnancial reportng, such that there is a reasonable possibility that a material misstatement of a company’s annual or interim fnancial statements will not be prevented or detected on a tmely basis. The defciencies identfed were in controls at our CarOfer subsidiary, including informaton technology general control defciencies over certain informaton technology systems.</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Although we have completed our remediaton of the material weakness, if additonal material weaknesses or signifcant defciencies in our internal control over fnancial reportng are discovered or occur in the future, our consolidated fnancial statements may contain misstatements and we could be required to restate our fnancial results. In additon, if we are unable to produce accurate consolidated fnancial statements in the future, investors could lose confdence in the accuracy and completeness of our fnancial reports, the market price of our Class A common stock could decline, we could be subject to sanctons or investgatons by Nasdaq, the SEC, or other regulatory authorites, and our ability to access the capital markets could be limited. Further, because of its inherent limitatons, even our remediated and efectve internal control over fnancial reportng may not prevent or detect all misstatements. Projectons of any evaluaton of efectveness to future periods are subject to the risk that controls may become inadequate because of changes in our conditons, or that the degree of compliance with our policies or procedures may deteriorate.</w:t>
      </w:r>
    </w:p>
    <w:p>
      <w:pPr>
        <w:spacing w:after="0" w:line="230"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The 2022 Revolver contains certain covenants and other restrictons on our actons that may limit our operatonal fexibility or otherwise adversely afect our results of operatons.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2022 Revolver includes a number of covenants that limit our ability to, among other things, grant or incur liens, incur additonal indebtedness, make certain restricted investments or payments, enter into certain mergers and acquisitons, or engage in certain asset sales, subject in each case to certain exceptons. The 2022 Revolver also subjects us to fnancial covenants in respect of minimum liquidity and requires that we maintain a net leverage rato. The 2022 Revolver may restrict our current and future operatons and could adversely afect our ability to fnance our future operatons or capital needs. Complying with these covenants may make it more difcult for us to successfully execute our business strategy and compete against companies which are not subject to such restrictons. Further, interest rate fuctuatons may materially adversely afect our results of operatons and fnancial conditons due to the variable interest rate on the 2022 Revolver, in the event that we draw down funds thereunder.</w:t>
      </w:r>
    </w:p>
    <w:p>
      <w:pPr>
        <w:spacing w:after="0" w:line="2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 failure by us to comply with the covenants or payment requirements specifed in the 2022 Revolver could result in an event of default, which would give the lenders the right to terminate their commitments to provide loans under the 2022 Revolver and to declare any borrowings outstanding, together with any accrued and unpaid interest and fees, to be immediately due and payable. If any debt under the 2022 Revolver were to be accelerated, we may not have sufcient cash or be able to borrow sufcient funds to refnance the debt or sell sufcient assets to repay the debt, which could immediately adversely afect our business, cash fows, results of operatons, and fnancial conditon. Even if we were able to obtain new fnancing, it may not be on commercially reasonable terms or on terms that are acceptable to us. As of December 31, 2024, there were no borrowings and $9.9 million in leters of credit outstanding under the 2022 Revolver associated with our leases.</w:t>
      </w:r>
    </w:p>
    <w:p>
      <w:pPr>
        <w:spacing w:after="0" w:line="229"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Expectatons relatng to environmental, social, and governance consideratons expose us to potental liabilites, increased costs, reputatonal harm, and other adverse efects on our business.</w:t>
      </w:r>
    </w:p>
    <w:p>
      <w:pPr>
        <w:spacing w:after="0" w:line="22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00002D"/>
        </w:rPr>
        <w:t>Many governments, regulators, investors, employees, customers, and other stakeholders are increasingly focused on environmental, social, and governance, or ESG, consideratons relatng to our business, including climate change and greenhouse gas emissions, human capital, and diversity, equity, inclusion, and belonging. We make statements about our ESG goals and initatves through informaton provided on our website. Responding to these ESG consideratons and implementaton of these goals and initatves involves risks and uncertaintes, requires investments, and are impacted by factors that may be outside our control. In additon, some stakeholders may disagree with our ESG goals and initatves and the focus of stakeholders may change and evolve over tme.</w:t>
      </w: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Stakeholders also may have very diferent views on where ESG focus should be placed, including difering views of regulators in various jurisdictons in which we operate. Any failure, or perceived failure, by us to achieve our ESG goals, further our initatves, adhere to our public statements, comply with federal, state, or internatonal ESG laws and regulatons, or meet evolving and varied stakeholder expectatons and standards could result in legal and regulatory proceedings against us and materially adversely afect our business, reputaton, results of operatons, fnancial conditon, and stock price. Additonally, meetng evolving and varied stakeholder expectatons and standards may require management tme and expense and may result in a signifcant increase in costs, which may negatvely impact our business and fnancial results.</w:t>
      </w:r>
    </w:p>
    <w:p>
      <w:pPr>
        <w:spacing w:after="0" w:line="203"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Risks Related to Our Class A Common Stock</w:t>
      </w:r>
    </w:p>
    <w:p>
      <w:pPr>
        <w:spacing w:after="0" w:line="239"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Our founder controls a majority of the votng power of our outstanding capital stock, and, therefore, has control over key decision-making and could control our actons in a manner that conficts with the interests of other stockholders.</w:t>
      </w:r>
    </w:p>
    <w:p>
      <w:pPr>
        <w:spacing w:after="0" w:line="223"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00002D"/>
        </w:rPr>
        <w:t>Primarily by virtue of his holdings in shares of our Class B common stock, which has a ten-to-one votng rato compared to our Class A common stock, Langley Steinert, our founder and Executve Chair, is able to exercise votng rights with respect to a majority of the votng power of our outstanding capital stock and, therefore, has the ability to control the outcome of maters submited to our stockholders for approval, including the electon of directors and any merger, consolidaton, or sale of all or substantally all of our assets. This concentrated control could delay, defer, or prevent a change of control, merger, consolidaton, or sale of all or substantally all of our assets that our other stockholders support, or conversely this concentrated control could result in the consummaton of such a transacton that our other stockholders do not support. This concentrated control could also discourage a potental investor from acquiring our Class A common stock, which might harm the trading price of our Class A common stock. In additon, Mr. Steinert has signifcant infuence in the management and major strategic investments of our company as a result of his positon as Executve Chair, and his ability to control the electon or replacement of our directors. As our Executve Chair, Mr. Steinert owes a fduciary duty to our stockholders and must act in good faith in a manner he reasonably believes to be in the best interests of our stockholders. If Mr. Steinert’s status as an ofcer and a director is terminated, his fduciary dutes to our stockholders will also terminate, but his votng power as a stockholder will not be reduced as a result of such terminaton unless such terminaton is either made voluntarily by Mr. Steinert or due to Mr. Steinert’s death, or if the sum of the number of shares of our capital stock held by Mr. Steinert, by any Family Member of Mr. Steinert and by any Permited Entty of Mr. Steinert (as such capitalized terms are defned in our amended and restated certfcate of incorporaton, included as Exhibit 3.1 to this Annual Report), assuming the exercise and setlement in full of all outstanding optons and convertble securites and calculated on an as-converted to Class A common stock basis, is less than 9,091,484 shares. As a stockholder, even a controlling stockholder, Mr. Steinert is enttled to vote his shares in his own interests, which may not always be aligned with the interests of our other stockholders.</w:t>
      </w:r>
    </w:p>
    <w:p>
      <w:pPr>
        <w:spacing w:after="0" w:line="2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the event that Mr. Steinert no longer controls a majority of the votng power, whether as a result of the dispositon of some or all his shares of Class A or Class B common stock, the conversion of the Class B common stock into Class A common stock in accordance with its terms, or otherwise, our business or the trading price of our Class A common stock may be adversely afected.</w:t>
      </w:r>
    </w:p>
    <w:p>
      <w:pPr>
        <w:spacing w:after="0" w:line="226"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3465B0"/>
        </w:rPr>
        <w:t>The multple class structure of our common stock has the efect of concentratng votng control with our founder and certain other holders of our Class B common stock, which will limit or preclude the ability of our stockholders to infuence corporate maters.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Class B common stock has ten votes per share and our Class A common stock has one vote per share. Our founder and certain of his afliates hold a substantal number of the outstanding shares of our Class B common stock and, therefore, hold a substantal majority of the votng power of our outstanding capital stock. Because of the ten-to-one votng rato between our Class B and Class A common stock, the holders of our Class B common stock collectvely control a majority of the combined votng power of our common stock and, therefore, are able to control all maters submited to our stockholders for approval so long as the shares of Class B common stock represent at least 9.1% of all outstanding shares of our Class A and Class B common stock. This concentrated control will limit or preclude the ability of our other stockholders to infuence corporate maters for the foreseeable future. Additonally, transfers by holders of Class B common stock will generally result in those transferred shares convertng into Class A common stock, subject to limited exceptons, such as certain transfers efected for estate planning or charitable purposes. The conversion of Class B common stock into Class A common stock has had and will contnue to have the efect, over tme, of increasing the relatve votng power of those holders of Class B common stock who retain such shares. If, for example, Mr. Steinert retains a signifcant porton of his holdings of Class B common stock, he could contnue to control a majority of the combined votng power of our outstanding capital stock.</w:t>
      </w: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Our status as a “controlled company” could make our Class A common stock less atractve to some investors or otherwise harm the trading price of our Class A common stock.</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More than 50% of our votng power is held by Mr. Steinert. As a result, we are a “controlled company” under the corporate governance rules for Nasdaq-listed companies and may elect not to comply with certain Nasdaq corporate governance requirements. We rely and have relied on certain or all of these exemptons. Accordingly, should the interests of our controlling stockholder difer from those of other stockholders, the other stockholders may not have the same protectons aforded to stockholders of companies that are subject to all of the corporate governance rules for Nasdaq-listed companies. Our status as a controlled company could make our Class A common stock less atractve to some investors or otherwise harm our stock price.</w:t>
      </w:r>
    </w:p>
    <w:p>
      <w:pPr>
        <w:spacing w:after="0" w:line="228"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The trading price of our Class A common stock has been and may contnue to be volatle and the value of our stockholders’ investment in our stock could decline.</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trading price of our Class A common stock has been and may contnue to be volatle and fuctuate substantally. The trading price of our Class A common stock depends on a number of factors, including those described in this “Risk Factors” secton, many of which are beyond our control and may not be related to our operatng performance. Factors that could cause fuctuatons in the trading price of our Class A common stock include:</w:t>
      </w:r>
    </w:p>
    <w:p>
      <w:pPr>
        <w:spacing w:after="0" w:line="124" w:lineRule="exact"/>
        <w:rPr>
          <w:sz w:val="20"/>
          <w:szCs w:val="20"/>
          <w:color w:val="auto"/>
        </w:rPr>
      </w:pPr>
    </w:p>
    <w:p>
      <w:pPr>
        <w:ind w:left="1020" w:hanging="503"/>
        <w:spacing w:after="0" w:line="235" w:lineRule="auto"/>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changes in the operatng performance and stock market valuatons of other technology companies generally, or those in our industry in partcular;</w:t>
      </w:r>
    </w:p>
    <w:p>
      <w:pPr>
        <w:spacing w:after="0" w:line="118"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sales of shares of our Class A common stock by us or our stockholders;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adverse changes to recommendatons regarding our stock by covering securites analysts;</w:t>
      </w:r>
    </w:p>
    <w:p>
      <w:pPr>
        <w:spacing w:after="0" w:line="122"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failure of securites analysts to maintain coverage of us, changes in fnancial estmates by any securites analysts who follow us, or our failure to meet these estmates or the expectatons of investors;</w:t>
      </w:r>
    </w:p>
    <w:p>
      <w:pPr>
        <w:spacing w:after="0" w:line="118"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announcements by us or our compettors of new products;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the public’s reacton to our issuances of earnings guidance or other public announcements and flings;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real or perceived inaccuracies in our key metrics;</w:t>
      </w:r>
    </w:p>
    <w:p>
      <w:pPr>
        <w:spacing w:after="0" w:line="122" w:lineRule="exact"/>
        <w:rPr>
          <w:rFonts w:ascii="Times New Roman" w:cs="Times New Roman" w:eastAsia="Times New Roman" w:hAnsi="Times New Roman"/>
          <w:sz w:val="18"/>
          <w:szCs w:val="18"/>
          <w:color w:val="00002D"/>
        </w:rPr>
      </w:pPr>
    </w:p>
    <w:p>
      <w:pPr>
        <w:ind w:left="1020" w:hanging="503"/>
        <w:spacing w:after="0" w:line="235" w:lineRule="auto"/>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actual or antcipated changes or fuctuatons in our operatng results or developments in our business, our compettors’ businesses, or the compettve landscape generally;</w:t>
      </w:r>
    </w:p>
    <w:p>
      <w:pPr>
        <w:spacing w:after="0" w:line="118"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litgaton involving us or investgatons by regulators into our operatons or those of our compettors;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developments or disputes concerning our proprietary rights;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announced or completed acquisitons of businesses or technologies by us or our compettors;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new laws or regulatons or new interpretatons of existng laws or regulatons applicable to our business;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changes in accountng standards, policies, or guidelines;</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any signifcant change in our management;</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changes in the automobile industry;</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actons of an actvist stockholder;</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public health emergencies; and</w:t>
      </w:r>
    </w:p>
    <w:p>
      <w:pPr>
        <w:spacing w:after="0" w:line="117" w:lineRule="exact"/>
        <w:rPr>
          <w:rFonts w:ascii="Times New Roman" w:cs="Times New Roman" w:eastAsia="Times New Roman" w:hAnsi="Times New Roman"/>
          <w:sz w:val="18"/>
          <w:szCs w:val="18"/>
          <w:color w:val="00002D"/>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general economic conditons.</w:t>
      </w:r>
    </w:p>
    <w:p>
      <w:pPr>
        <w:spacing w:after="0" w:line="224"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There can be no assurance that we will contnue to repurchase shares or that our share repurchase program will enhance stockholder value, and share repurchases could afect the price of our Class A common stock.</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November 2024 we announced that our Board of Directors authorized a share repurchase program, or the 2025 Share Repurchase Program, pursuant to which we may, from tme to tme, purchase shares of our Class A common stock for an aggregate purchase price not to exceed $200.0 million, with an efectve date of January 1, 2025, and an expiraton date of December 31, 2025. Repurchases</w:t>
      </w:r>
    </w:p>
    <w:p>
      <w:pPr>
        <w:sectPr>
          <w:pgSz w:w="11900" w:h="16838" w:orient="portrait"/>
          <w:cols w:equalWidth="0" w:num="1">
            <w:col w:w="11240"/>
          </w:cols>
          <w:pgMar w:left="320" w:top="112"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under the 2025 Share Repurchase Program may be made through a variety of methods and are subject to market and business conditons, levels of available liquidity, cash requirements for other purposes, and regulatory and other relevant factors. The tming, pricing, and size of share repurchases will depend on a number of factors, including price, corporate and regulatory requirements, and general market and economic conditons. The 2025 Share Repurchase Program does not obligate us to repurchase any minimum dollar amount or number of shares, and may be suspended or discontnued by our Board of Directors at any tme, which may result in a decrease in the price of our Class A common stock.</w:t>
      </w:r>
    </w:p>
    <w:p>
      <w:pPr>
        <w:spacing w:after="0" w:line="22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00002D"/>
        </w:rPr>
        <w:t>Repurchases under the 2025 Share Repurchase Program will decrease the number of outstanding shares of our Class A common stock and, therefore, could afect the price of our Class A common stock and increase its volatlity. The existence of the 2025 Share Repurchase Program could also cause the price of our Class A common stock to be higher than it would be in the absence of such a program and could reduce the market liquidity for our Class A common stock. Repurchases under the 2025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afer we have announced our intenton to do so may negatvely impact our reputaton and investor confdence in us and may negatvely impact our Class A common stock price. Although the 2025 Share Repurchase Program is intended to enhance long-term stockholder value, short-term price fuctuatons could reduce the program’s efectveness.</w:t>
      </w:r>
    </w:p>
    <w:p>
      <w:pPr>
        <w:spacing w:after="0" w:line="189"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General Risk Factors</w:t>
      </w:r>
    </w:p>
    <w:p>
      <w:pPr>
        <w:spacing w:after="0" w:line="239"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We partcipate in a highly compettve market, and pressure from existng and new companies may adversely afect our business and operatng results.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face signifcant competton from companies that provide listngs, car-shopping informaton, lead generaton, marketng, wholesale, and digital car-buying and -selling services designed to help consumers and dealers shop for cars and to enable dealers to reach these consumers. Our compettors include online automotve marketplaces and websites; internet search engines; peer-to-peer marketplaces; social media marketplaces; sites operated by automobile dealers and original equipment manufacturers; online dealerships; and vehicle aucton companies. We compete with these and other companies for a share of dealers’ overall marketng budget for online and ofine media marketng spend and we compete with these and other companies in atractng consumers to our websites. To the extent that dealers view alternatve marketng and media strategies to be superior to our marketplaces, we may not be able to maintain or grow the number of dealers subscribing to, and advertsing on, our marketplaces, and our business and fnancial results may be adversely afected. We also expect that new compettors will contnue to enter the online automotve retail and wholesale industries with competng marketplaces, products, and services, and that existng compettors will expand to ofer competng products or services, which could have an adverse efect on our business and fnancial results.</w:t>
      </w:r>
    </w:p>
    <w:p>
      <w:pPr>
        <w:spacing w:after="0" w:line="2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compettors could signifcantly impede our ability to expand the number of dealers using our marketplaces or could ofer discounts that could signifcantly impede our ability to maintain our pricing structure. Our compettors may also develop and market new technologies that render our existng or future platorms and associated products less compettve, unmarketable, or obsolete. In additon, if our compettors develop platorms with similar or superior functonality to ours, or if our web trafc declines, we may need to decrease our subscripton and advertsing fees. If we are unable to maintain our current pricing structure due to compettve pressures, our revenue would likely be reduced and our fnancial results would be negatvely afected. Furthermore, our existng and potental compettors may have signifcantly more fnancial, technical, marketng, and other resources than we have, which may allow them to ofer more compettve pricing and the ability to devote greater resources to the development, promoton, and support of their marketplaces, products, and services. They may also have more extensive automotve industry relatonships than we have, longer operatng histories, and greater name recogniton. In additon, these compettors may be able to respond more quickly with technological advances and to undertake more extensive marketng or promotonal campaigns than we can. To the extent that any compettor has existng relatonships with dealers or auto manufacturers for marketng or data analytcs solutons, those dealers and auto manufacturers may be unwilling to partner with us. If we are unable to compete with these compettors, the demand for our marketplaces and related products and services could substantally decline.</w:t>
      </w:r>
    </w:p>
    <w:p>
      <w:pPr>
        <w:spacing w:after="0" w:line="22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additon, our compettors may outpace us in incorporatng technologies, such as AI, into their product oferings and engagement with customers, which could afect our compettveness and operatonal outcomes. Our eforts to utlize these technological advancements may not be successful, may result in substantal integraton and maintenance costs, and may expose us to additonal risks. The content, analyses, or recommendatons generated by AI products or services, if defcient, inaccurate, or biased, could adversely impact our business, fnancial conditon, and operatonal results as well as our reputaton. Moreover, ethical concerns</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associated with AI could lead to brand damage, compettve disadvantages, or legal repercussions. Any problems with our implementaton or use of AI or other technological advancements could negatvely impact our business or results of our operatons.</w:t>
      </w:r>
    </w:p>
    <w:p>
      <w:pPr>
        <w:spacing w:after="0" w:line="225" w:lineRule="exact"/>
        <w:rPr>
          <w:sz w:val="20"/>
          <w:szCs w:val="20"/>
          <w:color w:val="auto"/>
        </w:rPr>
      </w:pPr>
    </w:p>
    <w:p>
      <w:pPr>
        <w:jc w:val="both"/>
        <w:spacing w:after="0" w:line="254" w:lineRule="auto"/>
        <w:rPr>
          <w:sz w:val="20"/>
          <w:szCs w:val="20"/>
          <w:color w:val="auto"/>
        </w:rPr>
      </w:pPr>
      <w:r>
        <w:rPr>
          <w:rFonts w:ascii="Calibri" w:cs="Calibri" w:eastAsia="Calibri" w:hAnsi="Calibri"/>
          <w:sz w:val="21"/>
          <w:szCs w:val="21"/>
          <w:b w:val="1"/>
          <w:bCs w:val="1"/>
          <w:i w:val="1"/>
          <w:iCs w:val="1"/>
          <w:color w:val="3465B0"/>
        </w:rPr>
        <w:t>We must maintain proper and efectve internal control over fnancial reportng and any failure to maintain the adequacy of these internal controls may adversely afect investor confdence in us and, as a result, the value of our Class A common stock.</w:t>
      </w:r>
    </w:p>
    <w:p>
      <w:pPr>
        <w:spacing w:after="0" w:line="2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are required, pursuant to Secton 404 of the Sarbanes-Oxley Act and the related rules adopted by the SEC, to furnish a report by management on, among other things, the efectveness of our internal control over fnancial reportng on an annual basis. This assessment includes disclosure of any material weaknesses identfed by our management in our internal control over fnancial reportng, such as the previously identfed material weakness discussed above, which was subsequently remediated during the year ended December 31, 2024. In additon, our independent registered public accountng frm must atest to the efectveness of our internal control over fnancial reportng under Secton 404. Our independent registered public accountng frm may issue a report that is adverse to us in the event it is not satsfed with the level at which our controls are documented, designed, or operatng. We may not be able to remediate any future material weaknesses that may be identfed or to complete our evaluaton, testng, and required remediaton in a tmely fashion. Our compliance with Secton 404 requires us to incur substantal accountng expenses and expend signifcant management eforts. Any failure to maintain internal control over fnancial reportng could severely inhibit our ability to accurately report our fnancial conditon or results of operatons. If we are unable to assert that our internal control over fnancial reportng is efectve or our independent registered public accountng frm is unable to express an opinion on the efectveness of our internal control over fnancial reportng, we could lose investor confdence in the accuracy and completeness of our fnancial reports, the market price of our Class A common stock could decline, and we could be subject to sanctons or investgatons by Nasdaq, the SEC, or other regulatory authorites. Failure to remedy any future material weaknesses that may be identfed, or to implement or maintain other efectve control systems required of public companies, could also restrict our future access to the capital markets.</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3465B0"/>
        </w:rPr>
        <w:t>We expect our results of operatons to fuctuate on a quarterly and annual basis.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revenue and results of operatons could vary signifcantly from period to period as a result of a variety of factors, some of which are outside of our control, including macroeconomic issues, such as increased interest rates and lower consumer confdence. Our results may vary as a result of fuctuatons in the number of dealers subscribing to our marketplaces, the size and seasonal variability of our advertsers’ marketng budgets, and the impact of vehicle arbitratons, volume, and prices in a given period in connecton with our Instant Max Cash Ofer product and the wholesale sale of automobiles. As a result of the potental variatons in our revenue and results of operatons, period-to-period comparisons may not be meaningful and the results of any one period should not be relied on as an indicaton of future performance. In additon, our results of operatons may not meet the expectatons of investors or covering analysts, which may adversely afect the trading price of our Class A common stock.</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3465B0"/>
        </w:rPr>
        <w:t>We could be subject to adverse changes in tax laws, regulatons, and interpretatons, plus challenges to our tax positons.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are subject to taxaton in the U.S. and certain other jurisdictons in which we operate, which could include value added tax, excise tax, sales and use tax, gross receipts tax, and property tax. Changes in applicable tax laws or regulatons may be proposed or enacted that could materially and adversely afect our efectve tax rate, tax payments, results of operatons, fnancial conditon, and cash fows. In additon, tax laws and regulatons are complex and subject to varying interpretatons. There is also uncertainty over sales tax liability as a result of recent U.S. Supreme Court and Massachusets Supreme Court decisions, which could precipitate reactons that could adversely increase our tax administratve costs and tax risk, and negatvely afect our overall business, results of operatons, fnancial conditon, and cash fows. We are also regularly subject to audits by tax authorites. Any adverse development or outcome in connecton with any such tax audits, and any other audits or litgaton, could materially and adversely impact our efectve tax rate, tax payments, results of operatons, fnancial conditon, and cash fows.</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3465B0"/>
        </w:rPr>
        <w:t>Our results could be adversely afected by events beyond our control, such as natural disasters, public health crises, politcal crises, negatve global climate paterns, or other catastrophic events.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operatons, or those of third-party service providers or dealers, could be negatvely impacted by various events beyond our control, including natural disasters, such as hurricanes, tornadoes, foods, earthquakes, extreme cold events, and other adverse weather conditons; public health crises, such as pandemics and epidemics; politcal crises, such as terrorist atacks, war, labor unrest, and other politcal instability; negatve global climate paterns, especially in water stressed regions; or other catastrophic events, such as fres or other disasters. These events could disrupt our operatons and those of our third-party service providers or dealers whether occurring in the U.S. or internatonally. Further, if a natural disaster or catastrophic event occurs in a region in which a signifcant number of dealers are located, such dealers may suspend listng their inventory, cancel or delay their subscriptons, or reduce their spending with us, which may materially and adversely impact our results of operatons for a partcular period. In additon, these types of events could negatvely impact consumer spending in the impacted regions. To the extent any of these events occur, our operatons and fnancial results could be adversely afected. In additon, the impacts of climate change could result in changes in regulatons, which could, in turn, afect our business, operatng results, and fnancial conditon.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1B. Unresolved Staf Comments.</w:t>
      </w:r>
    </w:p>
    <w:p>
      <w:pPr>
        <w:spacing w:after="0" w:line="236" w:lineRule="exact"/>
        <w:rPr>
          <w:sz w:val="20"/>
          <w:szCs w:val="20"/>
          <w:color w:val="auto"/>
        </w:rPr>
      </w:pPr>
    </w:p>
    <w:p>
      <w:pPr>
        <w:spacing w:after="0"/>
        <w:rPr>
          <w:sz w:val="20"/>
          <w:szCs w:val="20"/>
          <w:color w:val="auto"/>
        </w:rPr>
      </w:pPr>
      <w:r>
        <w:rPr>
          <w:rFonts w:ascii="Calibri" w:cs="Calibri" w:eastAsia="Calibri" w:hAnsi="Calibri"/>
          <w:sz w:val="18"/>
          <w:szCs w:val="18"/>
          <w:color w:val="00002D"/>
        </w:rPr>
        <w:t>Not applicable.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1C. Cybersecurity.</w:t>
      </w:r>
    </w:p>
    <w:p>
      <w:pPr>
        <w:spacing w:after="0" w:line="2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have policies, procedures, and processes for assessing, identfying, and managing cybersecurity risks, which are built into our overall informaton technology functon and are designed to help protect our informaton assets and operatons from internal and external cyber threats as well as secure our networks and systems. Such processes include procedural and technical safeguards, response plans, regular vulnerability and penetraton tests on our systems and product applicatons, incident simulatons, and routne review of our policies and procedures to identfy risks and improve our practces. Our security incident response plan is designed to help coordinate our response to, and recovery from, cybersecurity incidents, and includes processes to assess the severity of, escalate, contain, investgate, and remediate incidents as well as to comply with applicable legal obligatons. We maintain cyber insurance coverage; however, such insurance may not be sufcient in type or amount to cover us against claims related to security breaches, cyber-atacks, and other related breaches.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engage certain external partes to enhance our cybersecurity processes and strategies. Depending on the nature of the services provided, the sensitvity and quantty of informaton processed, and the identty of the service provider, we evaluate the security and risk posture according to the perceived level of risk and in accordance with industry standard best practces.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Audit Commitee of our Board of Directors provides direct oversight over cybersecurity risk and provides regular updates to our Board of Directors regarding such oversight. The Audit Commitee regularly meets with members of management responsible for data privacy, technology, and informaton security risks to discuss these risks, risk management actvites, incident response plans, best practces, the efectveness of our security measures, and other related maters.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Vice President, Informaton Security and Technology, who reports to our Chief Technology Ofcer, leads the operatonal oversight of company-wide cybersecurity strategy, policy, standards, and processes and works across relevant departments to assess and help prepare us and our employees to address cybersecurity risks. Specifc cybersecurity related responsibilites include overseeing our processes and strategies for the detecton, mitgaton, and remediaton of cybersecurity incidents. Our Vice President, Informaton Security and Technology has extensive experience assessing and managing cybersecurity and risk programs having served in the current positon for us since December 2020 and prior Senior Director level positons in security and privacy at several private and public Sofware as a Service, or SaaS, companies. Specialized knowledge also results from our Vice President, Informaton Security and Technology holding a Master of Informaton Security and Assurance from Norwich University.</w:t>
      </w: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an efort to deter and detect cyber threats, we annually provide all employees, including part-tme employees, with a data protecton, cybersecurity, and incident response and preventon training program, which covers tmely and relevant topics, including social engineering, phishing, password protecton, confdental data protecton, asset use, and mobile security, and educates employees on the importance of reportng all incidents immediately. We also use technology-based tools to mitgate cybersecurity threats and risks and to bolster our employee-based cybersecurity programs.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Despite our cybersecurity eforts, we may not be successful in preventng or mitgatng a cybersecurity incident that could have a material adverse efect on us. See Part I, Item 1A, Risk Factors, in this Annual Report for a discussion of cybersecurity risks.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2. Propertes.</w:t>
      </w:r>
    </w:p>
    <w:p>
      <w:pPr>
        <w:spacing w:after="0" w:line="2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do not own any material real property. Our principal executve ofce is located in Boston, Massachusets, where we lease a total of 225,428 square feet of space with a lease term through 2039. We also lease ofce space in Addison, Texas, and Dublin, Ireland, for our CarOfer and European operatons, respectvely. Our U.S. Marketplace segment primarily utlizes the ofce in Boston, Massachusets, and our Digital Wholesale segment primarily utlizes the ofce in Addison, Texas. The Other category of segment reportng utlizes the ofce in Dublin, Ireland. We believe that our current facilites are suitable and adequate to meet our current needs. We believe that suitable additonal space or substtute space will be available in the future to accommodate our operatons as needed.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3. Legal Proceedings.</w:t>
      </w:r>
    </w:p>
    <w:p>
      <w:pPr>
        <w:spacing w:after="0" w:line="2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From tme to tme, we may become involved in legal proceedings or be subject to claims arising in the ordinary course of our business. We are not presently subject to any pending or threatened litgaton that we believe, if determined adversely to us, would individually, or taken together, reasonably be expected to have a material adverse efect on our business or fnancial results.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4. Mine Safety Disclosures.</w:t>
      </w:r>
    </w:p>
    <w:p>
      <w:pPr>
        <w:spacing w:after="0" w:line="236" w:lineRule="exact"/>
        <w:rPr>
          <w:sz w:val="20"/>
          <w:szCs w:val="20"/>
          <w:color w:val="auto"/>
        </w:rPr>
      </w:pPr>
    </w:p>
    <w:p>
      <w:pPr>
        <w:spacing w:after="0"/>
        <w:rPr>
          <w:sz w:val="20"/>
          <w:szCs w:val="20"/>
          <w:color w:val="auto"/>
        </w:rPr>
      </w:pPr>
      <w:r>
        <w:rPr>
          <w:rFonts w:ascii="Calibri" w:cs="Calibri" w:eastAsia="Calibri" w:hAnsi="Calibri"/>
          <w:sz w:val="18"/>
          <w:szCs w:val="18"/>
          <w:color w:val="00002D"/>
        </w:rPr>
        <w:t>Not applicable.</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36"/>
          <w:szCs w:val="36"/>
          <w:b w:val="1"/>
          <w:bCs w:val="1"/>
          <w:color w:val="3465B0"/>
        </w:rPr>
        <w:t>PART II</w:t>
      </w:r>
    </w:p>
    <w:p>
      <w:pPr>
        <w:spacing w:after="0" w:line="200" w:lineRule="exact"/>
        <w:rPr>
          <w:sz w:val="20"/>
          <w:szCs w:val="20"/>
          <w:color w:val="auto"/>
        </w:rPr>
      </w:pPr>
    </w:p>
    <w:p>
      <w:pPr>
        <w:spacing w:after="0" w:line="261" w:lineRule="exact"/>
        <w:rPr>
          <w:sz w:val="20"/>
          <w:szCs w:val="20"/>
          <w:color w:val="auto"/>
        </w:rPr>
      </w:pPr>
    </w:p>
    <w:p>
      <w:pPr>
        <w:ind w:right="980"/>
        <w:spacing w:after="0" w:line="239" w:lineRule="auto"/>
        <w:rPr>
          <w:sz w:val="20"/>
          <w:szCs w:val="20"/>
          <w:color w:val="auto"/>
        </w:rPr>
      </w:pPr>
      <w:r>
        <w:rPr>
          <w:rFonts w:ascii="Calibri" w:cs="Calibri" w:eastAsia="Calibri" w:hAnsi="Calibri"/>
          <w:sz w:val="36"/>
          <w:szCs w:val="36"/>
          <w:b w:val="1"/>
          <w:bCs w:val="1"/>
          <w:color w:val="3465B0"/>
        </w:rPr>
        <w:t>Item 5. Market for Registrant’s Common Equity, Related Stockholder Maters and Issuer Purchases of Equity Securites.</w:t>
      </w:r>
    </w:p>
    <w:p>
      <w:pPr>
        <w:spacing w:after="0" w:line="22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Market Informaton for Common Stock</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00002D"/>
        </w:rPr>
        <w:t>Our Class A common stock is listed on the Nasdaq Global Select Market under the symbol “CARG”.</w:t>
      </w:r>
    </w:p>
    <w:p>
      <w:pPr>
        <w:spacing w:after="0" w:line="198"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Holders</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February 13, 2025, we had six record holders of our Class A common stock. The actual number of stockholders is greater than this number of record holders, and includes stockholders who are benefcial owners but whose shares are held in street name by brokers and other nominees. The number of record holders does not include stockholders whose shares may be held in trust by other enttes.</w:t>
      </w:r>
    </w:p>
    <w:p>
      <w:pPr>
        <w:spacing w:after="0" w:line="200"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Dividends</w:t>
      </w:r>
    </w:p>
    <w:p>
      <w:pPr>
        <w:spacing w:after="0" w:line="23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00002D"/>
        </w:rPr>
        <w:t>We have never declared or paid any cash dividends on our common stock. We currently antcipate that we will retain future earnings to fund development and growth of our business, and we do not antcipate paying cash dividends in the foreseeable future.</w:t>
      </w:r>
    </w:p>
    <w:p>
      <w:pPr>
        <w:spacing w:after="0" w:line="199"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Recent Sales of Unregistered Securites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00002D"/>
        </w:rPr>
        <w:t>None.</w:t>
      </w:r>
    </w:p>
    <w:p>
      <w:pPr>
        <w:spacing w:after="0" w:line="198"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Purchases of Equity Securites</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November 7, 2023, we announced that our Board of Directors authorized a share repurchase program, or the 2024 Share Repurchase Program, pursuant to which we could, from tme to tme, purchase shares of our Class A common stock for an aggregate purchase price not to exceed $250.0 million. During the quarter ended December 31, 2024, there was no share repurchase actvity under the 2024 Share Repurchase Program. The 2024 Share Repurchase Program expired on December 31, 2024.</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Performance Graph</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00002D"/>
        </w:rPr>
        <w:t>This performance graph shall not be deemed “solicitng material” or to be “fled” with the SEC for purposes of Secton 18 of the Securites Exchange Act of 1934, as amended, or the Exchange Act, or otherwise be subject to the liabilites under that secton, and shall not be deemed to be incorporated by reference into any fling of CarGurus under the Exchange Act or the Securites Act of 1933, as amended.</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following graph shows a comparison from December 31, 2019 through December 31, 2024 of the cumulatve total return for our Class A common stock, the Nasdaq Composite Index, and the S&amp;P 500 Index. On December 31, 2019, the last reported sale price of our Class A common stock on the Nasdaq Global Select Market was $35.18 per share. All values assume a $100 inital cash investment and data for the Nasdaq Composite Index and the S&amp;P 500 Index assume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153670</wp:posOffset>
            </wp:positionV>
            <wp:extent cx="5048885" cy="32746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4888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12/31/2019</w:t>
            </w:r>
          </w:p>
        </w:tc>
        <w:tc>
          <w:tcPr>
            <w:tcW w:w="2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12/31/2020</w:t>
            </w:r>
          </w:p>
        </w:tc>
        <w:tc>
          <w:tcPr>
            <w:tcW w:w="2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12/31/2021</w:t>
            </w:r>
          </w:p>
        </w:tc>
        <w:tc>
          <w:tcPr>
            <w:tcW w:w="2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12/31/2022</w:t>
            </w:r>
          </w:p>
        </w:tc>
        <w:tc>
          <w:tcPr>
            <w:tcW w:w="20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12/31/2023</w:t>
            </w:r>
          </w:p>
        </w:tc>
        <w:tc>
          <w:tcPr>
            <w:tcW w:w="20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12/31/2024</w:t>
            </w:r>
          </w:p>
        </w:tc>
        <w:tc>
          <w:tcPr>
            <w:tcW w:w="100" w:type="dxa"/>
            <w:vAlign w:val="bottom"/>
          </w:tcPr>
          <w:p>
            <w:pPr>
              <w:spacing w:after="0"/>
              <w:rPr>
                <w:sz w:val="16"/>
                <w:szCs w:val="16"/>
                <w:color w:val="auto"/>
              </w:rPr>
            </w:pPr>
          </w:p>
        </w:tc>
      </w:tr>
      <w:tr>
        <w:trPr>
          <w:trHeight w:val="216"/>
        </w:trPr>
        <w:tc>
          <w:tcPr>
            <w:tcW w:w="41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CARG</w:t>
            </w:r>
          </w:p>
        </w:tc>
        <w:tc>
          <w:tcPr>
            <w:tcW w:w="320" w:type="dxa"/>
            <w:vAlign w:val="bottom"/>
            <w:shd w:val="clear" w:color="auto" w:fill="CFF0FC"/>
          </w:tcPr>
          <w:p>
            <w:pPr>
              <w:jc w:val="right"/>
              <w:ind w:right="135"/>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520" w:type="dxa"/>
            <w:vAlign w:val="bottom"/>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4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90</w:t>
            </w:r>
          </w:p>
        </w:tc>
        <w:tc>
          <w:tcPr>
            <w:tcW w:w="500" w:type="dxa"/>
            <w:vAlign w:val="bottom"/>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96</w:t>
            </w:r>
          </w:p>
        </w:tc>
        <w:tc>
          <w:tcPr>
            <w:tcW w:w="500" w:type="dxa"/>
            <w:vAlign w:val="bottom"/>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40</w:t>
            </w:r>
          </w:p>
        </w:tc>
        <w:tc>
          <w:tcPr>
            <w:tcW w:w="500" w:type="dxa"/>
            <w:vAlign w:val="bottom"/>
            <w:gridSpan w:val="2"/>
            <w:shd w:val="clear" w:color="auto" w:fill="CFF0FC"/>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69</w:t>
            </w:r>
          </w:p>
        </w:tc>
        <w:tc>
          <w:tcPr>
            <w:tcW w:w="520" w:type="dxa"/>
            <w:vAlign w:val="bottom"/>
            <w:gridSpan w:val="2"/>
            <w:shd w:val="clear" w:color="auto" w:fill="CFF0FC"/>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104</w:t>
            </w:r>
          </w:p>
        </w:tc>
        <w:tc>
          <w:tcPr>
            <w:tcW w:w="100" w:type="dxa"/>
            <w:vAlign w:val="bottom"/>
            <w:shd w:val="clear" w:color="auto" w:fill="CFF0FC"/>
          </w:tcPr>
          <w:p>
            <w:pPr>
              <w:spacing w:after="0"/>
              <w:rPr>
                <w:sz w:val="18"/>
                <w:szCs w:val="18"/>
                <w:color w:val="auto"/>
              </w:rPr>
            </w:pPr>
          </w:p>
        </w:tc>
      </w:tr>
      <w:tr>
        <w:trPr>
          <w:trHeight w:val="215"/>
        </w:trPr>
        <w:tc>
          <w:tcPr>
            <w:tcW w:w="4180" w:type="dxa"/>
            <w:vAlign w:val="bottom"/>
          </w:tcPr>
          <w:p>
            <w:pPr>
              <w:spacing w:after="0" w:line="215" w:lineRule="exact"/>
              <w:rPr>
                <w:sz w:val="20"/>
                <w:szCs w:val="20"/>
                <w:color w:val="auto"/>
              </w:rPr>
            </w:pPr>
            <w:r>
              <w:rPr>
                <w:rFonts w:ascii="Calibri" w:cs="Calibri" w:eastAsia="Calibri" w:hAnsi="Calibri"/>
                <w:sz w:val="18"/>
                <w:szCs w:val="18"/>
                <w:color w:val="auto"/>
              </w:rPr>
              <w:t>Nasdaq Composite Index</w:t>
            </w:r>
          </w:p>
        </w:tc>
        <w:tc>
          <w:tcPr>
            <w:tcW w:w="320" w:type="dxa"/>
            <w:vAlign w:val="bottom"/>
          </w:tcPr>
          <w:p>
            <w:pPr>
              <w:jc w:val="right"/>
              <w:ind w:right="135"/>
              <w:spacing w:after="0" w:line="215" w:lineRule="exact"/>
              <w:rPr>
                <w:sz w:val="20"/>
                <w:szCs w:val="20"/>
                <w:color w:val="auto"/>
              </w:rPr>
            </w:pPr>
            <w:r>
              <w:rPr>
                <w:rFonts w:ascii="Calibri" w:cs="Calibri" w:eastAsia="Calibri" w:hAnsi="Calibri"/>
                <w:sz w:val="18"/>
                <w:szCs w:val="18"/>
                <w:color w:val="auto"/>
                <w:w w:val="87"/>
              </w:rPr>
              <w:t>$</w:t>
            </w:r>
          </w:p>
        </w:tc>
        <w:tc>
          <w:tcPr>
            <w:tcW w:w="480" w:type="dxa"/>
            <w:vAlign w:val="bottom"/>
          </w:tcPr>
          <w:p>
            <w:pPr>
              <w:jc w:val="right"/>
              <w:spacing w:after="0" w:line="215" w:lineRule="exact"/>
              <w:rPr>
                <w:sz w:val="20"/>
                <w:szCs w:val="20"/>
                <w:color w:val="auto"/>
              </w:rPr>
            </w:pPr>
            <w:r>
              <w:rPr>
                <w:rFonts w:ascii="Calibri" w:cs="Calibri" w:eastAsia="Calibri" w:hAnsi="Calibri"/>
                <w:sz w:val="18"/>
                <w:szCs w:val="18"/>
                <w:color w:val="auto"/>
              </w:rPr>
              <w:t>100</w:t>
            </w:r>
          </w:p>
        </w:tc>
        <w:tc>
          <w:tcPr>
            <w:tcW w:w="52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jc w:val="right"/>
              <w:spacing w:after="0" w:line="215" w:lineRule="exact"/>
              <w:rPr>
                <w:sz w:val="20"/>
                <w:szCs w:val="20"/>
                <w:color w:val="auto"/>
              </w:rPr>
            </w:pPr>
            <w:r>
              <w:rPr>
                <w:rFonts w:ascii="Calibri" w:cs="Calibri" w:eastAsia="Calibri" w:hAnsi="Calibri"/>
                <w:sz w:val="18"/>
                <w:szCs w:val="18"/>
                <w:color w:val="auto"/>
              </w:rPr>
              <w:t>145</w:t>
            </w:r>
          </w:p>
        </w:tc>
        <w:tc>
          <w:tcPr>
            <w:tcW w:w="50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177</w:t>
            </w:r>
          </w:p>
        </w:tc>
        <w:tc>
          <w:tcPr>
            <w:tcW w:w="50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119</w:t>
            </w:r>
          </w:p>
        </w:tc>
        <w:tc>
          <w:tcPr>
            <w:tcW w:w="500" w:type="dxa"/>
            <w:vAlign w:val="bottom"/>
            <w:gridSpan w:val="2"/>
          </w:tcPr>
          <w:p>
            <w:pPr>
              <w:jc w:val="right"/>
              <w:ind w:right="128"/>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173</w:t>
            </w:r>
          </w:p>
        </w:tc>
        <w:tc>
          <w:tcPr>
            <w:tcW w:w="520" w:type="dxa"/>
            <w:vAlign w:val="bottom"/>
            <w:gridSpan w:val="2"/>
          </w:tcPr>
          <w:p>
            <w:pPr>
              <w:jc w:val="right"/>
              <w:ind w:right="148"/>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224</w:t>
            </w:r>
          </w:p>
        </w:tc>
        <w:tc>
          <w:tcPr>
            <w:tcW w:w="100" w:type="dxa"/>
            <w:vAlign w:val="bottom"/>
          </w:tcPr>
          <w:p>
            <w:pPr>
              <w:spacing w:after="0"/>
              <w:rPr>
                <w:sz w:val="18"/>
                <w:szCs w:val="18"/>
                <w:color w:val="auto"/>
              </w:rPr>
            </w:pPr>
          </w:p>
        </w:tc>
      </w:tr>
      <w:tr>
        <w:trPr>
          <w:trHeight w:val="217"/>
        </w:trPr>
        <w:tc>
          <w:tcPr>
            <w:tcW w:w="41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S&amp;P 500 Index</w:t>
            </w:r>
          </w:p>
        </w:tc>
        <w:tc>
          <w:tcPr>
            <w:tcW w:w="320" w:type="dxa"/>
            <w:vAlign w:val="bottom"/>
            <w:shd w:val="clear" w:color="auto" w:fill="CFF0FC"/>
          </w:tcPr>
          <w:p>
            <w:pPr>
              <w:jc w:val="right"/>
              <w:ind w:right="135"/>
              <w:spacing w:after="0" w:line="216" w:lineRule="exact"/>
              <w:rPr>
                <w:sz w:val="20"/>
                <w:szCs w:val="20"/>
                <w:color w:val="auto"/>
              </w:rPr>
            </w:pPr>
            <w:r>
              <w:rPr>
                <w:rFonts w:ascii="Calibri" w:cs="Calibri" w:eastAsia="Calibri" w:hAnsi="Calibri"/>
                <w:sz w:val="18"/>
                <w:szCs w:val="18"/>
                <w:color w:val="auto"/>
                <w:w w:val="87"/>
              </w:rPr>
              <w:t>$</w:t>
            </w:r>
          </w:p>
        </w:tc>
        <w:tc>
          <w:tcPr>
            <w:tcW w:w="4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100</w:t>
            </w:r>
          </w:p>
        </w:tc>
        <w:tc>
          <w:tcPr>
            <w:tcW w:w="520" w:type="dxa"/>
            <w:vAlign w:val="bottom"/>
            <w:gridSpan w:val="2"/>
            <w:shd w:val="clear" w:color="auto" w:fill="CFF0FC"/>
          </w:tcPr>
          <w:p>
            <w:pPr>
              <w:jc w:val="right"/>
              <w:ind w:right="148"/>
              <w:spacing w:after="0" w:line="216" w:lineRule="exact"/>
              <w:rPr>
                <w:sz w:val="20"/>
                <w:szCs w:val="20"/>
                <w:color w:val="auto"/>
              </w:rPr>
            </w:pPr>
            <w:r>
              <w:rPr>
                <w:rFonts w:ascii="Calibri" w:cs="Calibri" w:eastAsia="Calibri" w:hAnsi="Calibri"/>
                <w:sz w:val="18"/>
                <w:szCs w:val="18"/>
                <w:color w:val="auto"/>
              </w:rPr>
              <w:t>$</w:t>
            </w:r>
          </w:p>
        </w:tc>
        <w:tc>
          <w:tcPr>
            <w:tcW w:w="4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118</w:t>
            </w:r>
          </w:p>
        </w:tc>
        <w:tc>
          <w:tcPr>
            <w:tcW w:w="500" w:type="dxa"/>
            <w:vAlign w:val="bottom"/>
            <w:gridSpan w:val="2"/>
            <w:shd w:val="clear" w:color="auto" w:fill="CFF0FC"/>
          </w:tcPr>
          <w:p>
            <w:pPr>
              <w:jc w:val="right"/>
              <w:ind w:right="128"/>
              <w:spacing w:after="0" w:line="216"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152</w:t>
            </w:r>
          </w:p>
        </w:tc>
        <w:tc>
          <w:tcPr>
            <w:tcW w:w="500" w:type="dxa"/>
            <w:vAlign w:val="bottom"/>
            <w:gridSpan w:val="2"/>
            <w:shd w:val="clear" w:color="auto" w:fill="CFF0FC"/>
          </w:tcPr>
          <w:p>
            <w:pPr>
              <w:jc w:val="right"/>
              <w:ind w:right="128"/>
              <w:spacing w:after="0" w:line="216"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125</w:t>
            </w:r>
          </w:p>
        </w:tc>
        <w:tc>
          <w:tcPr>
            <w:tcW w:w="500" w:type="dxa"/>
            <w:vAlign w:val="bottom"/>
            <w:gridSpan w:val="2"/>
            <w:shd w:val="clear" w:color="auto" w:fill="CFF0FC"/>
          </w:tcPr>
          <w:p>
            <w:pPr>
              <w:jc w:val="right"/>
              <w:ind w:right="128"/>
              <w:spacing w:after="0" w:line="216"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158</w:t>
            </w:r>
          </w:p>
        </w:tc>
        <w:tc>
          <w:tcPr>
            <w:tcW w:w="520" w:type="dxa"/>
            <w:vAlign w:val="bottom"/>
            <w:gridSpan w:val="2"/>
            <w:shd w:val="clear" w:color="auto" w:fill="CFF0FC"/>
          </w:tcPr>
          <w:p>
            <w:pPr>
              <w:jc w:val="right"/>
              <w:ind w:right="148"/>
              <w:spacing w:after="0" w:line="216"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197</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6. [Reserved]</w:t>
      </w: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80"/>
        <w:spacing w:after="0" w:line="239" w:lineRule="auto"/>
        <w:rPr>
          <w:sz w:val="20"/>
          <w:szCs w:val="20"/>
          <w:color w:val="auto"/>
        </w:rPr>
      </w:pPr>
      <w:r>
        <w:rPr>
          <w:rFonts w:ascii="Calibri" w:cs="Calibri" w:eastAsia="Calibri" w:hAnsi="Calibri"/>
          <w:sz w:val="36"/>
          <w:szCs w:val="36"/>
          <w:b w:val="1"/>
          <w:bCs w:val="1"/>
          <w:color w:val="3465B0"/>
        </w:rPr>
        <w:t>Item 7. Management’s Discussion and Analysis of Financial Conditon and Results of Operatons.</w:t>
      </w:r>
    </w:p>
    <w:p>
      <w:pPr>
        <w:spacing w:after="0" w:line="241" w:lineRule="exact"/>
        <w:rPr>
          <w:sz w:val="20"/>
          <w:szCs w:val="20"/>
          <w:color w:val="auto"/>
        </w:rPr>
      </w:pPr>
    </w:p>
    <w:p>
      <w:pPr>
        <w:jc w:val="both"/>
        <w:spacing w:after="0" w:line="295" w:lineRule="auto"/>
        <w:rPr>
          <w:sz w:val="20"/>
          <w:szCs w:val="20"/>
          <w:color w:val="auto"/>
        </w:rPr>
      </w:pPr>
      <w:r>
        <w:rPr>
          <w:rFonts w:ascii="MS PGothic" w:cs="MS PGothic" w:eastAsia="MS PGothic" w:hAnsi="MS PGothic"/>
          <w:sz w:val="18"/>
          <w:szCs w:val="18"/>
          <w:i w:val="1"/>
          <w:iCs w:val="1"/>
          <w:color w:val="00002D"/>
        </w:rPr>
        <w:t>You should read the following discussion and analysis of our fnancial conditon and results of operatons together with our consolidated fnancial statements and the related notes and other fnancial informaton included elsewhere in this Annual Report. Some of the informaton contained in this discussion and analysis or elsewhere in this Annual Report, including informaton with respect to our plans and strategy for our business and our performance and future success, includes forward‑looking statements that involve risks and uncertaintes. See “Special Note Regarding Forward-Looking Statements.” You should review the “Risk Factors” secton of this Annual Report for a discussion of important factors that could cause actual results to difer materially from the results described in or implied by the forward‑looking statements contained in the following discussion and analysis. We qualify all of our forward-looking statements by such cautonary statements.</w:t>
      </w:r>
    </w:p>
    <w:p>
      <w:pPr>
        <w:spacing w:after="0" w:line="179"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i w:val="1"/>
          <w:iCs w:val="1"/>
          <w:color w:val="00002D"/>
        </w:rPr>
        <w:t>In this discussion, we use fnancial measures that are considered non-GAAP fnancial measures under SEC rules. These rules regarding non-GAAP fnancial measures require supplemental explanaton and reconciliaton, which are included elsewhere in this Annual Report. Investors should not consider non-GAAP fnancial measures in isolaton from or in substtuton for, fnancial informaton presented in compliance with U.S. generally accepted accountng principles, or GAAP.</w:t>
      </w:r>
    </w:p>
    <w:p>
      <w:pPr>
        <w:spacing w:after="0" w:line="171"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i w:val="1"/>
          <w:iCs w:val="1"/>
          <w:color w:val="00002D"/>
        </w:rPr>
        <w:t>This secton of this Annual Report discusses 2024 and 2023 items and year-to-year comparisons between 2024 and 2023. Discussions of 2022 items and year-to-year comparisons between 2023 and 2022 can be found in “Management’s Discussion and Analysis of Financial Conditon and Results of Operatons” in Part II, Item 7 of our Annual Report on Form 10-K for the fscal year ended December 31, 2023. The period‑to‑period comparison of fnancial results is not necessarily indicatve of future results.</w:t>
      </w:r>
    </w:p>
    <w:p>
      <w:pPr>
        <w:spacing w:after="0" w:line="15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Company Overview</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CarGurus is a multnatonal, online automotve platorm for buying and selling vehicles that is building upon its industry-leading listngs marketplace with both digital retail solutons and the CarOfer online wholesale platorm. The CarGurus platorm gives consumers the confdence to purchase and/or sell a vehicle either online or in person, and it gives dealerships the power to accurately price, efectvely market, instantly acquire, and quickly sell vehicles, all with a natonwide reach. We use proprietary technology, search algorithms, and data analytcs to bring trust, transparency, and compettve pricing to the automotve shopping experience.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00002D"/>
        </w:rPr>
        <w:t>We operate the following 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151765</wp:posOffset>
            </wp:positionV>
            <wp:extent cx="619760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97600" cy="274320"/>
                    </a:xfrm>
                    <a:prstGeom prst="rect">
                      <a:avLst/>
                    </a:prstGeom>
                    <a:noFill/>
                  </pic:spPr>
                </pic:pic>
              </a:graphicData>
            </a:graphic>
          </wp:anchor>
        </w:drawing>
      </w:r>
    </w:p>
    <w:p>
      <w:pPr>
        <w:spacing w:after="0" w:line="275" w:lineRule="exact"/>
        <w:rPr>
          <w:sz w:val="20"/>
          <w:szCs w:val="20"/>
          <w:color w:val="auto"/>
        </w:rPr>
      </w:pPr>
    </w:p>
    <w:p>
      <w:pPr>
        <w:ind w:left="1320"/>
        <w:spacing w:after="0"/>
        <w:tabs>
          <w:tab w:leader="none" w:pos="5560" w:val="left"/>
          <w:tab w:leader="none" w:pos="8860" w:val="left"/>
        </w:tabs>
        <w:rPr>
          <w:sz w:val="20"/>
          <w:szCs w:val="20"/>
          <w:color w:val="auto"/>
        </w:rPr>
      </w:pPr>
      <w:r>
        <w:rPr>
          <w:rFonts w:ascii="Calibri" w:cs="Calibri" w:eastAsia="Calibri" w:hAnsi="Calibri"/>
          <w:sz w:val="22"/>
          <w:szCs w:val="22"/>
          <w:b w:val="1"/>
          <w:bCs w:val="1"/>
          <w:color w:val="3465B0"/>
        </w:rPr>
        <w:t>U.S., U.K., and Canada</w:t>
      </w:r>
      <w:r>
        <w:rPr>
          <w:sz w:val="20"/>
          <w:szCs w:val="20"/>
          <w:color w:val="auto"/>
        </w:rPr>
        <w:tab/>
      </w:r>
      <w:r>
        <w:rPr>
          <w:rFonts w:ascii="Calibri" w:cs="Calibri" w:eastAsia="Calibri" w:hAnsi="Calibri"/>
          <w:sz w:val="22"/>
          <w:szCs w:val="22"/>
          <w:b w:val="1"/>
          <w:bCs w:val="1"/>
          <w:color w:val="3465B0"/>
        </w:rPr>
        <w:t>U.S.</w:t>
      </w:r>
      <w:r>
        <w:rPr>
          <w:sz w:val="20"/>
          <w:szCs w:val="20"/>
          <w:color w:val="auto"/>
        </w:rPr>
        <w:tab/>
      </w:r>
      <w:r>
        <w:rPr>
          <w:rFonts w:ascii="Calibri" w:cs="Calibri" w:eastAsia="Calibri" w:hAnsi="Calibri"/>
          <w:sz w:val="19"/>
          <w:szCs w:val="19"/>
          <w:b w:val="1"/>
          <w:bCs w:val="1"/>
          <w:color w:val="3465B0"/>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120015</wp:posOffset>
            </wp:positionV>
            <wp:extent cx="5701030" cy="436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1030" cy="43688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659765</wp:posOffset>
            </wp:positionV>
            <wp:extent cx="153416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34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spacing w:after="0"/>
        <w:rPr>
          <w:sz w:val="20"/>
          <w:szCs w:val="20"/>
          <w:color w:val="auto"/>
        </w:rPr>
      </w:pPr>
      <w:r>
        <w:rPr>
          <w:rFonts w:ascii="Calibri" w:cs="Calibri" w:eastAsia="Calibri" w:hAnsi="Calibri"/>
          <w:sz w:val="14"/>
          <w:szCs w:val="14"/>
          <w:i w:val="1"/>
          <w:iCs w:val="1"/>
          <w:color w:val="00002D"/>
        </w:rPr>
        <w:t>CarOfer is a subsidiary of CarGurus and operates as an independent brand.</w:t>
      </w:r>
    </w:p>
    <w:p>
      <w:pPr>
        <w:spacing w:after="0" w:line="5" w:lineRule="exact"/>
        <w:rPr>
          <w:sz w:val="20"/>
          <w:szCs w:val="20"/>
          <w:color w:val="auto"/>
        </w:rPr>
      </w:pPr>
    </w:p>
    <w:p>
      <w:pPr>
        <w:ind w:left="760"/>
        <w:spacing w:after="0"/>
        <w:rPr>
          <w:sz w:val="20"/>
          <w:szCs w:val="20"/>
          <w:color w:val="auto"/>
        </w:rPr>
      </w:pPr>
      <w:r>
        <w:rPr>
          <w:rFonts w:ascii="Calibri" w:cs="Calibri" w:eastAsia="Calibri" w:hAnsi="Calibri"/>
          <w:sz w:val="14"/>
          <w:szCs w:val="14"/>
          <w:i w:val="1"/>
          <w:iCs w:val="1"/>
          <w:color w:val="00002D"/>
        </w:rPr>
        <w:t>Autolist and PistonHeads operate as independent brands.</w:t>
      </w: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have subsidiaries in the U.S., Canada, Ireland, and the U.K. and we have two reportable segments, U.S. Marketplace and Digital Wholesale. See Note 14 to our consolidated fnancial statements included elsewhere in this Annual Report for further segment reportng and geographic informaton.</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12" w:lineRule="auto"/>
        <w:rPr>
          <w:sz w:val="20"/>
          <w:szCs w:val="20"/>
          <w:color w:val="auto"/>
        </w:rPr>
      </w:pPr>
      <w:r>
        <w:rPr>
          <w:rFonts w:ascii="MS PGothic" w:cs="MS PGothic" w:eastAsia="MS PGothic" w:hAnsi="MS PGothic"/>
          <w:sz w:val="17"/>
          <w:szCs w:val="17"/>
          <w:color w:val="00002D"/>
        </w:rPr>
        <w:t>We derive our revenue from marketplace revenue, wholesale revenue, and product revenue. Marketplace revenue is included in the U.S. Marketplace segment and Other category of segment reportng. Wholesale revenue and product revenue are primarily included in the Digital Wholesale segment. We generate marketplace revenue from (i) dealer subscriptons to our Listngs packages and RPM, our digital advertsing suite, Digital Retail, and Top Dealer Ofers, (ii) advertsing revenue from auto manufacturers and other auto‑related brand advertsers, and (iii) revenue from partnerships with fnancing services companies. We generate wholesale revenue primarily from (x) transacton fees earned from Dealer-to-Dealer transactons, (y) transacton fees earned from the sale of vehicles to dealers that we acquire at other marketplaces, and (z) transacton fees earned from performing inspecton and transportaton services, inclusive of Dealer-to-Dealer transactons, other marketplace-to-dealer transactons, and Instant Max Cash Ofer transactons (as defned below). We generate product revenue primarily from (A) aggregate proceeds received from the sale of vehicles to dealers that were acquired directly from customers, or Instant Max Cash Ofer transactons, and (B) proceeds received from the sale of vehicles that were acquired through arbitraton.</w:t>
      </w:r>
    </w:p>
    <w:p>
      <w:pPr>
        <w:spacing w:after="0" w:line="171"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For the year ended December 31, 2024, we generated revenue of $894.4 million, a 2% decrease from $914.2 million of revenue for the year ended December 31, 2023.</w:t>
      </w:r>
    </w:p>
    <w:p>
      <w:pPr>
        <w:spacing w:after="0" w:line="147"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For the year ended December 31, 2024, we generated consolidated net income of $21.0 million and Consolidated Adjusted EBITDA, a non-GAAP measure, of $247.2 million, compared to consolidated net income of $22.1 million and Consolidated Adjusted EBITDA of $195.8 million for the year ended December 31, 2023.</w:t>
      </w:r>
    </w:p>
    <w:p>
      <w:pPr>
        <w:spacing w:after="0" w:line="164"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See below for more informaton regarding our use and reconciliaton of Consolidated Adjusted EBITDA and other non-GAAP fnancial measures.</w:t>
      </w:r>
    </w:p>
    <w:p>
      <w:pPr>
        <w:spacing w:after="0" w:line="233"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Key Business Metrics</w:t>
      </w:r>
    </w:p>
    <w:p>
      <w:pPr>
        <w:spacing w:after="0" w:line="232"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We regularly review a number of metrics, including the key metrics listed below, to evaluate our business, measure our performance, identfy trends afectng our business, formulate fnancial projectons, and make operatng and strategic decisions. We believe it is important to evaluate these metrics, as applicable, for the U.S. and Internatonal geographic regions. The Internatonal region derives revenue from marketplace revenue from customers outside of the U.S. Internatonal markets perform diferently from the U.S. market due to a variety of factors, including our operatng history in each market, our rate of investment, market size, market maturity, competton, and other dynamics unique to each country.</w:t>
      </w:r>
    </w:p>
    <w:p>
      <w:pPr>
        <w:spacing w:after="0" w:line="175"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Historically, we have used data from Google Universal Analytcs, or Google Analytcs, to measure two of our key business metrics: monthly unique users and monthly sessions. Efectve July 1, 2024, Google Analytcs 4, or GA4, replaced Google Analytcs. The methodologies used in GA4 are diferent and not comparable to the methodologies used in Google Analytcs. As discussed below, we also make certain adjustments to the GA4 data in order to improve the accuracy of the reported monthly unique users and monthly sessions. Due to the change in methodology, we are unable to provide comparable monthly unique user and monthly session informaton for prior periods, including any periods prior to June 30, 2024.</w:t>
      </w:r>
    </w:p>
    <w:p>
      <w:pPr>
        <w:spacing w:after="0" w:line="17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Monthly Unique Users</w:t>
      </w:r>
    </w:p>
    <w:p>
      <w:pPr>
        <w:spacing w:after="0" w:line="223" w:lineRule="exact"/>
        <w:rPr>
          <w:sz w:val="20"/>
          <w:szCs w:val="20"/>
          <w:color w:val="auto"/>
        </w:rPr>
      </w:pPr>
    </w:p>
    <w:p>
      <w:pPr>
        <w:jc w:val="both"/>
        <w:spacing w:after="0" w:line="310" w:lineRule="auto"/>
        <w:rPr>
          <w:sz w:val="20"/>
          <w:szCs w:val="20"/>
          <w:color w:val="auto"/>
        </w:rPr>
      </w:pPr>
      <w:r>
        <w:rPr>
          <w:rFonts w:ascii="MS PGothic" w:cs="MS PGothic" w:eastAsia="MS PGothic" w:hAnsi="MS PGothic"/>
          <w:sz w:val="17"/>
          <w:szCs w:val="17"/>
          <w:color w:val="00002D"/>
        </w:rPr>
        <w:t>For each of our websites (excluding the CarOfer website), we defne a monthly unique user as an individual who has visited any such website and taken a Visitor Acton (as defned below) within a calendar month, based on data as measured by GA4. We calculate average monthly unique users as the sum of the monthly unique users of each of our websites in a defned period, divided by the number of months in that period. Efectve July 1, 2024, we count a unique user the frst tme a computer or mobile device with a unique device identfer accesses any of our websites or applicaton during a calendar month and takes an acton on such website or in such applicaton, such as performing a search, visitng vehicle detail pages, and connectng with a dealer, which we refer to as a Visitor Acton. If an individual accesses a website or applicaton using a diferent device within a given month, the frst Visitor Acton taken by each such device is counted as a separate unique user. If an individual uses multple browsers on a single device and/or clears their cookies and returns to our website or applicaton and takes a Visitor Acton within a calendar month, each such Visitor Acton is counted as a separate unique user. We eliminate any duplicate unique users that may arise when users visit a webview within our natve applicaton. We view our average monthly unique users as a key indicator of the quality of our user experience, the efectveness of our advertsing and trafc acquisiton, and the strength of our brand awareness. Measuring unique users is important to us and we believe it provides useful informaton to our investors because our marketplace revenue depends, in part, on our ability to provide dealers with connectons to our users and exposure to our marketplace audience. We defne connectons as interactons between</w:t>
      </w:r>
    </w:p>
    <w:p>
      <w:pPr>
        <w:spacing w:after="0" w:line="173"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00002D"/>
        </w:rPr>
        <w:t>consumers and dealers on our marketplace through phone calls, email, managed text and chat, and clicks to access the dealer’s website or map directons to the dealership.</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4"/>
          </w:tcPr>
          <w:p>
            <w:pPr>
              <w:jc w:val="right"/>
              <w:ind w:right="475"/>
              <w:spacing w:after="0"/>
              <w:rPr>
                <w:sz w:val="20"/>
                <w:szCs w:val="20"/>
                <w:color w:val="auto"/>
              </w:rPr>
            </w:pPr>
            <w:r>
              <w:rPr>
                <w:rFonts w:ascii="Calibri" w:cs="Calibri" w:eastAsia="Calibri" w:hAnsi="Calibri"/>
                <w:sz w:val="14"/>
                <w:szCs w:val="14"/>
                <w:b w:val="1"/>
                <w:bCs w:val="1"/>
                <w:color w:val="auto"/>
              </w:rPr>
              <w:t>Three Months Ended December 31,</w:t>
            </w:r>
          </w:p>
        </w:tc>
      </w:tr>
      <w:tr>
        <w:trPr>
          <w:trHeight w:val="212"/>
        </w:trPr>
        <w:tc>
          <w:tcPr>
            <w:tcW w:w="674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Average Monthly Unique Users</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ind w:right="499"/>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line="212" w:lineRule="exact"/>
              <w:rPr>
                <w:sz w:val="20"/>
                <w:szCs w:val="20"/>
                <w:color w:val="auto"/>
              </w:rPr>
            </w:pPr>
            <w:r>
              <w:rPr>
                <w:rFonts w:ascii="Calibri" w:cs="Calibri" w:eastAsia="Calibri" w:hAnsi="Calibri"/>
                <w:sz w:val="14"/>
                <w:szCs w:val="14"/>
                <w:b w:val="1"/>
                <w:bCs w:val="1"/>
                <w:color w:val="auto"/>
              </w:rPr>
              <w:t xml:space="preserve">2023 </w:t>
            </w:r>
            <w:r>
              <w:rPr>
                <w:rFonts w:ascii="Calibri" w:cs="Calibri" w:eastAsia="Calibri" w:hAnsi="Calibri"/>
                <w:sz w:val="19"/>
                <w:szCs w:val="19"/>
                <w:color w:val="auto"/>
                <w:vertAlign w:val="superscript"/>
              </w:rPr>
              <w:t>(1)</w:t>
            </w:r>
          </w:p>
        </w:tc>
      </w:tr>
      <w:tr>
        <w:trPr>
          <w:trHeight w:val="166"/>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39"/>
              <w:spacing w:after="0" w:line="166" w:lineRule="exact"/>
              <w:rPr>
                <w:sz w:val="20"/>
                <w:szCs w:val="20"/>
                <w:color w:val="auto"/>
              </w:rPr>
            </w:pPr>
            <w:r>
              <w:rPr>
                <w:rFonts w:ascii="Calibri" w:cs="Calibri" w:eastAsia="Calibri" w:hAnsi="Calibri"/>
                <w:sz w:val="14"/>
                <w:szCs w:val="14"/>
                <w:b w:val="1"/>
                <w:bCs w:val="1"/>
                <w:color w:val="auto"/>
              </w:rPr>
              <w:t>(in</w:t>
            </w:r>
          </w:p>
        </w:tc>
        <w:tc>
          <w:tcPr>
            <w:tcW w:w="680" w:type="dxa"/>
            <w:vAlign w:val="bottom"/>
            <w:gridSpan w:val="2"/>
          </w:tcPr>
          <w:p>
            <w:pPr>
              <w:spacing w:after="0" w:line="166" w:lineRule="exact"/>
              <w:rPr>
                <w:sz w:val="20"/>
                <w:szCs w:val="20"/>
                <w:color w:val="auto"/>
              </w:rPr>
            </w:pPr>
            <w:r>
              <w:rPr>
                <w:rFonts w:ascii="Calibri" w:cs="Calibri" w:eastAsia="Calibri" w:hAnsi="Calibri"/>
                <w:sz w:val="14"/>
                <w:szCs w:val="14"/>
                <w:b w:val="1"/>
                <w:bCs w:val="1"/>
                <w:color w:val="auto"/>
              </w:rPr>
              <w:t>thousands)</w:t>
            </w:r>
          </w:p>
        </w:tc>
        <w:tc>
          <w:tcPr>
            <w:tcW w:w="1080" w:type="dxa"/>
            <w:vAlign w:val="bottom"/>
          </w:tcPr>
          <w:p>
            <w:pPr>
              <w:spacing w:after="0"/>
              <w:rPr>
                <w:sz w:val="14"/>
                <w:szCs w:val="14"/>
                <w:color w:val="auto"/>
              </w:rPr>
            </w:pPr>
          </w:p>
        </w:tc>
      </w:tr>
      <w:tr>
        <w:trPr>
          <w:trHeight w:val="219"/>
        </w:trPr>
        <w:tc>
          <w:tcPr>
            <w:tcW w:w="6900" w:type="dxa"/>
            <w:vAlign w:val="bottom"/>
            <w:gridSpan w:val="2"/>
            <w:shd w:val="clear" w:color="auto" w:fill="CFF0FC"/>
          </w:tcPr>
          <w:p>
            <w:pPr>
              <w:spacing w:after="0" w:line="217" w:lineRule="exact"/>
              <w:rPr>
                <w:sz w:val="20"/>
                <w:szCs w:val="20"/>
                <w:color w:val="auto"/>
              </w:rPr>
            </w:pPr>
            <w:r>
              <w:rPr>
                <w:rFonts w:ascii="Calibri" w:cs="Calibri" w:eastAsia="Calibri" w:hAnsi="Calibri"/>
                <w:sz w:val="18"/>
                <w:szCs w:val="18"/>
                <w:color w:val="auto"/>
              </w:rPr>
              <w:t>United States</w:t>
            </w:r>
          </w:p>
        </w:tc>
        <w:tc>
          <w:tcPr>
            <w:tcW w:w="14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29,282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ind w:left="760"/>
              <w:spacing w:after="0" w:line="217" w:lineRule="exact"/>
              <w:rPr>
                <w:sz w:val="20"/>
                <w:szCs w:val="20"/>
                <w:color w:val="auto"/>
              </w:rPr>
            </w:pPr>
            <w:r>
              <w:rPr>
                <w:rFonts w:ascii="Calibri" w:cs="Calibri" w:eastAsia="Calibri" w:hAnsi="Calibri"/>
                <w:sz w:val="18"/>
                <w:szCs w:val="18"/>
                <w:color w:val="auto"/>
              </w:rPr>
              <w:t>N/A</w:t>
            </w:r>
          </w:p>
        </w:tc>
      </w:tr>
      <w:tr>
        <w:trPr>
          <w:trHeight w:val="215"/>
        </w:trPr>
        <w:tc>
          <w:tcPr>
            <w:tcW w:w="6900" w:type="dxa"/>
            <w:vAlign w:val="bottom"/>
            <w:gridSpan w:val="2"/>
          </w:tcPr>
          <w:p>
            <w:pPr>
              <w:spacing w:after="0" w:line="215" w:lineRule="exact"/>
              <w:rPr>
                <w:sz w:val="20"/>
                <w:szCs w:val="20"/>
                <w:color w:val="auto"/>
              </w:rPr>
            </w:pPr>
            <w:r>
              <w:rPr>
                <w:rFonts w:ascii="Calibri" w:cs="Calibri" w:eastAsia="Calibri" w:hAnsi="Calibri"/>
                <w:sz w:val="18"/>
                <w:szCs w:val="18"/>
                <w:color w:val="auto"/>
              </w:rPr>
              <w:t>Internatonal</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9,139</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60"/>
              <w:spacing w:after="0" w:line="215" w:lineRule="exact"/>
              <w:rPr>
                <w:sz w:val="20"/>
                <w:szCs w:val="20"/>
                <w:color w:val="auto"/>
              </w:rPr>
            </w:pPr>
            <w:r>
              <w:rPr>
                <w:rFonts w:ascii="Calibri" w:cs="Calibri" w:eastAsia="Calibri" w:hAnsi="Calibri"/>
                <w:sz w:val="18"/>
                <w:szCs w:val="18"/>
                <w:color w:val="auto"/>
              </w:rPr>
              <w:t>N/A</w:t>
            </w:r>
          </w:p>
        </w:tc>
      </w:tr>
      <w:tr>
        <w:trPr>
          <w:trHeight w:val="210"/>
        </w:trPr>
        <w:tc>
          <w:tcPr>
            <w:tcW w:w="6900" w:type="dxa"/>
            <w:vAlign w:val="bottom"/>
            <w:gridSpan w:val="2"/>
            <w:shd w:val="clear" w:color="auto" w:fill="CFF0FC"/>
          </w:tcPr>
          <w:p>
            <w:pPr>
              <w:ind w:left="180"/>
              <w:spacing w:after="0" w:line="210" w:lineRule="exact"/>
              <w:rPr>
                <w:sz w:val="20"/>
                <w:szCs w:val="20"/>
                <w:color w:val="auto"/>
              </w:rPr>
            </w:pPr>
            <w:r>
              <w:rPr>
                <w:rFonts w:ascii="Calibri" w:cs="Calibri" w:eastAsia="Calibri" w:hAnsi="Calibri"/>
                <w:sz w:val="18"/>
                <w:szCs w:val="18"/>
                <w:color w:val="auto"/>
              </w:rPr>
              <w:t>Total</w:t>
            </w:r>
          </w:p>
        </w:tc>
        <w:tc>
          <w:tcPr>
            <w:tcW w:w="1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38,421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ind w:left="760"/>
              <w:spacing w:after="0" w:line="210" w:lineRule="exact"/>
              <w:rPr>
                <w:sz w:val="20"/>
                <w:szCs w:val="20"/>
                <w:color w:val="auto"/>
              </w:rPr>
            </w:pPr>
            <w:r>
              <w:rPr>
                <w:rFonts w:ascii="Calibri" w:cs="Calibri" w:eastAsia="Calibri" w:hAnsi="Calibri"/>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-659130</wp:posOffset>
            </wp:positionV>
            <wp:extent cx="20320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73" w:lineRule="exact"/>
        <w:rPr>
          <w:sz w:val="20"/>
          <w:szCs w:val="20"/>
          <w:color w:val="auto"/>
        </w:rPr>
      </w:pPr>
    </w:p>
    <w:p>
      <w:pPr>
        <w:ind w:left="1060" w:hanging="543"/>
        <w:spacing w:after="0"/>
        <w:tabs>
          <w:tab w:leader="none" w:pos="1060" w:val="left"/>
        </w:tabs>
        <w:numPr>
          <w:ilvl w:val="0"/>
          <w:numId w:val="30"/>
        </w:numPr>
        <w:rPr>
          <w:rFonts w:ascii="Calibri" w:cs="Calibri" w:eastAsia="Calibri" w:hAnsi="Calibri"/>
          <w:sz w:val="14"/>
          <w:szCs w:val="14"/>
          <w:color w:val="00002D"/>
        </w:rPr>
      </w:pPr>
      <w:r>
        <w:rPr>
          <w:rFonts w:ascii="Calibri" w:cs="Calibri" w:eastAsia="Calibri" w:hAnsi="Calibri"/>
          <w:sz w:val="14"/>
          <w:szCs w:val="14"/>
          <w:color w:val="00002D"/>
        </w:rPr>
        <w:t>As a result of the change from Google Analytcs to GA4, we are unable to provide comparable monthly unique user informaton for this period.</w:t>
      </w:r>
    </w:p>
    <w:p>
      <w:pPr>
        <w:spacing w:after="0" w:line="21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Monthly Sessions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defne monthly sessions as the number of distnct visits to our websites (excluding the CarOfer website) that include a Visitor Acton that take place each month within a given tme frame, as measured and defned by GA4. We calculate average monthly sessions as the sum of the monthly sessions in a defned period, divided by the number of months in that period. Efectve July 1, 2024, a session is defned as beginning with the frst Visitor Acton from a computer or mobile device and ending at the earliest of when a user closes their browser window or afer 30 minutes of inactvity. We eliminate any duplicate monthly sessions that may arise when users visit a webview within our natve applicaton. We believe that measuring the volume of sessions in a tme period, when considered in conjuncton with the number of unique users in that tme period, is an important indicator to us of consumer satsfacton and engagement with our marketplace, and we believe it provides useful informaton to our investors because the more satsfed and engaged consumers we have, the more valuable our service is to dealers.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4"/>
          </w:tcPr>
          <w:p>
            <w:pPr>
              <w:jc w:val="right"/>
              <w:ind w:right="475"/>
              <w:spacing w:after="0"/>
              <w:rPr>
                <w:sz w:val="20"/>
                <w:szCs w:val="20"/>
                <w:color w:val="auto"/>
              </w:rPr>
            </w:pPr>
            <w:r>
              <w:rPr>
                <w:rFonts w:ascii="Calibri" w:cs="Calibri" w:eastAsia="Calibri" w:hAnsi="Calibri"/>
                <w:sz w:val="14"/>
                <w:szCs w:val="14"/>
                <w:b w:val="1"/>
                <w:bCs w:val="1"/>
                <w:color w:val="auto"/>
              </w:rPr>
              <w:t>Three Months Ended December 31,</w:t>
            </w:r>
          </w:p>
        </w:tc>
      </w:tr>
      <w:tr>
        <w:trPr>
          <w:trHeight w:val="212"/>
        </w:trPr>
        <w:tc>
          <w:tcPr>
            <w:tcW w:w="674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Average Monthly Sessions</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ind w:right="499"/>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line="212" w:lineRule="exact"/>
              <w:rPr>
                <w:sz w:val="20"/>
                <w:szCs w:val="20"/>
                <w:color w:val="auto"/>
              </w:rPr>
            </w:pPr>
            <w:r>
              <w:rPr>
                <w:rFonts w:ascii="Calibri" w:cs="Calibri" w:eastAsia="Calibri" w:hAnsi="Calibri"/>
                <w:sz w:val="14"/>
                <w:szCs w:val="14"/>
                <w:b w:val="1"/>
                <w:bCs w:val="1"/>
                <w:color w:val="auto"/>
              </w:rPr>
              <w:t xml:space="preserve">2023 </w:t>
            </w:r>
            <w:r>
              <w:rPr>
                <w:rFonts w:ascii="Calibri" w:cs="Calibri" w:eastAsia="Calibri" w:hAnsi="Calibri"/>
                <w:sz w:val="19"/>
                <w:szCs w:val="19"/>
                <w:color w:val="auto"/>
                <w:vertAlign w:val="superscript"/>
              </w:rPr>
              <w:t>(1)</w:t>
            </w:r>
          </w:p>
        </w:tc>
      </w:tr>
      <w:tr>
        <w:trPr>
          <w:trHeight w:val="166"/>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39"/>
              <w:spacing w:after="0" w:line="166" w:lineRule="exact"/>
              <w:rPr>
                <w:sz w:val="20"/>
                <w:szCs w:val="20"/>
                <w:color w:val="auto"/>
              </w:rPr>
            </w:pPr>
            <w:r>
              <w:rPr>
                <w:rFonts w:ascii="Calibri" w:cs="Calibri" w:eastAsia="Calibri" w:hAnsi="Calibri"/>
                <w:sz w:val="14"/>
                <w:szCs w:val="14"/>
                <w:b w:val="1"/>
                <w:bCs w:val="1"/>
                <w:color w:val="auto"/>
              </w:rPr>
              <w:t>(in</w:t>
            </w:r>
          </w:p>
        </w:tc>
        <w:tc>
          <w:tcPr>
            <w:tcW w:w="680" w:type="dxa"/>
            <w:vAlign w:val="bottom"/>
            <w:gridSpan w:val="2"/>
          </w:tcPr>
          <w:p>
            <w:pPr>
              <w:spacing w:after="0" w:line="166" w:lineRule="exact"/>
              <w:rPr>
                <w:sz w:val="20"/>
                <w:szCs w:val="20"/>
                <w:color w:val="auto"/>
              </w:rPr>
            </w:pPr>
            <w:r>
              <w:rPr>
                <w:rFonts w:ascii="Calibri" w:cs="Calibri" w:eastAsia="Calibri" w:hAnsi="Calibri"/>
                <w:sz w:val="14"/>
                <w:szCs w:val="14"/>
                <w:b w:val="1"/>
                <w:bCs w:val="1"/>
                <w:color w:val="auto"/>
              </w:rPr>
              <w:t>thousands)</w:t>
            </w:r>
          </w:p>
        </w:tc>
        <w:tc>
          <w:tcPr>
            <w:tcW w:w="1080" w:type="dxa"/>
            <w:vAlign w:val="bottom"/>
          </w:tcPr>
          <w:p>
            <w:pPr>
              <w:spacing w:after="0"/>
              <w:rPr>
                <w:sz w:val="14"/>
                <w:szCs w:val="14"/>
                <w:color w:val="auto"/>
              </w:rPr>
            </w:pPr>
          </w:p>
        </w:tc>
      </w:tr>
      <w:tr>
        <w:trPr>
          <w:trHeight w:val="219"/>
        </w:trPr>
        <w:tc>
          <w:tcPr>
            <w:tcW w:w="6900" w:type="dxa"/>
            <w:vAlign w:val="bottom"/>
            <w:gridSpan w:val="2"/>
            <w:shd w:val="clear" w:color="auto" w:fill="CFF0FC"/>
          </w:tcPr>
          <w:p>
            <w:pPr>
              <w:spacing w:after="0" w:line="217" w:lineRule="exact"/>
              <w:rPr>
                <w:sz w:val="20"/>
                <w:szCs w:val="20"/>
                <w:color w:val="auto"/>
              </w:rPr>
            </w:pPr>
            <w:r>
              <w:rPr>
                <w:rFonts w:ascii="Calibri" w:cs="Calibri" w:eastAsia="Calibri" w:hAnsi="Calibri"/>
                <w:sz w:val="18"/>
                <w:szCs w:val="18"/>
                <w:color w:val="auto"/>
              </w:rPr>
              <w:t>United States</w:t>
            </w:r>
          </w:p>
        </w:tc>
        <w:tc>
          <w:tcPr>
            <w:tcW w:w="14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74,591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shd w:val="clear" w:color="auto" w:fill="CFF0FC"/>
          </w:tcPr>
          <w:p>
            <w:pPr>
              <w:ind w:left="760"/>
              <w:spacing w:after="0" w:line="217" w:lineRule="exact"/>
              <w:rPr>
                <w:sz w:val="20"/>
                <w:szCs w:val="20"/>
                <w:color w:val="auto"/>
              </w:rPr>
            </w:pPr>
            <w:r>
              <w:rPr>
                <w:rFonts w:ascii="Calibri" w:cs="Calibri" w:eastAsia="Calibri" w:hAnsi="Calibri"/>
                <w:sz w:val="18"/>
                <w:szCs w:val="18"/>
                <w:color w:val="auto"/>
              </w:rPr>
              <w:t>N/A</w:t>
            </w:r>
          </w:p>
        </w:tc>
      </w:tr>
      <w:tr>
        <w:trPr>
          <w:trHeight w:val="215"/>
        </w:trPr>
        <w:tc>
          <w:tcPr>
            <w:tcW w:w="6900" w:type="dxa"/>
            <w:vAlign w:val="bottom"/>
            <w:gridSpan w:val="2"/>
          </w:tcPr>
          <w:p>
            <w:pPr>
              <w:spacing w:after="0" w:line="215" w:lineRule="exact"/>
              <w:rPr>
                <w:sz w:val="20"/>
                <w:szCs w:val="20"/>
                <w:color w:val="auto"/>
              </w:rPr>
            </w:pPr>
            <w:r>
              <w:rPr>
                <w:rFonts w:ascii="Calibri" w:cs="Calibri" w:eastAsia="Calibri" w:hAnsi="Calibri"/>
                <w:sz w:val="18"/>
                <w:szCs w:val="18"/>
                <w:color w:val="auto"/>
              </w:rPr>
              <w:t>Internatonal</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19,230</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60"/>
              <w:spacing w:after="0" w:line="215" w:lineRule="exact"/>
              <w:rPr>
                <w:sz w:val="20"/>
                <w:szCs w:val="20"/>
                <w:color w:val="auto"/>
              </w:rPr>
            </w:pPr>
            <w:r>
              <w:rPr>
                <w:rFonts w:ascii="Calibri" w:cs="Calibri" w:eastAsia="Calibri" w:hAnsi="Calibri"/>
                <w:sz w:val="18"/>
                <w:szCs w:val="18"/>
                <w:color w:val="auto"/>
              </w:rPr>
              <w:t>N/A</w:t>
            </w:r>
          </w:p>
        </w:tc>
      </w:tr>
      <w:tr>
        <w:trPr>
          <w:trHeight w:val="210"/>
        </w:trPr>
        <w:tc>
          <w:tcPr>
            <w:tcW w:w="6900" w:type="dxa"/>
            <w:vAlign w:val="bottom"/>
            <w:gridSpan w:val="2"/>
            <w:shd w:val="clear" w:color="auto" w:fill="CFF0FC"/>
          </w:tcPr>
          <w:p>
            <w:pPr>
              <w:ind w:left="180"/>
              <w:spacing w:after="0" w:line="210" w:lineRule="exact"/>
              <w:rPr>
                <w:sz w:val="20"/>
                <w:szCs w:val="20"/>
                <w:color w:val="auto"/>
              </w:rPr>
            </w:pPr>
            <w:r>
              <w:rPr>
                <w:rFonts w:ascii="Calibri" w:cs="Calibri" w:eastAsia="Calibri" w:hAnsi="Calibri"/>
                <w:sz w:val="18"/>
                <w:szCs w:val="18"/>
                <w:color w:val="auto"/>
              </w:rPr>
              <w:t>Total</w:t>
            </w:r>
          </w:p>
        </w:tc>
        <w:tc>
          <w:tcPr>
            <w:tcW w:w="1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93,821</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ind w:left="760"/>
              <w:spacing w:after="0" w:line="210" w:lineRule="exact"/>
              <w:rPr>
                <w:sz w:val="20"/>
                <w:szCs w:val="20"/>
                <w:color w:val="auto"/>
              </w:rPr>
            </w:pPr>
            <w:r>
              <w:rPr>
                <w:rFonts w:ascii="Calibri" w:cs="Calibri" w:eastAsia="Calibri" w:hAnsi="Calibri"/>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-659130</wp:posOffset>
            </wp:positionV>
            <wp:extent cx="20320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73" w:lineRule="exact"/>
        <w:rPr>
          <w:sz w:val="20"/>
          <w:szCs w:val="20"/>
          <w:color w:val="auto"/>
        </w:rPr>
      </w:pPr>
    </w:p>
    <w:p>
      <w:pPr>
        <w:ind w:left="1020" w:hanging="503"/>
        <w:spacing w:after="0"/>
        <w:tabs>
          <w:tab w:leader="none" w:pos="1020" w:val="left"/>
        </w:tabs>
        <w:numPr>
          <w:ilvl w:val="0"/>
          <w:numId w:val="31"/>
        </w:numPr>
        <w:rPr>
          <w:rFonts w:ascii="Calibri" w:cs="Calibri" w:eastAsia="Calibri" w:hAnsi="Calibri"/>
          <w:sz w:val="14"/>
          <w:szCs w:val="14"/>
          <w:color w:val="00002D"/>
        </w:rPr>
      </w:pPr>
      <w:r>
        <w:rPr>
          <w:rFonts w:ascii="Calibri" w:cs="Calibri" w:eastAsia="Calibri" w:hAnsi="Calibri"/>
          <w:sz w:val="14"/>
          <w:szCs w:val="14"/>
          <w:color w:val="00002D"/>
        </w:rPr>
        <w:t>As a result of the change from Google Analytcs to GA4, we are unable to provide comparable monthly sessions informaton for this period.</w:t>
      </w:r>
    </w:p>
    <w:p>
      <w:pPr>
        <w:spacing w:after="0" w:line="21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Number of Paying Dealers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defne a paying dealer as a dealer account with an actve, paid marketplace subscripton at the end of a defned period. The number of paying dealers we have is important to us and we believe it provides valuable informaton to investors because it is indicatve of the value propositon of our marketplace products, as well as our sales and marketng success and opportunity, including our ability to retain paying dealers and develop new dealer relatonships.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Borders>
              <w:bottom w:val="single" w:sz="8" w:color="auto"/>
            </w:tcBorders>
            <w:gridSpan w:val="3"/>
          </w:tcPr>
          <w:p>
            <w:pPr>
              <w:ind w:left="960"/>
              <w:spacing w:after="0"/>
              <w:rPr>
                <w:sz w:val="20"/>
                <w:szCs w:val="20"/>
                <w:color w:val="auto"/>
              </w:rPr>
            </w:pPr>
            <w:r>
              <w:rPr>
                <w:rFonts w:ascii="Calibri" w:cs="Calibri" w:eastAsia="Calibri" w:hAnsi="Calibri"/>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6740" w:type="dxa"/>
            <w:vAlign w:val="bottom"/>
            <w:tcBorders>
              <w:bottom w:val="single" w:sz="8" w:color="auto"/>
            </w:tcBorders>
          </w:tcPr>
          <w:p>
            <w:pPr>
              <w:spacing w:after="0" w:line="156" w:lineRule="exact"/>
              <w:rPr>
                <w:sz w:val="20"/>
                <w:szCs w:val="20"/>
                <w:color w:val="auto"/>
              </w:rPr>
            </w:pPr>
            <w:r>
              <w:rPr>
                <w:rFonts w:ascii="Calibri" w:cs="Calibri" w:eastAsia="Calibri" w:hAnsi="Calibri"/>
                <w:sz w:val="14"/>
                <w:szCs w:val="14"/>
                <w:b w:val="1"/>
                <w:bCs w:val="1"/>
                <w:color w:val="auto"/>
              </w:rPr>
              <w:t>Number of Paying Dealers</w:t>
            </w:r>
          </w:p>
        </w:tc>
        <w:tc>
          <w:tcPr>
            <w:tcW w:w="160" w:type="dxa"/>
            <w:vAlign w:val="bottom"/>
          </w:tcPr>
          <w:p>
            <w:pPr>
              <w:spacing w:after="0"/>
              <w:rPr>
                <w:sz w:val="15"/>
                <w:szCs w:val="15"/>
                <w:color w:val="auto"/>
              </w:rPr>
            </w:pPr>
          </w:p>
        </w:tc>
        <w:tc>
          <w:tcPr>
            <w:tcW w:w="1440" w:type="dxa"/>
            <w:vAlign w:val="bottom"/>
            <w:tcBorders>
              <w:bottom w:val="single" w:sz="8" w:color="auto"/>
            </w:tcBorders>
          </w:tcPr>
          <w:p>
            <w:pPr>
              <w:jc w:val="right"/>
              <w:ind w:right="497"/>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5"/>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r>
      <w:tr>
        <w:trPr>
          <w:trHeight w:val="212"/>
        </w:trPr>
        <w:tc>
          <w:tcPr>
            <w:tcW w:w="6900" w:type="dxa"/>
            <w:vAlign w:val="bottom"/>
            <w:gridSpan w:val="2"/>
            <w:shd w:val="clear" w:color="auto" w:fill="CFF0FC"/>
          </w:tcPr>
          <w:p>
            <w:pPr>
              <w:spacing w:after="0" w:line="212" w:lineRule="exact"/>
              <w:rPr>
                <w:sz w:val="20"/>
                <w:szCs w:val="20"/>
                <w:color w:val="auto"/>
              </w:rPr>
            </w:pPr>
            <w:r>
              <w:rPr>
                <w:rFonts w:ascii="Calibri" w:cs="Calibri" w:eastAsia="Calibri" w:hAnsi="Calibri"/>
                <w:sz w:val="18"/>
                <w:szCs w:val="18"/>
                <w:color w:val="auto"/>
              </w:rPr>
              <w:t>United States</w:t>
            </w:r>
          </w:p>
        </w:tc>
        <w:tc>
          <w:tcPr>
            <w:tcW w:w="144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24,692</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24,318</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gridSpan w:val="2"/>
          </w:tcPr>
          <w:p>
            <w:pPr>
              <w:spacing w:after="0" w:line="215" w:lineRule="exact"/>
              <w:rPr>
                <w:sz w:val="20"/>
                <w:szCs w:val="20"/>
                <w:color w:val="auto"/>
              </w:rPr>
            </w:pPr>
            <w:r>
              <w:rPr>
                <w:rFonts w:ascii="Calibri" w:cs="Calibri" w:eastAsia="Calibri" w:hAnsi="Calibri"/>
                <w:sz w:val="18"/>
                <w:szCs w:val="18"/>
                <w:color w:val="auto"/>
              </w:rPr>
              <w:t>Internatonal</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7,318</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6,617</w:t>
            </w:r>
          </w:p>
        </w:tc>
        <w:tc>
          <w:tcPr>
            <w:tcW w:w="100" w:type="dxa"/>
            <w:vAlign w:val="bottom"/>
          </w:tcPr>
          <w:p>
            <w:pPr>
              <w:spacing w:after="0"/>
              <w:rPr>
                <w:sz w:val="18"/>
                <w:szCs w:val="18"/>
                <w:color w:val="auto"/>
              </w:rPr>
            </w:pPr>
          </w:p>
        </w:tc>
      </w:tr>
      <w:tr>
        <w:trPr>
          <w:trHeight w:val="210"/>
        </w:trPr>
        <w:tc>
          <w:tcPr>
            <w:tcW w:w="6900" w:type="dxa"/>
            <w:vAlign w:val="bottom"/>
            <w:gridSpan w:val="2"/>
            <w:shd w:val="clear" w:color="auto" w:fill="CFF0FC"/>
          </w:tcPr>
          <w:p>
            <w:pPr>
              <w:ind w:left="180"/>
              <w:spacing w:after="0" w:line="210" w:lineRule="exact"/>
              <w:rPr>
                <w:sz w:val="20"/>
                <w:szCs w:val="20"/>
                <w:color w:val="auto"/>
              </w:rPr>
            </w:pPr>
            <w:r>
              <w:rPr>
                <w:rFonts w:ascii="Calibri" w:cs="Calibri" w:eastAsia="Calibri" w:hAnsi="Calibri"/>
                <w:sz w:val="18"/>
                <w:szCs w:val="18"/>
                <w:color w:val="auto"/>
              </w:rPr>
              <w:t>Total</w:t>
            </w:r>
          </w:p>
        </w:tc>
        <w:tc>
          <w:tcPr>
            <w:tcW w:w="1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32,010</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30,935</w:t>
            </w:r>
          </w:p>
        </w:tc>
        <w:tc>
          <w:tcPr>
            <w:tcW w:w="100" w:type="dxa"/>
            <w:vAlign w:val="bottom"/>
            <w:shd w:val="clear" w:color="auto" w:fill="CFF0FC"/>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Transactons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defne Transactons within the Digital Wholesale segment as the number of vehicles processed from car dealers, consumers, and other marketplaces through the CarOfer website within the defned period. Transactons consists of each unique vehicle (based on vehicle identfcaton number) that reaches “sold and invoiced” status on the CarOfer website within the defned period, including vehicles sold to car dealers, vehicles sold at third-party auctons, vehicles ultmately sold to a diferent buyer, and vehicles that are returned to their owners without completon of a sale transacton. We exclude vehicles processed within CarOfer’s intra-group trading soluton (Group Trade) from the defniton of Transactons, and we only count any unique vehicle once even if it reaches sold status multple tmes. The Digital Wholesale segment includes Dealer-to-Dealer transactons and Instant Max Cash Ofer transactons. We view Transactons as a key business metric and we believe it provides useful informaton to investors because it provides insight into growth and revenue for the Digital Wholesale segment. Transactons drive a signifcant porton of Digital Wholesale segment revenue.</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We believe growth in Transactons demonstrates consumer and dealer utlizaton and our market share penetraton in the Digital Wholesale segment.</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ind w:left="780"/>
              <w:spacing w:after="0"/>
              <w:rPr>
                <w:sz w:val="20"/>
                <w:szCs w:val="20"/>
                <w:color w:val="auto"/>
              </w:rPr>
            </w:pPr>
            <w:r>
              <w:rPr>
                <w:rFonts w:ascii="Calibri" w:cs="Calibri" w:eastAsia="Calibri" w:hAnsi="Calibri"/>
                <w:sz w:val="14"/>
                <w:szCs w:val="14"/>
                <w:b w:val="1"/>
                <w:bCs w:val="1"/>
                <w:color w:val="auto"/>
              </w:rPr>
              <w:t>Year Ended December 31,</w:t>
            </w:r>
          </w:p>
        </w:tc>
      </w:tr>
      <w:tr>
        <w:trPr>
          <w:trHeight w:val="173"/>
        </w:trPr>
        <w:tc>
          <w:tcPr>
            <w:tcW w:w="6740" w:type="dxa"/>
            <w:vAlign w:val="bottom"/>
            <w:tcBorders>
              <w:bottom w:val="single" w:sz="8" w:color="auto"/>
            </w:tcBorders>
          </w:tcPr>
          <w:p>
            <w:pPr>
              <w:spacing w:after="0" w:line="156" w:lineRule="exact"/>
              <w:rPr>
                <w:sz w:val="20"/>
                <w:szCs w:val="20"/>
                <w:color w:val="auto"/>
              </w:rPr>
            </w:pPr>
            <w:r>
              <w:rPr>
                <w:rFonts w:ascii="Calibri" w:cs="Calibri" w:eastAsia="Calibri" w:hAnsi="Calibri"/>
                <w:sz w:val="14"/>
                <w:szCs w:val="14"/>
                <w:b w:val="1"/>
                <w:bCs w:val="1"/>
                <w:color w:val="auto"/>
              </w:rPr>
              <w:t>Transactons</w:t>
            </w:r>
          </w:p>
        </w:tc>
        <w:tc>
          <w:tcPr>
            <w:tcW w:w="160" w:type="dxa"/>
            <w:vAlign w:val="bottom"/>
          </w:tcPr>
          <w:p>
            <w:pPr>
              <w:spacing w:after="0"/>
              <w:rPr>
                <w:sz w:val="15"/>
                <w:szCs w:val="15"/>
                <w:color w:val="auto"/>
              </w:rPr>
            </w:pPr>
          </w:p>
        </w:tc>
        <w:tc>
          <w:tcPr>
            <w:tcW w:w="1440" w:type="dxa"/>
            <w:vAlign w:val="bottom"/>
            <w:tcBorders>
              <w:top w:val="single" w:sz="8" w:color="auto"/>
              <w:bottom w:val="single" w:sz="8" w:color="auto"/>
            </w:tcBorders>
          </w:tcPr>
          <w:p>
            <w:pPr>
              <w:jc w:val="right"/>
              <w:ind w:right="502"/>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508"/>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r>
      <w:tr>
        <w:trPr>
          <w:trHeight w:val="212"/>
        </w:trPr>
        <w:tc>
          <w:tcPr>
            <w:tcW w:w="6900" w:type="dxa"/>
            <w:vAlign w:val="bottom"/>
            <w:gridSpan w:val="2"/>
            <w:shd w:val="clear" w:color="auto" w:fill="CFF0FC"/>
          </w:tcPr>
          <w:p>
            <w:pPr>
              <w:spacing w:after="0"/>
              <w:rPr>
                <w:sz w:val="20"/>
                <w:szCs w:val="20"/>
                <w:color w:val="auto"/>
              </w:rPr>
            </w:pPr>
            <w:r>
              <w:rPr>
                <w:rFonts w:ascii="MS PGothic" w:cs="MS PGothic" w:eastAsia="MS PGothic" w:hAnsi="MS PGothic"/>
                <w:sz w:val="18"/>
                <w:szCs w:val="18"/>
                <w:color w:val="auto"/>
              </w:rPr>
              <w:t>Transactons</w:t>
            </w:r>
          </w:p>
        </w:tc>
        <w:tc>
          <w:tcPr>
            <w:tcW w:w="144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34,395</w:t>
            </w:r>
          </w:p>
        </w:tc>
        <w:tc>
          <w:tcPr>
            <w:tcW w:w="1660" w:type="dxa"/>
            <w:vAlign w:val="bottom"/>
            <w:gridSpan w:val="2"/>
            <w:shd w:val="clear" w:color="auto" w:fill="CFF0FC"/>
          </w:tcPr>
          <w:p>
            <w:pPr>
              <w:jc w:val="right"/>
              <w:spacing w:after="0"/>
              <w:rPr>
                <w:sz w:val="20"/>
                <w:szCs w:val="20"/>
                <w:color w:val="auto"/>
              </w:rPr>
            </w:pPr>
            <w:r>
              <w:rPr>
                <w:rFonts w:ascii="MS PGothic" w:cs="MS PGothic" w:eastAsia="MS PGothic" w:hAnsi="MS PGothic"/>
                <w:sz w:val="18"/>
                <w:szCs w:val="18"/>
                <w:color w:val="auto"/>
              </w:rPr>
              <w:t>65,418</w:t>
            </w:r>
          </w:p>
        </w:tc>
        <w:tc>
          <w:tcPr>
            <w:tcW w:w="100" w:type="dxa"/>
            <w:vAlign w:val="bottom"/>
            <w:shd w:val="clear" w:color="auto" w:fill="CFF0FC"/>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Quarterly Average Revenue per Subscribing Dealer (QARSD)</w:t>
      </w:r>
    </w:p>
    <w:p>
      <w:pPr>
        <w:spacing w:after="0" w:line="221" w:lineRule="exact"/>
        <w:rPr>
          <w:sz w:val="20"/>
          <w:szCs w:val="20"/>
          <w:color w:val="auto"/>
        </w:rPr>
      </w:pPr>
    </w:p>
    <w:p>
      <w:pPr>
        <w:jc w:val="both"/>
        <w:spacing w:after="0" w:line="294" w:lineRule="auto"/>
        <w:rPr>
          <w:sz w:val="20"/>
          <w:szCs w:val="20"/>
          <w:color w:val="auto"/>
        </w:rPr>
      </w:pPr>
      <w:r>
        <w:rPr>
          <w:rFonts w:ascii="MS PGothic" w:cs="MS PGothic" w:eastAsia="MS PGothic" w:hAnsi="MS PGothic"/>
          <w:sz w:val="18"/>
          <w:szCs w:val="18"/>
          <w:color w:val="00002D"/>
        </w:rPr>
        <w:t>We defne QARSD, which is measured at the end of a fscal quarter, as the marketplace revenue primarily from subscriptons to our Listngs packages and RPM, our digital advertsing suite, and other digital add-on products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informaton is important to us, and we believe it provides useful informaton to investors, because we believe that our ability to grow QARSD is an indicator of the value propositon of our products and the ROI that our paying dealers realize from our products. In additon, increases in QARSD, which we believe refect the value of exposure to our engaged audience in relaton to subscripton cost, are driven in part by our ability to grow the volume of connectons to our users and the quality of those connectons, which result in increased opportunity to upsell package levels and cross-sell additonal products to our paying dealers.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6"/>
          </w:tcPr>
          <w:p>
            <w:pPr>
              <w:ind w:left="280"/>
              <w:spacing w:after="0"/>
              <w:rPr>
                <w:sz w:val="20"/>
                <w:szCs w:val="20"/>
                <w:color w:val="auto"/>
              </w:rPr>
            </w:pPr>
            <w:r>
              <w:rPr>
                <w:rFonts w:ascii="Calibri" w:cs="Calibri" w:eastAsia="Calibri" w:hAnsi="Calibri"/>
                <w:sz w:val="14"/>
                <w:szCs w:val="14"/>
                <w:b w:val="1"/>
                <w:bCs w:val="1"/>
                <w:color w:val="auto"/>
              </w:rPr>
              <w:t>For the three months ended December 31,</w:t>
            </w:r>
          </w:p>
        </w:tc>
      </w:tr>
      <w:tr>
        <w:trPr>
          <w:trHeight w:val="173"/>
        </w:trPr>
        <w:tc>
          <w:tcPr>
            <w:tcW w:w="6740" w:type="dxa"/>
            <w:vAlign w:val="bottom"/>
            <w:tcBorders>
              <w:bottom w:val="single" w:sz="8" w:color="auto"/>
            </w:tcBorders>
          </w:tcPr>
          <w:p>
            <w:pPr>
              <w:spacing w:after="0" w:line="156" w:lineRule="exact"/>
              <w:rPr>
                <w:sz w:val="20"/>
                <w:szCs w:val="20"/>
                <w:color w:val="auto"/>
              </w:rPr>
            </w:pPr>
            <w:r>
              <w:rPr>
                <w:rFonts w:ascii="Calibri" w:cs="Calibri" w:eastAsia="Calibri" w:hAnsi="Calibri"/>
                <w:sz w:val="14"/>
                <w:szCs w:val="14"/>
                <w:b w:val="1"/>
                <w:bCs w:val="1"/>
                <w:color w:val="auto"/>
              </w:rPr>
              <w:t>Quarterly Average Revenue per Subscribing Dealer (QARSD)</w:t>
            </w:r>
          </w:p>
        </w:tc>
        <w:tc>
          <w:tcPr>
            <w:tcW w:w="16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5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r>
      <w:tr>
        <w:trPr>
          <w:trHeight w:val="212"/>
        </w:trPr>
        <w:tc>
          <w:tcPr>
            <w:tcW w:w="6900" w:type="dxa"/>
            <w:vAlign w:val="bottom"/>
            <w:gridSpan w:val="2"/>
            <w:shd w:val="clear" w:color="auto" w:fill="CFF0FC"/>
          </w:tcPr>
          <w:p>
            <w:pPr>
              <w:spacing w:after="0"/>
              <w:rPr>
                <w:sz w:val="20"/>
                <w:szCs w:val="20"/>
                <w:color w:val="auto"/>
              </w:rPr>
            </w:pPr>
            <w:r>
              <w:rPr>
                <w:rFonts w:ascii="MS PGothic" w:cs="MS PGothic" w:eastAsia="MS PGothic" w:hAnsi="MS PGothic"/>
                <w:sz w:val="18"/>
                <w:szCs w:val="18"/>
                <w:color w:val="auto"/>
              </w:rPr>
              <w:t>United States</w:t>
            </w:r>
          </w:p>
        </w:tc>
        <w:tc>
          <w:tcPr>
            <w:tcW w:w="920" w:type="dxa"/>
            <w:vAlign w:val="bottom"/>
            <w:shd w:val="clear" w:color="auto" w:fill="CFF0FC"/>
          </w:tcPr>
          <w:p>
            <w:pPr>
              <w:jc w:val="right"/>
              <w:ind w:right="717"/>
              <w:spacing w:after="0"/>
              <w:rPr>
                <w:sz w:val="20"/>
                <w:szCs w:val="20"/>
                <w:color w:val="auto"/>
              </w:rPr>
            </w:pPr>
            <w:r>
              <w:rPr>
                <w:rFonts w:ascii="MS PGothic" w:cs="MS PGothic" w:eastAsia="MS PGothic" w:hAnsi="MS PGothic"/>
                <w:sz w:val="18"/>
                <w:szCs w:val="18"/>
                <w:color w:val="auto"/>
              </w:rPr>
              <w:t>$</w:t>
            </w:r>
          </w:p>
        </w:tc>
        <w:tc>
          <w:tcPr>
            <w:tcW w:w="50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7,337</w:t>
            </w:r>
          </w:p>
        </w:tc>
        <w:tc>
          <w:tcPr>
            <w:tcW w:w="600" w:type="dxa"/>
            <w:vAlign w:val="bottom"/>
            <w:gridSpan w:val="2"/>
            <w:shd w:val="clear" w:color="auto" w:fill="CFF0FC"/>
          </w:tcPr>
          <w:p>
            <w:pPr>
              <w:jc w:val="right"/>
              <w:ind w:right="240"/>
              <w:spacing w:after="0"/>
              <w:rPr>
                <w:sz w:val="20"/>
                <w:szCs w:val="20"/>
                <w:color w:val="auto"/>
              </w:rPr>
            </w:pPr>
            <w:r>
              <w:rPr>
                <w:rFonts w:ascii="MS PGothic" w:cs="MS PGothic" w:eastAsia="MS PGothic" w:hAnsi="MS PGothic"/>
                <w:sz w:val="18"/>
                <w:szCs w:val="18"/>
                <w:color w:val="auto"/>
              </w:rPr>
              <w:t>$</w:t>
            </w:r>
          </w:p>
        </w:tc>
        <w:tc>
          <w:tcPr>
            <w:tcW w:w="108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6,532</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gridSpan w:val="2"/>
          </w:tcPr>
          <w:p>
            <w:pPr>
              <w:spacing w:after="0"/>
              <w:rPr>
                <w:sz w:val="20"/>
                <w:szCs w:val="20"/>
                <w:color w:val="auto"/>
              </w:rPr>
            </w:pPr>
            <w:r>
              <w:rPr>
                <w:rFonts w:ascii="MS PGothic" w:cs="MS PGothic" w:eastAsia="MS PGothic" w:hAnsi="MS PGothic"/>
                <w:sz w:val="18"/>
                <w:szCs w:val="18"/>
                <w:color w:val="auto"/>
              </w:rPr>
              <w:t>Internatonal</w:t>
            </w:r>
          </w:p>
        </w:tc>
        <w:tc>
          <w:tcPr>
            <w:tcW w:w="920" w:type="dxa"/>
            <w:vAlign w:val="bottom"/>
          </w:tcPr>
          <w:p>
            <w:pPr>
              <w:jc w:val="right"/>
              <w:ind w:right="717"/>
              <w:spacing w:after="0"/>
              <w:rPr>
                <w:sz w:val="20"/>
                <w:szCs w:val="20"/>
                <w:color w:val="auto"/>
              </w:rPr>
            </w:pPr>
            <w:r>
              <w:rPr>
                <w:rFonts w:ascii="MS PGothic" w:cs="MS PGothic" w:eastAsia="MS PGothic" w:hAnsi="MS PGothic"/>
                <w:sz w:val="18"/>
                <w:szCs w:val="18"/>
                <w:color w:val="auto"/>
              </w:rPr>
              <w:t>$</w:t>
            </w:r>
          </w:p>
        </w:tc>
        <w:tc>
          <w:tcPr>
            <w:tcW w:w="500" w:type="dxa"/>
            <w:vAlign w:val="bottom"/>
          </w:tcPr>
          <w:p>
            <w:pPr>
              <w:jc w:val="right"/>
              <w:spacing w:after="0"/>
              <w:rPr>
                <w:sz w:val="20"/>
                <w:szCs w:val="20"/>
                <w:color w:val="auto"/>
              </w:rPr>
            </w:pPr>
            <w:r>
              <w:rPr>
                <w:rFonts w:ascii="MS PGothic" w:cs="MS PGothic" w:eastAsia="MS PGothic" w:hAnsi="MS PGothic"/>
                <w:sz w:val="18"/>
                <w:szCs w:val="18"/>
                <w:color w:val="auto"/>
              </w:rPr>
              <w:t>2,072</w:t>
            </w:r>
          </w:p>
        </w:tc>
        <w:tc>
          <w:tcPr>
            <w:tcW w:w="600" w:type="dxa"/>
            <w:vAlign w:val="bottom"/>
            <w:gridSpan w:val="2"/>
          </w:tcPr>
          <w:p>
            <w:pPr>
              <w:jc w:val="right"/>
              <w:ind w:right="240"/>
              <w:spacing w:after="0"/>
              <w:rPr>
                <w:sz w:val="20"/>
                <w:szCs w:val="20"/>
                <w:color w:val="auto"/>
              </w:rPr>
            </w:pPr>
            <w:r>
              <w:rPr>
                <w:rFonts w:ascii="MS PGothic" w:cs="MS PGothic" w:eastAsia="MS PGothic" w:hAnsi="MS PGothic"/>
                <w:sz w:val="18"/>
                <w:szCs w:val="18"/>
                <w:color w:val="auto"/>
              </w:rPr>
              <w:t>$</w:t>
            </w:r>
          </w:p>
        </w:tc>
        <w:tc>
          <w:tcPr>
            <w:tcW w:w="1080" w:type="dxa"/>
            <w:vAlign w:val="bottom"/>
          </w:tcPr>
          <w:p>
            <w:pPr>
              <w:jc w:val="right"/>
              <w:spacing w:after="0"/>
              <w:rPr>
                <w:sz w:val="20"/>
                <w:szCs w:val="20"/>
                <w:color w:val="auto"/>
              </w:rPr>
            </w:pPr>
            <w:r>
              <w:rPr>
                <w:rFonts w:ascii="MS PGothic" w:cs="MS PGothic" w:eastAsia="MS PGothic" w:hAnsi="MS PGothic"/>
                <w:sz w:val="18"/>
                <w:szCs w:val="18"/>
                <w:color w:val="auto"/>
              </w:rPr>
              <w:t>1,773</w:t>
            </w:r>
          </w:p>
        </w:tc>
        <w:tc>
          <w:tcPr>
            <w:tcW w:w="100" w:type="dxa"/>
            <w:vAlign w:val="bottom"/>
          </w:tcPr>
          <w:p>
            <w:pPr>
              <w:spacing w:after="0"/>
              <w:rPr>
                <w:sz w:val="18"/>
                <w:szCs w:val="18"/>
                <w:color w:val="auto"/>
              </w:rPr>
            </w:pPr>
          </w:p>
        </w:tc>
      </w:tr>
      <w:tr>
        <w:trPr>
          <w:trHeight w:val="217"/>
        </w:trPr>
        <w:tc>
          <w:tcPr>
            <w:tcW w:w="6900" w:type="dxa"/>
            <w:vAlign w:val="bottom"/>
            <w:gridSpan w:val="2"/>
            <w:shd w:val="clear" w:color="auto" w:fill="CFF0FC"/>
          </w:tcPr>
          <w:p>
            <w:pPr>
              <w:spacing w:after="0"/>
              <w:rPr>
                <w:sz w:val="20"/>
                <w:szCs w:val="20"/>
                <w:color w:val="auto"/>
              </w:rPr>
            </w:pPr>
            <w:r>
              <w:rPr>
                <w:rFonts w:ascii="MS PGothic" w:cs="MS PGothic" w:eastAsia="MS PGothic" w:hAnsi="MS PGothic"/>
                <w:sz w:val="18"/>
                <w:szCs w:val="18"/>
                <w:color w:val="auto"/>
              </w:rPr>
              <w:t>Consolidated</w:t>
            </w:r>
          </w:p>
        </w:tc>
        <w:tc>
          <w:tcPr>
            <w:tcW w:w="920" w:type="dxa"/>
            <w:vAlign w:val="bottom"/>
            <w:shd w:val="clear" w:color="auto" w:fill="CFF0FC"/>
          </w:tcPr>
          <w:p>
            <w:pPr>
              <w:jc w:val="right"/>
              <w:ind w:right="717"/>
              <w:spacing w:after="0"/>
              <w:rPr>
                <w:sz w:val="20"/>
                <w:szCs w:val="20"/>
                <w:color w:val="auto"/>
              </w:rPr>
            </w:pPr>
            <w:r>
              <w:rPr>
                <w:rFonts w:ascii="MS PGothic" w:cs="MS PGothic" w:eastAsia="MS PGothic" w:hAnsi="MS PGothic"/>
                <w:sz w:val="18"/>
                <w:szCs w:val="18"/>
                <w:color w:val="auto"/>
              </w:rPr>
              <w:t>$</w:t>
            </w:r>
          </w:p>
        </w:tc>
        <w:tc>
          <w:tcPr>
            <w:tcW w:w="50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6,144</w:t>
            </w:r>
          </w:p>
        </w:tc>
        <w:tc>
          <w:tcPr>
            <w:tcW w:w="600" w:type="dxa"/>
            <w:vAlign w:val="bottom"/>
            <w:gridSpan w:val="2"/>
            <w:shd w:val="clear" w:color="auto" w:fill="CFF0FC"/>
          </w:tcPr>
          <w:p>
            <w:pPr>
              <w:jc w:val="right"/>
              <w:ind w:right="240"/>
              <w:spacing w:after="0"/>
              <w:rPr>
                <w:sz w:val="20"/>
                <w:szCs w:val="20"/>
                <w:color w:val="auto"/>
              </w:rPr>
            </w:pPr>
            <w:r>
              <w:rPr>
                <w:rFonts w:ascii="MS PGothic" w:cs="MS PGothic" w:eastAsia="MS PGothic" w:hAnsi="MS PGothic"/>
                <w:sz w:val="18"/>
                <w:szCs w:val="18"/>
                <w:color w:val="auto"/>
              </w:rPr>
              <w:t>$</w:t>
            </w:r>
          </w:p>
        </w:tc>
        <w:tc>
          <w:tcPr>
            <w:tcW w:w="108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5,503</w:t>
            </w:r>
          </w:p>
        </w:tc>
        <w:tc>
          <w:tcPr>
            <w:tcW w:w="100" w:type="dxa"/>
            <w:vAlign w:val="bottom"/>
            <w:shd w:val="clear" w:color="auto" w:fill="CFF0FC"/>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Consolidated Adjusted EBITDA, Adjusted EBITDA, and Adjusted EBITDA Atributable to Redeemable Noncontrolling Interest</w:t>
      </w:r>
    </w:p>
    <w:p>
      <w:pPr>
        <w:spacing w:after="0" w:line="221"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To provide investors with additonal informaton regarding our fnancial results, we have presented within this Annual Report Consolidated Adjusted EBITDA, Adjusted EBITDA, and Adjusted EBITDA atributable to redeemable noncontrolling interest, each of which is a non-GAAP fnancial measure. These non-GAAP fnancial measures are not based on any standardized methodology prescribed by GAAP, and are not necessarily comparable to any similarly ttled measures presented by other companies.</w:t>
      </w:r>
    </w:p>
    <w:p>
      <w:pPr>
        <w:spacing w:after="0" w:line="171"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We defne Consolidated Adjusted EBITDA as consolidated net income adjusted to exclude: depreciaton and amortzaton, impairments, stock‑based compensaton expense, stock-based compensaton expense for CarOfer, LLC Units (as defned below), transacton-related expenses, other income, net, and provision for income taxes.</w:t>
      </w:r>
    </w:p>
    <w:p>
      <w:pPr>
        <w:spacing w:after="0" w:line="164" w:lineRule="exact"/>
        <w:rPr>
          <w:sz w:val="20"/>
          <w:szCs w:val="20"/>
          <w:color w:val="auto"/>
        </w:rPr>
      </w:pPr>
    </w:p>
    <w:p>
      <w:pPr>
        <w:spacing w:after="0"/>
        <w:rPr>
          <w:sz w:val="20"/>
          <w:szCs w:val="20"/>
          <w:color w:val="auto"/>
        </w:rPr>
      </w:pPr>
      <w:r>
        <w:rPr>
          <w:rFonts w:ascii="MS PGothic" w:cs="MS PGothic" w:eastAsia="MS PGothic" w:hAnsi="MS PGothic"/>
          <w:sz w:val="17"/>
          <w:szCs w:val="17"/>
          <w:color w:val="00002D"/>
        </w:rPr>
        <w:t>We defne Adjusted EBITDA as Consolidated Adjusted EBITDA adjusted to exclude: Adjusted EBITDA atributable to redeemable noncontrolling interest.</w:t>
      </w:r>
    </w:p>
    <w:p>
      <w:pPr>
        <w:spacing w:after="0" w:line="262" w:lineRule="exact"/>
        <w:rPr>
          <w:sz w:val="20"/>
          <w:szCs w:val="20"/>
          <w:color w:val="auto"/>
        </w:rPr>
      </w:pPr>
    </w:p>
    <w:p>
      <w:pPr>
        <w:jc w:val="both"/>
        <w:spacing w:after="0" w:line="293" w:lineRule="auto"/>
        <w:rPr>
          <w:sz w:val="20"/>
          <w:szCs w:val="20"/>
          <w:color w:val="auto"/>
        </w:rPr>
      </w:pPr>
      <w:r>
        <w:rPr>
          <w:rFonts w:ascii="MS PGothic" w:cs="MS PGothic" w:eastAsia="MS PGothic" w:hAnsi="MS PGothic"/>
          <w:sz w:val="18"/>
          <w:szCs w:val="18"/>
          <w:color w:val="00002D"/>
        </w:rPr>
        <w:t>We defne Adjusted EBITDA atributable to redeemable noncontrolling interest as net loss atributable to redeemable noncontrolling interest adjusted to exclude: depreciaton and amortzaton, impairments, stock‑based compensaton expense, stock-based compensaton expense for CarOfer, LLC Units, other expense, net, and provision for income taxes. These exclusions are adjusted for redeemable noncontrolling interest of 38% by taking the noncontrolling interest’s full fnancial results and multplying each line item in the reconciliaton by 38%. We note that we use 38%, versus 49%, to allocate the share of loss because it represents the porton atributable to the redeemable noncontrolling interest. The 38% is exclusive of CO Incentve Units, Subject Units, and 2021 Incentve Units (as each term is defned in Note 2 to our consolidated fnancial statements included elsewhere in this Annual Report), which are liability-classifed awards that do not partcipate in the share of loss. Adjusted EBITDA atributable to redeemable noncontrolling interest is refectve of our acquisiton of the remaining minority equity interests in CarOfer completed on December 1, 2023, or the 2023 CarOfer Transacton. Following the 2023 CarOfer Transacton, there was no redeemable noncontrolling interest as of December 1, 2023, and as a result, Consolidated Adjusted EBITDA is equivalent to Adjusted EBITDA for the year ended December 31, 2024.</w:t>
      </w:r>
    </w:p>
    <w:p>
      <w:pPr>
        <w:spacing w:after="0" w:line="178"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use Consolidated Adjusted EBITDA and Adjusted EBITDA because they are key measures used by our management and Board of Directors to understand and evaluate our operatng performance, generate future operatng plans, and make strategic decisions regarding the allocaton of capital. We believe Consolidated Adjusted EBITDA and Adjusted EBITDA help identfy underlying trends in our business that could otherwise be masked by the efect of the expenses that we exclude. Accordingly, we believe that Consolidated Adjusted EBITDA and Adjusted EBITDA provide useful informaton to investors and others in understanding and evaluatng our operatng results, enhancing the overall understanding of our past performance and future prospects, and allowing for greater transparency with respect to key fnancial metrics used by our management in its fnancial and operatonal decision making. We use Adjusted EBITDA atributable to redeemable noncontrolling interest because it is used by our management to reconcile Consolidated Adjusted EBITDA to Adjusted EBITDA. It represents the porton of Consolidated Adjusted EBITDA that is atributable to our redeemable noncontrolling interest and enables an investor to gain a clearer understanding of the porton of Consolidated Adjusted EBITDA that is atributable to our redeemable noncontrolling interest. Adjusted EBITDA atributable to redeemable noncontrolling interest is not intended to be reviewed on its own.</w:t>
      </w:r>
    </w:p>
    <w:p>
      <w:pPr>
        <w:spacing w:after="0" w:line="2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Consolidated Adjusted EBITDA, Adjusted EBITDA, and Adjusted EBITDA atributable to redeemable noncontrolling interest are not prepared in accordance with GAAP, and should not be considered in isolaton of, or as an alternatve to, measures prepared in accordance with GAAP. There are a number of limitatons related to the use of Consolidated Adjusted EBITDA, Adjusted EBITDA, and Adjusted EBITDA atributable to redeemable noncontrolling interest rather than consolidated net income and net loss atributable to redeemable noncontrolling interest, respectvely, which are the most directly comparable GAAP equivalents. Some of these limitatons are:</w:t>
      </w:r>
    </w:p>
    <w:p>
      <w:pPr>
        <w:spacing w:after="0" w:line="126" w:lineRule="exact"/>
        <w:rPr>
          <w:sz w:val="20"/>
          <w:szCs w:val="20"/>
          <w:color w:val="auto"/>
        </w:rPr>
      </w:pPr>
    </w:p>
    <w:p>
      <w:pPr>
        <w:jc w:val="both"/>
        <w:ind w:left="1020" w:hanging="503"/>
        <w:spacing w:after="0" w:line="235" w:lineRule="auto"/>
        <w:tabs>
          <w:tab w:leader="none" w:pos="1020" w:val="left"/>
        </w:tabs>
        <w:numPr>
          <w:ilvl w:val="0"/>
          <w:numId w:val="3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Consolidated Adjusted EBITDA, Adjusted EBITDA, and Adjusted EBITDA atributable to redeemable noncontrolling interest exclude depreciaton and amortzaton expense and, although these are non-cash expenses, the assets being depreciated may have to be replaced in the future;</w:t>
      </w:r>
    </w:p>
    <w:p>
      <w:pPr>
        <w:spacing w:after="0" w:line="124"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3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Consolidated Adjusted EBITDA, Adjusted EBITDA, and Adjusted EBITDA atributable to redeemable noncontrolling interest exclude impairments, which include non-cash one-tme expenses associated with the impairment of the CarOfer reportng unit as well as impairments of certain other assets, which may have to be replaced in the future;</w:t>
      </w:r>
    </w:p>
    <w:p>
      <w:pPr>
        <w:spacing w:after="0" w:line="124"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3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Consolidated Adjusted EBITDA, Adjusted EBITDA, and Adjusted EBITDA atributable to redeemable noncontrolling interest exclude stock-based compensaton expense, which will be, for the foreseeable future, a signifcant recurring expense for our business and an important part of our compensaton strategy;</w:t>
      </w:r>
    </w:p>
    <w:p>
      <w:pPr>
        <w:spacing w:after="0" w:line="124"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3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Consolidated Adjusted EBITDA, Adjusted EBITDA, and Adjusted EBITDA atributable to redeemable noncontrolling interest exclude stock-based compensaton expense for CarOfer, LLC Units, which consists of one-tme modifcatons and expense associated with our CO Incentve Units, Subject Units, and Noncontrolling Interest Units (as defned in Note 2 to our consolidated fnancial statements included elsewhere in this Annual Report);</w:t>
      </w:r>
    </w:p>
    <w:p>
      <w:pPr>
        <w:spacing w:after="0" w:line="124"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3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Consolidated Adjusted EBITDA and Adjusted EBITDA exclude transacton-related expenses incurred by us during a reportng period, which are inclusive of certain transacton and integraton costs associated with the 2023 CarOfer Transacton and which may not be refectve of our operatonal performance during such period, for acquisitons that have been completed as of the fling date of our annual or quarterly report (as applicable) relatng to such period;</w:t>
      </w:r>
    </w:p>
    <w:p>
      <w:pPr>
        <w:spacing w:after="0" w:line="124" w:lineRule="exact"/>
        <w:rPr>
          <w:rFonts w:ascii="Times New Roman" w:cs="Times New Roman" w:eastAsia="Times New Roman" w:hAnsi="Times New Roman"/>
          <w:sz w:val="18"/>
          <w:szCs w:val="18"/>
          <w:color w:val="00002D"/>
        </w:rPr>
      </w:pPr>
    </w:p>
    <w:p>
      <w:pPr>
        <w:jc w:val="both"/>
        <w:ind w:left="1020" w:hanging="503"/>
        <w:spacing w:after="0" w:line="235" w:lineRule="auto"/>
        <w:tabs>
          <w:tab w:leader="none" w:pos="1020" w:val="left"/>
        </w:tabs>
        <w:numPr>
          <w:ilvl w:val="0"/>
          <w:numId w:val="3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Consolidated Adjusted EBITDA, Adjusted EBITDA, and Adjusted EBITDA atributable to redeemable noncontrolling interest exclude other income, net, which consists primarily of interest income earned on our cash, cash equivalents, and short-term investments, and foreign exchange gains and losses;</w:t>
      </w:r>
    </w:p>
    <w:p>
      <w:pPr>
        <w:spacing w:after="0" w:line="124" w:lineRule="exact"/>
        <w:rPr>
          <w:rFonts w:ascii="Times New Roman" w:cs="Times New Roman" w:eastAsia="Times New Roman" w:hAnsi="Times New Roman"/>
          <w:sz w:val="18"/>
          <w:szCs w:val="18"/>
          <w:color w:val="00002D"/>
        </w:rPr>
      </w:pPr>
    </w:p>
    <w:p>
      <w:pPr>
        <w:ind w:left="1020" w:right="20" w:hanging="503"/>
        <w:spacing w:after="0" w:line="235" w:lineRule="auto"/>
        <w:tabs>
          <w:tab w:leader="none" w:pos="1020" w:val="left"/>
        </w:tabs>
        <w:numPr>
          <w:ilvl w:val="0"/>
          <w:numId w:val="3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Consolidated Adjusted EBITDA, Adjusted EBITDA, and Adjusted EBITDA atributable to redeemable noncontrolling interest exclude the provision for income taxes;</w:t>
      </w:r>
    </w:p>
    <w:p>
      <w:pPr>
        <w:spacing w:after="0" w:line="123" w:lineRule="exact"/>
        <w:rPr>
          <w:rFonts w:ascii="Times New Roman" w:cs="Times New Roman" w:eastAsia="Times New Roman" w:hAnsi="Times New Roman"/>
          <w:sz w:val="18"/>
          <w:szCs w:val="18"/>
          <w:color w:val="00002D"/>
        </w:rPr>
      </w:pPr>
    </w:p>
    <w:p>
      <w:pPr>
        <w:ind w:left="1020" w:hanging="503"/>
        <w:spacing w:after="0" w:line="258" w:lineRule="auto"/>
        <w:tabs>
          <w:tab w:leader="none" w:pos="1020" w:val="left"/>
        </w:tabs>
        <w:numPr>
          <w:ilvl w:val="0"/>
          <w:numId w:val="32"/>
        </w:numPr>
        <w:rPr>
          <w:rFonts w:ascii="Times New Roman" w:cs="Times New Roman" w:eastAsia="Times New Roman" w:hAnsi="Times New Roman"/>
          <w:sz w:val="17"/>
          <w:szCs w:val="17"/>
          <w:color w:val="00002D"/>
        </w:rPr>
      </w:pPr>
      <w:r>
        <w:rPr>
          <w:rFonts w:ascii="Calibri" w:cs="Calibri" w:eastAsia="Calibri" w:hAnsi="Calibri"/>
          <w:sz w:val="17"/>
          <w:szCs w:val="17"/>
          <w:color w:val="00002D"/>
        </w:rPr>
        <w:t>Adjusted EBITDA excludes Adjusted EBITDA atributable to redeemable noncontrolling interest, which is calculated as the net loss atributable to redeemable noncontrolling interest, adjusted for all exclusions used to calculate Consolidated Adjusted EBITDA as described above; and</w:t>
      </w:r>
    </w:p>
    <w:p>
      <w:pPr>
        <w:spacing w:after="0" w:line="107" w:lineRule="exact"/>
        <w:rPr>
          <w:rFonts w:ascii="Times New Roman" w:cs="Times New Roman" w:eastAsia="Times New Roman" w:hAnsi="Times New Roman"/>
          <w:sz w:val="17"/>
          <w:szCs w:val="17"/>
          <w:color w:val="00002D"/>
        </w:rPr>
      </w:pPr>
    </w:p>
    <w:p>
      <w:pPr>
        <w:ind w:left="1020" w:hanging="503"/>
        <w:spacing w:after="0" w:line="235" w:lineRule="auto"/>
        <w:tabs>
          <w:tab w:leader="none" w:pos="1020" w:val="left"/>
        </w:tabs>
        <w:numPr>
          <w:ilvl w:val="0"/>
          <w:numId w:val="32"/>
        </w:numPr>
        <w:rPr>
          <w:rFonts w:ascii="Times New Roman" w:cs="Times New Roman" w:eastAsia="Times New Roman" w:hAnsi="Times New Roman"/>
          <w:sz w:val="18"/>
          <w:szCs w:val="18"/>
          <w:color w:val="00002D"/>
        </w:rPr>
      </w:pPr>
      <w:r>
        <w:rPr>
          <w:rFonts w:ascii="Calibri" w:cs="Calibri" w:eastAsia="Calibri" w:hAnsi="Calibri"/>
          <w:sz w:val="18"/>
          <w:szCs w:val="18"/>
          <w:color w:val="00002D"/>
        </w:rPr>
        <w:t>other companies, including companies in our industry, may calculate Consolidated Adjusted EBITDA, Adjusted EBITDA, and Adjusted EBITDA atributable to redeemable noncontrolling interest diferently, which reduces their usefulness as a comparatve measure.</w:t>
      </w:r>
    </w:p>
    <w:p>
      <w:pPr>
        <w:spacing w:after="0" w:line="21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00002D"/>
        </w:rPr>
        <w:t>Because of these limitatons, we consider, and you should consider, Consolidated Adjusted EBITDA, Adjusted EBITDA, and Adjusted EBITDA atributable to redeemable noncontrolling interest together with other operatng and fnancial performance measures presented in accordance with GAAP.</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years ended December 31, 2024 and 2023, the following table presents a reconciliaton of Consolidated Adjusted EBITDA and Adjusted EBITDA to consolidated net income, the most directly comparable measure calculated in accordance with GAAP for each of the periods presented.</w:t>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jc w:val="right"/>
              <w:ind w:right="880"/>
              <w:spacing w:after="0"/>
              <w:rPr>
                <w:sz w:val="20"/>
                <w:szCs w:val="20"/>
                <w:color w:val="auto"/>
              </w:rPr>
            </w:pPr>
            <w:r>
              <w:rPr>
                <w:rFonts w:ascii="Calibri" w:cs="Calibri" w:eastAsia="Calibri" w:hAnsi="Calibri"/>
                <w:sz w:val="14"/>
                <w:szCs w:val="14"/>
                <w:b w:val="1"/>
                <w:bCs w:val="1"/>
                <w:color w:val="auto"/>
              </w:rPr>
              <w:t>Year Ended December 31,</w:t>
            </w:r>
          </w:p>
        </w:tc>
      </w:tr>
      <w:tr>
        <w:trPr>
          <w:trHeight w:val="173"/>
        </w:trPr>
        <w:tc>
          <w:tcPr>
            <w:tcW w:w="69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92"/>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r>
      <w:tr>
        <w:trPr>
          <w:trHeight w:val="169"/>
        </w:trPr>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74"/>
              <w:spacing w:after="0" w:line="169" w:lineRule="exact"/>
              <w:rPr>
                <w:sz w:val="20"/>
                <w:szCs w:val="20"/>
                <w:color w:val="auto"/>
              </w:rPr>
            </w:pPr>
            <w:r>
              <w:rPr>
                <w:rFonts w:ascii="Calibri" w:cs="Calibri" w:eastAsia="Calibri" w:hAnsi="Calibri"/>
                <w:sz w:val="14"/>
                <w:szCs w:val="14"/>
                <w:b w:val="1"/>
                <w:bCs w:val="1"/>
                <w:color w:val="auto"/>
              </w:rPr>
              <w:t>(in</w:t>
            </w:r>
          </w:p>
        </w:tc>
        <w:tc>
          <w:tcPr>
            <w:tcW w:w="680" w:type="dxa"/>
            <w:vAlign w:val="bottom"/>
            <w:gridSpan w:val="2"/>
          </w:tcPr>
          <w:p>
            <w:pPr>
              <w:jc w:val="right"/>
              <w:ind w:right="50"/>
              <w:spacing w:after="0" w:line="169" w:lineRule="exact"/>
              <w:rPr>
                <w:sz w:val="20"/>
                <w:szCs w:val="20"/>
                <w:color w:val="auto"/>
              </w:rPr>
            </w:pPr>
            <w:r>
              <w:rPr>
                <w:rFonts w:ascii="Calibri" w:cs="Calibri" w:eastAsia="Calibri" w:hAnsi="Calibri"/>
                <w:sz w:val="14"/>
                <w:szCs w:val="14"/>
                <w:b w:val="1"/>
                <w:bCs w:val="1"/>
                <w:color w:val="auto"/>
                <w:w w:val="80"/>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9"/>
        </w:trPr>
        <w:tc>
          <w:tcPr>
            <w:tcW w:w="692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Reconciliaton of Consolidated Adjusted EBITDA and Adjusted EBITDA:</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Consolidated net income</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20,972</w:t>
            </w:r>
          </w:p>
        </w:tc>
        <w:tc>
          <w:tcPr>
            <w:tcW w:w="240" w:type="dxa"/>
            <w:vAlign w:val="bottom"/>
          </w:tcPr>
          <w:p>
            <w:pPr>
              <w:spacing w:after="0"/>
              <w:rPr>
                <w:sz w:val="18"/>
                <w:szCs w:val="18"/>
                <w:color w:val="auto"/>
              </w:rPr>
            </w:pPr>
          </w:p>
        </w:tc>
        <w:tc>
          <w:tcPr>
            <w:tcW w:w="440" w:type="dxa"/>
            <w:vAlign w:val="bottom"/>
          </w:tcPr>
          <w:p>
            <w:pPr>
              <w:jc w:val="right"/>
              <w:ind w:right="2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22,053</w:t>
            </w:r>
          </w:p>
        </w:tc>
        <w:tc>
          <w:tcPr>
            <w:tcW w:w="100" w:type="dxa"/>
            <w:vAlign w:val="bottom"/>
          </w:tcPr>
          <w:p>
            <w:pPr>
              <w:spacing w:after="0"/>
              <w:rPr>
                <w:sz w:val="18"/>
                <w:szCs w:val="18"/>
                <w:color w:val="auto"/>
              </w:rPr>
            </w:pPr>
          </w:p>
        </w:tc>
      </w:tr>
      <w:tr>
        <w:trPr>
          <w:trHeight w:val="217"/>
        </w:trPr>
        <w:tc>
          <w:tcPr>
            <w:tcW w:w="69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Depreciaton and amortzaton</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25,360</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48,474</w:t>
            </w:r>
          </w:p>
        </w:tc>
        <w:tc>
          <w:tcPr>
            <w:tcW w:w="100" w:type="dxa"/>
            <w:vAlign w:val="bottom"/>
            <w:shd w:val="clear" w:color="auto" w:fill="CFF0FC"/>
          </w:tcPr>
          <w:p>
            <w:pPr>
              <w:spacing w:after="0"/>
              <w:rPr>
                <w:sz w:val="18"/>
                <w:szCs w:val="18"/>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Impairment</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144,431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184</w:t>
            </w:r>
          </w:p>
        </w:tc>
        <w:tc>
          <w:tcPr>
            <w:tcW w:w="100" w:type="dxa"/>
            <w:vAlign w:val="bottom"/>
          </w:tcPr>
          <w:p>
            <w:pPr>
              <w:spacing w:after="0"/>
              <w:rPr>
                <w:sz w:val="18"/>
                <w:szCs w:val="18"/>
                <w:color w:val="auto"/>
              </w:rPr>
            </w:pPr>
          </w:p>
        </w:tc>
      </w:tr>
      <w:tr>
        <w:trPr>
          <w:trHeight w:val="217"/>
        </w:trPr>
        <w:tc>
          <w:tcPr>
            <w:tcW w:w="69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Stock-based compensaton expense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62,492</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57,913</w:t>
            </w:r>
          </w:p>
        </w:tc>
        <w:tc>
          <w:tcPr>
            <w:tcW w:w="100" w:type="dxa"/>
            <w:vAlign w:val="bottom"/>
            <w:shd w:val="clear" w:color="auto" w:fill="CFF0FC"/>
          </w:tcPr>
          <w:p>
            <w:pPr>
              <w:spacing w:after="0"/>
              <w:rPr>
                <w:sz w:val="18"/>
                <w:szCs w:val="18"/>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Stock-based compensaton expense for CarOfer, LLC Units</w:t>
            </w:r>
          </w:p>
        </w:tc>
        <w:tc>
          <w:tcPr>
            <w:tcW w:w="340" w:type="dxa"/>
            <w:vAlign w:val="bottom"/>
          </w:tcPr>
          <w:p>
            <w:pPr>
              <w:spacing w:after="0"/>
              <w:rPr>
                <w:sz w:val="18"/>
                <w:szCs w:val="18"/>
                <w:color w:val="auto"/>
              </w:rPr>
            </w:pPr>
          </w:p>
        </w:tc>
        <w:tc>
          <w:tcPr>
            <w:tcW w:w="1320" w:type="dxa"/>
            <w:vAlign w:val="bottom"/>
            <w:gridSpan w:val="2"/>
          </w:tcPr>
          <w:p>
            <w:pPr>
              <w:jc w:val="right"/>
              <w:ind w:right="188"/>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55,543</w:t>
            </w:r>
          </w:p>
        </w:tc>
        <w:tc>
          <w:tcPr>
            <w:tcW w:w="100" w:type="dxa"/>
            <w:vAlign w:val="bottom"/>
          </w:tcPr>
          <w:p>
            <w:pPr>
              <w:spacing w:after="0"/>
              <w:rPr>
                <w:sz w:val="18"/>
                <w:szCs w:val="18"/>
                <w:color w:val="auto"/>
              </w:rPr>
            </w:pPr>
          </w:p>
        </w:tc>
      </w:tr>
      <w:tr>
        <w:trPr>
          <w:trHeight w:val="217"/>
        </w:trPr>
        <w:tc>
          <w:tcPr>
            <w:tcW w:w="69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Transacton-related expenses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1,536</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1,044</w:t>
            </w:r>
          </w:p>
        </w:tc>
        <w:tc>
          <w:tcPr>
            <w:tcW w:w="100" w:type="dxa"/>
            <w:vAlign w:val="bottom"/>
            <w:shd w:val="clear" w:color="auto" w:fill="CFF0FC"/>
          </w:tcPr>
          <w:p>
            <w:pPr>
              <w:spacing w:after="0"/>
              <w:rPr>
                <w:sz w:val="18"/>
                <w:szCs w:val="18"/>
                <w:color w:val="auto"/>
              </w:rPr>
            </w:pPr>
          </w:p>
        </w:tc>
      </w:tr>
      <w:tr>
        <w:trPr>
          <w:trHeight w:val="215"/>
        </w:trPr>
        <w:tc>
          <w:tcPr>
            <w:tcW w:w="6920" w:type="dxa"/>
            <w:vAlign w:val="bottom"/>
          </w:tcPr>
          <w:p>
            <w:pPr>
              <w:spacing w:after="0" w:line="215" w:lineRule="exact"/>
              <w:rPr>
                <w:sz w:val="20"/>
                <w:szCs w:val="20"/>
                <w:color w:val="auto"/>
              </w:rPr>
            </w:pPr>
            <w:r>
              <w:rPr>
                <w:rFonts w:ascii="Calibri" w:cs="Calibri" w:eastAsia="Calibri" w:hAnsi="Calibri"/>
                <w:sz w:val="18"/>
                <w:szCs w:val="18"/>
                <w:color w:val="auto"/>
              </w:rPr>
              <w:t>Other income, net</w:t>
            </w:r>
          </w:p>
        </w:tc>
        <w:tc>
          <w:tcPr>
            <w:tcW w:w="340" w:type="dxa"/>
            <w:vAlign w:val="bottom"/>
          </w:tcPr>
          <w:p>
            <w:pPr>
              <w:spacing w:after="0"/>
              <w:rPr>
                <w:sz w:val="18"/>
                <w:szCs w:val="18"/>
                <w:color w:val="auto"/>
              </w:rPr>
            </w:pPr>
          </w:p>
        </w:tc>
        <w:tc>
          <w:tcPr>
            <w:tcW w:w="132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(11,245 )</w:t>
            </w:r>
          </w:p>
        </w:tc>
        <w:tc>
          <w:tcPr>
            <w:tcW w:w="440" w:type="dxa"/>
            <w:vAlign w:val="bottom"/>
          </w:tcPr>
          <w:p>
            <w:pPr>
              <w:spacing w:after="0"/>
              <w:rPr>
                <w:sz w:val="18"/>
                <w:szCs w:val="18"/>
                <w:color w:val="auto"/>
              </w:rPr>
            </w:pPr>
          </w:p>
        </w:tc>
        <w:tc>
          <w:tcPr>
            <w:tcW w:w="10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(19,060 )</w:t>
            </w:r>
          </w:p>
        </w:tc>
      </w:tr>
      <w:tr>
        <w:trPr>
          <w:trHeight w:val="216"/>
        </w:trPr>
        <w:tc>
          <w:tcPr>
            <w:tcW w:w="692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Provision for income taxes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3,685</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29,634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20" w:type="dxa"/>
            <w:vAlign w:val="bottom"/>
          </w:tcPr>
          <w:p>
            <w:pPr>
              <w:spacing w:after="0" w:line="209" w:lineRule="exact"/>
              <w:rPr>
                <w:sz w:val="20"/>
                <w:szCs w:val="20"/>
                <w:color w:val="auto"/>
              </w:rPr>
            </w:pPr>
            <w:r>
              <w:rPr>
                <w:rFonts w:ascii="Calibri" w:cs="Calibri" w:eastAsia="Calibri" w:hAnsi="Calibri"/>
                <w:sz w:val="18"/>
                <w:szCs w:val="18"/>
                <w:color w:val="auto"/>
              </w:rPr>
              <w:t>Consolidated Adjusted EBITDA</w:t>
            </w:r>
          </w:p>
        </w:tc>
        <w:tc>
          <w:tcPr>
            <w:tcW w:w="340" w:type="dxa"/>
            <w:vAlign w:val="bottom"/>
          </w:tcPr>
          <w:p>
            <w:pPr>
              <w:spacing w:after="0"/>
              <w:rPr>
                <w:sz w:val="18"/>
                <w:szCs w:val="18"/>
                <w:color w:val="auto"/>
              </w:rPr>
            </w:pPr>
          </w:p>
        </w:tc>
        <w:tc>
          <w:tcPr>
            <w:tcW w:w="1080" w:type="dxa"/>
            <w:vAlign w:val="bottom"/>
          </w:tcPr>
          <w:p>
            <w:pPr>
              <w:jc w:val="right"/>
              <w:spacing w:after="0" w:line="209" w:lineRule="exact"/>
              <w:rPr>
                <w:sz w:val="20"/>
                <w:szCs w:val="20"/>
                <w:color w:val="auto"/>
              </w:rPr>
            </w:pPr>
            <w:r>
              <w:rPr>
                <w:rFonts w:ascii="Calibri" w:cs="Calibri" w:eastAsia="Calibri" w:hAnsi="Calibri"/>
                <w:sz w:val="18"/>
                <w:szCs w:val="18"/>
                <w:color w:val="auto"/>
              </w:rPr>
              <w:t>247,231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line="209" w:lineRule="exact"/>
              <w:rPr>
                <w:sz w:val="20"/>
                <w:szCs w:val="20"/>
                <w:color w:val="auto"/>
              </w:rPr>
            </w:pPr>
            <w:r>
              <w:rPr>
                <w:rFonts w:ascii="Calibri" w:cs="Calibri" w:eastAsia="Calibri" w:hAnsi="Calibri"/>
                <w:sz w:val="18"/>
                <w:szCs w:val="18"/>
                <w:color w:val="auto"/>
              </w:rPr>
              <w:t>195,785</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Adjusted EBITDA atributable to redeemable noncontrolling interest</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8"/>
              <w:spacing w:after="0" w:line="216" w:lineRule="exact"/>
              <w:rPr>
                <w:sz w:val="20"/>
                <w:szCs w:val="20"/>
                <w:color w:val="auto"/>
              </w:rPr>
            </w:pPr>
            <w:r>
              <w:rPr>
                <w:rFonts w:ascii="Calibri" w:cs="Calibri" w:eastAsia="Calibri" w:hAnsi="Calibri"/>
                <w:sz w:val="18"/>
                <w:szCs w:val="18"/>
                <w:color w:val="auto"/>
              </w:rPr>
              <w:t>—</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83</w:t>
            </w:r>
          </w:p>
        </w:tc>
        <w:tc>
          <w:tcPr>
            <w:tcW w:w="100" w:type="dxa"/>
            <w:vAlign w:val="bottom"/>
            <w:shd w:val="clear" w:color="auto" w:fill="CFF0FC"/>
          </w:tcPr>
          <w:p>
            <w:pPr>
              <w:spacing w:after="0"/>
              <w:rPr>
                <w:sz w:val="18"/>
                <w:szCs w:val="18"/>
                <w:color w:val="auto"/>
              </w:rPr>
            </w:pPr>
          </w:p>
        </w:tc>
      </w:tr>
      <w:tr>
        <w:trPr>
          <w:trHeight w:val="209"/>
        </w:trPr>
        <w:tc>
          <w:tcPr>
            <w:tcW w:w="6920" w:type="dxa"/>
            <w:vAlign w:val="bottom"/>
            <w:tcBorders>
              <w:top w:val="single" w:sz="8" w:color="CFF0FC"/>
            </w:tcBorders>
          </w:tcPr>
          <w:p>
            <w:pPr>
              <w:spacing w:after="0" w:line="209" w:lineRule="exact"/>
              <w:rPr>
                <w:sz w:val="20"/>
                <w:szCs w:val="20"/>
                <w:color w:val="auto"/>
              </w:rPr>
            </w:pPr>
            <w:r>
              <w:rPr>
                <w:rFonts w:ascii="Calibri" w:cs="Calibri" w:eastAsia="Calibri" w:hAnsi="Calibri"/>
                <w:sz w:val="18"/>
                <w:szCs w:val="18"/>
                <w:color w:val="auto"/>
              </w:rPr>
              <w:t>Adjusted EBITDA</w:t>
            </w:r>
          </w:p>
        </w:tc>
        <w:tc>
          <w:tcPr>
            <w:tcW w:w="340" w:type="dxa"/>
            <w:vAlign w:val="bottom"/>
            <w:tcBorders>
              <w:top w:val="single" w:sz="8" w:color="auto"/>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247,231</w:t>
            </w:r>
          </w:p>
        </w:tc>
        <w:tc>
          <w:tcPr>
            <w:tcW w:w="24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195,702</w:t>
            </w:r>
          </w:p>
        </w:tc>
        <w:tc>
          <w:tcPr>
            <w:tcW w:w="100" w:type="dxa"/>
            <w:vAlign w:val="bottom"/>
            <w:tcBorders>
              <w:top w:val="single" w:sz="8" w:color="CFF0FC"/>
            </w:tcBorders>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-454025</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years ended December 31, 2024 and 2023, the following table presents a reconciliaton of Adjusted EBITDA atributable to redeemable noncontrolling interest to net loss atributable to redeemable noncontrolling interest, the most directly comparable measure calculated in accordance with GAAP, for each of the periods presented.</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900" w:type="dxa"/>
            <w:vAlign w:val="bottom"/>
            <w:gridSpan w:val="6"/>
          </w:tcPr>
          <w:p>
            <w:pPr>
              <w:jc w:val="right"/>
              <w:ind w:right="740"/>
              <w:spacing w:after="0"/>
              <w:rPr>
                <w:sz w:val="20"/>
                <w:szCs w:val="20"/>
                <w:color w:val="auto"/>
              </w:rPr>
            </w:pPr>
            <w:r>
              <w:rPr>
                <w:rFonts w:ascii="Calibri" w:cs="Calibri" w:eastAsia="Calibri" w:hAnsi="Calibri"/>
                <w:sz w:val="14"/>
                <w:szCs w:val="14"/>
                <w:b w:val="1"/>
                <w:bCs w:val="1"/>
                <w:color w:val="auto"/>
              </w:rPr>
              <w:t>Year Ended December 31,</w:t>
            </w:r>
          </w:p>
        </w:tc>
      </w:tr>
      <w:tr>
        <w:trPr>
          <w:trHeight w:val="212"/>
        </w:trPr>
        <w:tc>
          <w:tcPr>
            <w:tcW w:w="720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12" w:lineRule="exact"/>
              <w:rPr>
                <w:sz w:val="20"/>
                <w:szCs w:val="20"/>
                <w:color w:val="auto"/>
              </w:rPr>
            </w:pPr>
            <w:r>
              <w:rPr>
                <w:rFonts w:ascii="Calibri" w:cs="Calibri" w:eastAsia="Calibri" w:hAnsi="Calibri"/>
                <w:sz w:val="14"/>
                <w:szCs w:val="14"/>
                <w:b w:val="1"/>
                <w:bCs w:val="1"/>
                <w:color w:val="auto"/>
              </w:rPr>
              <w:t xml:space="preserve">2024 </w:t>
            </w:r>
            <w:r>
              <w:rPr>
                <w:rFonts w:ascii="Calibri" w:cs="Calibri" w:eastAsia="Calibri" w:hAnsi="Calibri"/>
                <w:sz w:val="19"/>
                <w:szCs w:val="19"/>
                <w:b w:val="1"/>
                <w:bCs w:val="1"/>
                <w:color w:val="auto"/>
                <w:vertAlign w:val="superscript"/>
              </w:rPr>
              <w:t>(2)</w:t>
            </w:r>
          </w:p>
        </w:tc>
        <w:tc>
          <w:tcPr>
            <w:tcW w:w="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8"/>
                <w:szCs w:val="18"/>
                <w:color w:val="auto"/>
              </w:rPr>
            </w:pPr>
          </w:p>
        </w:tc>
      </w:tr>
      <w:tr>
        <w:trPr>
          <w:trHeight w:val="166"/>
        </w:trPr>
        <w:tc>
          <w:tcPr>
            <w:tcW w:w="7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ind w:left="60"/>
              <w:spacing w:after="0" w:line="166" w:lineRule="exact"/>
              <w:rPr>
                <w:sz w:val="20"/>
                <w:szCs w:val="20"/>
                <w:color w:val="auto"/>
              </w:rPr>
            </w:pPr>
            <w:r>
              <w:rPr>
                <w:rFonts w:ascii="Calibri" w:cs="Calibri" w:eastAsia="Calibri" w:hAnsi="Calibri"/>
                <w:sz w:val="14"/>
                <w:szCs w:val="14"/>
                <w:b w:val="1"/>
                <w:bCs w:val="1"/>
                <w:color w:val="auto"/>
              </w:rPr>
              <w:t>(in</w:t>
            </w:r>
          </w:p>
        </w:tc>
        <w:tc>
          <w:tcPr>
            <w:tcW w:w="640" w:type="dxa"/>
            <w:vAlign w:val="bottom"/>
            <w:gridSpan w:val="2"/>
          </w:tcPr>
          <w:p>
            <w:pPr>
              <w:jc w:val="right"/>
              <w:ind w:right="10"/>
              <w:spacing w:after="0" w:line="166" w:lineRule="exact"/>
              <w:rPr>
                <w:sz w:val="20"/>
                <w:szCs w:val="20"/>
                <w:color w:val="auto"/>
              </w:rPr>
            </w:pPr>
            <w:r>
              <w:rPr>
                <w:rFonts w:ascii="Calibri" w:cs="Calibri" w:eastAsia="Calibri" w:hAnsi="Calibri"/>
                <w:sz w:val="14"/>
                <w:szCs w:val="14"/>
                <w:b w:val="1"/>
                <w:bCs w:val="1"/>
                <w:color w:val="auto"/>
                <w:w w:val="80"/>
              </w:rPr>
              <w:t>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9"/>
        </w:trPr>
        <w:tc>
          <w:tcPr>
            <w:tcW w:w="720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Reconciliaton of Adjusted EBITDA atributable to redeemable noncontrolling interest:</w:t>
            </w: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69"/>
        </w:trPr>
        <w:tc>
          <w:tcPr>
            <w:tcW w:w="7200" w:type="dxa"/>
            <w:vAlign w:val="bottom"/>
          </w:tcPr>
          <w:p>
            <w:pPr>
              <w:spacing w:after="0" w:line="169" w:lineRule="exact"/>
              <w:rPr>
                <w:sz w:val="20"/>
                <w:szCs w:val="20"/>
                <w:color w:val="auto"/>
              </w:rPr>
            </w:pPr>
            <w:r>
              <w:rPr>
                <w:rFonts w:ascii="Calibri" w:cs="Calibri" w:eastAsia="Calibri" w:hAnsi="Calibri"/>
                <w:sz w:val="18"/>
                <w:szCs w:val="18"/>
                <w:color w:val="auto"/>
              </w:rPr>
              <w:t>Net loss atributable to redeemable noncontrolling interest</w:t>
            </w:r>
          </w:p>
        </w:tc>
        <w:tc>
          <w:tcPr>
            <w:tcW w:w="900" w:type="dxa"/>
            <w:vAlign w:val="bottom"/>
          </w:tcPr>
          <w:p>
            <w:pPr>
              <w:jc w:val="right"/>
              <w:ind w:right="719"/>
              <w:spacing w:after="0" w:line="169" w:lineRule="exact"/>
              <w:rPr>
                <w:sz w:val="20"/>
                <w:szCs w:val="20"/>
                <w:color w:val="auto"/>
              </w:rPr>
            </w:pPr>
            <w:r>
              <w:rPr>
                <w:rFonts w:ascii="Calibri" w:cs="Calibri" w:eastAsia="Calibri" w:hAnsi="Calibri"/>
                <w:sz w:val="18"/>
                <w:szCs w:val="18"/>
                <w:color w:val="auto"/>
                <w:w w:val="87"/>
              </w:rPr>
              <w:t>$</w:t>
            </w:r>
          </w:p>
        </w:tc>
        <w:tc>
          <w:tcPr>
            <w:tcW w:w="380" w:type="dxa"/>
            <w:vAlign w:val="bottom"/>
          </w:tcPr>
          <w:p>
            <w:pPr>
              <w:ind w:left="180"/>
              <w:spacing w:after="0" w:line="169" w:lineRule="exact"/>
              <w:rPr>
                <w:sz w:val="20"/>
                <w:szCs w:val="20"/>
                <w:color w:val="auto"/>
              </w:rPr>
            </w:pPr>
            <w:r>
              <w:rPr>
                <w:rFonts w:ascii="Calibri" w:cs="Calibri" w:eastAsia="Calibri" w:hAnsi="Calibri"/>
                <w:sz w:val="18"/>
                <w:szCs w:val="18"/>
                <w:color w:val="auto"/>
              </w:rPr>
              <w:t>—</w:t>
            </w:r>
          </w:p>
        </w:tc>
        <w:tc>
          <w:tcPr>
            <w:tcW w:w="640" w:type="dxa"/>
            <w:vAlign w:val="bottom"/>
            <w:gridSpan w:val="2"/>
          </w:tcPr>
          <w:p>
            <w:pPr>
              <w:jc w:val="right"/>
              <w:ind w:right="210"/>
              <w:spacing w:after="0" w:line="169" w:lineRule="exact"/>
              <w:rPr>
                <w:sz w:val="20"/>
                <w:szCs w:val="20"/>
                <w:color w:val="auto"/>
              </w:rPr>
            </w:pPr>
            <w:r>
              <w:rPr>
                <w:rFonts w:ascii="Calibri" w:cs="Calibri" w:eastAsia="Calibri" w:hAnsi="Calibri"/>
                <w:sz w:val="18"/>
                <w:szCs w:val="18"/>
                <w:color w:val="auto"/>
              </w:rPr>
              <w:t>$</w:t>
            </w:r>
          </w:p>
        </w:tc>
        <w:tc>
          <w:tcPr>
            <w:tcW w:w="980" w:type="dxa"/>
            <w:vAlign w:val="bottom"/>
            <w:gridSpan w:val="2"/>
          </w:tcPr>
          <w:p>
            <w:pPr>
              <w:jc w:val="right"/>
              <w:ind w:right="40"/>
              <w:spacing w:after="0" w:line="169" w:lineRule="exact"/>
              <w:rPr>
                <w:sz w:val="20"/>
                <w:szCs w:val="20"/>
                <w:color w:val="auto"/>
              </w:rPr>
            </w:pPr>
            <w:r>
              <w:rPr>
                <w:rFonts w:ascii="Calibri" w:cs="Calibri" w:eastAsia="Calibri" w:hAnsi="Calibri"/>
                <w:sz w:val="18"/>
                <w:szCs w:val="18"/>
                <w:color w:val="auto"/>
              </w:rPr>
              <w:t>(14,889 )</w:t>
            </w:r>
          </w:p>
        </w:tc>
      </w:tr>
      <w:tr>
        <w:trPr>
          <w:trHeight w:val="216"/>
        </w:trPr>
        <w:tc>
          <w:tcPr>
            <w:tcW w:w="7200" w:type="dxa"/>
            <w:vAlign w:val="bottom"/>
          </w:tcPr>
          <w:p>
            <w:pPr>
              <w:spacing w:after="0" w:line="216" w:lineRule="exact"/>
              <w:rPr>
                <w:sz w:val="20"/>
                <w:szCs w:val="20"/>
                <w:color w:val="auto"/>
              </w:rPr>
            </w:pPr>
            <w:r>
              <w:rPr>
                <w:rFonts w:ascii="Calibri" w:cs="Calibri" w:eastAsia="Calibri" w:hAnsi="Calibri"/>
                <w:sz w:val="17"/>
                <w:szCs w:val="17"/>
                <w:color w:val="auto"/>
              </w:rPr>
              <w:t xml:space="preserve">Depreciaton and amortzaton </w:t>
            </w:r>
            <w:r>
              <w:rPr>
                <w:rFonts w:ascii="Calibri" w:cs="Calibri" w:eastAsia="Calibri" w:hAnsi="Calibri"/>
                <w:sz w:val="23"/>
                <w:szCs w:val="23"/>
                <w:color w:val="auto"/>
                <w:vertAlign w:val="superscript"/>
              </w:rPr>
              <w:t>(1)</w:t>
            </w:r>
          </w:p>
        </w:tc>
        <w:tc>
          <w:tcPr>
            <w:tcW w:w="900" w:type="dxa"/>
            <w:vAlign w:val="bottom"/>
          </w:tcPr>
          <w:p>
            <w:pPr>
              <w:spacing w:after="0"/>
              <w:rPr>
                <w:sz w:val="18"/>
                <w:szCs w:val="18"/>
                <w:color w:val="auto"/>
              </w:rPr>
            </w:pPr>
          </w:p>
        </w:tc>
        <w:tc>
          <w:tcPr>
            <w:tcW w:w="380" w:type="dxa"/>
            <w:vAlign w:val="bottom"/>
          </w:tcPr>
          <w:p>
            <w:pPr>
              <w:ind w:left="18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10,863</w:t>
            </w:r>
          </w:p>
        </w:tc>
        <w:tc>
          <w:tcPr>
            <w:tcW w:w="100" w:type="dxa"/>
            <w:vAlign w:val="bottom"/>
          </w:tcPr>
          <w:p>
            <w:pPr>
              <w:spacing w:after="0"/>
              <w:rPr>
                <w:sz w:val="18"/>
                <w:szCs w:val="18"/>
                <w:color w:val="auto"/>
              </w:rPr>
            </w:pPr>
          </w:p>
        </w:tc>
      </w:tr>
      <w:tr>
        <w:trPr>
          <w:trHeight w:val="216"/>
        </w:trPr>
        <w:tc>
          <w:tcPr>
            <w:tcW w:w="7200" w:type="dxa"/>
            <w:vAlign w:val="bottom"/>
          </w:tcPr>
          <w:p>
            <w:pPr>
              <w:spacing w:after="0" w:line="216" w:lineRule="exact"/>
              <w:rPr>
                <w:sz w:val="20"/>
                <w:szCs w:val="20"/>
                <w:color w:val="auto"/>
              </w:rPr>
            </w:pPr>
            <w:r>
              <w:rPr>
                <w:rFonts w:ascii="Calibri" w:cs="Calibri" w:eastAsia="Calibri" w:hAnsi="Calibri"/>
                <w:sz w:val="17"/>
                <w:szCs w:val="17"/>
                <w:color w:val="auto"/>
              </w:rPr>
              <w:t xml:space="preserve">Impairment </w:t>
            </w:r>
            <w:r>
              <w:rPr>
                <w:rFonts w:ascii="Calibri" w:cs="Calibri" w:eastAsia="Calibri" w:hAnsi="Calibri"/>
                <w:sz w:val="23"/>
                <w:szCs w:val="23"/>
                <w:color w:val="auto"/>
                <w:vertAlign w:val="superscript"/>
              </w:rPr>
              <w:t>(1)</w:t>
            </w:r>
          </w:p>
        </w:tc>
        <w:tc>
          <w:tcPr>
            <w:tcW w:w="900" w:type="dxa"/>
            <w:vAlign w:val="bottom"/>
          </w:tcPr>
          <w:p>
            <w:pPr>
              <w:spacing w:after="0"/>
              <w:rPr>
                <w:sz w:val="18"/>
                <w:szCs w:val="18"/>
                <w:color w:val="auto"/>
              </w:rPr>
            </w:pPr>
          </w:p>
        </w:tc>
        <w:tc>
          <w:tcPr>
            <w:tcW w:w="380" w:type="dxa"/>
            <w:vAlign w:val="bottom"/>
          </w:tcPr>
          <w:p>
            <w:pPr>
              <w:ind w:left="18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67</w:t>
            </w:r>
          </w:p>
        </w:tc>
        <w:tc>
          <w:tcPr>
            <w:tcW w:w="100" w:type="dxa"/>
            <w:vAlign w:val="bottom"/>
          </w:tcPr>
          <w:p>
            <w:pPr>
              <w:spacing w:after="0"/>
              <w:rPr>
                <w:sz w:val="18"/>
                <w:szCs w:val="18"/>
                <w:color w:val="auto"/>
              </w:rPr>
            </w:pPr>
          </w:p>
        </w:tc>
      </w:tr>
      <w:tr>
        <w:trPr>
          <w:trHeight w:val="216"/>
        </w:trPr>
        <w:tc>
          <w:tcPr>
            <w:tcW w:w="7200" w:type="dxa"/>
            <w:vAlign w:val="bottom"/>
          </w:tcPr>
          <w:p>
            <w:pPr>
              <w:spacing w:after="0" w:line="216" w:lineRule="exact"/>
              <w:rPr>
                <w:sz w:val="20"/>
                <w:szCs w:val="20"/>
                <w:color w:val="auto"/>
              </w:rPr>
            </w:pPr>
            <w:r>
              <w:rPr>
                <w:rFonts w:ascii="Calibri" w:cs="Calibri" w:eastAsia="Calibri" w:hAnsi="Calibri"/>
                <w:sz w:val="17"/>
                <w:szCs w:val="17"/>
                <w:color w:val="auto"/>
              </w:rPr>
              <w:t xml:space="preserve">Stock-based compensaton expense </w:t>
            </w:r>
            <w:r>
              <w:rPr>
                <w:rFonts w:ascii="Calibri" w:cs="Calibri" w:eastAsia="Calibri" w:hAnsi="Calibri"/>
                <w:sz w:val="23"/>
                <w:szCs w:val="23"/>
                <w:color w:val="auto"/>
                <w:vertAlign w:val="superscript"/>
              </w:rPr>
              <w:t>(1)</w:t>
            </w:r>
          </w:p>
        </w:tc>
        <w:tc>
          <w:tcPr>
            <w:tcW w:w="900" w:type="dxa"/>
            <w:vAlign w:val="bottom"/>
          </w:tcPr>
          <w:p>
            <w:pPr>
              <w:spacing w:after="0"/>
              <w:rPr>
                <w:sz w:val="18"/>
                <w:szCs w:val="18"/>
                <w:color w:val="auto"/>
              </w:rPr>
            </w:pPr>
          </w:p>
        </w:tc>
        <w:tc>
          <w:tcPr>
            <w:tcW w:w="380" w:type="dxa"/>
            <w:vAlign w:val="bottom"/>
          </w:tcPr>
          <w:p>
            <w:pPr>
              <w:ind w:left="18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783</w:t>
            </w:r>
          </w:p>
        </w:tc>
        <w:tc>
          <w:tcPr>
            <w:tcW w:w="100" w:type="dxa"/>
            <w:vAlign w:val="bottom"/>
          </w:tcPr>
          <w:p>
            <w:pPr>
              <w:spacing w:after="0"/>
              <w:rPr>
                <w:sz w:val="18"/>
                <w:szCs w:val="18"/>
                <w:color w:val="auto"/>
              </w:rPr>
            </w:pPr>
          </w:p>
        </w:tc>
      </w:tr>
      <w:tr>
        <w:trPr>
          <w:trHeight w:val="216"/>
        </w:trPr>
        <w:tc>
          <w:tcPr>
            <w:tcW w:w="7200" w:type="dxa"/>
            <w:vAlign w:val="bottom"/>
          </w:tcPr>
          <w:p>
            <w:pPr>
              <w:spacing w:after="0" w:line="216" w:lineRule="exact"/>
              <w:rPr>
                <w:sz w:val="20"/>
                <w:szCs w:val="20"/>
                <w:color w:val="auto"/>
              </w:rPr>
            </w:pPr>
            <w:r>
              <w:rPr>
                <w:rFonts w:ascii="Calibri" w:cs="Calibri" w:eastAsia="Calibri" w:hAnsi="Calibri"/>
                <w:sz w:val="17"/>
                <w:szCs w:val="17"/>
                <w:color w:val="auto"/>
              </w:rPr>
              <w:t xml:space="preserve">Stock-based compensaton expense for CarOfer, LLC Units </w:t>
            </w:r>
            <w:r>
              <w:rPr>
                <w:rFonts w:ascii="Calibri" w:cs="Calibri" w:eastAsia="Calibri" w:hAnsi="Calibri"/>
                <w:sz w:val="23"/>
                <w:szCs w:val="23"/>
                <w:color w:val="auto"/>
                <w:vertAlign w:val="superscript"/>
              </w:rPr>
              <w:t>(1)</w:t>
            </w:r>
          </w:p>
        </w:tc>
        <w:tc>
          <w:tcPr>
            <w:tcW w:w="900" w:type="dxa"/>
            <w:vAlign w:val="bottom"/>
          </w:tcPr>
          <w:p>
            <w:pPr>
              <w:spacing w:after="0"/>
              <w:rPr>
                <w:sz w:val="18"/>
                <w:szCs w:val="18"/>
                <w:color w:val="auto"/>
              </w:rPr>
            </w:pPr>
          </w:p>
        </w:tc>
        <w:tc>
          <w:tcPr>
            <w:tcW w:w="380" w:type="dxa"/>
            <w:vAlign w:val="bottom"/>
          </w:tcPr>
          <w:p>
            <w:pPr>
              <w:ind w:left="18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2,249</w:t>
            </w:r>
          </w:p>
        </w:tc>
        <w:tc>
          <w:tcPr>
            <w:tcW w:w="100" w:type="dxa"/>
            <w:vAlign w:val="bottom"/>
          </w:tcPr>
          <w:p>
            <w:pPr>
              <w:spacing w:after="0"/>
              <w:rPr>
                <w:sz w:val="18"/>
                <w:szCs w:val="18"/>
                <w:color w:val="auto"/>
              </w:rPr>
            </w:pPr>
          </w:p>
        </w:tc>
      </w:tr>
      <w:tr>
        <w:trPr>
          <w:trHeight w:val="216"/>
        </w:trPr>
        <w:tc>
          <w:tcPr>
            <w:tcW w:w="7200" w:type="dxa"/>
            <w:vAlign w:val="bottom"/>
          </w:tcPr>
          <w:p>
            <w:pPr>
              <w:spacing w:after="0" w:line="216" w:lineRule="exact"/>
              <w:rPr>
                <w:sz w:val="20"/>
                <w:szCs w:val="20"/>
                <w:color w:val="auto"/>
              </w:rPr>
            </w:pPr>
            <w:r>
              <w:rPr>
                <w:rFonts w:ascii="Calibri" w:cs="Calibri" w:eastAsia="Calibri" w:hAnsi="Calibri"/>
                <w:sz w:val="17"/>
                <w:szCs w:val="17"/>
                <w:color w:val="auto"/>
              </w:rPr>
              <w:t xml:space="preserve">Other expense, net </w:t>
            </w:r>
            <w:r>
              <w:rPr>
                <w:rFonts w:ascii="Calibri" w:cs="Calibri" w:eastAsia="Calibri" w:hAnsi="Calibri"/>
                <w:sz w:val="23"/>
                <w:szCs w:val="23"/>
                <w:color w:val="auto"/>
                <w:vertAlign w:val="superscript"/>
              </w:rPr>
              <w:t>(1)</w:t>
            </w:r>
          </w:p>
        </w:tc>
        <w:tc>
          <w:tcPr>
            <w:tcW w:w="900" w:type="dxa"/>
            <w:vAlign w:val="bottom"/>
          </w:tcPr>
          <w:p>
            <w:pPr>
              <w:spacing w:after="0"/>
              <w:rPr>
                <w:sz w:val="18"/>
                <w:szCs w:val="18"/>
                <w:color w:val="auto"/>
              </w:rPr>
            </w:pPr>
          </w:p>
        </w:tc>
        <w:tc>
          <w:tcPr>
            <w:tcW w:w="380" w:type="dxa"/>
            <w:vAlign w:val="bottom"/>
          </w:tcPr>
          <w:p>
            <w:pPr>
              <w:ind w:left="18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Calibri" w:cs="Calibri" w:eastAsia="Calibri" w:hAnsi="Calibri"/>
                <w:sz w:val="18"/>
                <w:szCs w:val="18"/>
                <w:color w:val="auto"/>
              </w:rPr>
              <w:t>985</w:t>
            </w:r>
          </w:p>
        </w:tc>
        <w:tc>
          <w:tcPr>
            <w:tcW w:w="100" w:type="dxa"/>
            <w:vAlign w:val="bottom"/>
          </w:tcPr>
          <w:p>
            <w:pPr>
              <w:spacing w:after="0"/>
              <w:rPr>
                <w:sz w:val="18"/>
                <w:szCs w:val="18"/>
                <w:color w:val="auto"/>
              </w:rPr>
            </w:pPr>
          </w:p>
        </w:tc>
      </w:tr>
      <w:tr>
        <w:trPr>
          <w:trHeight w:val="263"/>
        </w:trPr>
        <w:tc>
          <w:tcPr>
            <w:tcW w:w="7200" w:type="dxa"/>
            <w:vAlign w:val="bottom"/>
          </w:tcPr>
          <w:p>
            <w:pPr>
              <w:spacing w:after="0" w:line="263" w:lineRule="exact"/>
              <w:rPr>
                <w:sz w:val="20"/>
                <w:szCs w:val="20"/>
                <w:color w:val="auto"/>
              </w:rPr>
            </w:pPr>
            <w:r>
              <w:rPr>
                <w:rFonts w:ascii="Calibri" w:cs="Calibri" w:eastAsia="Calibri" w:hAnsi="Calibri"/>
                <w:sz w:val="18"/>
                <w:szCs w:val="18"/>
                <w:color w:val="auto"/>
              </w:rPr>
              <w:t xml:space="preserve">Provision for income taxes </w:t>
            </w:r>
            <w:r>
              <w:rPr>
                <w:rFonts w:ascii="Calibri" w:cs="Calibri" w:eastAsia="Calibri" w:hAnsi="Calibri"/>
                <w:sz w:val="24"/>
                <w:szCs w:val="24"/>
                <w:color w:val="auto"/>
                <w:vertAlign w:val="superscript"/>
              </w:rPr>
              <w:t>(1)</w:t>
            </w:r>
          </w:p>
        </w:tc>
        <w:tc>
          <w:tcPr>
            <w:tcW w:w="9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80"/>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color w:val="auto"/>
              </w:rPr>
              <w:t>25</w:t>
            </w:r>
          </w:p>
        </w:tc>
        <w:tc>
          <w:tcPr>
            <w:tcW w:w="100" w:type="dxa"/>
            <w:vAlign w:val="bottom"/>
          </w:tcPr>
          <w:p>
            <w:pPr>
              <w:spacing w:after="0"/>
              <w:rPr>
                <w:sz w:val="22"/>
                <w:szCs w:val="22"/>
                <w:color w:val="auto"/>
              </w:rPr>
            </w:pPr>
          </w:p>
        </w:tc>
      </w:tr>
      <w:tr>
        <w:trPr>
          <w:trHeight w:val="249"/>
        </w:trPr>
        <w:tc>
          <w:tcPr>
            <w:tcW w:w="720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Adjusted EBITDA atributable to redeemable noncontrolling interest</w:t>
            </w:r>
          </w:p>
        </w:tc>
        <w:tc>
          <w:tcPr>
            <w:tcW w:w="900" w:type="dxa"/>
            <w:vAlign w:val="bottom"/>
            <w:tcBorders>
              <w:bottom w:val="single" w:sz="8" w:color="auto"/>
            </w:tcBorders>
            <w:shd w:val="clear" w:color="auto" w:fill="CFF0FC"/>
          </w:tcPr>
          <w:p>
            <w:pPr>
              <w:jc w:val="right"/>
              <w:ind w:right="719"/>
              <w:spacing w:after="0" w:line="209" w:lineRule="exact"/>
              <w:rPr>
                <w:sz w:val="20"/>
                <w:szCs w:val="20"/>
                <w:color w:val="auto"/>
              </w:rPr>
            </w:pPr>
            <w:r>
              <w:rPr>
                <w:rFonts w:ascii="Calibri" w:cs="Calibri" w:eastAsia="Calibri" w:hAnsi="Calibri"/>
                <w:sz w:val="18"/>
                <w:szCs w:val="18"/>
                <w:color w:val="auto"/>
                <w:w w:val="87"/>
              </w:rPr>
              <w:t>$</w:t>
            </w:r>
          </w:p>
        </w:tc>
        <w:tc>
          <w:tcPr>
            <w:tcW w:w="380" w:type="dxa"/>
            <w:vAlign w:val="bottom"/>
            <w:tcBorders>
              <w:bottom w:val="single" w:sz="8" w:color="auto"/>
            </w:tcBorders>
            <w:shd w:val="clear" w:color="auto" w:fill="CFF0FC"/>
          </w:tcPr>
          <w:p>
            <w:pPr>
              <w:ind w:left="18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-993775</wp:posOffset>
            </wp:positionV>
            <wp:extent cx="641223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-719455</wp:posOffset>
            </wp:positionV>
            <wp:extent cx="641223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-1508125</wp:posOffset>
            </wp:positionV>
            <wp:extent cx="17830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3" w:lineRule="exact"/>
        <w:rPr>
          <w:sz w:val="20"/>
          <w:szCs w:val="20"/>
          <w:color w:val="auto"/>
        </w:rPr>
      </w:pPr>
    </w:p>
    <w:p>
      <w:pPr>
        <w:ind w:left="1020" w:hanging="503"/>
        <w:spacing w:after="0"/>
        <w:tabs>
          <w:tab w:leader="none" w:pos="1020" w:val="left"/>
        </w:tabs>
        <w:numPr>
          <w:ilvl w:val="0"/>
          <w:numId w:val="33"/>
        </w:numPr>
        <w:rPr>
          <w:rFonts w:ascii="Calibri" w:cs="Calibri" w:eastAsia="Calibri" w:hAnsi="Calibri"/>
          <w:sz w:val="14"/>
          <w:szCs w:val="14"/>
          <w:color w:val="00002D"/>
        </w:rPr>
      </w:pPr>
      <w:r>
        <w:rPr>
          <w:rFonts w:ascii="Calibri" w:cs="Calibri" w:eastAsia="Calibri" w:hAnsi="Calibri"/>
          <w:sz w:val="14"/>
          <w:szCs w:val="14"/>
          <w:color w:val="00002D"/>
        </w:rPr>
        <w:t>These exclusions are adjusted to refect the noncontrolling interest of 38% for the period prior to the 2023 CarOfer Transacton.</w:t>
      </w:r>
    </w:p>
    <w:p>
      <w:pPr>
        <w:spacing w:after="0" w:line="113" w:lineRule="exact"/>
        <w:rPr>
          <w:rFonts w:ascii="Calibri" w:cs="Calibri" w:eastAsia="Calibri" w:hAnsi="Calibri"/>
          <w:sz w:val="14"/>
          <w:szCs w:val="14"/>
          <w:color w:val="00002D"/>
        </w:rPr>
      </w:pPr>
    </w:p>
    <w:p>
      <w:pPr>
        <w:ind w:left="1020" w:hanging="503"/>
        <w:spacing w:after="0" w:line="244" w:lineRule="auto"/>
        <w:tabs>
          <w:tab w:leader="none" w:pos="1020" w:val="left"/>
        </w:tabs>
        <w:numPr>
          <w:ilvl w:val="0"/>
          <w:numId w:val="33"/>
        </w:numPr>
        <w:rPr>
          <w:rFonts w:ascii="Calibri" w:cs="Calibri" w:eastAsia="Calibri" w:hAnsi="Calibri"/>
          <w:sz w:val="14"/>
          <w:szCs w:val="14"/>
          <w:color w:val="00002D"/>
        </w:rPr>
      </w:pPr>
      <w:r>
        <w:rPr>
          <w:rFonts w:ascii="Calibri" w:cs="Calibri" w:eastAsia="Calibri" w:hAnsi="Calibri"/>
          <w:sz w:val="14"/>
          <w:szCs w:val="14"/>
          <w:color w:val="00002D"/>
        </w:rPr>
        <w:t>Following the 2023 CarOfer Transacton, there was no redeemable noncontrolling interest as of December 1, 2023, and as a result, Consolidated Adjusted EBITDA is equivalent to Adjusted EBITDA for the year ended December 31, 2024</w:t>
      </w:r>
      <w:r>
        <w:rPr>
          <w:rFonts w:ascii="Calibri" w:cs="Calibri" w:eastAsia="Calibri" w:hAnsi="Calibri"/>
          <w:sz w:val="17"/>
          <w:szCs w:val="17"/>
          <w:color w:val="00002D"/>
        </w:rPr>
        <w:t>.</w:t>
      </w: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Components of Consolidated Income Statements</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Revenue</w:t>
      </w:r>
    </w:p>
    <w:p>
      <w:pPr>
        <w:spacing w:after="0" w:line="221" w:lineRule="exact"/>
        <w:rPr>
          <w:sz w:val="20"/>
          <w:szCs w:val="20"/>
          <w:color w:val="auto"/>
        </w:rPr>
      </w:pPr>
    </w:p>
    <w:p>
      <w:pPr>
        <w:jc w:val="both"/>
        <w:spacing w:after="0" w:line="304" w:lineRule="auto"/>
        <w:rPr>
          <w:sz w:val="20"/>
          <w:szCs w:val="20"/>
          <w:color w:val="auto"/>
        </w:rPr>
      </w:pPr>
      <w:r>
        <w:rPr>
          <w:rFonts w:ascii="MS PGothic" w:cs="MS PGothic" w:eastAsia="MS PGothic" w:hAnsi="MS PGothic"/>
          <w:sz w:val="17"/>
          <w:szCs w:val="17"/>
          <w:color w:val="00002D"/>
        </w:rPr>
        <w:t>We derive our revenue from marketplace revenue, wholesale revenue, and product revenue. Marketplace revenue is included in the U.S. Marketplace segment and Other category of segment reportng. Wholesale revenue and product revenue are primarily included in the Digital Wholesale segment. We generate marketplace revenue from (i) dealer subscriptons to our Listngs packages, RPM, our digital advertsing suite, Digital Retail, and Top Dealer Ofers,</w:t>
      </w:r>
    </w:p>
    <w:p>
      <w:pPr>
        <w:spacing w:after="0" w:line="2" w:lineRule="exact"/>
        <w:rPr>
          <w:sz w:val="20"/>
          <w:szCs w:val="20"/>
          <w:color w:val="auto"/>
        </w:rPr>
      </w:pPr>
    </w:p>
    <w:p>
      <w:pPr>
        <w:jc w:val="both"/>
        <w:ind w:firstLine="8"/>
        <w:spacing w:after="0" w:line="297" w:lineRule="auto"/>
        <w:tabs>
          <w:tab w:leader="none" w:pos="257" w:val="left"/>
        </w:tabs>
        <w:numPr>
          <w:ilvl w:val="0"/>
          <w:numId w:val="34"/>
        </w:numPr>
        <w:rPr>
          <w:rFonts w:ascii="MS PGothic" w:cs="MS PGothic" w:eastAsia="MS PGothic" w:hAnsi="MS PGothic"/>
          <w:sz w:val="18"/>
          <w:szCs w:val="18"/>
          <w:color w:val="00002D"/>
        </w:rPr>
      </w:pPr>
      <w:r>
        <w:rPr>
          <w:rFonts w:ascii="MS PGothic" w:cs="MS PGothic" w:eastAsia="MS PGothic" w:hAnsi="MS PGothic"/>
          <w:sz w:val="18"/>
          <w:szCs w:val="18"/>
          <w:color w:val="00002D"/>
        </w:rPr>
        <w:t>advertsing revenue from auto manufacturers and other auto‑related brand advertsers, and (iii) revenue from partnerships with fnancing services companies. We generate wholesale revenue primarily from (x) transacton fees earned from Dealer-to-Dealer transactons, (y) transacton fees earned from the sale of vehicles to dealers that we acquire at other marketplaces, and (z) transacton fees earned from performing inspecton and transportaton services, inclusive of Dealer-to-Dealer transactons, other marketplace-to-dealer transactons, and Instant Max Cash Ofer transactons. We generate product revenue primarily from (A) aggregate proceeds received from the sale of vehicles that were acquired through Instant Max Cash Ofer transactons, and (B) proceeds received from the sale of vehicles that were acquired through arbitraton.</w:t>
      </w:r>
    </w:p>
    <w:p>
      <w:pPr>
        <w:spacing w:after="0" w:line="17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Marketplace Revenue</w:t>
      </w:r>
    </w:p>
    <w:p>
      <w:pPr>
        <w:spacing w:after="0" w:line="217"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We ofer multple types of marketplace Listngs packages to our dealers for our CarGurus U.S. platorm (availability varies on our other marketplaces): Restricted Listngs, which is free; and various levels of Listngs packages, which each require a paid subscripton under a monthly, quarterly, semiannual, or annual subscripton basis.</w:t>
      </w:r>
    </w:p>
    <w:p>
      <w:pPr>
        <w:spacing w:after="0" w:line="164"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Our subscriptons for customers generally auto-renew on a monthly basis and are cancellable by dealers with 30 days’ advance notce prior to the commencement of the applicable renewal term. Subscripton pricing is determined based on a dealer’s inventory size, region, and our assessment of the connectons and ROI the platorm will provide them and is subject to discounts and/or fee reductons that we may ofer from tme to tme. We also ofer all dealers on the platorm access to our Dealer Dashboard, which includes a performance summary, Dealer Insights tool, and user review management platorm. Only dealers subscribing to a paid Listngs package have access to the Pricing Tool, Market Analysis tool, and IMV Scan tool.</w:t>
      </w:r>
    </w:p>
    <w:p>
      <w:pPr>
        <w:spacing w:after="0" w:line="175"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We also ofer paid Listngs packages for the Autolist and PistonHeads websites.</w:t>
      </w:r>
    </w:p>
    <w:p>
      <w:pPr>
        <w:spacing w:after="0" w:line="252"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In additon to displaying inventory in our marketplace and providing access to the Dealer Dashboard, we ofer dealers subscribing to certain of our Listngs packages other subscripton advertsing and customer acquisiton products and enhancements marketed under RPM and our digital advertsing suite. Through RPM, dealers can buy advertsing that appears in our marketplace, on other sites on the internet, and/or on high-convertng social media platorms. Such advertsements can be targeted by the user’s geography, search history, CarGurus website actvity, and a number of other targetng factors, allowing dealers to increase their visibility with in-market consumers and drive qualifed trafc for dealers.</w:t>
      </w:r>
    </w:p>
    <w:p>
      <w:pPr>
        <w:spacing w:after="0" w:line="175"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We also ofer dealer advertsing products for the PistonHeads website.</w:t>
      </w:r>
    </w:p>
    <w:p>
      <w:pPr>
        <w:spacing w:after="0" w:line="252" w:lineRule="exact"/>
        <w:rPr>
          <w:sz w:val="20"/>
          <w:szCs w:val="20"/>
          <w:color w:val="auto"/>
        </w:rPr>
      </w:pPr>
    </w:p>
    <w:p>
      <w:pPr>
        <w:jc w:val="both"/>
        <w:spacing w:after="0" w:line="326" w:lineRule="auto"/>
        <w:rPr>
          <w:sz w:val="20"/>
          <w:szCs w:val="20"/>
          <w:color w:val="auto"/>
        </w:rPr>
      </w:pPr>
      <w:r>
        <w:rPr>
          <w:rFonts w:ascii="MS PGothic" w:cs="MS PGothic" w:eastAsia="MS PGothic" w:hAnsi="MS PGothic"/>
          <w:sz w:val="17"/>
          <w:szCs w:val="17"/>
          <w:color w:val="00002D"/>
        </w:rPr>
        <w:t>We also ofer dealers subscribing to certain of our Listngs packages other subscripton advertsing and customer acquisiton products and enhancements such as Digital Retail, which allows shoppers to complete much of the vehicle-purchase process online through the Dealers’ Listngs page. Digital Retail is comprised of (i) the Digital Deal Platorm, which gives dealers higher quality leads through upfront consumer-provided informaton; (ii) Geo Expansion, which expands the visibility of a dealer’s inventory in the search results beyond its local market; and (iii) Hard Pull Financing, which provides loan informaton.</w:t>
      </w:r>
    </w:p>
    <w:p>
      <w:pPr>
        <w:spacing w:after="0" w:line="156"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We also ofer dealers subscribing to certain of our Listngs packages other subscripton advertsing and customer acquisiton products and enhancements such as Top Dealer Ofers, which allows dealers to pay for leads to receive direct access to shoppers actvely looking to sell their vehicles. Dealers can acquire inventory from shoppers who are looking to sell directly through the CarGurus Sell My Car page.</w:t>
      </w:r>
    </w:p>
    <w:p>
      <w:pPr>
        <w:spacing w:after="0" w:line="164"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Marketplace revenue also consists of non-dealer advertsing revenue from auto manufacturers and other auto-related brand advertsers sold on a cost-per-thousand impressions basis, or CPM basis. An impression is an advertsement loaded on a web page. In additon to advertsing sold on a CPM basis, we also have advertsing sold on a cost-per-click basis. Pricing is primarily based on advertsement size and positon on our websites and mobile applicatons. Auto manufacturers and other brand advertsers can execute advertsing campaigns that are targeted across a wide variety of parameters, including demographic groups, behavioral characteristcs,</w:t>
      </w:r>
    </w:p>
    <w:p>
      <w:pPr>
        <w:spacing w:after="0" w:line="175"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specifc auto brands, categories such as Certfed Pre-Owned, and segments such as hybrid vehicles. We do not provide minimum impression guarantees or other types of minimum guarantees in our contracts with customers. Advertsing is also sold indirectly through revenue sharing arrangements with advertsing exchange partners.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00002D"/>
        </w:rPr>
        <w:t>We also ofer non-dealer advertsing products for the Autolist and PistonHeads websites.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Marketplace revenue also includes revenue from partnerships with certain fnancing services companies pursuant to which we enable eligible consumers on our CarGurus U.S. website to pre-qualify for fnancing on cars from dealerships that ofer fnancing through such companies. We primarily generate revenue from these partnerships based on the number of funded loans from consumers who pre-qualify with our lending partners through our site.</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Wholesale Revenue</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CarOfer Matrix enables buying dealers to create standing buy orders and provides instant ofers to selling dealers. Wholesale revenue includes transacton fees earned from Dealer-to-Dealer transactons, where we collect fees from both the buying and selling dealers. We also sell vehicles to dealers that we acquire at other marketplaces, where we collect a transacton fee from the buying dealers.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Wholesale revenue also includes fees earned from performing inspecton and transportaton services, where we collect fees from the buying dealer. Inspecton and transportaton service revenue is inclusive of Dealer-to-Dealer transactons, other marketplace-to-dealer transactons, and Instant Max Cash Ofer transactons.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Wholesale revenue also includes arbitraton in which the vehicle is rematched to a new buyer and not acquired by us. Arbitraton is the process by which we investgate and resolve claims from buying dealers.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Wholesale revenue also includes fees earned from certain guarantees ofered to dealers (which include 45-Day Guarantee and OferGuard products), where we collect fees from the buying dealer or selling dealer, as applicable.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Product Revenue</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CarOfer Matrix enables consumers who are selling vehicles to be instantly presented with an ofer. Product revenue includes the aggregate proceeds received from the sale of vehicles through Instant Max Cash Ofer transactons, including vehicle sale price and transacton fees collected from the buying dealers. Product revenue also includes proceeds received from the sale of vehicles acquired through arbitraton, including vehicle sale price and transacton fees collected from buying dealers. Arbitraton is the process by which we investgate and resolve claims from buying dealers. We control the vehicle in these transactons and, therefore, act as the principal.</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Cost of Revenue</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Marketplace Cost of Revenue</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Marketplace cost of revenue includes expenses related to supportng and hostng marketplace service oferings. These expenses include personnel and related expenses for our customer support team, including salaries, benefts, incentve compensaton, and stock-based compensaton; third-party service provider expenses such as advertsing, data, and hostng expenses; amortzaton of developed technology; amortzaton and impairment of capitalized website development; amortzaton of capitalized hostng arrangements; and allocated overhead expenses. We allocate overhead expenses, such as rent and facility expenses, sofware expense, and employee beneft expense, to all departments based on headcount. As such, general overhead expenses are refected in cost of revenue and each operatng expense category.</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Wholesale Cost of Revenue</w:t>
      </w:r>
    </w:p>
    <w:p>
      <w:pPr>
        <w:spacing w:after="0" w:line="21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00002D"/>
        </w:rPr>
        <w:t>Wholesale cost of revenue includes expenses related to supportng and hostng Digital Wholesale service oferings, including Dealer-to-Dealer transactons and vehicles sold to dealers acquired at other marketplaces on the CarOfer Matrix. These expenses include vehicle transportaton and inspecton expenses; net losses on vehicles related to guarantees ofered to dealers through Dealer-to-Dealer transactons; personnel and related expenses for employees directly involved in the fulfllment and support of transactons, including salaries, benefts, incentve compensaton, and stock-based compensaton; third-party service provider expenses; amortzaton of developed technology; amortzaton and impairment of capitalized website development; and allocated overhead</w:t>
      </w: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expenses. We allocate overhead expenses, such as rent and facility expenses, sofware expense, and employee beneft expense, to all departments based on headcount. As such, general overhead expenses are refected in cost of revenue and each operatng expense category.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Product Cost of Revenue</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Product cost of revenue includes expenses related to vehicles sold to dealers through Instant Max Cash Ofer transactons and vehicles sold to dealers acquired through arbitraton. These expenses include the cost of the vehicle and transportaton expenses.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Operatng Expenses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Sales and Marketng</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Sales and marketng expense consists primarily of personnel and related expenses for our sales and marketng team, including salaries, benefts, incentve compensaton, commissions, and stock-based compensaton; expenses associated with consumer marketng, such as trafc acquisiton, brand building, and public relatons actvites; expenses associated with dealer marketng, such as content marketng, customer and promotonal events, and industry events; consultng services; sofware subscripton expenses; travel expenses; amortzaton of capitalized hostng arrangements; and allocated overhead expenses. A porton of our commissions that are related to obtaining a new contract are capitalized and amortzed over the estmated beneft period of customer relatonships. Other than commissions amortzaton, all other sales and marketng expenses are expensed as incurred. We expect sales and marketng expense to fuctuate from quarter to quarter due to seasonality and as we respond to changes in the macroeconomic and compettve landscapes afectng our existng dealers, consumer audience, and brand awareness.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Product, Technology, and Development</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Product, technology, and development expense consists primarily of personnel and related expenses for our research and development team, including salaries, benefts, incentve compensaton, and stock-based compensaton; sofware subscripton expenses; consultng services; and allocated overhead expenses. Other than website development, internal-use sofware, and hostng arrangement expenses, research and development expenses are expensed as incurred. We expect product, technology, and development expense to increase as we invest in additonal engineering resources to develop new solutons and make improvements to our existng platorm.</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General and Administratve</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General and administratve expense consists primarily of personnel and related expenses for our executve, fnance, legal, people &amp; talent, and administratve teams, including salaries, benefts, incentve compensaton, and stock-based compensaton; expenses associated with professional fees for audit, tax, external legal, and consultng services; payment processing and billing expenses; insurance expenses; sofware subscripton expenses; and allocated overhead expenses. General and administratve expense is expensed as incurred. We expect general and administratve expense to increase as we contnue to scale our business.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Impairment</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During the three months ended June 30, 2024, we identfed a triggering event that required an interim impairment test at the CarOfer reportng unit due to recent organizatonal changes and Transacton volume declines, which resulted in revisions to our fnancial projectons for the CarOfer reportng unit. As a result, we performed an updated fair value analysis of the CarOfer reportng unit, and subsequently recognized impairment losses of $4.7 million, $7.6 million, and $115.2 million for right-of-use assets, intangible assets, and goodwill, respectvely. For the year ended December 31, 2024, we recognized Digital Wholesale segment impairment charges related to the CarOfer reportng unit of $127.5 million as impairment operatng expense.</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During the three months ended September 30, 2024, we decided to end our CG Buy Online pilot in order to redirect those resources toward other investment opportunites, including contnued product innovaton and development across our business. The CG Buy Online pilot was one of the initatves that allowed consumers to purchase vehicles online. As a result, we recognized impairment losses of $15.8 million, $0.5 million, and $0.5 million for property and equipment, net; prepaid expenses, prepaid income taxes, and other current assets; and other non-current assets, respectvely. For the year ended December 31, 2024, we recognized Digital Wholesale segment impairment charges related to the CG Buy Online reportng unit of $9.8 million and $7.0 million as wholesale cost of revenue and impairment operatng expense, respectvely.</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color w:val="00002D"/>
        </w:rPr>
        <w:t>For further discussion of impairments, see Note 6 to our consolidated fnancial statements included elsewhere in this Annual Report.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Depreciaton and Amortzaton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Depreciaton and amortzaton expense consists of depreciaton on property and equipment and amortzaton of intangible assets and internal-use sofware.</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Other Income, Net</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Other income, net consists primarily of interest income earned on our cash, cash equivalents, and short-term investments, as well as foreign exchange gains and losses.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Provision for Income Taxes</w:t>
      </w:r>
    </w:p>
    <w:p>
      <w:pPr>
        <w:spacing w:after="0" w:line="22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00002D"/>
        </w:rPr>
        <w:t>The provision for income taxes consists of federal and state income taxes in the U.S. and taxes in foreign jurisdictons in which we operate. The provision for income taxes difers from the federal statutory rate primarily due to federal and state research and development tax credits, partally ofset by state and local income taxes, non-deductble meals and entertainment and transportaton expenses, and Secton 162(m) excess ofcers compensaton disallowance.</w:t>
      </w:r>
    </w:p>
    <w:p>
      <w:pPr>
        <w:spacing w:after="0" w:line="18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Results of Operatons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and 2023, our consolidated income statements were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jc w:val="right"/>
              <w:ind w:right="880"/>
              <w:spacing w:after="0"/>
              <w:rPr>
                <w:sz w:val="20"/>
                <w:szCs w:val="20"/>
                <w:color w:val="auto"/>
              </w:rPr>
            </w:pPr>
            <w:r>
              <w:rPr>
                <w:rFonts w:ascii="Calibri" w:cs="Calibri" w:eastAsia="Calibri" w:hAnsi="Calibri"/>
                <w:sz w:val="14"/>
                <w:szCs w:val="14"/>
                <w:b w:val="1"/>
                <w:bCs w:val="1"/>
                <w:color w:val="auto"/>
              </w:rPr>
              <w:t>Year Ended December 31,</w:t>
            </w:r>
          </w:p>
        </w:tc>
      </w:tr>
      <w:tr>
        <w:trPr>
          <w:trHeight w:val="173"/>
        </w:trPr>
        <w:tc>
          <w:tcPr>
            <w:tcW w:w="69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91"/>
              <w:spacing w:after="0"/>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5"/>
                <w:szCs w:val="15"/>
                <w:color w:val="auto"/>
              </w:rPr>
            </w:pPr>
          </w:p>
        </w:tc>
      </w:tr>
      <w:tr>
        <w:trPr>
          <w:trHeight w:val="169"/>
        </w:trPr>
        <w:tc>
          <w:tcPr>
            <w:tcW w:w="6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9"/>
        </w:trPr>
        <w:tc>
          <w:tcPr>
            <w:tcW w:w="690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Revenue:</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900" w:type="dxa"/>
            <w:vAlign w:val="bottom"/>
          </w:tcPr>
          <w:p>
            <w:pPr>
              <w:ind w:left="180"/>
              <w:spacing w:after="0" w:line="215" w:lineRule="exact"/>
              <w:rPr>
                <w:sz w:val="20"/>
                <w:szCs w:val="20"/>
                <w:color w:val="auto"/>
              </w:rPr>
            </w:pPr>
            <w:r>
              <w:rPr>
                <w:rFonts w:ascii="Calibri" w:cs="Calibri" w:eastAsia="Calibri" w:hAnsi="Calibri"/>
                <w:sz w:val="18"/>
                <w:szCs w:val="18"/>
                <w:color w:val="auto"/>
              </w:rPr>
              <w:t>Marketplace</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796,599</w:t>
            </w:r>
          </w:p>
        </w:tc>
        <w:tc>
          <w:tcPr>
            <w:tcW w:w="260" w:type="dxa"/>
            <w:vAlign w:val="bottom"/>
          </w:tcPr>
          <w:p>
            <w:pPr>
              <w:spacing w:after="0"/>
              <w:rPr>
                <w:sz w:val="18"/>
                <w:szCs w:val="18"/>
                <w:color w:val="auto"/>
              </w:rPr>
            </w:pPr>
          </w:p>
        </w:tc>
        <w:tc>
          <w:tcPr>
            <w:tcW w:w="540" w:type="dxa"/>
            <w:vAlign w:val="bottom"/>
          </w:tcPr>
          <w:p>
            <w:pPr>
              <w:jc w:val="right"/>
              <w:ind w:right="3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698,236</w:t>
            </w:r>
          </w:p>
        </w:tc>
        <w:tc>
          <w:tcPr>
            <w:tcW w:w="100" w:type="dxa"/>
            <w:vAlign w:val="bottom"/>
          </w:tcPr>
          <w:p>
            <w:pPr>
              <w:spacing w:after="0"/>
              <w:rPr>
                <w:sz w:val="18"/>
                <w:szCs w:val="18"/>
                <w:color w:val="auto"/>
              </w:rPr>
            </w:pPr>
          </w:p>
        </w:tc>
      </w:tr>
      <w:tr>
        <w:trPr>
          <w:trHeight w:val="217"/>
        </w:trPr>
        <w:tc>
          <w:tcPr>
            <w:tcW w:w="69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Wholesale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51,201</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100,908</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ind w:left="180"/>
              <w:spacing w:after="0" w:line="215" w:lineRule="exact"/>
              <w:rPr>
                <w:sz w:val="20"/>
                <w:szCs w:val="20"/>
                <w:color w:val="auto"/>
              </w:rPr>
            </w:pPr>
            <w:r>
              <w:rPr>
                <w:rFonts w:ascii="Calibri" w:cs="Calibri" w:eastAsia="Calibri" w:hAnsi="Calibri"/>
                <w:sz w:val="18"/>
                <w:szCs w:val="18"/>
                <w:color w:val="auto"/>
              </w:rPr>
              <w:t>Product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46,584</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115,098</w:t>
            </w:r>
          </w:p>
        </w:tc>
        <w:tc>
          <w:tcPr>
            <w:tcW w:w="100" w:type="dxa"/>
            <w:vAlign w:val="bottom"/>
          </w:tcPr>
          <w:p>
            <w:pPr>
              <w:spacing w:after="0"/>
              <w:rPr>
                <w:sz w:val="18"/>
                <w:szCs w:val="18"/>
                <w:color w:val="auto"/>
              </w:rPr>
            </w:pPr>
          </w:p>
        </w:tc>
      </w:tr>
      <w:tr>
        <w:trPr>
          <w:trHeight w:val="210"/>
        </w:trPr>
        <w:tc>
          <w:tcPr>
            <w:tcW w:w="6900" w:type="dxa"/>
            <w:vAlign w:val="bottom"/>
            <w:shd w:val="clear" w:color="auto" w:fill="CFF0FC"/>
          </w:tcPr>
          <w:p>
            <w:pPr>
              <w:ind w:left="360"/>
              <w:spacing w:after="0" w:line="210" w:lineRule="exact"/>
              <w:rPr>
                <w:sz w:val="20"/>
                <w:szCs w:val="20"/>
                <w:color w:val="auto"/>
              </w:rPr>
            </w:pPr>
            <w:r>
              <w:rPr>
                <w:rFonts w:ascii="Calibri" w:cs="Calibri" w:eastAsia="Calibri" w:hAnsi="Calibri"/>
                <w:sz w:val="18"/>
                <w:szCs w:val="18"/>
                <w:color w:val="auto"/>
              </w:rPr>
              <w:t>Total revenue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894,384</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914,242</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Cost of revenue: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9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Marketplace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54,950</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60,020</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ind w:left="180"/>
              <w:spacing w:after="0" w:line="215" w:lineRule="exact"/>
              <w:rPr>
                <w:sz w:val="20"/>
                <w:szCs w:val="20"/>
                <w:color w:val="auto"/>
              </w:rPr>
            </w:pPr>
            <w:r>
              <w:rPr>
                <w:rFonts w:ascii="Calibri" w:cs="Calibri" w:eastAsia="Calibri" w:hAnsi="Calibri"/>
                <w:sz w:val="18"/>
                <w:szCs w:val="18"/>
                <w:color w:val="auto"/>
              </w:rPr>
              <w:t>Wholesale</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54,340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90,066</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Product</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46,149</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112,702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ind w:left="360"/>
              <w:spacing w:after="0" w:line="209" w:lineRule="exact"/>
              <w:rPr>
                <w:sz w:val="20"/>
                <w:szCs w:val="20"/>
                <w:color w:val="auto"/>
              </w:rPr>
            </w:pPr>
            <w:r>
              <w:rPr>
                <w:rFonts w:ascii="Calibri" w:cs="Calibri" w:eastAsia="Calibri" w:hAnsi="Calibri"/>
                <w:sz w:val="18"/>
                <w:szCs w:val="18"/>
                <w:color w:val="auto"/>
              </w:rPr>
              <w:t>Total cost of revenue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155,439</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262,788</w:t>
            </w:r>
          </w:p>
        </w:tc>
        <w:tc>
          <w:tcPr>
            <w:tcW w:w="100" w:type="dxa"/>
            <w:vAlign w:val="bottom"/>
          </w:tcPr>
          <w:p>
            <w:pPr>
              <w:spacing w:after="0"/>
              <w:rPr>
                <w:sz w:val="18"/>
                <w:szCs w:val="18"/>
                <w:color w:val="auto"/>
              </w:rPr>
            </w:pPr>
          </w:p>
        </w:tc>
      </w:tr>
      <w:tr>
        <w:trPr>
          <w:trHeight w:val="210"/>
        </w:trPr>
        <w:tc>
          <w:tcPr>
            <w:tcW w:w="690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Gross proft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738,945</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651,454</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Operatng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9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Sales and marketng</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322,249</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304,070</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ind w:left="180"/>
              <w:spacing w:after="0" w:line="215" w:lineRule="exact"/>
              <w:rPr>
                <w:sz w:val="20"/>
                <w:szCs w:val="20"/>
                <w:color w:val="auto"/>
              </w:rPr>
            </w:pPr>
            <w:r>
              <w:rPr>
                <w:rFonts w:ascii="Calibri" w:cs="Calibri" w:eastAsia="Calibri" w:hAnsi="Calibri"/>
                <w:sz w:val="18"/>
                <w:szCs w:val="18"/>
                <w:color w:val="auto"/>
              </w:rPr>
              <w:t>Product, technology, and development</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144,432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146,169</w:t>
            </w:r>
          </w:p>
        </w:tc>
        <w:tc>
          <w:tcPr>
            <w:tcW w:w="100" w:type="dxa"/>
            <w:vAlign w:val="bottom"/>
          </w:tcPr>
          <w:p>
            <w:pPr>
              <w:spacing w:after="0"/>
              <w:rPr>
                <w:sz w:val="18"/>
                <w:szCs w:val="18"/>
                <w:color w:val="auto"/>
              </w:rPr>
            </w:pPr>
          </w:p>
        </w:tc>
      </w:tr>
      <w:tr>
        <w:trPr>
          <w:trHeight w:val="217"/>
        </w:trPr>
        <w:tc>
          <w:tcPr>
            <w:tcW w:w="69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General and administratve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112,066</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152,757</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ind w:left="180"/>
              <w:spacing w:after="0" w:line="215" w:lineRule="exact"/>
              <w:rPr>
                <w:sz w:val="20"/>
                <w:szCs w:val="20"/>
                <w:color w:val="auto"/>
              </w:rPr>
            </w:pPr>
            <w:r>
              <w:rPr>
                <w:rFonts w:ascii="Calibri" w:cs="Calibri" w:eastAsia="Calibri" w:hAnsi="Calibri"/>
                <w:sz w:val="18"/>
                <w:szCs w:val="18"/>
                <w:color w:val="auto"/>
              </w:rPr>
              <w:t>Impairment</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134,501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690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Depreciaton and amortzaton</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12,285</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15,831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ind w:left="360"/>
              <w:spacing w:after="0" w:line="209" w:lineRule="exact"/>
              <w:rPr>
                <w:sz w:val="20"/>
                <w:szCs w:val="20"/>
                <w:color w:val="auto"/>
              </w:rPr>
            </w:pPr>
            <w:r>
              <w:rPr>
                <w:rFonts w:ascii="Calibri" w:cs="Calibri" w:eastAsia="Calibri" w:hAnsi="Calibri"/>
                <w:sz w:val="18"/>
                <w:szCs w:val="18"/>
                <w:color w:val="auto"/>
              </w:rPr>
              <w:t>Total operatng expenses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725,533</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618,827</w:t>
            </w:r>
          </w:p>
        </w:tc>
        <w:tc>
          <w:tcPr>
            <w:tcW w:w="100" w:type="dxa"/>
            <w:vAlign w:val="bottom"/>
          </w:tcPr>
          <w:p>
            <w:pPr>
              <w:spacing w:after="0"/>
              <w:rPr>
                <w:sz w:val="18"/>
                <w:szCs w:val="18"/>
                <w:color w:val="auto"/>
              </w:rPr>
            </w:pPr>
          </w:p>
        </w:tc>
      </w:tr>
      <w:tr>
        <w:trPr>
          <w:trHeight w:val="210"/>
        </w:trPr>
        <w:tc>
          <w:tcPr>
            <w:tcW w:w="690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Income from operatons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13,412</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32,627</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Other income, net: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9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Interest income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12,189</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18,430</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ind w:left="180"/>
              <w:spacing w:after="0" w:line="215" w:lineRule="exact"/>
              <w:rPr>
                <w:sz w:val="20"/>
                <w:szCs w:val="20"/>
                <w:color w:val="auto"/>
              </w:rPr>
            </w:pPr>
            <w:r>
              <w:rPr>
                <w:rFonts w:ascii="Calibri" w:cs="Calibri" w:eastAsia="Calibri" w:hAnsi="Calibri"/>
                <w:sz w:val="18"/>
                <w:szCs w:val="18"/>
                <w:color w:val="auto"/>
              </w:rPr>
              <w:t>Other (expense) income, net</w:t>
            </w:r>
          </w:p>
        </w:tc>
        <w:tc>
          <w:tcPr>
            <w:tcW w:w="340" w:type="dxa"/>
            <w:vAlign w:val="bottom"/>
          </w:tcPr>
          <w:p>
            <w:pPr>
              <w:spacing w:after="0"/>
              <w:rPr>
                <w:sz w:val="18"/>
                <w:szCs w:val="18"/>
                <w:color w:val="auto"/>
              </w:rPr>
            </w:pPr>
          </w:p>
        </w:tc>
        <w:tc>
          <w:tcPr>
            <w:tcW w:w="13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(944 )</w:t>
            </w:r>
          </w:p>
        </w:tc>
        <w:tc>
          <w:tcPr>
            <w:tcW w:w="5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630</w:t>
            </w:r>
          </w:p>
        </w:tc>
        <w:tc>
          <w:tcPr>
            <w:tcW w:w="100" w:type="dxa"/>
            <w:vAlign w:val="bottom"/>
          </w:tcPr>
          <w:p>
            <w:pPr>
              <w:spacing w:after="0"/>
              <w:rPr>
                <w:sz w:val="18"/>
                <w:szCs w:val="18"/>
                <w:color w:val="auto"/>
              </w:rPr>
            </w:pPr>
          </w:p>
        </w:tc>
      </w:tr>
      <w:tr>
        <w:trPr>
          <w:trHeight w:val="210"/>
        </w:trPr>
        <w:tc>
          <w:tcPr>
            <w:tcW w:w="6900" w:type="dxa"/>
            <w:vAlign w:val="bottom"/>
            <w:shd w:val="clear" w:color="auto" w:fill="CFF0FC"/>
          </w:tcPr>
          <w:p>
            <w:pPr>
              <w:ind w:left="360"/>
              <w:spacing w:after="0" w:line="210" w:lineRule="exact"/>
              <w:rPr>
                <w:sz w:val="20"/>
                <w:szCs w:val="20"/>
                <w:color w:val="auto"/>
              </w:rPr>
            </w:pPr>
            <w:r>
              <w:rPr>
                <w:rFonts w:ascii="Calibri" w:cs="Calibri" w:eastAsia="Calibri" w:hAnsi="Calibri"/>
                <w:sz w:val="18"/>
                <w:szCs w:val="18"/>
                <w:color w:val="auto"/>
              </w:rPr>
              <w:t>Total other income, net</w:t>
            </w:r>
          </w:p>
        </w:tc>
        <w:tc>
          <w:tcPr>
            <w:tcW w:w="3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11,245</w:t>
            </w:r>
          </w:p>
        </w:tc>
        <w:tc>
          <w:tcPr>
            <w:tcW w:w="26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19,060</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Income before income taxes</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24,657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51,687</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Provision for income taxes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3,685</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29,634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spacing w:after="0" w:line="209" w:lineRule="exact"/>
              <w:rPr>
                <w:sz w:val="20"/>
                <w:szCs w:val="20"/>
                <w:color w:val="auto"/>
              </w:rPr>
            </w:pPr>
            <w:r>
              <w:rPr>
                <w:rFonts w:ascii="Calibri" w:cs="Calibri" w:eastAsia="Calibri" w:hAnsi="Calibri"/>
                <w:sz w:val="18"/>
                <w:szCs w:val="18"/>
                <w:color w:val="auto"/>
              </w:rPr>
              <w:t>Consolidated net income</w:t>
            </w:r>
          </w:p>
        </w:tc>
        <w:tc>
          <w:tcPr>
            <w:tcW w:w="340" w:type="dxa"/>
            <w:vAlign w:val="bottom"/>
          </w:tcPr>
          <w:p>
            <w:pPr>
              <w:spacing w:after="0"/>
              <w:rPr>
                <w:sz w:val="18"/>
                <w:szCs w:val="18"/>
                <w:color w:val="auto"/>
              </w:rPr>
            </w:pPr>
          </w:p>
        </w:tc>
        <w:tc>
          <w:tcPr>
            <w:tcW w:w="1080" w:type="dxa"/>
            <w:vAlign w:val="bottom"/>
          </w:tcPr>
          <w:p>
            <w:pPr>
              <w:jc w:val="right"/>
              <w:spacing w:after="0" w:line="209" w:lineRule="exact"/>
              <w:rPr>
                <w:sz w:val="20"/>
                <w:szCs w:val="20"/>
                <w:color w:val="auto"/>
              </w:rPr>
            </w:pPr>
            <w:r>
              <w:rPr>
                <w:rFonts w:ascii="Calibri" w:cs="Calibri" w:eastAsia="Calibri" w:hAnsi="Calibri"/>
                <w:sz w:val="18"/>
                <w:szCs w:val="18"/>
                <w:color w:val="auto"/>
              </w:rPr>
              <w:t>20,972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Calibri" w:cs="Calibri" w:eastAsia="Calibri" w:hAnsi="Calibri"/>
                <w:sz w:val="18"/>
                <w:szCs w:val="18"/>
                <w:color w:val="auto"/>
              </w:rPr>
              <w:t>22,053</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Net loss atributable to redeemable noncontrolling interest</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(14,889 )</w:t>
            </w:r>
          </w:p>
        </w:tc>
      </w:tr>
      <w:tr>
        <w:trPr>
          <w:trHeight w:val="210"/>
        </w:trPr>
        <w:tc>
          <w:tcPr>
            <w:tcW w:w="6900" w:type="dxa"/>
            <w:vAlign w:val="bottom"/>
            <w:tcBorders>
              <w:top w:val="single" w:sz="8" w:color="CFF0FC"/>
            </w:tcBorders>
          </w:tcPr>
          <w:p>
            <w:pPr>
              <w:spacing w:after="0" w:line="209" w:lineRule="exact"/>
              <w:rPr>
                <w:sz w:val="20"/>
                <w:szCs w:val="20"/>
                <w:color w:val="auto"/>
              </w:rPr>
            </w:pPr>
            <w:r>
              <w:rPr>
                <w:rFonts w:ascii="Calibri" w:cs="Calibri" w:eastAsia="Calibri" w:hAnsi="Calibri"/>
                <w:sz w:val="18"/>
                <w:szCs w:val="18"/>
                <w:color w:val="auto"/>
              </w:rPr>
              <w:t>Net income atributable to common stockholders</w:t>
            </w:r>
          </w:p>
        </w:tc>
        <w:tc>
          <w:tcPr>
            <w:tcW w:w="340" w:type="dxa"/>
            <w:vAlign w:val="bottom"/>
            <w:tcBorders>
              <w:top w:val="single" w:sz="8" w:color="auto"/>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20,972</w:t>
            </w: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36,942</w:t>
            </w:r>
          </w:p>
        </w:tc>
        <w:tc>
          <w:tcPr>
            <w:tcW w:w="100" w:type="dxa"/>
            <w:vAlign w:val="bottom"/>
            <w:tcBorders>
              <w:top w:val="single" w:sz="8" w:color="CFF0FC"/>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-2691130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-2691130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-1576705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-453390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and 2023, our segment revenue and our segment income (loss) from operatons were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jc w:val="right"/>
              <w:ind w:right="880"/>
              <w:spacing w:after="0"/>
              <w:rPr>
                <w:sz w:val="20"/>
                <w:szCs w:val="20"/>
                <w:color w:val="auto"/>
              </w:rPr>
            </w:pPr>
            <w:r>
              <w:rPr>
                <w:rFonts w:ascii="Calibri" w:cs="Calibri" w:eastAsia="Calibri" w:hAnsi="Calibri"/>
                <w:sz w:val="14"/>
                <w:szCs w:val="14"/>
                <w:b w:val="1"/>
                <w:bCs w:val="1"/>
                <w:color w:val="auto"/>
              </w:rPr>
              <w:t>Year Ended December 31,</w:t>
            </w:r>
          </w:p>
        </w:tc>
      </w:tr>
      <w:tr>
        <w:trPr>
          <w:trHeight w:val="173"/>
        </w:trPr>
        <w:tc>
          <w:tcPr>
            <w:tcW w:w="69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92"/>
              <w:spacing w:after="0"/>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5"/>
                <w:szCs w:val="15"/>
                <w:color w:val="auto"/>
              </w:rPr>
            </w:pPr>
          </w:p>
        </w:tc>
      </w:tr>
      <w:tr>
        <w:trPr>
          <w:trHeight w:val="169"/>
        </w:trPr>
        <w:tc>
          <w:tcPr>
            <w:tcW w:w="6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9"/>
        </w:trPr>
        <w:tc>
          <w:tcPr>
            <w:tcW w:w="690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Segment Revenue:</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U.S. Marketplace</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733,688</w:t>
            </w:r>
          </w:p>
        </w:tc>
        <w:tc>
          <w:tcPr>
            <w:tcW w:w="260" w:type="dxa"/>
            <w:vAlign w:val="bottom"/>
          </w:tcPr>
          <w:p>
            <w:pPr>
              <w:spacing w:after="0"/>
              <w:rPr>
                <w:sz w:val="18"/>
                <w:szCs w:val="18"/>
                <w:color w:val="auto"/>
              </w:rPr>
            </w:pPr>
          </w:p>
        </w:tc>
        <w:tc>
          <w:tcPr>
            <w:tcW w:w="540" w:type="dxa"/>
            <w:vAlign w:val="bottom"/>
          </w:tcPr>
          <w:p>
            <w:pPr>
              <w:jc w:val="right"/>
              <w:ind w:right="3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647,284</w:t>
            </w:r>
          </w:p>
        </w:tc>
        <w:tc>
          <w:tcPr>
            <w:tcW w:w="100" w:type="dxa"/>
            <w:vAlign w:val="bottom"/>
          </w:tcPr>
          <w:p>
            <w:pPr>
              <w:spacing w:after="0"/>
              <w:rPr>
                <w:sz w:val="18"/>
                <w:szCs w:val="18"/>
                <w:color w:val="auto"/>
              </w:rPr>
            </w:pPr>
          </w:p>
        </w:tc>
      </w:tr>
      <w:tr>
        <w:trPr>
          <w:trHeight w:val="217"/>
        </w:trPr>
        <w:tc>
          <w:tcPr>
            <w:tcW w:w="69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Digital Wholesale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97,785</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216,005</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62,911</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50,953</w:t>
            </w:r>
          </w:p>
        </w:tc>
        <w:tc>
          <w:tcPr>
            <w:tcW w:w="100" w:type="dxa"/>
            <w:vAlign w:val="bottom"/>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ind w:left="180"/>
              <w:spacing w:after="0" w:line="209" w:lineRule="exact"/>
              <w:rPr>
                <w:sz w:val="20"/>
                <w:szCs w:val="20"/>
                <w:color w:val="auto"/>
              </w:rPr>
            </w:pPr>
            <w:r>
              <w:rPr>
                <w:rFonts w:ascii="Calibri" w:cs="Calibri" w:eastAsia="Calibri" w:hAnsi="Calibri"/>
                <w:sz w:val="18"/>
                <w:szCs w:val="18"/>
                <w:color w:val="auto"/>
              </w:rPr>
              <w:t>Total</w:t>
            </w:r>
          </w:p>
        </w:tc>
        <w:tc>
          <w:tcPr>
            <w:tcW w:w="340" w:type="dxa"/>
            <w:vAlign w:val="bottom"/>
            <w:tcBorders>
              <w:bottom w:val="single" w:sz="8" w:color="auto"/>
            </w:tcBorders>
            <w:shd w:val="clear" w:color="auto" w:fill="CFF0FC"/>
          </w:tcPr>
          <w:p>
            <w:pPr>
              <w:jc w:val="right"/>
              <w:ind w:right="130"/>
              <w:spacing w:after="0" w:line="209"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894,384</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914,242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900" w:type="dxa"/>
            <w:vAlign w:val="bottom"/>
          </w:tcPr>
          <w:p>
            <w:pPr>
              <w:spacing w:after="0" w:line="196" w:lineRule="exact"/>
              <w:rPr>
                <w:sz w:val="20"/>
                <w:szCs w:val="20"/>
                <w:color w:val="auto"/>
              </w:rPr>
            </w:pPr>
            <w:r>
              <w:rPr>
                <w:rFonts w:ascii="Calibri" w:cs="Calibri" w:eastAsia="Calibri" w:hAnsi="Calibri"/>
                <w:sz w:val="18"/>
                <w:szCs w:val="18"/>
                <w:b w:val="1"/>
                <w:bCs w:val="1"/>
                <w:color w:val="auto"/>
              </w:rPr>
              <w:t>Segment Income (Loss) from Operatons: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69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U.S. Marketplace</w:t>
            </w:r>
          </w:p>
        </w:tc>
        <w:tc>
          <w:tcPr>
            <w:tcW w:w="340" w:type="dxa"/>
            <w:vAlign w:val="bottom"/>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182,738</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line="216"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127,724</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Digital Wholesale</w:t>
            </w:r>
          </w:p>
        </w:tc>
        <w:tc>
          <w:tcPr>
            <w:tcW w:w="340" w:type="dxa"/>
            <w:vAlign w:val="bottom"/>
          </w:tcPr>
          <w:p>
            <w:pPr>
              <w:spacing w:after="0"/>
              <w:rPr>
                <w:sz w:val="18"/>
                <w:szCs w:val="18"/>
                <w:color w:val="auto"/>
              </w:rPr>
            </w:pPr>
          </w:p>
        </w:tc>
        <w:tc>
          <w:tcPr>
            <w:tcW w:w="13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(179,315 )</w:t>
            </w:r>
          </w:p>
        </w:tc>
        <w:tc>
          <w:tcPr>
            <w:tcW w:w="540" w:type="dxa"/>
            <w:vAlign w:val="bottom"/>
          </w:tcPr>
          <w:p>
            <w:pPr>
              <w:spacing w:after="0"/>
              <w:rPr>
                <w:sz w:val="18"/>
                <w:szCs w:val="18"/>
                <w:color w:val="auto"/>
              </w:rPr>
            </w:pPr>
          </w:p>
        </w:tc>
        <w:tc>
          <w:tcPr>
            <w:tcW w:w="9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(96,383 )</w:t>
            </w:r>
          </w:p>
        </w:tc>
      </w:tr>
      <w:tr>
        <w:trPr>
          <w:trHeight w:val="216"/>
        </w:trPr>
        <w:tc>
          <w:tcPr>
            <w:tcW w:w="69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Other</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9,989</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ind w:left="180"/>
              <w:spacing w:after="0" w:line="209" w:lineRule="exact"/>
              <w:rPr>
                <w:sz w:val="20"/>
                <w:szCs w:val="20"/>
                <w:color w:val="auto"/>
              </w:rPr>
            </w:pPr>
            <w:r>
              <w:rPr>
                <w:rFonts w:ascii="Calibri" w:cs="Calibri" w:eastAsia="Calibri" w:hAnsi="Calibri"/>
                <w:sz w:val="18"/>
                <w:szCs w:val="18"/>
                <w:color w:val="auto"/>
              </w:rPr>
              <w:t>Total</w:t>
            </w:r>
          </w:p>
        </w:tc>
        <w:tc>
          <w:tcPr>
            <w:tcW w:w="340" w:type="dxa"/>
            <w:vAlign w:val="bottom"/>
            <w:tcBorders>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13,412</w:t>
            </w:r>
          </w:p>
        </w:tc>
        <w:tc>
          <w:tcPr>
            <w:tcW w:w="26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32,627</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-744855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-727710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-744855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-727710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For the years ended December 31, 2024 and 2023, our consolidated income statements as a percentage of total revenue were as follows (amounts in the table below may not sum due to rounding):</w:t>
      </w:r>
    </w:p>
    <w:p>
      <w:pPr>
        <w:spacing w:after="0" w:line="225" w:lineRule="exact"/>
        <w:rPr>
          <w:sz w:val="20"/>
          <w:szCs w:val="20"/>
          <w:color w:val="auto"/>
        </w:rPr>
      </w:pPr>
    </w:p>
    <w:p>
      <w:pPr>
        <w:ind w:left="8160"/>
        <w:spacing w:after="0"/>
        <w:rPr>
          <w:sz w:val="20"/>
          <w:szCs w:val="20"/>
          <w:color w:val="auto"/>
        </w:rPr>
      </w:pPr>
      <w:r>
        <w:rPr>
          <w:rFonts w:ascii="Calibri" w:cs="Calibri" w:eastAsia="Calibri" w:hAnsi="Calibri"/>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1"/>
              <w:spacing w:after="0"/>
              <w:rPr>
                <w:sz w:val="20"/>
                <w:szCs w:val="20"/>
                <w:color w:val="auto"/>
              </w:rPr>
            </w:pPr>
            <w:r>
              <w:rPr>
                <w:rFonts w:ascii="Calibri" w:cs="Calibri" w:eastAsia="Calibri" w:hAnsi="Calibri"/>
                <w:sz w:val="14"/>
                <w:szCs w:val="14"/>
                <w:b w:val="1"/>
                <w:bCs w:val="1"/>
                <w:color w:val="auto"/>
              </w:rPr>
              <w:t>2023</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7780" w:type="dxa"/>
            <w:vAlign w:val="bottom"/>
            <w:gridSpan w:val="2"/>
            <w:shd w:val="clear" w:color="auto" w:fill="CFF0FC"/>
          </w:tcPr>
          <w:p>
            <w:pPr>
              <w:spacing w:after="0" w:line="212" w:lineRule="exact"/>
              <w:rPr>
                <w:sz w:val="20"/>
                <w:szCs w:val="20"/>
                <w:color w:val="auto"/>
              </w:rPr>
            </w:pPr>
            <w:r>
              <w:rPr>
                <w:rFonts w:ascii="Calibri" w:cs="Calibri" w:eastAsia="Calibri" w:hAnsi="Calibri"/>
                <w:sz w:val="18"/>
                <w:szCs w:val="18"/>
                <w:color w:val="auto"/>
              </w:rPr>
              <w:t>Revenue:</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Marketplace</w:t>
            </w:r>
          </w:p>
        </w:tc>
        <w:tc>
          <w:tcPr>
            <w:tcW w:w="7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89 %</w:t>
            </w:r>
          </w:p>
        </w:tc>
        <w:tc>
          <w:tcPr>
            <w:tcW w:w="16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76 %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78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Wholesale</w:t>
            </w:r>
          </w:p>
        </w:tc>
        <w:tc>
          <w:tcPr>
            <w:tcW w:w="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w:t>
            </w: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780" w:type="dxa"/>
            <w:vAlign w:val="bottom"/>
          </w:tcPr>
          <w:p>
            <w:pPr>
              <w:ind w:left="180"/>
              <w:spacing w:after="0" w:line="215" w:lineRule="exact"/>
              <w:rPr>
                <w:sz w:val="20"/>
                <w:szCs w:val="20"/>
                <w:color w:val="auto"/>
              </w:rPr>
            </w:pPr>
            <w:r>
              <w:rPr>
                <w:rFonts w:ascii="Calibri" w:cs="Calibri" w:eastAsia="Calibri" w:hAnsi="Calibri"/>
                <w:sz w:val="18"/>
                <w:szCs w:val="18"/>
                <w:color w:val="auto"/>
              </w:rPr>
              <w:t>Product</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300" w:type="dxa"/>
            <w:vAlign w:val="bottom"/>
          </w:tcPr>
          <w:p>
            <w:pPr>
              <w:spacing w:after="0"/>
              <w:rPr>
                <w:sz w:val="18"/>
                <w:szCs w:val="18"/>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780" w:type="dxa"/>
            <w:vAlign w:val="bottom"/>
            <w:gridSpan w:val="2"/>
            <w:shd w:val="clear" w:color="auto" w:fill="CFF0FC"/>
          </w:tcPr>
          <w:p>
            <w:pPr>
              <w:ind w:left="360"/>
              <w:spacing w:after="0" w:line="210" w:lineRule="exact"/>
              <w:rPr>
                <w:sz w:val="20"/>
                <w:szCs w:val="20"/>
                <w:color w:val="auto"/>
              </w:rPr>
            </w:pPr>
            <w:r>
              <w:rPr>
                <w:rFonts w:ascii="Calibri" w:cs="Calibri" w:eastAsia="Calibri" w:hAnsi="Calibri"/>
                <w:sz w:val="18"/>
                <w:szCs w:val="18"/>
                <w:color w:val="auto"/>
              </w:rPr>
              <w:t>Total revenue</w:t>
            </w:r>
          </w:p>
        </w:tc>
        <w:tc>
          <w:tcPr>
            <w:tcW w:w="4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100</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100</w:t>
            </w: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spacing w:after="0" w:line="215" w:lineRule="exact"/>
              <w:rPr>
                <w:sz w:val="20"/>
                <w:szCs w:val="20"/>
                <w:color w:val="auto"/>
              </w:rPr>
            </w:pPr>
            <w:r>
              <w:rPr>
                <w:rFonts w:ascii="Calibri" w:cs="Calibri" w:eastAsia="Calibri" w:hAnsi="Calibri"/>
                <w:sz w:val="18"/>
                <w:szCs w:val="18"/>
                <w:color w:val="auto"/>
              </w:rPr>
              <w:t>Cost of revenue: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78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Marketplace</w:t>
            </w:r>
          </w:p>
        </w:tc>
        <w:tc>
          <w:tcPr>
            <w:tcW w:w="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w:t>
            </w: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Wholesale</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30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Product</w:t>
            </w:r>
          </w:p>
        </w:tc>
        <w:tc>
          <w:tcPr>
            <w:tcW w:w="10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3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w:t>
            </w: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80" w:type="dxa"/>
            <w:vAlign w:val="bottom"/>
          </w:tcPr>
          <w:p>
            <w:pPr>
              <w:ind w:left="360"/>
              <w:spacing w:after="0" w:line="209" w:lineRule="exact"/>
              <w:rPr>
                <w:sz w:val="20"/>
                <w:szCs w:val="20"/>
                <w:color w:val="auto"/>
              </w:rPr>
            </w:pPr>
            <w:r>
              <w:rPr>
                <w:rFonts w:ascii="Calibri" w:cs="Calibri" w:eastAsia="Calibri" w:hAnsi="Calibri"/>
                <w:sz w:val="18"/>
                <w:szCs w:val="18"/>
                <w:color w:val="auto"/>
              </w:rPr>
              <w:t>Total cost of revenue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17</w:t>
            </w:r>
          </w:p>
        </w:tc>
        <w:tc>
          <w:tcPr>
            <w:tcW w:w="300" w:type="dxa"/>
            <w:vAlign w:val="bottom"/>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780" w:type="dxa"/>
            <w:vAlign w:val="bottom"/>
            <w:gridSpan w:val="2"/>
            <w:shd w:val="clear" w:color="auto" w:fill="CFF0FC"/>
          </w:tcPr>
          <w:p>
            <w:pPr>
              <w:spacing w:after="0" w:line="210" w:lineRule="exact"/>
              <w:rPr>
                <w:sz w:val="20"/>
                <w:szCs w:val="20"/>
                <w:color w:val="auto"/>
              </w:rPr>
            </w:pPr>
            <w:r>
              <w:rPr>
                <w:rFonts w:ascii="Calibri" w:cs="Calibri" w:eastAsia="Calibri" w:hAnsi="Calibri"/>
                <w:sz w:val="18"/>
                <w:szCs w:val="18"/>
                <w:color w:val="auto"/>
              </w:rPr>
              <w:t>Gross proft</w:t>
            </w:r>
          </w:p>
        </w:tc>
        <w:tc>
          <w:tcPr>
            <w:tcW w:w="4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83</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71</w:t>
            </w: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spacing w:after="0" w:line="215" w:lineRule="exact"/>
              <w:rPr>
                <w:sz w:val="20"/>
                <w:szCs w:val="20"/>
                <w:color w:val="auto"/>
              </w:rPr>
            </w:pPr>
            <w:r>
              <w:rPr>
                <w:rFonts w:ascii="Calibri" w:cs="Calibri" w:eastAsia="Calibri" w:hAnsi="Calibri"/>
                <w:sz w:val="18"/>
                <w:szCs w:val="18"/>
                <w:color w:val="auto"/>
              </w:rPr>
              <w:t>Operatng expenses: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78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Sales and marketng</w:t>
            </w:r>
          </w:p>
        </w:tc>
        <w:tc>
          <w:tcPr>
            <w:tcW w:w="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w:t>
            </w: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Product, technology, and development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30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78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General and administratve</w:t>
            </w:r>
          </w:p>
        </w:tc>
        <w:tc>
          <w:tcPr>
            <w:tcW w:w="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w:t>
            </w: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Impairment</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15</w:t>
            </w:r>
          </w:p>
        </w:tc>
        <w:tc>
          <w:tcPr>
            <w:tcW w:w="300" w:type="dxa"/>
            <w:vAlign w:val="bottom"/>
          </w:tcPr>
          <w:p>
            <w:pPr>
              <w:spacing w:after="0"/>
              <w:rPr>
                <w:sz w:val="18"/>
                <w:szCs w:val="18"/>
                <w:color w:val="auto"/>
              </w:rPr>
            </w:pPr>
          </w:p>
        </w:tc>
        <w:tc>
          <w:tcPr>
            <w:tcW w:w="16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Depreciaton and amortzaton</w:t>
            </w:r>
          </w:p>
        </w:tc>
        <w:tc>
          <w:tcPr>
            <w:tcW w:w="10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3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ind w:left="400"/>
              <w:spacing w:after="0" w:line="209" w:lineRule="exact"/>
              <w:rPr>
                <w:sz w:val="20"/>
                <w:szCs w:val="20"/>
                <w:color w:val="auto"/>
              </w:rPr>
            </w:pPr>
            <w:r>
              <w:rPr>
                <w:rFonts w:ascii="Calibri" w:cs="Calibri" w:eastAsia="Calibri" w:hAnsi="Calibri"/>
                <w:sz w:val="18"/>
                <w:szCs w:val="18"/>
                <w:color w:val="auto"/>
              </w:rPr>
              <w:t>Total operatng expenses</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81</w:t>
            </w:r>
          </w:p>
        </w:tc>
        <w:tc>
          <w:tcPr>
            <w:tcW w:w="300" w:type="dxa"/>
            <w:vAlign w:val="bottom"/>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780" w:type="dxa"/>
            <w:vAlign w:val="bottom"/>
            <w:gridSpan w:val="2"/>
            <w:shd w:val="clear" w:color="auto" w:fill="CFF0FC"/>
          </w:tcPr>
          <w:p>
            <w:pPr>
              <w:spacing w:after="0" w:line="210" w:lineRule="exact"/>
              <w:rPr>
                <w:sz w:val="20"/>
                <w:szCs w:val="20"/>
                <w:color w:val="auto"/>
              </w:rPr>
            </w:pPr>
            <w:r>
              <w:rPr>
                <w:rFonts w:ascii="Calibri" w:cs="Calibri" w:eastAsia="Calibri" w:hAnsi="Calibri"/>
                <w:sz w:val="18"/>
                <w:szCs w:val="18"/>
                <w:color w:val="auto"/>
              </w:rPr>
              <w:t>Income from operatons</w:t>
            </w:r>
          </w:p>
        </w:tc>
        <w:tc>
          <w:tcPr>
            <w:tcW w:w="4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w:t>
            </w: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spacing w:after="0" w:line="215" w:lineRule="exact"/>
              <w:rPr>
                <w:sz w:val="20"/>
                <w:szCs w:val="20"/>
                <w:color w:val="auto"/>
              </w:rPr>
            </w:pPr>
            <w:r>
              <w:rPr>
                <w:rFonts w:ascii="Calibri" w:cs="Calibri" w:eastAsia="Calibri" w:hAnsi="Calibri"/>
                <w:sz w:val="18"/>
                <w:szCs w:val="18"/>
                <w:color w:val="auto"/>
              </w:rPr>
              <w:t>Other income, net: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78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Interest income</w:t>
            </w:r>
          </w:p>
        </w:tc>
        <w:tc>
          <w:tcPr>
            <w:tcW w:w="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w:t>
            </w: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780" w:type="dxa"/>
            <w:vAlign w:val="bottom"/>
          </w:tcPr>
          <w:p>
            <w:pPr>
              <w:ind w:left="180"/>
              <w:spacing w:after="0" w:line="215" w:lineRule="exact"/>
              <w:rPr>
                <w:sz w:val="20"/>
                <w:szCs w:val="20"/>
                <w:color w:val="auto"/>
              </w:rPr>
            </w:pPr>
            <w:r>
              <w:rPr>
                <w:rFonts w:ascii="Calibri" w:cs="Calibri" w:eastAsia="Calibri" w:hAnsi="Calibri"/>
                <w:sz w:val="18"/>
                <w:szCs w:val="18"/>
                <w:color w:val="auto"/>
              </w:rPr>
              <w:t>Other (expense) income, net</w:t>
            </w:r>
          </w:p>
        </w:tc>
        <w:tc>
          <w:tcPr>
            <w:tcW w:w="1000" w:type="dxa"/>
            <w:vAlign w:val="bottom"/>
          </w:tcPr>
          <w:p>
            <w:pPr>
              <w:spacing w:after="0"/>
              <w:rPr>
                <w:sz w:val="18"/>
                <w:szCs w:val="18"/>
                <w:color w:val="auto"/>
              </w:rPr>
            </w:pPr>
          </w:p>
        </w:tc>
        <w:tc>
          <w:tcPr>
            <w:tcW w:w="7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(0 )</w:t>
            </w: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shd w:val="clear" w:color="auto" w:fill="CFF0FC"/>
          </w:tcPr>
          <w:p>
            <w:pPr>
              <w:ind w:left="360"/>
              <w:spacing w:after="0" w:line="210" w:lineRule="exact"/>
              <w:rPr>
                <w:sz w:val="20"/>
                <w:szCs w:val="20"/>
                <w:color w:val="auto"/>
              </w:rPr>
            </w:pPr>
            <w:r>
              <w:rPr>
                <w:rFonts w:ascii="Calibri" w:cs="Calibri" w:eastAsia="Calibri" w:hAnsi="Calibri"/>
                <w:sz w:val="18"/>
                <w:szCs w:val="18"/>
                <w:color w:val="auto"/>
              </w:rPr>
              <w:t>Total other income, net</w:t>
            </w:r>
          </w:p>
        </w:tc>
        <w:tc>
          <w:tcPr>
            <w:tcW w:w="10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w:t>
            </w:r>
          </w:p>
        </w:tc>
        <w:tc>
          <w:tcPr>
            <w:tcW w:w="30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w:t>
            </w: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780" w:type="dxa"/>
            <w:vAlign w:val="bottom"/>
            <w:gridSpan w:val="2"/>
          </w:tcPr>
          <w:p>
            <w:pPr>
              <w:spacing w:after="0" w:line="215" w:lineRule="exact"/>
              <w:rPr>
                <w:sz w:val="20"/>
                <w:szCs w:val="20"/>
                <w:color w:val="auto"/>
              </w:rPr>
            </w:pPr>
            <w:r>
              <w:rPr>
                <w:rFonts w:ascii="Calibri" w:cs="Calibri" w:eastAsia="Calibri" w:hAnsi="Calibri"/>
                <w:sz w:val="18"/>
                <w:szCs w:val="18"/>
                <w:color w:val="auto"/>
              </w:rPr>
              <w:t>Income before income taxes</w:t>
            </w:r>
          </w:p>
        </w:tc>
        <w:tc>
          <w:tcPr>
            <w:tcW w:w="420" w:type="dxa"/>
            <w:vAlign w:val="bottom"/>
          </w:tcPr>
          <w:p>
            <w:pPr>
              <w:jc w:val="right"/>
              <w:spacing w:after="0" w:line="215" w:lineRule="exact"/>
              <w:rPr>
                <w:sz w:val="20"/>
                <w:szCs w:val="20"/>
                <w:color w:val="auto"/>
              </w:rPr>
            </w:pPr>
            <w:r>
              <w:rPr>
                <w:rFonts w:ascii="Calibri" w:cs="Calibri" w:eastAsia="Calibri" w:hAnsi="Calibri"/>
                <w:sz w:val="18"/>
                <w:szCs w:val="18"/>
                <w:color w:val="auto"/>
              </w:rPr>
              <w:t>3</w:t>
            </w:r>
          </w:p>
        </w:tc>
        <w:tc>
          <w:tcPr>
            <w:tcW w:w="30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Provision for income taxes</w:t>
            </w:r>
          </w:p>
        </w:tc>
        <w:tc>
          <w:tcPr>
            <w:tcW w:w="10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line="209" w:lineRule="exact"/>
              <w:rPr>
                <w:sz w:val="20"/>
                <w:szCs w:val="20"/>
                <w:color w:val="auto"/>
              </w:rPr>
            </w:pPr>
            <w:r>
              <w:rPr>
                <w:rFonts w:ascii="Calibri" w:cs="Calibri" w:eastAsia="Calibri" w:hAnsi="Calibri"/>
                <w:sz w:val="18"/>
                <w:szCs w:val="18"/>
                <w:color w:val="auto"/>
              </w:rPr>
              <w:t>Consolidated net income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w:t>
            </w:r>
          </w:p>
        </w:tc>
        <w:tc>
          <w:tcPr>
            <w:tcW w:w="300" w:type="dxa"/>
            <w:vAlign w:val="bottom"/>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shd w:val="clear" w:color="auto" w:fill="CFF0FC"/>
          </w:tcPr>
          <w:p>
            <w:pPr>
              <w:spacing w:after="0" w:line="209" w:lineRule="exact"/>
              <w:rPr>
                <w:sz w:val="20"/>
                <w:szCs w:val="20"/>
                <w:color w:val="auto"/>
              </w:rPr>
            </w:pPr>
            <w:r>
              <w:rPr>
                <w:rFonts w:ascii="Calibri" w:cs="Calibri" w:eastAsia="Calibri" w:hAnsi="Calibri"/>
                <w:sz w:val="18"/>
                <w:szCs w:val="18"/>
                <w:color w:val="auto"/>
              </w:rPr>
              <w:t>Net loss atributable to redeemable noncontrolling interest</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line="209" w:lineRule="exact"/>
              <w:rPr>
                <w:sz w:val="20"/>
                <w:szCs w:val="20"/>
                <w:color w:val="auto"/>
              </w:rPr>
            </w:pPr>
            <w:r>
              <w:rPr>
                <w:rFonts w:ascii="Calibri" w:cs="Calibri" w:eastAsia="Calibri" w:hAnsi="Calibri"/>
                <w:sz w:val="18"/>
                <w:szCs w:val="18"/>
                <w:color w:val="auto"/>
              </w:rPr>
              <w:t>(2 )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6780" w:type="dxa"/>
            <w:vAlign w:val="bottom"/>
          </w:tcPr>
          <w:p>
            <w:pPr>
              <w:spacing w:after="0" w:line="209" w:lineRule="exact"/>
              <w:rPr>
                <w:sz w:val="20"/>
                <w:szCs w:val="20"/>
                <w:color w:val="auto"/>
              </w:rPr>
            </w:pPr>
            <w:r>
              <w:rPr>
                <w:rFonts w:ascii="Calibri" w:cs="Calibri" w:eastAsia="Calibri" w:hAnsi="Calibri"/>
                <w:sz w:val="18"/>
                <w:szCs w:val="18"/>
                <w:color w:val="auto"/>
              </w:rPr>
              <w:t>Net income atributable to common stockholders</w:t>
            </w:r>
          </w:p>
        </w:tc>
        <w:tc>
          <w:tcPr>
            <w:tcW w:w="1000" w:type="dxa"/>
            <w:vAlign w:val="bottom"/>
          </w:tcPr>
          <w:p>
            <w:pPr>
              <w:spacing w:after="0"/>
              <w:rPr>
                <w:sz w:val="18"/>
                <w:szCs w:val="18"/>
                <w:color w:val="auto"/>
              </w:rPr>
            </w:pPr>
          </w:p>
        </w:tc>
        <w:tc>
          <w:tcPr>
            <w:tcW w:w="72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2 %</w:t>
            </w:r>
          </w:p>
        </w:tc>
        <w:tc>
          <w:tcPr>
            <w:tcW w:w="160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4 %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vMerge w:val="restart"/>
          </w:tcPr>
          <w:p>
            <w:pPr>
              <w:ind w:left="4960"/>
              <w:spacing w:after="0"/>
              <w:rPr>
                <w:sz w:val="20"/>
                <w:szCs w:val="20"/>
                <w:color w:val="auto"/>
              </w:rPr>
            </w:pPr>
            <w:r>
              <w:rPr>
                <w:rFonts w:ascii="Calibri" w:cs="Calibri" w:eastAsia="Calibri" w:hAnsi="Calibri"/>
                <w:sz w:val="18"/>
                <w:szCs w:val="18"/>
                <w:color w:val="auto"/>
              </w:rPr>
              <w:t>53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58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58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-3608070</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-3608070</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-2493645</wp:posOffset>
            </wp:positionV>
            <wp:extent cx="1028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-2493645</wp:posOffset>
            </wp:positionV>
            <wp:extent cx="102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-1370965</wp:posOffset>
            </wp:positionV>
            <wp:extent cx="1028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-1370965</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-1079500</wp:posOffset>
            </wp:positionV>
            <wp:extent cx="102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-1079500</wp:posOffset>
            </wp:positionV>
            <wp:extent cx="102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For the years ended December 31, 2024 and 2023, our segment revenue as a percentage of total revenue and our segment income (loss) from operatons as a percentage of segment revenue were as follows (amounts in the table below may not sum due to rounding):</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Calibri" w:cs="Calibri" w:eastAsia="Calibri" w:hAnsi="Calibri"/>
          <w:sz w:val="18"/>
          <w:szCs w:val="18"/>
          <w:b w:val="1"/>
          <w:bCs w:val="1"/>
          <w:color w:val="auto"/>
        </w:rPr>
        <w:t>Segment Revenue:</w:t>
      </w:r>
    </w:p>
    <w:p>
      <w:pPr>
        <w:ind w:left="580"/>
        <w:spacing w:after="0" w:line="235" w:lineRule="auto"/>
        <w:rPr>
          <w:sz w:val="20"/>
          <w:szCs w:val="20"/>
          <w:color w:val="auto"/>
        </w:rPr>
      </w:pPr>
      <w:r>
        <w:rPr>
          <w:rFonts w:ascii="Calibri" w:cs="Calibri" w:eastAsia="Calibri" w:hAnsi="Calibri"/>
          <w:sz w:val="18"/>
          <w:szCs w:val="18"/>
          <w:color w:val="auto"/>
        </w:rPr>
        <w:t>U.S. Marketplace</w:t>
      </w:r>
    </w:p>
    <w:p>
      <w:pPr>
        <w:ind w:left="580"/>
        <w:spacing w:after="0" w:line="236" w:lineRule="auto"/>
        <w:rPr>
          <w:sz w:val="20"/>
          <w:szCs w:val="20"/>
          <w:color w:val="auto"/>
        </w:rPr>
      </w:pPr>
      <w:r>
        <w:rPr>
          <w:rFonts w:ascii="Calibri" w:cs="Calibri" w:eastAsia="Calibri" w:hAnsi="Calibri"/>
          <w:sz w:val="18"/>
          <w:szCs w:val="18"/>
          <w:color w:val="auto"/>
        </w:rPr>
        <w:t>Digital Wholesale</w:t>
      </w:r>
    </w:p>
    <w:p>
      <w:pPr>
        <w:spacing w:after="0" w:line="11"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Other</w:t>
      </w:r>
    </w:p>
    <w:p>
      <w:pPr>
        <w:spacing w:after="0" w:line="3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Total</w:t>
      </w:r>
    </w:p>
    <w:p>
      <w:pPr>
        <w:spacing w:after="0" w:line="1" w:lineRule="exact"/>
        <w:rPr>
          <w:sz w:val="20"/>
          <w:szCs w:val="20"/>
          <w:color w:val="auto"/>
        </w:rPr>
      </w:pPr>
    </w:p>
    <w:p>
      <w:pPr>
        <w:ind w:left="580"/>
        <w:spacing w:after="0"/>
        <w:rPr>
          <w:sz w:val="20"/>
          <w:szCs w:val="20"/>
          <w:color w:val="auto"/>
        </w:rPr>
      </w:pPr>
      <w:r>
        <w:rPr>
          <w:rFonts w:ascii="Calibri" w:cs="Calibri" w:eastAsia="Calibri" w:hAnsi="Calibri"/>
          <w:sz w:val="17"/>
          <w:szCs w:val="17"/>
          <w:b w:val="1"/>
          <w:bCs w:val="1"/>
          <w:color w:val="auto"/>
        </w:rPr>
        <w:t>Segment Income (Loss) from Operatons:</w:t>
      </w:r>
    </w:p>
    <w:p>
      <w:pPr>
        <w:spacing w:after="0" w:line="4"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U.S. Marketplace</w:t>
      </w:r>
    </w:p>
    <w:p>
      <w:pPr>
        <w:ind w:left="580"/>
        <w:spacing w:after="0" w:line="235" w:lineRule="auto"/>
        <w:rPr>
          <w:sz w:val="20"/>
          <w:szCs w:val="20"/>
          <w:color w:val="auto"/>
        </w:rPr>
      </w:pPr>
      <w:r>
        <w:rPr>
          <w:rFonts w:ascii="Calibri" w:cs="Calibri" w:eastAsia="Calibri" w:hAnsi="Calibri"/>
          <w:sz w:val="18"/>
          <w:szCs w:val="18"/>
          <w:color w:val="auto"/>
        </w:rPr>
        <w:t>Digital Wholesale</w:t>
      </w:r>
    </w:p>
    <w:p>
      <w:pPr>
        <w:spacing w:after="0" w:line="11"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Other</w:t>
      </w:r>
    </w:p>
    <w:p>
      <w:pPr>
        <w:spacing w:after="0" w:line="37"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00"/>
        <w:spacing w:after="0"/>
        <w:rPr>
          <w:sz w:val="20"/>
          <w:szCs w:val="20"/>
          <w:color w:val="auto"/>
        </w:rPr>
      </w:pPr>
      <w:r>
        <w:rPr>
          <w:rFonts w:ascii="Calibri" w:cs="Calibri" w:eastAsia="Calibri" w:hAnsi="Calibri"/>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86"/>
        </w:trPr>
        <w:tc>
          <w:tcPr>
            <w:tcW w:w="1420" w:type="dxa"/>
            <w:vAlign w:val="bottom"/>
            <w:tcBorders>
              <w:top w:val="single" w:sz="8" w:color="auto"/>
              <w:bottom w:val="single" w:sz="8" w:color="auto"/>
            </w:tcBorders>
          </w:tcPr>
          <w:p>
            <w:pPr>
              <w:jc w:val="right"/>
              <w:ind w:right="472"/>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Calibri" w:cs="Calibri" w:eastAsia="Calibri" w:hAnsi="Calibri"/>
                <w:sz w:val="14"/>
                <w:szCs w:val="14"/>
                <w:b w:val="1"/>
                <w:bCs w:val="1"/>
                <w:color w:val="auto"/>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720" w:type="dxa"/>
            <w:vAlign w:val="bottom"/>
            <w:gridSpan w:val="2"/>
          </w:tcPr>
          <w:p>
            <w:pPr>
              <w:jc w:val="right"/>
              <w:ind w:right="70"/>
              <w:spacing w:after="0"/>
              <w:rPr>
                <w:sz w:val="20"/>
                <w:szCs w:val="20"/>
                <w:color w:val="auto"/>
              </w:rPr>
            </w:pPr>
            <w:r>
              <w:rPr>
                <w:rFonts w:ascii="Calibri" w:cs="Calibri" w:eastAsia="Calibri" w:hAnsi="Calibri"/>
                <w:sz w:val="18"/>
                <w:szCs w:val="18"/>
                <w:color w:val="auto"/>
              </w:rPr>
              <w:t>82 %</w:t>
            </w:r>
          </w:p>
        </w:tc>
        <w:tc>
          <w:tcPr>
            <w:tcW w:w="1580" w:type="dxa"/>
            <w:vAlign w:val="bottom"/>
            <w:gridSpan w:val="2"/>
          </w:tcPr>
          <w:p>
            <w:pPr>
              <w:jc w:val="right"/>
              <w:spacing w:after="0"/>
              <w:rPr>
                <w:sz w:val="20"/>
                <w:szCs w:val="20"/>
                <w:color w:val="auto"/>
              </w:rPr>
            </w:pPr>
            <w:r>
              <w:rPr>
                <w:rFonts w:ascii="Calibri" w:cs="Calibri" w:eastAsia="Calibri" w:hAnsi="Calibri"/>
                <w:sz w:val="18"/>
                <w:szCs w:val="18"/>
                <w:color w:val="auto"/>
              </w:rPr>
              <w:t>71 %</w:t>
            </w:r>
          </w:p>
        </w:tc>
        <w:tc>
          <w:tcPr>
            <w:tcW w:w="0" w:type="dxa"/>
            <w:vAlign w:val="bottom"/>
          </w:tcPr>
          <w:p>
            <w:pPr>
              <w:spacing w:after="0"/>
              <w:rPr>
                <w:sz w:val="1"/>
                <w:szCs w:val="1"/>
                <w:color w:val="auto"/>
              </w:rPr>
            </w:pPr>
          </w:p>
        </w:tc>
      </w:tr>
      <w:tr>
        <w:trPr>
          <w:trHeight w:val="216"/>
        </w:trPr>
        <w:tc>
          <w:tcPr>
            <w:tcW w:w="1420" w:type="dxa"/>
            <w:vAlign w:val="bottom"/>
          </w:tcPr>
          <w:p>
            <w:pPr>
              <w:jc w:val="right"/>
              <w:spacing w:after="0" w:line="216" w:lineRule="exact"/>
              <w:rPr>
                <w:sz w:val="20"/>
                <w:szCs w:val="20"/>
                <w:color w:val="auto"/>
              </w:rPr>
            </w:pPr>
            <w:r>
              <w:rPr>
                <w:rFonts w:ascii="Calibri" w:cs="Calibri" w:eastAsia="Calibri" w:hAnsi="Calibri"/>
                <w:sz w:val="18"/>
                <w:szCs w:val="18"/>
                <w:color w:val="auto"/>
              </w:rPr>
              <w:t>11</w:t>
            </w:r>
          </w:p>
        </w:tc>
        <w:tc>
          <w:tcPr>
            <w:tcW w:w="30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Calibri" w:cs="Calibri" w:eastAsia="Calibri" w:hAnsi="Calibri"/>
                <w:sz w:val="18"/>
                <w:szCs w:val="18"/>
                <w:color w:val="auto"/>
              </w:rPr>
              <w:t>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right"/>
              <w:spacing w:after="0" w:line="216" w:lineRule="exact"/>
              <w:rPr>
                <w:sz w:val="20"/>
                <w:szCs w:val="20"/>
                <w:color w:val="auto"/>
              </w:rPr>
            </w:pPr>
            <w:r>
              <w:rPr>
                <w:rFonts w:ascii="Calibri" w:cs="Calibri" w:eastAsia="Calibri" w:hAnsi="Calibri"/>
                <w:sz w:val="18"/>
                <w:szCs w:val="18"/>
                <w:color w:val="auto"/>
              </w:rPr>
              <w:t>7</w:t>
            </w:r>
          </w:p>
        </w:tc>
        <w:tc>
          <w:tcPr>
            <w:tcW w:w="30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Calibri" w:cs="Calibri" w:eastAsia="Calibri" w:hAnsi="Calibri"/>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20" w:type="dxa"/>
            <w:vAlign w:val="bottom"/>
            <w:tcBorders>
              <w:bottom w:val="single" w:sz="8" w:color="auto"/>
            </w:tcBorders>
          </w:tcPr>
          <w:p>
            <w:pPr>
              <w:spacing w:after="0"/>
              <w:rPr>
                <w:sz w:val="2"/>
                <w:szCs w:val="2"/>
                <w:color w:val="auto"/>
              </w:rPr>
            </w:pPr>
          </w:p>
        </w:tc>
        <w:tc>
          <w:tcPr>
            <w:tcW w:w="300" w:type="dxa"/>
            <w:vAlign w:val="bottom"/>
            <w:vMerge w:val="restart"/>
          </w:tcPr>
          <w:p>
            <w:pPr>
              <w:jc w:val="right"/>
              <w:ind w:right="70"/>
              <w:spacing w:after="0"/>
              <w:rPr>
                <w:sz w:val="20"/>
                <w:szCs w:val="20"/>
                <w:color w:val="auto"/>
              </w:rPr>
            </w:pPr>
            <w:r>
              <w:rPr>
                <w:rFonts w:ascii="Calibri" w:cs="Calibri" w:eastAsia="Calibri" w:hAnsi="Calibri"/>
                <w:sz w:val="18"/>
                <w:szCs w:val="18"/>
                <w:color w:val="auto"/>
                <w:w w:val="92"/>
              </w:rPr>
              <w:t>%</w:t>
            </w:r>
          </w:p>
        </w:tc>
        <w:tc>
          <w:tcPr>
            <w:tcW w:w="144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92"/>
              </w:rPr>
              <w:t>%</w:t>
            </w:r>
          </w:p>
        </w:tc>
        <w:tc>
          <w:tcPr>
            <w:tcW w:w="0" w:type="dxa"/>
            <w:vAlign w:val="bottom"/>
          </w:tcPr>
          <w:p>
            <w:pPr>
              <w:spacing w:after="0"/>
              <w:rPr>
                <w:sz w:val="1"/>
                <w:szCs w:val="1"/>
                <w:color w:val="auto"/>
              </w:rPr>
            </w:pPr>
          </w:p>
        </w:tc>
      </w:tr>
      <w:tr>
        <w:trPr>
          <w:trHeight w:val="209"/>
        </w:trPr>
        <w:tc>
          <w:tcPr>
            <w:tcW w:w="14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100</w:t>
            </w:r>
          </w:p>
        </w:tc>
        <w:tc>
          <w:tcPr>
            <w:tcW w:w="300" w:type="dxa"/>
            <w:vAlign w:val="bottom"/>
            <w:vMerge w:val="continue"/>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100</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720" w:type="dxa"/>
            <w:vAlign w:val="bottom"/>
            <w:gridSpan w:val="2"/>
          </w:tcPr>
          <w:p>
            <w:pPr>
              <w:jc w:val="right"/>
              <w:ind w:right="70"/>
              <w:spacing w:after="0"/>
              <w:rPr>
                <w:sz w:val="20"/>
                <w:szCs w:val="20"/>
                <w:color w:val="auto"/>
              </w:rPr>
            </w:pPr>
            <w:r>
              <w:rPr>
                <w:rFonts w:ascii="Calibri" w:cs="Calibri" w:eastAsia="Calibri" w:hAnsi="Calibri"/>
                <w:sz w:val="18"/>
                <w:szCs w:val="18"/>
                <w:color w:val="auto"/>
              </w:rPr>
              <w:t>25 %</w:t>
            </w:r>
          </w:p>
        </w:tc>
        <w:tc>
          <w:tcPr>
            <w:tcW w:w="1580" w:type="dxa"/>
            <w:vAlign w:val="bottom"/>
            <w:gridSpan w:val="2"/>
          </w:tcPr>
          <w:p>
            <w:pPr>
              <w:jc w:val="right"/>
              <w:spacing w:after="0"/>
              <w:rPr>
                <w:sz w:val="20"/>
                <w:szCs w:val="20"/>
                <w:color w:val="auto"/>
              </w:rPr>
            </w:pPr>
            <w:r>
              <w:rPr>
                <w:rFonts w:ascii="Calibri" w:cs="Calibri" w:eastAsia="Calibri" w:hAnsi="Calibri"/>
                <w:sz w:val="18"/>
                <w:szCs w:val="18"/>
                <w:color w:val="auto"/>
              </w:rPr>
              <w:t>20 %</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130"/>
              <w:spacing w:after="0" w:line="216" w:lineRule="exact"/>
              <w:rPr>
                <w:sz w:val="20"/>
                <w:szCs w:val="20"/>
                <w:color w:val="auto"/>
              </w:rPr>
            </w:pPr>
            <w:r>
              <w:rPr>
                <w:rFonts w:ascii="Calibri" w:cs="Calibri" w:eastAsia="Calibri" w:hAnsi="Calibri"/>
                <w:sz w:val="18"/>
                <w:szCs w:val="18"/>
                <w:color w:val="auto"/>
              </w:rPr>
              <w:t>(183 )</w:t>
            </w:r>
          </w:p>
        </w:tc>
        <w:tc>
          <w:tcPr>
            <w:tcW w:w="15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(45 )</w:t>
            </w:r>
          </w:p>
        </w:tc>
        <w:tc>
          <w:tcPr>
            <w:tcW w:w="0" w:type="dxa"/>
            <w:vAlign w:val="bottom"/>
          </w:tcPr>
          <w:p>
            <w:pPr>
              <w:spacing w:after="0"/>
              <w:rPr>
                <w:sz w:val="1"/>
                <w:szCs w:val="1"/>
                <w:color w:val="auto"/>
              </w:rPr>
            </w:pPr>
          </w:p>
        </w:tc>
      </w:tr>
      <w:tr>
        <w:trPr>
          <w:trHeight w:val="216"/>
        </w:trPr>
        <w:tc>
          <w:tcPr>
            <w:tcW w:w="1420" w:type="dxa"/>
            <w:vAlign w:val="bottom"/>
          </w:tcPr>
          <w:p>
            <w:pPr>
              <w:jc w:val="right"/>
              <w:spacing w:after="0" w:line="216" w:lineRule="exact"/>
              <w:rPr>
                <w:sz w:val="20"/>
                <w:szCs w:val="20"/>
                <w:color w:val="auto"/>
              </w:rPr>
            </w:pPr>
            <w:r>
              <w:rPr>
                <w:rFonts w:ascii="Calibri" w:cs="Calibri" w:eastAsia="Calibri" w:hAnsi="Calibri"/>
                <w:sz w:val="18"/>
                <w:szCs w:val="18"/>
                <w:color w:val="auto"/>
              </w:rPr>
              <w:t>16</w:t>
            </w:r>
          </w:p>
        </w:tc>
        <w:tc>
          <w:tcPr>
            <w:tcW w:w="30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Calibri" w:cs="Calibri" w:eastAsia="Calibri" w:hAnsi="Calibri"/>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20" w:type="dxa"/>
            <w:vAlign w:val="bottom"/>
            <w:tcBorders>
              <w:bottom w:val="single" w:sz="8" w:color="auto"/>
            </w:tcBorders>
          </w:tcPr>
          <w:p>
            <w:pPr>
              <w:spacing w:after="0"/>
              <w:rPr>
                <w:sz w:val="2"/>
                <w:szCs w:val="2"/>
                <w:color w:val="auto"/>
              </w:rPr>
            </w:pPr>
          </w:p>
        </w:tc>
        <w:tc>
          <w:tcPr>
            <w:tcW w:w="300" w:type="dxa"/>
            <w:vAlign w:val="bottom"/>
            <w:vMerge w:val="restart"/>
          </w:tcPr>
          <w:p>
            <w:pPr>
              <w:jc w:val="right"/>
              <w:ind w:right="70"/>
              <w:spacing w:after="0"/>
              <w:rPr>
                <w:sz w:val="20"/>
                <w:szCs w:val="20"/>
                <w:color w:val="auto"/>
              </w:rPr>
            </w:pPr>
            <w:r>
              <w:rPr>
                <w:rFonts w:ascii="Calibri" w:cs="Calibri" w:eastAsia="Calibri" w:hAnsi="Calibri"/>
                <w:sz w:val="18"/>
                <w:szCs w:val="18"/>
                <w:color w:val="auto"/>
                <w:w w:val="92"/>
              </w:rPr>
              <w:t>%</w:t>
            </w:r>
          </w:p>
        </w:tc>
        <w:tc>
          <w:tcPr>
            <w:tcW w:w="144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92"/>
              </w:rPr>
              <w:t>%</w:t>
            </w:r>
          </w:p>
        </w:tc>
        <w:tc>
          <w:tcPr>
            <w:tcW w:w="0" w:type="dxa"/>
            <w:vAlign w:val="bottom"/>
          </w:tcPr>
          <w:p>
            <w:pPr>
              <w:spacing w:after="0"/>
              <w:rPr>
                <w:sz w:val="1"/>
                <w:szCs w:val="1"/>
                <w:color w:val="auto"/>
              </w:rPr>
            </w:pPr>
          </w:p>
        </w:tc>
      </w:tr>
      <w:tr>
        <w:trPr>
          <w:trHeight w:val="209"/>
        </w:trPr>
        <w:tc>
          <w:tcPr>
            <w:tcW w:w="14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w:t>
            </w:r>
          </w:p>
        </w:tc>
        <w:tc>
          <w:tcPr>
            <w:tcW w:w="300" w:type="dxa"/>
            <w:vAlign w:val="bottom"/>
            <w:vMerge w:val="continue"/>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-1439545</wp:posOffset>
            </wp:positionV>
            <wp:extent cx="641223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-1165225</wp:posOffset>
            </wp:positionV>
            <wp:extent cx="641223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-582295</wp:posOffset>
            </wp:positionV>
            <wp:extent cx="641223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-882015</wp:posOffset>
            </wp:positionV>
            <wp:extent cx="641223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-307975</wp:posOffset>
            </wp:positionV>
            <wp:extent cx="641223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6640" w:space="720"/>
            <w:col w:w="3880"/>
          </w:cols>
          <w:pgMar w:left="320" w:top="112" w:right="339" w:bottom="1440" w:gutter="0" w:footer="0" w:header="0"/>
          <w:type w:val="continuous"/>
        </w:sectPr>
      </w:pPr>
    </w:p>
    <w:p>
      <w:pPr>
        <w:spacing w:after="0"/>
        <w:rPr>
          <w:sz w:val="20"/>
          <w:szCs w:val="20"/>
          <w:color w:val="auto"/>
        </w:rPr>
      </w:pPr>
      <w:r>
        <w:rPr>
          <w:rFonts w:ascii="Calibri" w:cs="Calibri" w:eastAsia="Calibri" w:hAnsi="Calibri"/>
          <w:sz w:val="22"/>
          <w:szCs w:val="22"/>
          <w:b w:val="1"/>
          <w:bCs w:val="1"/>
          <w:color w:val="3465B0"/>
        </w:rPr>
        <w:t>Year Ended December 31, 2024 Compared to Year Ended December 31, 2023</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Revenue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3465B0"/>
        </w:rPr>
        <w:t>Revenue by Source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Year Ended December 31,</w:t>
            </w:r>
          </w:p>
        </w:tc>
        <w:tc>
          <w:tcPr>
            <w:tcW w:w="18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50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76"/>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94"/>
              <w:spacing w:after="0"/>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ind w:left="240"/>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9"/>
        </w:trPr>
        <w:tc>
          <w:tcPr>
            <w:tcW w:w="500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Marketplace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796,599</w:t>
            </w:r>
          </w:p>
        </w:tc>
        <w:tc>
          <w:tcPr>
            <w:tcW w:w="30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698,236</w:t>
            </w:r>
          </w:p>
        </w:tc>
        <w:tc>
          <w:tcPr>
            <w:tcW w:w="28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98,363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14 %</w:t>
            </w:r>
          </w:p>
        </w:tc>
      </w:tr>
      <w:tr>
        <w:trPr>
          <w:trHeight w:val="217"/>
        </w:trPr>
        <w:tc>
          <w:tcPr>
            <w:tcW w:w="50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Wholesale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51,201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100,908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(49,707 )</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(49 )</w:t>
            </w: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Product</w:t>
            </w: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46,584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115,098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(68,514 )</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(60 )</w:t>
            </w:r>
          </w:p>
        </w:tc>
      </w:tr>
      <w:tr>
        <w:trPr>
          <w:trHeight w:val="20"/>
        </w:trPr>
        <w:tc>
          <w:tcPr>
            <w:tcW w:w="5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5000" w:type="dxa"/>
            <w:vAlign w:val="bottom"/>
            <w:shd w:val="clear" w:color="auto" w:fill="CFF0FC"/>
          </w:tcPr>
          <w:p>
            <w:pPr>
              <w:ind w:left="18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894,384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914,242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shd w:val="clear" w:color="auto" w:fill="CFF0FC"/>
          </w:tcPr>
          <w:p>
            <w:pPr>
              <w:jc w:val="right"/>
              <w:ind w:right="120"/>
              <w:spacing w:after="0" w:line="209" w:lineRule="exact"/>
              <w:rPr>
                <w:sz w:val="20"/>
                <w:szCs w:val="20"/>
                <w:color w:val="auto"/>
              </w:rPr>
            </w:pPr>
            <w:r>
              <w:rPr>
                <w:rFonts w:ascii="Calibri" w:cs="Calibri" w:eastAsia="Calibri" w:hAnsi="Calibri"/>
                <w:sz w:val="18"/>
                <w:szCs w:val="18"/>
                <w:color w:val="auto"/>
              </w:rPr>
              <w:t>(19,858 )</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(2 )%</w:t>
            </w:r>
          </w:p>
        </w:tc>
      </w:tr>
      <w:tr>
        <w:trPr>
          <w:trHeight w:val="196"/>
        </w:trPr>
        <w:tc>
          <w:tcPr>
            <w:tcW w:w="5000" w:type="dxa"/>
            <w:vAlign w:val="bottom"/>
            <w:tcBorders>
              <w:top w:val="single" w:sz="8" w:color="CFF0FC"/>
            </w:tcBorders>
          </w:tcPr>
          <w:p>
            <w:pPr>
              <w:spacing w:after="0" w:line="196" w:lineRule="exact"/>
              <w:rPr>
                <w:sz w:val="20"/>
                <w:szCs w:val="20"/>
                <w:color w:val="auto"/>
              </w:rPr>
            </w:pPr>
            <w:r>
              <w:rPr>
                <w:rFonts w:ascii="Calibri" w:cs="Calibri" w:eastAsia="Calibri" w:hAnsi="Calibri"/>
                <w:sz w:val="18"/>
                <w:szCs w:val="18"/>
                <w:b w:val="1"/>
                <w:bCs w:val="1"/>
                <w:color w:val="auto"/>
              </w:rPr>
              <w:t>Percentage of total revenue: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17"/>
        </w:trPr>
        <w:tc>
          <w:tcPr>
            <w:tcW w:w="50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Marketplace</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89 %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76 %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Wholesale</w:t>
            </w: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Product</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ind w:left="18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100 %</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100 %</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-744855</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-727710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-744855</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-727710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-744855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-727710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-744855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-727710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102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102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Calibri" w:cs="Calibri" w:eastAsia="Calibri" w:hAnsi="Calibri"/>
          <w:sz w:val="18"/>
          <w:szCs w:val="18"/>
          <w:color w:val="00002D"/>
        </w:rPr>
        <w:t>Overall revenue decreased $19.9 million, or 2%, in the year ended December 31, 2024, compared to the year ended December 31, 2023.</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Marketplace revenue increased $98.4 million, or 14%, in the year ended December 31, 2024, compared to the year ended December 31, 2023, and represented 89% of total revenue for the year ended December 31, 2024, compared to 76% of total revenue for the year ended December 31, 2023. The increase was due primarily to an increase in Listngs revenue, inclusive of certain digital add-on products, as a result of growth in QARSD, which was driven by signing on new dealers with higher average subscripton revenue and revenue expansion through product adopton or upgrades and price increases for existng dealers. The increase was also due in part to an increase in advertsing revenue due primarily to increased spend by advertsers related to new and existng campaigns.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Wholesale revenue decreased $49.7 million, or 49%, in the year ended December 31, 2024, compared to the year ended December 31, 2023, and represented 6% of total revenue for the year ended December 31, 2024, compared to 11% of total revenue for the year ended December 31, 2023. The decrease was due primarily to a 47% decrease in Transactons, which includes Dealer-to-Dealer transactons and Instant Max Cash Ofer transactons, to 34,395 for the year ended December 31, 2024, compared to 65,418 for the year ended December 31, 2023.</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Product revenue decreased $68.5 million, or 60%, in the year ended December 31, 2024, compared to the year ended December 31, 2023, and represented 5% of total revenue for the year ended December 31, 2024, compared to 13% of total revenue for the year ended December 31, 2023. The decrease was due primarily to a decrease in proceeds received from the sale of vehicles through Instant Max Cash Ofer transactons, driven by a decrease in Transactons. The decrease in product revenue was also due in part to a decrease in proceeds received from the sale of vehicles acquired through arbitraton as a result of decreased arbitraton claims due primarily to lower Transacton volume.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3465B0"/>
        </w:rPr>
        <w:t>Segment Revenue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Year Ended December 31,</w:t>
            </w:r>
          </w:p>
        </w:tc>
        <w:tc>
          <w:tcPr>
            <w:tcW w:w="18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50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76"/>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94"/>
              <w:spacing w:after="0"/>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ind w:left="240"/>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9"/>
        </w:trPr>
        <w:tc>
          <w:tcPr>
            <w:tcW w:w="500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U.S. Marketplace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733,688</w:t>
            </w:r>
          </w:p>
        </w:tc>
        <w:tc>
          <w:tcPr>
            <w:tcW w:w="30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647,284</w:t>
            </w:r>
          </w:p>
        </w:tc>
        <w:tc>
          <w:tcPr>
            <w:tcW w:w="28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86,404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13 %</w:t>
            </w:r>
          </w:p>
        </w:tc>
      </w:tr>
      <w:tr>
        <w:trPr>
          <w:trHeight w:val="217"/>
        </w:trPr>
        <w:tc>
          <w:tcPr>
            <w:tcW w:w="50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Digital Wholesale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97,785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216,005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(118,220 )</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(55 )</w:t>
            </w: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62,911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50,953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11,958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w:t>
            </w:r>
          </w:p>
        </w:tc>
        <w:tc>
          <w:tcPr>
            <w:tcW w:w="220" w:type="dxa"/>
            <w:vAlign w:val="bottom"/>
          </w:tcPr>
          <w:p>
            <w:pPr>
              <w:spacing w:after="0"/>
              <w:rPr>
                <w:sz w:val="18"/>
                <w:szCs w:val="18"/>
                <w:color w:val="auto"/>
              </w:rPr>
            </w:pPr>
          </w:p>
        </w:tc>
      </w:tr>
      <w:tr>
        <w:trPr>
          <w:trHeight w:val="249"/>
        </w:trPr>
        <w:tc>
          <w:tcPr>
            <w:tcW w:w="5000" w:type="dxa"/>
            <w:vAlign w:val="bottom"/>
            <w:shd w:val="clear" w:color="auto" w:fill="CFF0FC"/>
          </w:tcPr>
          <w:p>
            <w:pPr>
              <w:ind w:left="18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894,384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914,242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shd w:val="clear" w:color="auto" w:fill="CFF0FC"/>
          </w:tcPr>
          <w:p>
            <w:pPr>
              <w:jc w:val="right"/>
              <w:ind w:right="120"/>
              <w:spacing w:after="0" w:line="209" w:lineRule="exact"/>
              <w:rPr>
                <w:sz w:val="20"/>
                <w:szCs w:val="20"/>
                <w:color w:val="auto"/>
              </w:rPr>
            </w:pPr>
            <w:r>
              <w:rPr>
                <w:rFonts w:ascii="Calibri" w:cs="Calibri" w:eastAsia="Calibri" w:hAnsi="Calibri"/>
                <w:sz w:val="18"/>
                <w:szCs w:val="18"/>
                <w:color w:val="auto"/>
              </w:rPr>
              <w:t>(19,858 )</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(2 )%</w:t>
            </w:r>
          </w:p>
        </w:tc>
      </w:tr>
      <w:tr>
        <w:trPr>
          <w:trHeight w:val="196"/>
        </w:trPr>
        <w:tc>
          <w:tcPr>
            <w:tcW w:w="5000" w:type="dxa"/>
            <w:vAlign w:val="bottom"/>
            <w:tcBorders>
              <w:top w:val="single" w:sz="8" w:color="CFF0FC"/>
            </w:tcBorders>
          </w:tcPr>
          <w:p>
            <w:pPr>
              <w:spacing w:after="0" w:line="196" w:lineRule="exact"/>
              <w:rPr>
                <w:sz w:val="20"/>
                <w:szCs w:val="20"/>
                <w:color w:val="auto"/>
              </w:rPr>
            </w:pPr>
            <w:r>
              <w:rPr>
                <w:rFonts w:ascii="Calibri" w:cs="Calibri" w:eastAsia="Calibri" w:hAnsi="Calibri"/>
                <w:sz w:val="18"/>
                <w:szCs w:val="18"/>
                <w:b w:val="1"/>
                <w:bCs w:val="1"/>
                <w:color w:val="auto"/>
              </w:rPr>
              <w:t>Percentage of total revenue: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17"/>
        </w:trPr>
        <w:tc>
          <w:tcPr>
            <w:tcW w:w="50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U.S. Marketplace</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82 %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71 %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Digital Wholesale</w:t>
            </w: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18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100 %</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100 %</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-745490</wp:posOffset>
            </wp:positionV>
            <wp:extent cx="102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-728345</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-745490</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-728345</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-745490</wp:posOffset>
            </wp:positionV>
            <wp:extent cx="59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-728345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-745490</wp:posOffset>
            </wp:positionV>
            <wp:extent cx="137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-728345</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2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U.S. Marketplace segment revenue increased $86.4 million, or 13%, in the year ended December 31, 2024, compared to the year ended December 31, 2023, and represented 82% of total revenue for the year ended December 31, 2024, compared to 71% of total revenue for the year ended December 31, 2023. The increase was due to a $98.4 million increase in marketplace revenue, as described above.</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Digital Wholesale segment revenue, which is comprised of wholesale revenue and product revenue, decreased $118.2 million, or 55%, in the year ended December 31, 2024, compared to the year ended December 31, 2023, and represented 11% of total revenue for the year ended December 31, 2024, compared to 24% of total revenue for the year ended December 31, 2023. The decrease in Digital Wholesale segment revenue was due to a $49.7 million decrease in wholesale revenue and a $68.5 million decrease in product revenue, as described above.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Cost of Revenue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Year Ended December 31,</w:t>
            </w:r>
          </w:p>
        </w:tc>
        <w:tc>
          <w:tcPr>
            <w:tcW w:w="18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50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94"/>
              <w:spacing w:after="0"/>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ind w:left="240"/>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9"/>
        </w:trPr>
        <w:tc>
          <w:tcPr>
            <w:tcW w:w="500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Cost of Revenue:</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Marketplace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54,950</w:t>
            </w:r>
          </w:p>
        </w:tc>
        <w:tc>
          <w:tcPr>
            <w:tcW w:w="30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60,020</w:t>
            </w:r>
          </w:p>
        </w:tc>
        <w:tc>
          <w:tcPr>
            <w:tcW w:w="28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(5,070 )</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(8 )%</w:t>
            </w:r>
          </w:p>
        </w:tc>
      </w:tr>
      <w:tr>
        <w:trPr>
          <w:trHeight w:val="217"/>
        </w:trPr>
        <w:tc>
          <w:tcPr>
            <w:tcW w:w="50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Wholesale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54,340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90,066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(35,726 )</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(40 )</w:t>
            </w: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Product</w:t>
            </w: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46,149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112,702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(66,553 )</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(59 )</w:t>
            </w:r>
          </w:p>
        </w:tc>
      </w:tr>
      <w:tr>
        <w:trPr>
          <w:trHeight w:val="20"/>
        </w:trPr>
        <w:tc>
          <w:tcPr>
            <w:tcW w:w="5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000" w:type="dxa"/>
            <w:vAlign w:val="bottom"/>
            <w:shd w:val="clear" w:color="auto" w:fill="CFF0FC"/>
          </w:tcPr>
          <w:p>
            <w:pPr>
              <w:ind w:left="18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155,439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262,788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shd w:val="clear" w:color="auto" w:fill="CFF0FC"/>
          </w:tcPr>
          <w:p>
            <w:pPr>
              <w:jc w:val="right"/>
              <w:ind w:right="120"/>
              <w:spacing w:after="0" w:line="209" w:lineRule="exact"/>
              <w:rPr>
                <w:sz w:val="20"/>
                <w:szCs w:val="20"/>
                <w:color w:val="auto"/>
              </w:rPr>
            </w:pPr>
            <w:r>
              <w:rPr>
                <w:rFonts w:ascii="Calibri" w:cs="Calibri" w:eastAsia="Calibri" w:hAnsi="Calibri"/>
                <w:sz w:val="18"/>
                <w:szCs w:val="18"/>
                <w:color w:val="auto"/>
              </w:rPr>
              <w:t>(107,349 )</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(41 )%</w:t>
            </w:r>
          </w:p>
        </w:tc>
      </w:tr>
      <w:tr>
        <w:trPr>
          <w:trHeight w:val="196"/>
        </w:trPr>
        <w:tc>
          <w:tcPr>
            <w:tcW w:w="5000" w:type="dxa"/>
            <w:vAlign w:val="bottom"/>
            <w:tcBorders>
              <w:top w:val="single" w:sz="8" w:color="CFF0FC"/>
            </w:tcBorders>
          </w:tcPr>
          <w:p>
            <w:pPr>
              <w:spacing w:after="0" w:line="196" w:lineRule="exact"/>
              <w:rPr>
                <w:sz w:val="20"/>
                <w:szCs w:val="20"/>
                <w:color w:val="auto"/>
              </w:rPr>
            </w:pPr>
            <w:r>
              <w:rPr>
                <w:rFonts w:ascii="Calibri" w:cs="Calibri" w:eastAsia="Calibri" w:hAnsi="Calibri"/>
                <w:sz w:val="18"/>
                <w:szCs w:val="18"/>
                <w:b w:val="1"/>
                <w:bCs w:val="1"/>
                <w:color w:val="auto"/>
              </w:rPr>
              <w:t>Percentage of total revenue: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17"/>
        </w:trPr>
        <w:tc>
          <w:tcPr>
            <w:tcW w:w="50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Marketplace</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6 %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7 %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Wholesale</w:t>
            </w:r>
          </w:p>
        </w:tc>
        <w:tc>
          <w:tcPr>
            <w:tcW w:w="24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Product</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18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17 %</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29 %</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-745490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-728345</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-745490</wp:posOffset>
            </wp:positionV>
            <wp:extent cx="102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-728345</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-745490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-728345</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-745490</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-728345</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Calibri" w:cs="Calibri" w:eastAsia="Calibri" w:hAnsi="Calibri"/>
          <w:sz w:val="18"/>
          <w:szCs w:val="18"/>
          <w:color w:val="00002D"/>
        </w:rPr>
        <w:t>Overall cost of revenue decreased $107.3 million, or 41%, in the year ended December 31, 2024, compared to the year ended December 31, 2023.</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Marketplace cost of revenue decreased $5.1 million, or 8%, in the year ended December 31, 2024, compared to the year ended December 31, 2023, and represented 6% of total revenue for the year ended December 31, 2024, compared to 7% of total revenue for the year ended December 31, 2023. The decrease was due primarily to a $4.4 million decrease in fees related to provisioning advertsing campaigns on external websites.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Wholesale cost of revenue decreased $35.7 million, or 40%, in the year ended December 31, 2024, compared to the year ended December 31, 2023, and represented 6% of total revenue for the year ended December 31, 2024, compared to 10% of total revenue for the year ended December 31, 2023. The decrease was due primarily to an $18.9 million decrease in amortzaton related to the CarOfer acquired developed technology intangible asset as it became fully amortzed during the frst quarter of 2024. The decrease was also due in part to a $22.6 million decrease in transportaton expense, inspecton expense, and data fees as a result of lower Transacton volume. The decrease was ofset in part by a $9.8 million increase in impairment of capitalized website development costs due to the end of the CG Buy Online pilot.</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Product cost of revenue decreased $66.6 million, or 59%, in the year ended December 31, 2024, compared to the year ended December 31, 2023, and represented 5% of total revenue for the year ended December 31, 2024, compared to 12% of total revenue for the year ended December 31, 2023. The decrease was due primarily to a decrease in expenses related to vehicles sold to dealers through Instant Max Cash Ofer transactons as a result of lower Transacton volume. The decrease in product cost of revenue was also due in part to a decrease in expenses related to vehicles sold to dealers acquired through arbitraton as a result of decreased arbitraton claims due primarily to lower Transacton volume.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Operatng Expenses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3465B0"/>
        </w:rPr>
        <w:t>Sales and Marketng Expense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700"/>
              <w:spacing w:after="0"/>
              <w:rPr>
                <w:sz w:val="20"/>
                <w:szCs w:val="20"/>
                <w:color w:val="auto"/>
              </w:rPr>
            </w:pPr>
            <w:r>
              <w:rPr>
                <w:rFonts w:ascii="Calibri" w:cs="Calibri" w:eastAsia="Calibri" w:hAnsi="Calibri"/>
                <w:sz w:val="14"/>
                <w:szCs w:val="14"/>
                <w:b w:val="1"/>
                <w:bCs w:val="1"/>
                <w:color w:val="auto"/>
              </w:rPr>
              <w:t>Year Ended December 31,</w:t>
            </w:r>
          </w:p>
        </w:tc>
        <w:tc>
          <w:tcPr>
            <w:tcW w:w="180" w:type="dxa"/>
            <w:vAlign w:val="bottom"/>
          </w:tcPr>
          <w:p>
            <w:pPr>
              <w:spacing w:after="0"/>
              <w:rPr>
                <w:sz w:val="16"/>
                <w:szCs w:val="16"/>
                <w:color w:val="auto"/>
              </w:rPr>
            </w:pPr>
          </w:p>
        </w:tc>
        <w:tc>
          <w:tcPr>
            <w:tcW w:w="1320" w:type="dxa"/>
            <w:vAlign w:val="bottom"/>
            <w:gridSpan w:val="3"/>
          </w:tcPr>
          <w:p>
            <w:pPr>
              <w:ind w:left="720"/>
              <w:spacing w:after="0"/>
              <w:rPr>
                <w:sz w:val="20"/>
                <w:szCs w:val="20"/>
                <w:color w:val="auto"/>
              </w:rPr>
            </w:pPr>
            <w:r>
              <w:rPr>
                <w:rFonts w:ascii="Calibri" w:cs="Calibri" w:eastAsia="Calibri" w:hAnsi="Calibri"/>
                <w:sz w:val="14"/>
                <w:szCs w:val="14"/>
                <w:b w:val="1"/>
                <w:bCs w:val="1"/>
                <w:color w:val="auto"/>
              </w:rPr>
              <w:t>Change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3"/>
        </w:trPr>
        <w:tc>
          <w:tcPr>
            <w:tcW w:w="50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02"/>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99"/>
              <w:spacing w:after="0"/>
              <w:rPr>
                <w:sz w:val="20"/>
                <w:szCs w:val="20"/>
                <w:color w:val="auto"/>
              </w:rPr>
            </w:pPr>
            <w:r>
              <w:rPr>
                <w:rFonts w:ascii="Calibri" w:cs="Calibri" w:eastAsia="Calibri" w:hAnsi="Calibri"/>
                <w:sz w:val="14"/>
                <w:szCs w:val="14"/>
                <w:b w:val="1"/>
                <w:bCs w:val="1"/>
                <w:color w:val="auto"/>
              </w:rPr>
              <w:t>%</w:t>
            </w:r>
          </w:p>
        </w:tc>
        <w:tc>
          <w:tcPr>
            <w:tcW w:w="160" w:type="dxa"/>
            <w:vAlign w:val="bottom"/>
          </w:tcPr>
          <w:p>
            <w:pPr>
              <w:spacing w:after="0"/>
              <w:rPr>
                <w:sz w:val="15"/>
                <w:szCs w:val="15"/>
                <w:color w:val="auto"/>
              </w:rPr>
            </w:pPr>
          </w:p>
        </w:tc>
      </w:tr>
      <w:tr>
        <w:trPr>
          <w:trHeight w:val="169"/>
        </w:trPr>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6"/>
          </w:tcPr>
          <w:p>
            <w:pPr>
              <w:ind w:left="240"/>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9"/>
        </w:trPr>
        <w:tc>
          <w:tcPr>
            <w:tcW w:w="506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Sales and marketng</w:t>
            </w:r>
          </w:p>
        </w:tc>
        <w:tc>
          <w:tcPr>
            <w:tcW w:w="24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322,249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line="217"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304,070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84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18,179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6 %</w:t>
            </w:r>
          </w:p>
        </w:tc>
      </w:tr>
      <w:tr>
        <w:trPr>
          <w:trHeight w:val="215"/>
        </w:trPr>
        <w:tc>
          <w:tcPr>
            <w:tcW w:w="5060" w:type="dxa"/>
            <w:vAlign w:val="bottom"/>
          </w:tcPr>
          <w:p>
            <w:pPr>
              <w:spacing w:after="0" w:line="215" w:lineRule="exact"/>
              <w:rPr>
                <w:sz w:val="20"/>
                <w:szCs w:val="20"/>
                <w:color w:val="auto"/>
              </w:rPr>
            </w:pPr>
            <w:r>
              <w:rPr>
                <w:rFonts w:ascii="Calibri" w:cs="Calibri" w:eastAsia="Calibri" w:hAnsi="Calibri"/>
                <w:sz w:val="18"/>
                <w:szCs w:val="18"/>
                <w:color w:val="auto"/>
              </w:rPr>
              <w:t>Percentage of total revenue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36 %</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33 %</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Sales and marketng expense increased $18.2 million, or 6%, in the year ended December 31, 2024, compared to the year ended December 31, 2023. The increase was due primarily to a $17.6 million increase in advertsing and marketng expense for strategic advertsing spend with our performance marketng vendors to maintain year-over-year lead volume and grow with the market as well as our brand awareness campaigns.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3465B0"/>
        </w:rPr>
        <w:t>Product, Technology, and Development Expense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Year Ended December 31,</w:t>
            </w:r>
          </w:p>
        </w:tc>
        <w:tc>
          <w:tcPr>
            <w:tcW w:w="18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50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ind w:left="240"/>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9"/>
        </w:trPr>
        <w:tc>
          <w:tcPr>
            <w:tcW w:w="500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Product, technology, and development</w:t>
            </w:r>
          </w:p>
        </w:tc>
        <w:tc>
          <w:tcPr>
            <w:tcW w:w="24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144,432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line="217"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146,169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shd w:val="clear" w:color="auto" w:fill="CFF0FC"/>
          </w:tcPr>
          <w:p>
            <w:pPr>
              <w:jc w:val="right"/>
              <w:ind w:right="120"/>
              <w:spacing w:after="0" w:line="217" w:lineRule="exact"/>
              <w:rPr>
                <w:sz w:val="20"/>
                <w:szCs w:val="20"/>
                <w:color w:val="auto"/>
              </w:rPr>
            </w:pPr>
            <w:r>
              <w:rPr>
                <w:rFonts w:ascii="Calibri" w:cs="Calibri" w:eastAsia="Calibri" w:hAnsi="Calibri"/>
                <w:sz w:val="18"/>
                <w:szCs w:val="18"/>
                <w:color w:val="auto"/>
              </w:rPr>
              <w:t>(1,737 )</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(1 )%</w:t>
            </w: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Percentage of total revenue</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16 %</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16 %</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Product, technology, and development expense decreased $1.7 million, or 1%, in the year ended December 31, 2024, compared to the year ended December 31, 2023. The decrease was due primarily to a $4.6 million decrease in expense as a result of increased capitalized website development and a $1.5 million decrease in stock-based compensaton expense due to modifcatons resultng from the 2023 CarOfer Transacton, which resulted in higher stock-based compensaton expense for the year-ended December 31, 2023. The decrease was ofset in part by a $4.4 million increase in salaries and employee-related expense due primarily to merit increases and bonus atainment.</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color w:val="3465B0"/>
        </w:rPr>
        <w:t>General and Administratve Expense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Year Ended December 31,</w:t>
            </w:r>
          </w:p>
        </w:tc>
        <w:tc>
          <w:tcPr>
            <w:tcW w:w="18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50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ind w:left="240"/>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9"/>
        </w:trPr>
        <w:tc>
          <w:tcPr>
            <w:tcW w:w="500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General and administratve</w:t>
            </w:r>
          </w:p>
        </w:tc>
        <w:tc>
          <w:tcPr>
            <w:tcW w:w="24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112,066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line="217"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152,757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shd w:val="clear" w:color="auto" w:fill="CFF0FC"/>
          </w:tcPr>
          <w:p>
            <w:pPr>
              <w:jc w:val="right"/>
              <w:ind w:right="120"/>
              <w:spacing w:after="0" w:line="217" w:lineRule="exact"/>
              <w:rPr>
                <w:sz w:val="20"/>
                <w:szCs w:val="20"/>
                <w:color w:val="auto"/>
              </w:rPr>
            </w:pPr>
            <w:r>
              <w:rPr>
                <w:rFonts w:ascii="Calibri" w:cs="Calibri" w:eastAsia="Calibri" w:hAnsi="Calibri"/>
                <w:sz w:val="18"/>
                <w:szCs w:val="18"/>
                <w:color w:val="auto"/>
              </w:rPr>
              <w:t>(40,691 )</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(27 )%</w:t>
            </w: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Percentage of total revenue</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13 %</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17 %</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General and administratve expense decreased $40.7 million, or 27%, in the year ended December 31, 2024, compared to the year ended December 31, 2023. The decrease was due primarily to a $46.1 million decrease in stock-based compensaton expense due to modifcatons resultng from the 2023 CarOfer Transacton, which resulted in higher stock-based compensaton expense for the year-ended December 31, 2023. The decrease was ofset in part by a $4.7 million increase in salaries and employee-related expense, due primarily to an increase in headcount, merit increases, and bonus atainment.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3465B0"/>
        </w:rPr>
        <w:t>Impairment Expense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62"/>
              <w:spacing w:after="0"/>
              <w:rPr>
                <w:sz w:val="20"/>
                <w:szCs w:val="20"/>
                <w:color w:val="auto"/>
              </w:rPr>
            </w:pPr>
            <w:r>
              <w:rPr>
                <w:rFonts w:ascii="Calibri" w:cs="Calibri" w:eastAsia="Calibri" w:hAnsi="Calibri"/>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780"/>
              <w:spacing w:after="0"/>
              <w:rPr>
                <w:sz w:val="20"/>
                <w:szCs w:val="20"/>
                <w:color w:val="auto"/>
              </w:rPr>
            </w:pPr>
            <w:r>
              <w:rPr>
                <w:rFonts w:ascii="Calibri" w:cs="Calibri" w:eastAsia="Calibri" w:hAnsi="Calibri"/>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780" w:type="dxa"/>
            <w:vAlign w:val="bottom"/>
            <w:tcBorders>
              <w:bottom w:val="single" w:sz="8" w:color="auto"/>
            </w:tcBorders>
          </w:tcPr>
          <w:p>
            <w:pPr>
              <w:jc w:val="right"/>
              <w:ind w:right="22"/>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2"/>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54"/>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166"/>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7"/>
          </w:tcPr>
          <w:p>
            <w:pPr>
              <w:ind w:left="520"/>
              <w:spacing w:after="0" w:line="166" w:lineRule="exact"/>
              <w:rPr>
                <w:sz w:val="20"/>
                <w:szCs w:val="20"/>
                <w:color w:val="auto"/>
              </w:rPr>
            </w:pPr>
            <w:r>
              <w:rPr>
                <w:rFonts w:ascii="Calibri" w:cs="Calibri" w:eastAsia="Calibri" w:hAnsi="Calibri"/>
                <w:sz w:val="14"/>
                <w:szCs w:val="14"/>
                <w:b w:val="1"/>
                <w:bCs w:val="1"/>
                <w:color w:val="auto"/>
              </w:rPr>
              <w:t>(dollars in thousands)</w:t>
            </w:r>
          </w:p>
        </w:tc>
        <w:tc>
          <w:tcPr>
            <w:tcW w:w="800" w:type="dxa"/>
            <w:vAlign w:val="bottom"/>
            <w:vMerge w:val="restart"/>
          </w:tcPr>
          <w:p>
            <w:pPr>
              <w:jc w:val="right"/>
              <w:spacing w:after="0" w:line="387" w:lineRule="exact"/>
              <w:rPr>
                <w:sz w:val="20"/>
                <w:szCs w:val="20"/>
                <w:color w:val="auto"/>
              </w:rPr>
            </w:pPr>
            <w:r>
              <w:rPr>
                <w:rFonts w:ascii="Calibri" w:cs="Calibri" w:eastAsia="Calibri" w:hAnsi="Calibri"/>
                <w:sz w:val="35"/>
                <w:szCs w:val="35"/>
                <w:color w:val="auto"/>
                <w:vertAlign w:val="subscript"/>
              </w:rPr>
              <w:t>NM</w:t>
            </w:r>
            <w:r>
              <w:rPr>
                <w:rFonts w:ascii="Calibri" w:cs="Calibri" w:eastAsia="Calibri" w:hAnsi="Calibri"/>
                <w:sz w:val="12"/>
                <w:szCs w:val="12"/>
                <w:color w:val="auto"/>
              </w:rPr>
              <w:t xml:space="preserve"> (1)</w:t>
            </w:r>
          </w:p>
        </w:tc>
        <w:tc>
          <w:tcPr>
            <w:tcW w:w="0" w:type="dxa"/>
            <w:vAlign w:val="bottom"/>
          </w:tcPr>
          <w:p>
            <w:pPr>
              <w:spacing w:after="0"/>
              <w:rPr>
                <w:sz w:val="1"/>
                <w:szCs w:val="1"/>
                <w:color w:val="auto"/>
              </w:rPr>
            </w:pPr>
          </w:p>
        </w:tc>
      </w:tr>
      <w:tr>
        <w:trPr>
          <w:trHeight w:val="222"/>
        </w:trPr>
        <w:tc>
          <w:tcPr>
            <w:tcW w:w="5120" w:type="dxa"/>
            <w:vAlign w:val="bottom"/>
          </w:tcPr>
          <w:p>
            <w:pPr>
              <w:spacing w:after="0" w:line="215" w:lineRule="exact"/>
              <w:rPr>
                <w:sz w:val="20"/>
                <w:szCs w:val="20"/>
                <w:color w:val="auto"/>
              </w:rPr>
            </w:pPr>
            <w:r>
              <w:rPr>
                <w:rFonts w:ascii="Calibri" w:cs="Calibri" w:eastAsia="Calibri" w:hAnsi="Calibri"/>
                <w:sz w:val="18"/>
                <w:szCs w:val="18"/>
                <w:color w:val="auto"/>
              </w:rPr>
              <w:t>Impairment</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134,501</w:t>
            </w:r>
          </w:p>
        </w:tc>
        <w:tc>
          <w:tcPr>
            <w:tcW w:w="260" w:type="dxa"/>
            <w:vAlign w:val="bottom"/>
          </w:tcPr>
          <w:p>
            <w:pPr>
              <w:spacing w:after="0"/>
              <w:rPr>
                <w:sz w:val="19"/>
                <w:szCs w:val="19"/>
                <w:color w:val="auto"/>
              </w:rPr>
            </w:pPr>
          </w:p>
        </w:tc>
        <w:tc>
          <w:tcPr>
            <w:tcW w:w="780" w:type="dxa"/>
            <w:vAlign w:val="bottom"/>
          </w:tcPr>
          <w:p>
            <w:pPr>
              <w:jc w:val="right"/>
              <w:ind w:right="582"/>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ind w:left="100"/>
              <w:spacing w:after="0" w:line="215" w:lineRule="exact"/>
              <w:rPr>
                <w:sz w:val="20"/>
                <w:szCs w:val="20"/>
                <w:color w:val="auto"/>
              </w:rPr>
            </w:pPr>
            <w:r>
              <w:rPr>
                <w:rFonts w:ascii="Calibri" w:cs="Calibri" w:eastAsia="Calibri" w:hAnsi="Calibri"/>
                <w:sz w:val="18"/>
                <w:szCs w:val="18"/>
                <w:color w:val="auto"/>
                <w:w w:val="97"/>
              </w:rPr>
              <w:t>—</w:t>
            </w:r>
          </w:p>
        </w:tc>
        <w:tc>
          <w:tcPr>
            <w:tcW w:w="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134,501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tcPr>
          <w:p>
            <w:pPr>
              <w:spacing w:after="0" w:line="215" w:lineRule="exact"/>
              <w:rPr>
                <w:sz w:val="20"/>
                <w:szCs w:val="20"/>
                <w:color w:val="auto"/>
              </w:rPr>
            </w:pPr>
            <w:r>
              <w:rPr>
                <w:rFonts w:ascii="Calibri" w:cs="Calibri" w:eastAsia="Calibri" w:hAnsi="Calibri"/>
                <w:sz w:val="18"/>
                <w:szCs w:val="18"/>
                <w:color w:val="auto"/>
              </w:rPr>
              <w:t>Percentage of total revenue</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15 %</w:t>
            </w:r>
          </w:p>
        </w:tc>
        <w:tc>
          <w:tcPr>
            <w:tcW w:w="780" w:type="dxa"/>
            <w:vAlign w:val="bottom"/>
          </w:tcPr>
          <w:p>
            <w:pPr>
              <w:spacing w:after="0"/>
              <w:rPr>
                <w:sz w:val="18"/>
                <w:szCs w:val="18"/>
                <w:color w:val="auto"/>
              </w:rPr>
            </w:pPr>
          </w:p>
        </w:tc>
        <w:tc>
          <w:tcPr>
            <w:tcW w:w="280" w:type="dxa"/>
            <w:vAlign w:val="bottom"/>
          </w:tcPr>
          <w:p>
            <w:pPr>
              <w:ind w:left="100"/>
              <w:spacing w:after="0" w:line="215" w:lineRule="exact"/>
              <w:rPr>
                <w:sz w:val="20"/>
                <w:szCs w:val="20"/>
                <w:color w:val="auto"/>
              </w:rPr>
            </w:pPr>
            <w:r>
              <w:rPr>
                <w:rFonts w:ascii="Calibri" w:cs="Calibri" w:eastAsia="Calibri" w:hAnsi="Calibri"/>
                <w:sz w:val="18"/>
                <w:szCs w:val="18"/>
                <w:color w:val="auto"/>
                <w:w w:val="97"/>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-273050</wp:posOffset>
            </wp:positionV>
            <wp:extent cx="641223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4" w:lineRule="exact"/>
        <w:rPr>
          <w:sz w:val="20"/>
          <w:szCs w:val="20"/>
          <w:color w:val="auto"/>
        </w:rPr>
      </w:pPr>
    </w:p>
    <w:p>
      <w:pPr>
        <w:ind w:left="1020" w:hanging="503"/>
        <w:spacing w:after="0"/>
        <w:tabs>
          <w:tab w:leader="none" w:pos="1020" w:val="left"/>
        </w:tabs>
        <w:numPr>
          <w:ilvl w:val="0"/>
          <w:numId w:val="35"/>
        </w:numPr>
        <w:rPr>
          <w:rFonts w:ascii="Calibri" w:cs="Calibri" w:eastAsia="Calibri" w:hAnsi="Calibri"/>
          <w:sz w:val="14"/>
          <w:szCs w:val="14"/>
          <w:color w:val="00002D"/>
        </w:rPr>
      </w:pPr>
      <w:r>
        <w:rPr>
          <w:rFonts w:ascii="Calibri" w:cs="Calibri" w:eastAsia="Calibri" w:hAnsi="Calibri"/>
          <w:sz w:val="14"/>
          <w:szCs w:val="14"/>
          <w:color w:val="00002D"/>
        </w:rPr>
        <w:t>Not meaningful</w:t>
      </w: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Impairment expense increased $134.5 million in the year ended December 31, 2024, compared to the year ended December 31, 2023. The increase was due to a $127.5 million CarOfer reportng unit impairment and a $7.0 million impairment due to the end of the CG Buy Online pilot. For further discussion of impairments, see Note 6 to our consolidated fnancial statements included elsewhere in this Annual Report.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3465B0"/>
        </w:rPr>
        <w:t>Depreciaton and Amortzaton Expense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Year Ended December 31,</w:t>
            </w:r>
          </w:p>
        </w:tc>
        <w:tc>
          <w:tcPr>
            <w:tcW w:w="18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50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ind w:left="240"/>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9"/>
        </w:trPr>
        <w:tc>
          <w:tcPr>
            <w:tcW w:w="500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Depreciaton and amortzaton</w:t>
            </w:r>
          </w:p>
        </w:tc>
        <w:tc>
          <w:tcPr>
            <w:tcW w:w="24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12,285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line="217"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15,831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shd w:val="clear" w:color="auto" w:fill="CFF0FC"/>
          </w:tcPr>
          <w:p>
            <w:pPr>
              <w:jc w:val="right"/>
              <w:ind w:right="120"/>
              <w:spacing w:after="0" w:line="217" w:lineRule="exact"/>
              <w:rPr>
                <w:sz w:val="20"/>
                <w:szCs w:val="20"/>
                <w:color w:val="auto"/>
              </w:rPr>
            </w:pPr>
            <w:r>
              <w:rPr>
                <w:rFonts w:ascii="Calibri" w:cs="Calibri" w:eastAsia="Calibri" w:hAnsi="Calibri"/>
                <w:sz w:val="18"/>
                <w:szCs w:val="18"/>
                <w:color w:val="auto"/>
              </w:rPr>
              <w:t>(3,546 )</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(22 )%</w:t>
            </w: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Percentage of total revenue</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1 %</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Depreciaton and amortzaton expense decreased $3.5 million, or 22%, in the year ended December 31, 2024, compared to the year ended December 31, 2023. The decrease was due primarily to the CarOfer customer relatonships intangible asset becoming fully amortzed during the frst quarter of 2024, ofset in part by increased depreciaton from assets placed in service related to the 1001 Boylston Street lease.</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Other Income, net</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Year Ended December 31,</w:t>
            </w:r>
          </w:p>
        </w:tc>
        <w:tc>
          <w:tcPr>
            <w:tcW w:w="180" w:type="dxa"/>
            <w:vAlign w:val="bottom"/>
          </w:tcPr>
          <w:p>
            <w:pPr>
              <w:spacing w:after="0"/>
              <w:rPr>
                <w:sz w:val="16"/>
                <w:szCs w:val="16"/>
                <w:color w:val="auto"/>
              </w:rPr>
            </w:pPr>
          </w:p>
        </w:tc>
        <w:tc>
          <w:tcPr>
            <w:tcW w:w="1320" w:type="dxa"/>
            <w:vAlign w:val="bottom"/>
            <w:gridSpan w:val="3"/>
          </w:tcPr>
          <w:p>
            <w:pPr>
              <w:ind w:left="70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404"/>
              <w:spacing w:after="0"/>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6"/>
          </w:tcPr>
          <w:p>
            <w:pPr>
              <w:ind w:left="220"/>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Other income, net: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line="169" w:lineRule="exact"/>
              <w:rPr>
                <w:sz w:val="20"/>
                <w:szCs w:val="20"/>
                <w:color w:val="auto"/>
              </w:rPr>
            </w:pPr>
            <w:r>
              <w:rPr>
                <w:rFonts w:ascii="Calibri" w:cs="Calibri" w:eastAsia="Calibri" w:hAnsi="Calibri"/>
                <w:sz w:val="18"/>
                <w:szCs w:val="18"/>
                <w:color w:val="auto"/>
              </w:rPr>
              <w:t>Interest income</w:t>
            </w:r>
          </w:p>
        </w:tc>
        <w:tc>
          <w:tcPr>
            <w:tcW w:w="240" w:type="dxa"/>
            <w:vAlign w:val="bottom"/>
          </w:tcPr>
          <w:p>
            <w:pPr>
              <w:jc w:val="right"/>
              <w:ind w:right="50"/>
              <w:spacing w:after="0" w:line="169"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169" w:lineRule="exact"/>
              <w:rPr>
                <w:sz w:val="20"/>
                <w:szCs w:val="20"/>
                <w:color w:val="auto"/>
              </w:rPr>
            </w:pPr>
            <w:r>
              <w:rPr>
                <w:rFonts w:ascii="Calibri" w:cs="Calibri" w:eastAsia="Calibri" w:hAnsi="Calibri"/>
                <w:sz w:val="18"/>
                <w:szCs w:val="18"/>
                <w:color w:val="auto"/>
              </w:rPr>
              <w:t>12,189</w:t>
            </w:r>
          </w:p>
        </w:tc>
        <w:tc>
          <w:tcPr>
            <w:tcW w:w="280" w:type="dxa"/>
            <w:vAlign w:val="bottom"/>
          </w:tcPr>
          <w:p>
            <w:pPr>
              <w:spacing w:after="0"/>
              <w:rPr>
                <w:sz w:val="14"/>
                <w:szCs w:val="14"/>
                <w:color w:val="auto"/>
              </w:rPr>
            </w:pPr>
          </w:p>
        </w:tc>
        <w:tc>
          <w:tcPr>
            <w:tcW w:w="240" w:type="dxa"/>
            <w:vAlign w:val="bottom"/>
          </w:tcPr>
          <w:p>
            <w:pPr>
              <w:jc w:val="right"/>
              <w:ind w:right="50"/>
              <w:spacing w:after="0" w:line="169"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169" w:lineRule="exact"/>
              <w:rPr>
                <w:sz w:val="20"/>
                <w:szCs w:val="20"/>
                <w:color w:val="auto"/>
              </w:rPr>
            </w:pPr>
            <w:r>
              <w:rPr>
                <w:rFonts w:ascii="Calibri" w:cs="Calibri" w:eastAsia="Calibri" w:hAnsi="Calibri"/>
                <w:sz w:val="18"/>
                <w:szCs w:val="18"/>
                <w:color w:val="auto"/>
              </w:rPr>
              <w:t>18,430</w:t>
            </w:r>
          </w:p>
        </w:tc>
        <w:tc>
          <w:tcPr>
            <w:tcW w:w="280" w:type="dxa"/>
            <w:vAlign w:val="bottom"/>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20"/>
              <w:spacing w:after="0" w:line="169" w:lineRule="exact"/>
              <w:rPr>
                <w:sz w:val="20"/>
                <w:szCs w:val="20"/>
                <w:color w:val="auto"/>
              </w:rPr>
            </w:pPr>
            <w:r>
              <w:rPr>
                <w:rFonts w:ascii="Calibri" w:cs="Calibri" w:eastAsia="Calibri" w:hAnsi="Calibri"/>
                <w:sz w:val="18"/>
                <w:szCs w:val="18"/>
                <w:color w:val="auto"/>
              </w:rPr>
              <w:t>(6,241 )</w:t>
            </w:r>
          </w:p>
        </w:tc>
        <w:tc>
          <w:tcPr>
            <w:tcW w:w="300" w:type="dxa"/>
            <w:vAlign w:val="bottom"/>
          </w:tcPr>
          <w:p>
            <w:pPr>
              <w:spacing w:after="0"/>
              <w:rPr>
                <w:sz w:val="14"/>
                <w:szCs w:val="14"/>
                <w:color w:val="auto"/>
              </w:rPr>
            </w:pPr>
          </w:p>
        </w:tc>
        <w:tc>
          <w:tcPr>
            <w:tcW w:w="960" w:type="dxa"/>
            <w:vAlign w:val="bottom"/>
            <w:gridSpan w:val="2"/>
          </w:tcPr>
          <w:p>
            <w:pPr>
              <w:jc w:val="right"/>
              <w:ind w:right="20"/>
              <w:spacing w:after="0" w:line="169" w:lineRule="exact"/>
              <w:rPr>
                <w:sz w:val="20"/>
                <w:szCs w:val="20"/>
                <w:color w:val="auto"/>
              </w:rPr>
            </w:pPr>
            <w:r>
              <w:rPr>
                <w:rFonts w:ascii="Calibri" w:cs="Calibri" w:eastAsia="Calibri" w:hAnsi="Calibri"/>
                <w:sz w:val="18"/>
                <w:szCs w:val="18"/>
                <w:color w:val="auto"/>
              </w:rPr>
              <w:t>(34 )%</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0"/>
                <w:szCs w:val="20"/>
                <w:color w:val="auto"/>
              </w:rPr>
            </w:pPr>
            <w:r>
              <w:rPr>
                <w:rFonts w:ascii="Calibri" w:cs="Calibri" w:eastAsia="Calibri" w:hAnsi="Calibri"/>
                <w:sz w:val="18"/>
                <w:szCs w:val="18"/>
                <w:color w:val="auto"/>
              </w:rPr>
              <w:t>Other (expense) income, net</w:t>
            </w:r>
          </w:p>
        </w:tc>
        <w:tc>
          <w:tcPr>
            <w:tcW w:w="2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(944 )</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alibri" w:cs="Calibri" w:eastAsia="Calibri" w:hAnsi="Calibri"/>
                <w:sz w:val="18"/>
                <w:szCs w:val="18"/>
                <w:color w:val="auto"/>
              </w:rPr>
              <w:t>630</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(1,574 )</w:t>
            </w:r>
          </w:p>
        </w:tc>
        <w:tc>
          <w:tcPr>
            <w:tcW w:w="300" w:type="dxa"/>
            <w:vAlign w:val="bottom"/>
          </w:tcPr>
          <w:p>
            <w:pPr>
              <w:spacing w:after="0"/>
              <w:rPr>
                <w:sz w:val="22"/>
                <w:szCs w:val="22"/>
                <w:color w:val="auto"/>
              </w:rPr>
            </w:pPr>
          </w:p>
        </w:tc>
        <w:tc>
          <w:tcPr>
            <w:tcW w:w="960" w:type="dxa"/>
            <w:vAlign w:val="bottom"/>
            <w:gridSpan w:val="2"/>
          </w:tcPr>
          <w:p>
            <w:pPr>
              <w:jc w:val="right"/>
              <w:ind w:right="240"/>
              <w:spacing w:after="0" w:line="263" w:lineRule="exact"/>
              <w:rPr>
                <w:sz w:val="20"/>
                <w:szCs w:val="20"/>
                <w:color w:val="auto"/>
              </w:rPr>
            </w:pPr>
            <w:r>
              <w:rPr>
                <w:rFonts w:ascii="Calibri" w:cs="Calibri" w:eastAsia="Calibri" w:hAnsi="Calibri"/>
                <w:sz w:val="28"/>
                <w:szCs w:val="28"/>
                <w:color w:val="auto"/>
                <w:vertAlign w:val="subscript"/>
              </w:rPr>
              <w:t>NM</w:t>
            </w:r>
            <w:r>
              <w:rPr>
                <w:rFonts w:ascii="Calibri" w:cs="Calibri" w:eastAsia="Calibri" w:hAnsi="Calibri"/>
                <w:sz w:val="11"/>
                <w:szCs w:val="11"/>
                <w:color w:val="auto"/>
              </w:rPr>
              <w:t>(1)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180"/>
              <w:spacing w:after="0" w:line="215" w:lineRule="exact"/>
              <w:rPr>
                <w:sz w:val="20"/>
                <w:szCs w:val="20"/>
                <w:color w:val="auto"/>
              </w:rPr>
            </w:pPr>
            <w:r>
              <w:rPr>
                <w:rFonts w:ascii="Calibri" w:cs="Calibri" w:eastAsia="Calibri" w:hAnsi="Calibri"/>
                <w:sz w:val="18"/>
                <w:szCs w:val="18"/>
                <w:color w:val="auto"/>
              </w:rPr>
              <w:t>Total other income, net</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vMerge w:val="continue"/>
          </w:tcPr>
          <w:p>
            <w:pPr>
              <w:spacing w:after="0"/>
              <w:rPr>
                <w:sz w:val="18"/>
                <w:szCs w:val="18"/>
                <w:color w:val="auto"/>
              </w:rPr>
            </w:pPr>
          </w:p>
        </w:tc>
        <w:tc>
          <w:tcPr>
            <w:tcW w:w="240" w:type="dxa"/>
            <w:vAlign w:val="bottom"/>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09" w:lineRule="exact"/>
              <w:rPr>
                <w:sz w:val="20"/>
                <w:szCs w:val="20"/>
                <w:color w:val="auto"/>
              </w:rPr>
            </w:pPr>
            <w:r>
              <w:rPr>
                <w:rFonts w:ascii="Calibri" w:cs="Calibri" w:eastAsia="Calibri" w:hAnsi="Calibri"/>
                <w:sz w:val="18"/>
                <w:szCs w:val="18"/>
                <w:color w:val="auto"/>
              </w:rPr>
              <w:t>11,245</w:t>
            </w:r>
          </w:p>
        </w:tc>
        <w:tc>
          <w:tcPr>
            <w:tcW w:w="280" w:type="dxa"/>
            <w:vAlign w:val="bottom"/>
          </w:tcPr>
          <w:p>
            <w:pPr>
              <w:spacing w:after="0"/>
              <w:rPr>
                <w:sz w:val="18"/>
                <w:szCs w:val="18"/>
                <w:color w:val="auto"/>
              </w:rPr>
            </w:pPr>
          </w:p>
        </w:tc>
        <w:tc>
          <w:tcPr>
            <w:tcW w:w="240" w:type="dxa"/>
            <w:vAlign w:val="bottom"/>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209" w:lineRule="exact"/>
              <w:rPr>
                <w:sz w:val="20"/>
                <w:szCs w:val="20"/>
                <w:color w:val="auto"/>
              </w:rPr>
            </w:pPr>
            <w:r>
              <w:rPr>
                <w:rFonts w:ascii="Calibri" w:cs="Calibri" w:eastAsia="Calibri" w:hAnsi="Calibri"/>
                <w:sz w:val="18"/>
                <w:szCs w:val="18"/>
                <w:color w:val="auto"/>
              </w:rPr>
              <w:t>19,060</w:t>
            </w:r>
          </w:p>
        </w:tc>
        <w:tc>
          <w:tcPr>
            <w:tcW w:w="280" w:type="dxa"/>
            <w:vAlign w:val="bottom"/>
          </w:tcPr>
          <w:p>
            <w:pPr>
              <w:spacing w:after="0"/>
              <w:rPr>
                <w:sz w:val="18"/>
                <w:szCs w:val="18"/>
                <w:color w:val="auto"/>
              </w:rPr>
            </w:pPr>
          </w:p>
        </w:tc>
        <w:tc>
          <w:tcPr>
            <w:tcW w:w="18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(7,815 )</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(41 )%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FF0FC"/>
          </w:tcPr>
          <w:p>
            <w:pPr>
              <w:spacing w:after="0" w:line="197" w:lineRule="exact"/>
              <w:rPr>
                <w:sz w:val="20"/>
                <w:szCs w:val="20"/>
                <w:color w:val="auto"/>
              </w:rPr>
            </w:pPr>
            <w:r>
              <w:rPr>
                <w:rFonts w:ascii="Calibri" w:cs="Calibri" w:eastAsia="Calibri" w:hAnsi="Calibri"/>
                <w:sz w:val="18"/>
                <w:szCs w:val="18"/>
                <w:b w:val="1"/>
                <w:bCs w:val="1"/>
                <w:color w:val="auto"/>
              </w:rPr>
              <w:t>Percentage of total revenue:</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line="215" w:lineRule="exact"/>
              <w:rPr>
                <w:sz w:val="20"/>
                <w:szCs w:val="20"/>
                <w:color w:val="auto"/>
              </w:rPr>
            </w:pPr>
            <w:r>
              <w:rPr>
                <w:rFonts w:ascii="Calibri" w:cs="Calibri" w:eastAsia="Calibri" w:hAnsi="Calibri"/>
                <w:sz w:val="18"/>
                <w:szCs w:val="18"/>
                <w:color w:val="auto"/>
              </w:rPr>
              <w:t>Interest income</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2 %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Other (expense) income, net</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(0 )</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tcPr>
          <w:p>
            <w:pPr>
              <w:ind w:left="180"/>
              <w:spacing w:after="0" w:line="209" w:lineRule="exact"/>
              <w:rPr>
                <w:sz w:val="20"/>
                <w:szCs w:val="20"/>
                <w:color w:val="auto"/>
              </w:rPr>
            </w:pPr>
            <w:r>
              <w:rPr>
                <w:rFonts w:ascii="Calibri" w:cs="Calibri" w:eastAsia="Calibri" w:hAnsi="Calibri"/>
                <w:sz w:val="18"/>
                <w:szCs w:val="18"/>
                <w:color w:val="auto"/>
              </w:rPr>
              <w:t>Total other income, net</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2 %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-890905</wp:posOffset>
            </wp:positionV>
            <wp:extent cx="641223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102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102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3" w:lineRule="exact"/>
        <w:rPr>
          <w:sz w:val="20"/>
          <w:szCs w:val="20"/>
          <w:color w:val="auto"/>
        </w:rPr>
      </w:pPr>
    </w:p>
    <w:p>
      <w:pPr>
        <w:ind w:left="1020" w:hanging="503"/>
        <w:spacing w:after="0"/>
        <w:tabs>
          <w:tab w:leader="none" w:pos="1020" w:val="left"/>
        </w:tabs>
        <w:numPr>
          <w:ilvl w:val="0"/>
          <w:numId w:val="36"/>
        </w:numPr>
        <w:rPr>
          <w:rFonts w:ascii="Calibri" w:cs="Calibri" w:eastAsia="Calibri" w:hAnsi="Calibri"/>
          <w:sz w:val="14"/>
          <w:szCs w:val="14"/>
          <w:color w:val="00002D"/>
        </w:rPr>
      </w:pPr>
      <w:r>
        <w:rPr>
          <w:rFonts w:ascii="Calibri" w:cs="Calibri" w:eastAsia="Calibri" w:hAnsi="Calibri"/>
          <w:sz w:val="14"/>
          <w:szCs w:val="14"/>
          <w:color w:val="00002D"/>
        </w:rPr>
        <w:t>Not meaningful</w:t>
      </w: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Total other income, net decreased $7.8 million, or 41%, in the year ended December 31, 2024, compared to the year ended December 31, 2023. The $6.2 million decrease in interest income was due primarily to lower interest rates and lower average cash and short-term investment balances year over year. The change in other (expense) income, net was due primarily to moving from a foreign currency gain positon in the prior year to a foreign currency loss positon as of December 31, 2024, as a result of the foreign currencies weakening against the U.S. dollar.</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Provision for Income Taxes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Year Ended December 31,</w:t>
            </w:r>
          </w:p>
        </w:tc>
        <w:tc>
          <w:tcPr>
            <w:tcW w:w="18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50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Calibri" w:cs="Calibri" w:eastAsia="Calibri" w:hAnsi="Calibri"/>
                <w:sz w:val="14"/>
                <w:szCs w:val="14"/>
                <w:b w:val="1"/>
                <w:bCs w:val="1"/>
                <w:color w:val="auto"/>
              </w:rPr>
              <w:t>2024</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99"/>
              <w:spacing w:after="0"/>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ind w:left="240"/>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9"/>
        </w:trPr>
        <w:tc>
          <w:tcPr>
            <w:tcW w:w="500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Provision for income taxes</w:t>
            </w:r>
          </w:p>
        </w:tc>
        <w:tc>
          <w:tcPr>
            <w:tcW w:w="240" w:type="dxa"/>
            <w:vAlign w:val="bottom"/>
            <w:shd w:val="clear" w:color="auto" w:fill="CFF0FC"/>
          </w:tcPr>
          <w:p>
            <w:pPr>
              <w:jc w:val="right"/>
              <w:ind w:right="50"/>
              <w:spacing w:after="0" w:line="217"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3,685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line="217"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29,634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shd w:val="clear" w:color="auto" w:fill="CFF0FC"/>
          </w:tcPr>
          <w:p>
            <w:pPr>
              <w:jc w:val="right"/>
              <w:ind w:right="120"/>
              <w:spacing w:after="0" w:line="217" w:lineRule="exact"/>
              <w:rPr>
                <w:sz w:val="20"/>
                <w:szCs w:val="20"/>
                <w:color w:val="auto"/>
              </w:rPr>
            </w:pPr>
            <w:r>
              <w:rPr>
                <w:rFonts w:ascii="Calibri" w:cs="Calibri" w:eastAsia="Calibri" w:hAnsi="Calibri"/>
                <w:sz w:val="18"/>
                <w:szCs w:val="18"/>
                <w:color w:val="auto"/>
              </w:rPr>
              <w:t>(25,949 )</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line="217" w:lineRule="exact"/>
              <w:rPr>
                <w:sz w:val="20"/>
                <w:szCs w:val="20"/>
                <w:color w:val="auto"/>
              </w:rPr>
            </w:pPr>
            <w:r>
              <w:rPr>
                <w:rFonts w:ascii="Calibri" w:cs="Calibri" w:eastAsia="Calibri" w:hAnsi="Calibri"/>
                <w:sz w:val="18"/>
                <w:szCs w:val="18"/>
                <w:color w:val="auto"/>
              </w:rPr>
              <w:t>(88 )%</w:t>
            </w:r>
          </w:p>
        </w:tc>
      </w:tr>
      <w:tr>
        <w:trPr>
          <w:trHeight w:val="215"/>
        </w:trPr>
        <w:tc>
          <w:tcPr>
            <w:tcW w:w="5000" w:type="dxa"/>
            <w:vAlign w:val="bottom"/>
          </w:tcPr>
          <w:p>
            <w:pPr>
              <w:spacing w:after="0" w:line="215" w:lineRule="exact"/>
              <w:rPr>
                <w:sz w:val="20"/>
                <w:szCs w:val="20"/>
                <w:color w:val="auto"/>
              </w:rPr>
            </w:pPr>
            <w:r>
              <w:rPr>
                <w:rFonts w:ascii="Calibri" w:cs="Calibri" w:eastAsia="Calibri" w:hAnsi="Calibri"/>
                <w:sz w:val="18"/>
                <w:szCs w:val="18"/>
                <w:color w:val="auto"/>
              </w:rPr>
              <w:t>Percentage of total revenue</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0 %</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3 %</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Provision for income taxes decreased $25.9 million, or 88%, in the year ended December 31, 2024, compared to the year ended December 31, 2023. The decrease in the provision for income taxes recognized during the year ended December 31, 2024, was due primarily to a decline in taxable income and increased federal and state research and development tax credits. Additonally, a $2.7 million tax beneft related to excess stock-based compensaton deductons was recognized during 2024 compared to $4.7 million tax expense recognized during 2023. Additonal tax expense was also recorded in 2023 relatng to a $6.9 million deferred state tax expense in associaton with the Massachusets apportonment tax rule change and a $2.5 million tax expense was recognized in connecton with the 2023 CarOfer Transacton.</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Segment Income (Loss) from Operatons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right"/>
              <w:ind w:right="680"/>
              <w:spacing w:after="0"/>
              <w:rPr>
                <w:sz w:val="20"/>
                <w:szCs w:val="20"/>
                <w:color w:val="auto"/>
              </w:rPr>
            </w:pPr>
            <w:r>
              <w:rPr>
                <w:rFonts w:ascii="Calibri" w:cs="Calibri" w:eastAsia="Calibri" w:hAnsi="Calibri"/>
                <w:sz w:val="14"/>
                <w:szCs w:val="14"/>
                <w:b w:val="1"/>
                <w:bCs w:val="1"/>
                <w:color w:val="auto"/>
              </w:rPr>
              <w:t>Year Ended December 31,</w:t>
            </w:r>
          </w:p>
        </w:tc>
        <w:tc>
          <w:tcPr>
            <w:tcW w:w="180" w:type="dxa"/>
            <w:vAlign w:val="bottom"/>
          </w:tcPr>
          <w:p>
            <w:pPr>
              <w:spacing w:after="0"/>
              <w:rPr>
                <w:sz w:val="16"/>
                <w:szCs w:val="16"/>
                <w:color w:val="auto"/>
              </w:rPr>
            </w:pPr>
          </w:p>
        </w:tc>
        <w:tc>
          <w:tcPr>
            <w:tcW w:w="1320" w:type="dxa"/>
            <w:vAlign w:val="bottom"/>
            <w:gridSpan w:val="3"/>
          </w:tcPr>
          <w:p>
            <w:pPr>
              <w:ind w:left="700"/>
              <w:spacing w:after="0"/>
              <w:rPr>
                <w:sz w:val="20"/>
                <w:szCs w:val="20"/>
                <w:color w:val="auto"/>
              </w:rPr>
            </w:pPr>
            <w:r>
              <w:rPr>
                <w:rFonts w:ascii="Calibri" w:cs="Calibri" w:eastAsia="Calibri" w:hAnsi="Calibri"/>
                <w:sz w:val="14"/>
                <w:szCs w:val="14"/>
                <w:b w:val="1"/>
                <w:bCs w:val="1"/>
                <w:color w:val="auto"/>
              </w:rPr>
              <w:t>Change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50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Calibri" w:cs="Calibri" w:eastAsia="Calibri" w:hAnsi="Calibri"/>
                <w:sz w:val="14"/>
                <w:szCs w:val="14"/>
                <w:b w:val="1"/>
                <w:bCs w:val="1"/>
                <w:color w:val="auto"/>
              </w:rPr>
              <w:t>2024</w:t>
            </w: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Calibri" w:cs="Calibri" w:eastAsia="Calibri" w:hAnsi="Calibri"/>
                <w:sz w:val="14"/>
                <w:szCs w:val="14"/>
                <w:b w:val="1"/>
                <w:bCs w:val="1"/>
                <w:color w:val="auto"/>
              </w:rPr>
              <w:t>2023</w:t>
            </w:r>
          </w:p>
        </w:tc>
        <w:tc>
          <w:tcPr>
            <w:tcW w:w="2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76"/>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401"/>
              <w:spacing w:after="0"/>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5"/>
                <w:szCs w:val="15"/>
                <w:color w:val="auto"/>
              </w:rPr>
            </w:pPr>
          </w:p>
        </w:tc>
      </w:tr>
      <w:tr>
        <w:trPr>
          <w:trHeight w:val="169"/>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6"/>
          </w:tcPr>
          <w:p>
            <w:pPr>
              <w:ind w:left="220"/>
              <w:spacing w:after="0" w:line="169" w:lineRule="exact"/>
              <w:rPr>
                <w:sz w:val="20"/>
                <w:szCs w:val="20"/>
                <w:color w:val="auto"/>
              </w:rPr>
            </w:pPr>
            <w:r>
              <w:rPr>
                <w:rFonts w:ascii="Calibri" w:cs="Calibri" w:eastAsia="Calibri" w:hAnsi="Calibri"/>
                <w:sz w:val="14"/>
                <w:szCs w:val="14"/>
                <w:b w:val="1"/>
                <w:bCs w:val="1"/>
                <w:color w:val="auto"/>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9"/>
        </w:trPr>
        <w:tc>
          <w:tcPr>
            <w:tcW w:w="5040" w:type="dxa"/>
            <w:vAlign w:val="bottom"/>
            <w:shd w:val="clear" w:color="auto" w:fill="CFF0FC"/>
          </w:tcPr>
          <w:p>
            <w:pPr>
              <w:spacing w:after="0" w:line="217" w:lineRule="exact"/>
              <w:rPr>
                <w:sz w:val="20"/>
                <w:szCs w:val="20"/>
                <w:color w:val="auto"/>
              </w:rPr>
            </w:pPr>
            <w:r>
              <w:rPr>
                <w:rFonts w:ascii="Calibri" w:cs="Calibri" w:eastAsia="Calibri" w:hAnsi="Calibri"/>
                <w:sz w:val="18"/>
                <w:szCs w:val="18"/>
                <w:b w:val="1"/>
                <w:bCs w:val="1"/>
                <w:color w:val="auto"/>
              </w:rPr>
              <w:t>Segment Income (Loss) from Operatons:</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169"/>
        </w:trPr>
        <w:tc>
          <w:tcPr>
            <w:tcW w:w="5040" w:type="dxa"/>
            <w:vAlign w:val="bottom"/>
          </w:tcPr>
          <w:p>
            <w:pPr>
              <w:spacing w:after="0" w:line="169" w:lineRule="exact"/>
              <w:rPr>
                <w:sz w:val="20"/>
                <w:szCs w:val="20"/>
                <w:color w:val="auto"/>
              </w:rPr>
            </w:pPr>
            <w:r>
              <w:rPr>
                <w:rFonts w:ascii="Calibri" w:cs="Calibri" w:eastAsia="Calibri" w:hAnsi="Calibri"/>
                <w:sz w:val="18"/>
                <w:szCs w:val="18"/>
                <w:color w:val="auto"/>
              </w:rPr>
              <w:t>U.S. Marketplace</w:t>
            </w:r>
          </w:p>
        </w:tc>
        <w:tc>
          <w:tcPr>
            <w:tcW w:w="240" w:type="dxa"/>
            <w:vAlign w:val="bottom"/>
          </w:tcPr>
          <w:p>
            <w:pPr>
              <w:jc w:val="right"/>
              <w:ind w:right="50"/>
              <w:spacing w:after="0" w:line="169"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169" w:lineRule="exact"/>
              <w:rPr>
                <w:sz w:val="20"/>
                <w:szCs w:val="20"/>
                <w:color w:val="auto"/>
              </w:rPr>
            </w:pPr>
            <w:r>
              <w:rPr>
                <w:rFonts w:ascii="Calibri" w:cs="Calibri" w:eastAsia="Calibri" w:hAnsi="Calibri"/>
                <w:sz w:val="18"/>
                <w:szCs w:val="18"/>
                <w:color w:val="auto"/>
              </w:rPr>
              <w:t>182,738</w:t>
            </w:r>
          </w:p>
        </w:tc>
        <w:tc>
          <w:tcPr>
            <w:tcW w:w="280" w:type="dxa"/>
            <w:vAlign w:val="bottom"/>
          </w:tcPr>
          <w:p>
            <w:pPr>
              <w:spacing w:after="0"/>
              <w:rPr>
                <w:sz w:val="14"/>
                <w:szCs w:val="14"/>
                <w:color w:val="auto"/>
              </w:rPr>
            </w:pPr>
          </w:p>
        </w:tc>
        <w:tc>
          <w:tcPr>
            <w:tcW w:w="240" w:type="dxa"/>
            <w:vAlign w:val="bottom"/>
          </w:tcPr>
          <w:p>
            <w:pPr>
              <w:jc w:val="right"/>
              <w:ind w:right="50"/>
              <w:spacing w:after="0" w:line="169" w:lineRule="exact"/>
              <w:rPr>
                <w:sz w:val="20"/>
                <w:szCs w:val="20"/>
                <w:color w:val="auto"/>
              </w:rPr>
            </w:pPr>
            <w:r>
              <w:rPr>
                <w:rFonts w:ascii="Calibri" w:cs="Calibri" w:eastAsia="Calibri" w:hAnsi="Calibri"/>
                <w:sz w:val="18"/>
                <w:szCs w:val="18"/>
                <w:color w:val="auto"/>
                <w:w w:val="87"/>
              </w:rPr>
              <w:t>$</w:t>
            </w:r>
          </w:p>
        </w:tc>
        <w:tc>
          <w:tcPr>
            <w:tcW w:w="780" w:type="dxa"/>
            <w:vAlign w:val="bottom"/>
          </w:tcPr>
          <w:p>
            <w:pPr>
              <w:jc w:val="right"/>
              <w:spacing w:after="0" w:line="169" w:lineRule="exact"/>
              <w:rPr>
                <w:sz w:val="20"/>
                <w:szCs w:val="20"/>
                <w:color w:val="auto"/>
              </w:rPr>
            </w:pPr>
            <w:r>
              <w:rPr>
                <w:rFonts w:ascii="Calibri" w:cs="Calibri" w:eastAsia="Calibri" w:hAnsi="Calibri"/>
                <w:sz w:val="18"/>
                <w:szCs w:val="18"/>
                <w:color w:val="auto"/>
              </w:rPr>
              <w:t>127,724</w:t>
            </w:r>
          </w:p>
        </w:tc>
        <w:tc>
          <w:tcPr>
            <w:tcW w:w="280" w:type="dxa"/>
            <w:vAlign w:val="bottom"/>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169" w:lineRule="exact"/>
              <w:rPr>
                <w:sz w:val="20"/>
                <w:szCs w:val="20"/>
                <w:color w:val="auto"/>
              </w:rPr>
            </w:pPr>
            <w:r>
              <w:rPr>
                <w:rFonts w:ascii="Calibri" w:cs="Calibri" w:eastAsia="Calibri" w:hAnsi="Calibri"/>
                <w:sz w:val="18"/>
                <w:szCs w:val="18"/>
                <w:color w:val="auto"/>
              </w:rPr>
              <w:t>55,014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80"/>
              <w:spacing w:after="0" w:line="169" w:lineRule="exact"/>
              <w:rPr>
                <w:sz w:val="20"/>
                <w:szCs w:val="20"/>
                <w:color w:val="auto"/>
              </w:rPr>
            </w:pPr>
            <w:r>
              <w:rPr>
                <w:rFonts w:ascii="Calibri" w:cs="Calibri" w:eastAsia="Calibri" w:hAnsi="Calibri"/>
                <w:sz w:val="18"/>
                <w:szCs w:val="18"/>
                <w:color w:val="auto"/>
              </w:rPr>
              <w:t>43 %</w:t>
            </w:r>
          </w:p>
        </w:tc>
      </w:tr>
      <w:tr>
        <w:trPr>
          <w:trHeight w:val="263"/>
        </w:trPr>
        <w:tc>
          <w:tcPr>
            <w:tcW w:w="5040" w:type="dxa"/>
            <w:vAlign w:val="bottom"/>
          </w:tcPr>
          <w:p>
            <w:pPr>
              <w:spacing w:after="0"/>
              <w:rPr>
                <w:sz w:val="20"/>
                <w:szCs w:val="20"/>
                <w:color w:val="auto"/>
              </w:rPr>
            </w:pPr>
            <w:r>
              <w:rPr>
                <w:rFonts w:ascii="Calibri" w:cs="Calibri" w:eastAsia="Calibri" w:hAnsi="Calibri"/>
                <w:sz w:val="18"/>
                <w:szCs w:val="18"/>
                <w:color w:val="auto"/>
              </w:rPr>
              <w:t>Digital Wholesale</w:t>
            </w:r>
          </w:p>
        </w:tc>
        <w:tc>
          <w:tcPr>
            <w:tcW w:w="2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(179,315 )</w:t>
            </w:r>
          </w:p>
        </w:tc>
        <w:tc>
          <w:tcPr>
            <w:tcW w:w="2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(96,383 )</w:t>
            </w:r>
          </w:p>
        </w:tc>
        <w:tc>
          <w:tcPr>
            <w:tcW w:w="18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(82,932 )</w:t>
            </w:r>
          </w:p>
        </w:tc>
        <w:tc>
          <w:tcPr>
            <w:tcW w:w="300" w:type="dxa"/>
            <w:vAlign w:val="bottom"/>
          </w:tcPr>
          <w:p>
            <w:pPr>
              <w:spacing w:after="0"/>
              <w:rPr>
                <w:sz w:val="22"/>
                <w:szCs w:val="22"/>
                <w:color w:val="auto"/>
              </w:rPr>
            </w:pPr>
          </w:p>
        </w:tc>
        <w:tc>
          <w:tcPr>
            <w:tcW w:w="960" w:type="dxa"/>
            <w:vAlign w:val="bottom"/>
            <w:gridSpan w:val="2"/>
          </w:tcPr>
          <w:p>
            <w:pPr>
              <w:jc w:val="right"/>
              <w:ind w:right="240"/>
              <w:spacing w:after="0" w:line="263" w:lineRule="exact"/>
              <w:rPr>
                <w:sz w:val="20"/>
                <w:szCs w:val="20"/>
                <w:color w:val="auto"/>
              </w:rPr>
            </w:pPr>
            <w:r>
              <w:rPr>
                <w:rFonts w:ascii="Calibri" w:cs="Calibri" w:eastAsia="Calibri" w:hAnsi="Calibri"/>
                <w:sz w:val="28"/>
                <w:szCs w:val="28"/>
                <w:color w:val="auto"/>
                <w:vertAlign w:val="subscript"/>
              </w:rPr>
              <w:t>NM</w:t>
            </w:r>
            <w:r>
              <w:rPr>
                <w:rFonts w:ascii="Calibri" w:cs="Calibri" w:eastAsia="Calibri" w:hAnsi="Calibri"/>
                <w:sz w:val="11"/>
                <w:szCs w:val="11"/>
                <w:color w:val="auto"/>
              </w:rPr>
              <w:t>(1)</w:t>
            </w:r>
          </w:p>
        </w:tc>
      </w:tr>
      <w:tr>
        <w:trPr>
          <w:trHeight w:val="215"/>
        </w:trPr>
        <w:tc>
          <w:tcPr>
            <w:tcW w:w="504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9,989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1,286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8,703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677</w:t>
            </w:r>
          </w:p>
        </w:tc>
        <w:tc>
          <w:tcPr>
            <w:tcW w:w="220" w:type="dxa"/>
            <w:vAlign w:val="bottom"/>
          </w:tcPr>
          <w:p>
            <w:pPr>
              <w:spacing w:after="0"/>
              <w:rPr>
                <w:sz w:val="18"/>
                <w:szCs w:val="18"/>
                <w:color w:val="auto"/>
              </w:rPr>
            </w:pPr>
          </w:p>
        </w:tc>
      </w:tr>
      <w:tr>
        <w:trPr>
          <w:trHeight w:val="250"/>
        </w:trPr>
        <w:tc>
          <w:tcPr>
            <w:tcW w:w="5040" w:type="dxa"/>
            <w:vAlign w:val="bottom"/>
            <w:shd w:val="clear" w:color="auto" w:fill="CFF0FC"/>
          </w:tcPr>
          <w:p>
            <w:pPr>
              <w:ind w:left="18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13,412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7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32,627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shd w:val="clear" w:color="auto" w:fill="CFF0FC"/>
          </w:tcPr>
          <w:p>
            <w:pPr>
              <w:jc w:val="right"/>
              <w:ind w:right="120"/>
              <w:spacing w:after="0" w:line="209" w:lineRule="exact"/>
              <w:rPr>
                <w:sz w:val="20"/>
                <w:szCs w:val="20"/>
                <w:color w:val="auto"/>
              </w:rPr>
            </w:pPr>
            <w:r>
              <w:rPr>
                <w:rFonts w:ascii="Calibri" w:cs="Calibri" w:eastAsia="Calibri" w:hAnsi="Calibri"/>
                <w:sz w:val="18"/>
                <w:szCs w:val="18"/>
                <w:color w:val="auto"/>
              </w:rPr>
              <w:t>(19,215 )</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(59 )%</w:t>
            </w:r>
          </w:p>
        </w:tc>
      </w:tr>
      <w:tr>
        <w:trPr>
          <w:trHeight w:val="196"/>
        </w:trPr>
        <w:tc>
          <w:tcPr>
            <w:tcW w:w="5040" w:type="dxa"/>
            <w:vAlign w:val="bottom"/>
            <w:tcBorders>
              <w:top w:val="single" w:sz="8" w:color="CFF0FC"/>
            </w:tcBorders>
          </w:tcPr>
          <w:p>
            <w:pPr>
              <w:spacing w:after="0" w:line="196" w:lineRule="exact"/>
              <w:rPr>
                <w:sz w:val="20"/>
                <w:szCs w:val="20"/>
                <w:color w:val="auto"/>
              </w:rPr>
            </w:pPr>
            <w:r>
              <w:rPr>
                <w:rFonts w:ascii="Calibri" w:cs="Calibri" w:eastAsia="Calibri" w:hAnsi="Calibri"/>
                <w:sz w:val="18"/>
                <w:szCs w:val="18"/>
                <w:b w:val="1"/>
                <w:bCs w:val="1"/>
                <w:color w:val="auto"/>
              </w:rPr>
              <w:t>Percentage of segment revenue: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17"/>
        </w:trPr>
        <w:tc>
          <w:tcPr>
            <w:tcW w:w="504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U.S. Marketplace</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25 %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20 %</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5"/>
        </w:trPr>
        <w:tc>
          <w:tcPr>
            <w:tcW w:w="5040" w:type="dxa"/>
            <w:vAlign w:val="bottom"/>
          </w:tcPr>
          <w:p>
            <w:pPr>
              <w:spacing w:after="0" w:line="215" w:lineRule="exact"/>
              <w:rPr>
                <w:sz w:val="20"/>
                <w:szCs w:val="20"/>
                <w:color w:val="auto"/>
              </w:rPr>
            </w:pPr>
            <w:r>
              <w:rPr>
                <w:rFonts w:ascii="Calibri" w:cs="Calibri" w:eastAsia="Calibri" w:hAnsi="Calibri"/>
                <w:sz w:val="18"/>
                <w:szCs w:val="18"/>
                <w:color w:val="auto"/>
              </w:rPr>
              <w:t>Digital Wholesale</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(183 )</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(45 )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4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5040" w:type="dxa"/>
            <w:vAlign w:val="bottom"/>
          </w:tcPr>
          <w:p>
            <w:pPr>
              <w:ind w:left="180"/>
              <w:spacing w:after="0" w:line="209" w:lineRule="exact"/>
              <w:rPr>
                <w:sz w:val="20"/>
                <w:szCs w:val="20"/>
                <w:color w:val="auto"/>
              </w:rPr>
            </w:pPr>
            <w:r>
              <w:rPr>
                <w:rFonts w:ascii="Calibri" w:cs="Calibri" w:eastAsia="Calibri" w:hAnsi="Calibri"/>
                <w:sz w:val="18"/>
                <w:szCs w:val="18"/>
                <w:color w:val="auto"/>
              </w:rPr>
              <w:t>Total</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1 %</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4 %</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-1165225</wp:posOffset>
            </wp:positionV>
            <wp:extent cx="641223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-744855</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-728345</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-744855</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-728345</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-744855</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-728345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-744855</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-728345</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102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3" w:lineRule="exact"/>
        <w:rPr>
          <w:sz w:val="20"/>
          <w:szCs w:val="20"/>
          <w:color w:val="auto"/>
        </w:rPr>
      </w:pPr>
    </w:p>
    <w:p>
      <w:pPr>
        <w:ind w:left="1020" w:hanging="503"/>
        <w:spacing w:after="0"/>
        <w:tabs>
          <w:tab w:leader="none" w:pos="1020" w:val="left"/>
        </w:tabs>
        <w:numPr>
          <w:ilvl w:val="0"/>
          <w:numId w:val="37"/>
        </w:numPr>
        <w:rPr>
          <w:rFonts w:ascii="Calibri" w:cs="Calibri" w:eastAsia="Calibri" w:hAnsi="Calibri"/>
          <w:sz w:val="14"/>
          <w:szCs w:val="14"/>
          <w:color w:val="00002D"/>
        </w:rPr>
      </w:pPr>
      <w:r>
        <w:rPr>
          <w:rFonts w:ascii="Calibri" w:cs="Calibri" w:eastAsia="Calibri" w:hAnsi="Calibri"/>
          <w:sz w:val="14"/>
          <w:szCs w:val="14"/>
          <w:color w:val="00002D"/>
        </w:rPr>
        <w:t>Not meaningful</w:t>
      </w: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U.S. Marketplace segment income from operatons increased $55.0 million, or 43%, in the year ended December 31, 2024, compared to the year ended December 31, 2023, and represented 25% of U.S. Marketplace segment revenue for the year ended December 31, 2024, compared to 20% of U.S. Marketplace segment revenue for the year ended December 31, 2023. The increase was due to an increase in revenue of $86.4 million, a decrease in cost of revenue of $5.9 million, and an increase in operatng expenses of $37.3 million.</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Digital Wholesale segment loss from operatons increased $82.9 million in the year ended December 31, 2024, compared to the year ended December 31, 2023, and represented (183)% of Digital Wholesale segment revenue for the year ended December 31, 2024, compared to (45)% of Digital Wholesale segment revenue for the year ended December 31, 2023. The increase was due primarily to a decrease in revenue of $118.2 million, a decrease in cost of revenue of $102.3 million, and an increase in operatng expenses of $67.0 million. The increase in loss refects a $127.5 million CarOfer reportng unit impairment and a $16.8 million impairment due to the end of the CG Buy Online pilot. For further discussion of goodwill and other asset impairments, see Note 6 to our consolidated fnancial statements included elsewhere in this Annual Report.</w:t>
      </w:r>
    </w:p>
    <w:p>
      <w:pPr>
        <w:spacing w:after="0" w:line="203"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Liquidity and Capital Resources</w:t>
      </w: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Cash, Cash Equivalents, Short-term Investments, and Borrowing Capacity</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our principal sources of liquidity were cash and cash equivalents of $304.2 million. As of December 31, 2023, our principal sources of liquidity were cash and cash equivalents of $291.4 million and short-term investments of $20.7 million. As of December 31, 2024 and 2023, our borrowing capacity under the 2022 Revolver was $390.1 million and $390.4 million, respectvely.</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Sources and Uses of Cash</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During the years ended December 31, 2024 and 2023, our cash fows from operatng, investng, and fnancing actvites, as refected in the consolidated statements of cash fows,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jc w:val="right"/>
              <w:ind w:right="880"/>
              <w:spacing w:after="0"/>
              <w:rPr>
                <w:sz w:val="20"/>
                <w:szCs w:val="20"/>
                <w:color w:val="auto"/>
              </w:rPr>
            </w:pPr>
            <w:r>
              <w:rPr>
                <w:rFonts w:ascii="Calibri" w:cs="Calibri" w:eastAsia="Calibri" w:hAnsi="Calibri"/>
                <w:sz w:val="14"/>
                <w:szCs w:val="14"/>
                <w:b w:val="1"/>
                <w:bCs w:val="1"/>
                <w:color w:val="auto"/>
              </w:rPr>
              <w:t>Year Ended December 31,</w:t>
            </w:r>
          </w:p>
        </w:tc>
        <w:tc>
          <w:tcPr>
            <w:tcW w:w="560" w:type="dxa"/>
            <w:vAlign w:val="bottom"/>
          </w:tcPr>
          <w:p>
            <w:pPr>
              <w:spacing w:after="0"/>
              <w:rPr>
                <w:sz w:val="16"/>
                <w:szCs w:val="16"/>
                <w:color w:val="auto"/>
              </w:rPr>
            </w:pPr>
          </w:p>
        </w:tc>
      </w:tr>
      <w:tr>
        <w:trPr>
          <w:trHeight w:val="173"/>
        </w:trPr>
        <w:tc>
          <w:tcPr>
            <w:tcW w:w="5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93"/>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7"/>
              <w:spacing w:after="0" w:line="169" w:lineRule="exact"/>
              <w:rPr>
                <w:sz w:val="20"/>
                <w:szCs w:val="20"/>
                <w:color w:val="auto"/>
              </w:rPr>
            </w:pPr>
            <w:r>
              <w:rPr>
                <w:rFonts w:ascii="Calibri" w:cs="Calibri" w:eastAsia="Calibri" w:hAnsi="Calibri"/>
                <w:sz w:val="14"/>
                <w:szCs w:val="14"/>
                <w:b w:val="1"/>
                <w:bCs w:val="1"/>
                <w:color w:val="auto"/>
              </w:rPr>
              <w:t>(in</w:t>
            </w:r>
          </w:p>
        </w:tc>
        <w:tc>
          <w:tcPr>
            <w:tcW w:w="680" w:type="dxa"/>
            <w:vAlign w:val="bottom"/>
            <w:gridSpan w:val="2"/>
          </w:tcPr>
          <w:p>
            <w:pPr>
              <w:jc w:val="right"/>
              <w:ind w:right="30"/>
              <w:spacing w:after="0" w:line="169" w:lineRule="exact"/>
              <w:rPr>
                <w:sz w:val="20"/>
                <w:szCs w:val="20"/>
                <w:color w:val="auto"/>
              </w:rPr>
            </w:pPr>
            <w:r>
              <w:rPr>
                <w:rFonts w:ascii="Calibri" w:cs="Calibri" w:eastAsia="Calibri" w:hAnsi="Calibri"/>
                <w:sz w:val="14"/>
                <w:szCs w:val="14"/>
                <w:b w:val="1"/>
                <w:bCs w:val="1"/>
                <w:color w:val="auto"/>
                <w:w w:val="83"/>
              </w:rPr>
              <w:t>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9"/>
        </w:trPr>
        <w:tc>
          <w:tcPr>
            <w:tcW w:w="580" w:type="dxa"/>
            <w:vAlign w:val="bottom"/>
          </w:tcPr>
          <w:p>
            <w:pPr>
              <w:spacing w:after="0"/>
              <w:rPr>
                <w:sz w:val="19"/>
                <w:szCs w:val="19"/>
                <w:color w:val="auto"/>
              </w:rPr>
            </w:pPr>
          </w:p>
        </w:tc>
        <w:tc>
          <w:tcPr>
            <w:tcW w:w="4940" w:type="dxa"/>
            <w:vAlign w:val="bottom"/>
            <w:shd w:val="clear" w:color="auto" w:fill="CFF0FC"/>
          </w:tcPr>
          <w:p>
            <w:pPr>
              <w:spacing w:after="0" w:line="217" w:lineRule="exact"/>
              <w:rPr>
                <w:sz w:val="20"/>
                <w:szCs w:val="20"/>
                <w:color w:val="auto"/>
              </w:rPr>
            </w:pPr>
            <w:r>
              <w:rPr>
                <w:rFonts w:ascii="Calibri" w:cs="Calibri" w:eastAsia="Calibri" w:hAnsi="Calibri"/>
                <w:sz w:val="18"/>
                <w:szCs w:val="18"/>
                <w:color w:val="auto"/>
              </w:rPr>
              <w:t>Net cash provided by operatng actvites</w:t>
            </w:r>
          </w:p>
        </w:tc>
        <w:tc>
          <w:tcPr>
            <w:tcW w:w="2300" w:type="dxa"/>
            <w:vAlign w:val="bottom"/>
            <w:gridSpan w:val="2"/>
            <w:shd w:val="clear" w:color="auto" w:fill="CFF0FC"/>
          </w:tcPr>
          <w:p>
            <w:pPr>
              <w:jc w:val="right"/>
              <w:ind w:right="130"/>
              <w:spacing w:after="0" w:line="217"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255,494</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line="217"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FF0FC"/>
          </w:tcPr>
          <w:p>
            <w:pPr>
              <w:jc w:val="right"/>
              <w:spacing w:after="0" w:line="217" w:lineRule="exact"/>
              <w:rPr>
                <w:sz w:val="20"/>
                <w:szCs w:val="20"/>
                <w:color w:val="auto"/>
              </w:rPr>
            </w:pPr>
            <w:r>
              <w:rPr>
                <w:rFonts w:ascii="Calibri" w:cs="Calibri" w:eastAsia="Calibri" w:hAnsi="Calibri"/>
                <w:sz w:val="18"/>
                <w:szCs w:val="18"/>
                <w:color w:val="auto"/>
              </w:rPr>
              <w:t>124,527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940" w:type="dxa"/>
            <w:vAlign w:val="bottom"/>
          </w:tcPr>
          <w:p>
            <w:pPr>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(72,966 )</w:t>
            </w:r>
          </w:p>
        </w:tc>
        <w:tc>
          <w:tcPr>
            <w:tcW w:w="420" w:type="dxa"/>
            <w:vAlign w:val="bottom"/>
          </w:tcPr>
          <w:p>
            <w:pPr>
              <w:spacing w:after="0"/>
              <w:rPr>
                <w:sz w:val="18"/>
                <w:szCs w:val="18"/>
                <w:color w:val="auto"/>
              </w:rPr>
            </w:pPr>
          </w:p>
        </w:tc>
        <w:tc>
          <w:tcPr>
            <w:tcW w:w="1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(61,564 )</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494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Net cash used in fnancing actvites</w:t>
            </w:r>
          </w:p>
        </w:tc>
        <w:tc>
          <w:tcPr>
            <w:tcW w:w="1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8"/>
              <w:spacing w:after="0" w:line="216" w:lineRule="exact"/>
              <w:rPr>
                <w:sz w:val="20"/>
                <w:szCs w:val="20"/>
                <w:color w:val="auto"/>
              </w:rPr>
            </w:pPr>
            <w:r>
              <w:rPr>
                <w:rFonts w:ascii="Calibri" w:cs="Calibri" w:eastAsia="Calibri" w:hAnsi="Calibri"/>
                <w:sz w:val="18"/>
                <w:szCs w:val="18"/>
                <w:color w:val="auto"/>
              </w:rPr>
              <w:t>(168,629 )</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(253,644 )</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940" w:type="dxa"/>
            <w:vAlign w:val="bottom"/>
          </w:tcPr>
          <w:p>
            <w:pPr>
              <w:spacing w:after="0" w:line="215" w:lineRule="exact"/>
              <w:rPr>
                <w:sz w:val="20"/>
                <w:szCs w:val="20"/>
                <w:color w:val="auto"/>
              </w:rPr>
            </w:pPr>
            <w:r>
              <w:rPr>
                <w:rFonts w:ascii="Calibri" w:cs="Calibri" w:eastAsia="Calibri" w:hAnsi="Calibri"/>
                <w:sz w:val="18"/>
                <w:szCs w:val="18"/>
                <w:color w:val="auto"/>
              </w:rPr>
              <w:t>Impact of foreign currency on cash</w:t>
            </w: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8"/>
              <w:spacing w:after="0" w:line="215" w:lineRule="exact"/>
              <w:rPr>
                <w:sz w:val="20"/>
                <w:szCs w:val="20"/>
                <w:color w:val="auto"/>
              </w:rPr>
            </w:pPr>
            <w:r>
              <w:rPr>
                <w:rFonts w:ascii="Calibri" w:cs="Calibri" w:eastAsia="Calibri" w:hAnsi="Calibri"/>
                <w:sz w:val="18"/>
                <w:szCs w:val="18"/>
                <w:color w:val="auto"/>
              </w:rPr>
              <w:t>(1,596 )</w:t>
            </w:r>
          </w:p>
        </w:tc>
        <w:tc>
          <w:tcPr>
            <w:tcW w:w="42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475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4940" w:type="dxa"/>
            <w:vAlign w:val="bottom"/>
            <w:shd w:val="clear" w:color="auto" w:fill="CFF0FC"/>
          </w:tcPr>
          <w:p>
            <w:pPr>
              <w:spacing w:after="0" w:line="209" w:lineRule="exact"/>
              <w:rPr>
                <w:sz w:val="20"/>
                <w:szCs w:val="20"/>
                <w:color w:val="auto"/>
              </w:rPr>
            </w:pPr>
            <w:r>
              <w:rPr>
                <w:rFonts w:ascii="Calibri" w:cs="Calibri" w:eastAsia="Calibri" w:hAnsi="Calibri"/>
                <w:sz w:val="18"/>
                <w:szCs w:val="18"/>
                <w:color w:val="auto"/>
                <w:w w:val="97"/>
              </w:rPr>
              <w:t>Net increase (decrease) in cash, cash equivalents, and restricted cash</w:t>
            </w:r>
          </w:p>
        </w:tc>
        <w:tc>
          <w:tcPr>
            <w:tcW w:w="19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line="209"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12,303</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FF0FC"/>
          </w:tcPr>
          <w:p>
            <w:pPr>
              <w:jc w:val="right"/>
              <w:ind w:right="40"/>
              <w:spacing w:after="0" w:line="209" w:lineRule="exact"/>
              <w:rPr>
                <w:sz w:val="20"/>
                <w:szCs w:val="20"/>
                <w:color w:val="auto"/>
              </w:rPr>
            </w:pPr>
            <w:r>
              <w:rPr>
                <w:rFonts w:ascii="Calibri" w:cs="Calibri" w:eastAsia="Calibri" w:hAnsi="Calibri"/>
                <w:sz w:val="18"/>
                <w:szCs w:val="18"/>
                <w:color w:val="auto"/>
              </w:rPr>
              <w:t>(190,206 )</w:t>
            </w:r>
          </w:p>
        </w:tc>
        <w:tc>
          <w:tcPr>
            <w:tcW w:w="560" w:type="dxa"/>
            <w:vAlign w:val="bottom"/>
          </w:tcPr>
          <w:p>
            <w:pPr>
              <w:spacing w:after="0"/>
              <w:rPr>
                <w:sz w:val="21"/>
                <w:szCs w:val="21"/>
                <w:color w:val="auto"/>
              </w:rPr>
            </w:pPr>
          </w:p>
        </w:tc>
      </w:tr>
      <w:tr>
        <w:trPr>
          <w:trHeight w:val="606"/>
        </w:trPr>
        <w:tc>
          <w:tcPr>
            <w:tcW w:w="580" w:type="dxa"/>
            <w:vAlign w:val="bottom"/>
          </w:tcPr>
          <w:p>
            <w:pPr>
              <w:spacing w:after="0"/>
              <w:rPr>
                <w:sz w:val="24"/>
                <w:szCs w:val="24"/>
                <w:color w:val="auto"/>
              </w:rPr>
            </w:pPr>
          </w:p>
        </w:tc>
        <w:tc>
          <w:tcPr>
            <w:tcW w:w="494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ind w:right="1670"/>
              <w:spacing w:after="0"/>
              <w:rPr>
                <w:sz w:val="20"/>
                <w:szCs w:val="20"/>
                <w:color w:val="auto"/>
              </w:rPr>
            </w:pPr>
            <w:r>
              <w:rPr>
                <w:rFonts w:ascii="Calibri" w:cs="Calibri" w:eastAsia="Calibri" w:hAnsi="Calibri"/>
                <w:sz w:val="18"/>
                <w:szCs w:val="18"/>
                <w:color w:val="auto"/>
                <w:w w:val="98"/>
              </w:rPr>
              <w:t>59</w:t>
            </w: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86"/>
        </w:trPr>
        <w:tc>
          <w:tcPr>
            <w:tcW w:w="5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-933450</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-916305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operatons have been fnanced primarily from operatng actvites. During the years ended December 31, 2024 and 2023, we generated cash from operatng actvites of $255.5 million and $124.5 million, respectvely.</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September 26, 2022, we entered into a Credit Agreement with PNC Bank, Natonal Associaton, as administratve agent and collateral agent and an L/C Issuer (as defned in the Credit Agreement), and the other lenders, L/C Issuers, and partes thereto from tme to tme, or the Credit Agreement. The Credit Agreement consists of a revolving credit facility, or the 2022 Revolver, which allows us to borrow up to $400.0 million, $50.0 million of which may be comprised of a leter of credit sub-facility. The borrowing capacity under the Credit Agreement may be increased in accordance with the terms and subject to the adjustments as set forth in the Credit Agreement. Specifcally, the borrowing capacity may be increased by an amount up to the greater of $250.0 million or 100% of Four Quarter Consolidated EBITDA (as defned in the Credit Agreement) if certain criteria are met and subject to certain restrictons. Any such increase requires lender approval. Proceeds of any borrowings may be used for general corporate purposes. The 2022 Revolver is scheduled to mature on September 26, 2027. As of December 31, 2024, there were no borrowings and $9.9 million in leters of credit outstanding under the 2022 Revolver associated with our leases, which reduced the borrowing capacity under the 2022 Revolver to $390.1 million. As of December 31, 2023, there were no borrowings and $9.6 million in leters of credit outstanding under the 2022 Revolver associated with our leases, which reduced the borrowing capacity under the 2022 Revolver to $390.4 million.</w:t>
      </w:r>
    </w:p>
    <w:p>
      <w:pPr>
        <w:spacing w:after="0" w:line="22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believe that our existng sources of liquidity, including access to the 2022 Revolver, will be sufcient to fund our operatons for at least the next 12 months from the date of the fling of this Annual Report. Our future capital requirements will depend on many factors, including our revenue; expenses associated with our sales and marketng actvites and the support of our product, technology, and development eforts; payments received in advance from a third-party transacton processor; actvity under the 2025 Share Repurchase Program; and our investments in internatonal markets. Cash from operatons could also be afected by various risks and uncertaintes, including, but not limited to, macroeconomic efects and other risks detailed more specifcally in the “Risk Factors” secton of this Annual Report.</w:t>
      </w:r>
    </w:p>
    <w:p>
      <w:pPr>
        <w:spacing w:after="0" w:line="22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00002D"/>
        </w:rPr>
        <w:t>On December 8, 2022, we announced that our Board of Directors authorized a share repurchase program, or the 2022 Share Repurchase Program, pursuant to which we could, from tme to tme, purchase shares of our Class A common stock for an aggregate purchase price not to exceed $250.0 million. The 2022 Share Repurchase Program expired on December 31, 2023. All repurchased shares of our Class A common stock under the 2022 Share Repurchase Program were retred. We funded share repurchases under the 2022 Share Repurchase Program through cash on hand and cash generated from operatons. During the year ended December 31, 2022, we repurchased and retred 1,350,473 shares for $18.7 million, exclusive of commissions and excise tax, at an average cost of $13.84 per share under the 2022 Share Repurchase Program. During the year ended December 31, 2023, we repurchased and retred 11,076,755 shares for $204.1 million, exclusive of commissions and excise tax, at an average cost of $18.43 per share under the 2022 Share Repurchase Program.</w:t>
      </w: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November 7, 2023, we announced that our Board of Directors authorized the 2024 Share Repurchase Program pursuant to which we could, from tme to tme, purchase shares of our Class A common stock for an aggregate purchase price not to exceed $250.0 million. The 2024 Share Repurchase Program expired on December 31, 2024. All repurchased shares of our Class A common stock under the 2024 Share Repurchase Program were retred. We funded share repurchases under the 2024 Share Repurchase Program through cash on hand and cash generated from operatons. During the year ended December 31, 2024, we repurchased and retred 6,357,302 shares for $146.1 million, exclusive of commissions and excise tax, at an average cost of $22.98 per share under the 2024 Share Repurchase Program.</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November 7, 2024, we announced that our Board of Directors authorized the 2025 Share Repurchase Program pursuant to which we may, from tme to tme, purchase shares of our Class A common stock for an aggregate purchase price not to exceed $200.0 million. Share repurchases under the 2025 Share Repurchase Program may be made through a variety of methods, including but not limited to open market purchases, privately negotated transactons, and transactons that may be efected pursuant to one or more plans under Rule 10b5-1 and/or Rule 10b-18 of the Exchange Act. The 2025 Share Repurchase Program does not obligate us to repurchase any minimum dollar amount or number of shares. The 2025 Share Repurchase Program has an efectve date of January 1, 2025, and an expiraton date of December 31, 2025, and prior to its expiraton may be modifed, suspended, or discontnued by our Board of Directors at any tme without prior notce. All repurchased shares under the 2025 Share Repurchase Program will be retred. We expect to fund share repurchases under the 2025 Share Repurchase Program through cash on hand and cash generated from operatons.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To the extent that our operatng income, existng cash, cash equivalents, and our borrowing capacity under the 2022 Revolver are insufcient to fund our future actvites, we may need to raise additonal funds through a public or private equity or debt fnancing. Additonal funds may not be available on terms favorable to us, or at all. See “Risk Factors—Risks Related to Our Business and Industry—We may require additonal capital to pursue our business objectves and respond to business opportunites, challenges, or</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unforeseen circumstances. If we are unable to generate sufcient cash fows or if capital is not available to us, our business, operatng results, fnancial conditon, and prospects could be adversely afected.” in Part I, Item 1A within this Annual Report.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Operatng Actvites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Net cash provided by operatng actvites of $255.5 million during the year ended December 31, 2024, was due primarily to consolidated net income of $21.0 million, adjusted for $144.4 million of goodwill and other asset impairment due to the CarOfer reportng unit impairment and the end of the CG Buy Online pilot, as discussed in Note 6 to our consolidated fnancial statements included elsewhere in this Annual Report, $62.3 million of stock-based compensaton expense for equity classifed awards to employees, and $25.4 million of depreciaton and amortzaton expense, ofset in part by $33.3 million of deferred taxes. Net cash provided by operatng actvites was also atributable to a $41.8 million increase in lease obligatons primarily related to tenant improvement allowance costs incurred, interest accreton increasing lease liabilites, and amortzaton reducing the right-of-use asset related to 1001 Boylston Street, partally ofset by typical lease payments decreasing the lease liability.</w:t>
      </w:r>
    </w:p>
    <w:p>
      <w:pPr>
        <w:spacing w:after="0" w:line="2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Net cash provided by operatng actvites of $124.5 million during the year ended December 31, 2023, was due primarily to consolidated net income of $22.1 million, adjusted for $63.7 million of stock-based compensaton expense, $48.5 million of depreciaton and amortzaton, $11.8 million of amortzaton of deferred contract costs, and $0.5 million of amortzaton of deferred fnancing costs, ofset in part by $37.9 million of deferred taxes. Net cash provided by operatng actvites was also atributable to a $15.2 million increase in lease obligatons, a $11.0 million decrease in accounts receivable, a $9.1 million increase in deferred revenue, a $2.1 million increase in accounts payable, and a $2.0 million decrease in inventory. The increases in cash fow from operatons were partally ofset by an $18.4 million increase in deferred contract costs, a $3.4 million decrease in accrued expenses, accrued income taxes, and other liabilites, and a $1.5 million increase in prepaid expenses, prepaid income taxes, and other assets.</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Investng Actvites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Net cash used in investng actvites of $73.0 million during the year ended December 31, 2024, was due primarily to $75.2 million in purchases of property and equipment primarily related to our new headquarters at 1001 Boylston Street and $18.8 million in capitalized website development costs due to contnued investment on our product oferings, ofset in part by $21.2 million in sales of short-term investments.</w:t>
      </w:r>
    </w:p>
    <w:p>
      <w:pPr>
        <w:spacing w:after="0" w:line="21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00002D"/>
        </w:rPr>
        <w:t>Net cash used in investng actvites of $61.6 million during the year ended December 31, 2023, was due primarily to $24.6 million in purchases of property and equipment, $20.6 million of purchases of short-term investments, net of sales, and $16.6 million of capitalized website development costs.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Financing Actvites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Net cash used in fnancing actvites of $168.6 million during the year ended December 31, 2024, was due primarily to $146.2 million related to the repurchase of our Class A common stock under the 2024 Share Repurchase Program, $24.9 million related to the payment of withholding taxes on net share setlements of restricted stock units, and $1.6 million for the payment of excise taxes on repurchases of common stock, ofset in part by $4.9 million related to the proceeds from issuance of common stock upon exercise of stock optons.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Net cash used in fnancing actvites of $253.6 million during the year ended December 31, 2023, was due primarily to $208.5 million of payment for repurchase of our Class A common stock under the 2022 Share Repurchase Program, $25.0 million of payment for repurchase of redeemable noncontrolling interest, $15.6 million of payment of withholding taxes on net share setlements of restricted stock units, and $4.5 million of change in gross advance payments received from third-party transacton processor.</w:t>
      </w:r>
    </w:p>
    <w:p>
      <w:pPr>
        <w:spacing w:after="0" w:line="20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Contractual Obligatons and Known Future Cash Requirements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00002D"/>
        </w:rPr>
        <w:t>See Note 10 to our consolidated fnancial statements included elsewhere in this Annual Report for our contractual obligatons and commitments.</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MS PGothic" w:cs="MS PGothic" w:eastAsia="MS PGothic" w:hAnsi="MS PGothic"/>
          <w:sz w:val="29"/>
          <w:szCs w:val="29"/>
          <w:b w:val="1"/>
          <w:bCs w:val="1"/>
          <w:color w:val="00002D"/>
        </w:rPr>
        <w:t>Seasonality</w:t>
      </w:r>
    </w:p>
    <w:p>
      <w:pPr>
        <w:spacing w:after="0" w:line="2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Across the retail automotve industry, consumer purchasing actvity is typically greatest in the frst three quarters of each year, due in part to the introducton of new vehicle models from manufacturers and the seasonal nature of consumer spending.</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Additonally, the volume of wholesale vehicle sales can fuctuate from quarter to quarter driven by several factors, including the tming of used vehicles available for sale from selling customers, the seasonality of the retail market for used vehicles, and/or inventory challenges in the automotve industry, which afect the demand side of the wholesale industry. Macroeconomic conditons, such as slower growth or recession, higher interest rates, unemployment, infaton, consumer confdence in the economy, consumer debt levels, labor disruptons, work stoppages, or strikes, geopolitcal conficts, foreign currency exchange rate fuctuatons, and other maters that infuence consumer spending and preferences, can also impact the volume of wholesale vehicle sales, as was evidenced by the global semiconductor chip shortage and other supply related shortages.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Digital Wholesale segment operatng results have refected the general seasonality of the wholesale vehicle sales market and macroeconomic conditons of the automotve industry. The U.S. Marketplace segment operatng results have refected the macroeconomic conditons of the automotve industry. However, to date, the U.S. Marketplace segment operatng results have not been materially impacted by the general seasonality of the automotve industry. This could possibly change as our business and markets mature.</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a result, revenue and cost of revenue related to volume will fuctuate accordingly on a quarterly basis. Typical seasonality trends may not be observed in periods where other external factors more signifcantly impact the wholesale industry.</w:t>
      </w:r>
    </w:p>
    <w:p>
      <w:pPr>
        <w:spacing w:after="0" w:line="209" w:lineRule="exact"/>
        <w:rPr>
          <w:sz w:val="20"/>
          <w:szCs w:val="20"/>
          <w:color w:val="auto"/>
        </w:rPr>
      </w:pPr>
    </w:p>
    <w:p>
      <w:pPr>
        <w:spacing w:after="0"/>
        <w:rPr>
          <w:sz w:val="20"/>
          <w:szCs w:val="20"/>
          <w:color w:val="auto"/>
        </w:rPr>
      </w:pPr>
      <w:r>
        <w:rPr>
          <w:rFonts w:ascii="MS PGothic" w:cs="MS PGothic" w:eastAsia="MS PGothic" w:hAnsi="MS PGothic"/>
          <w:sz w:val="29"/>
          <w:szCs w:val="29"/>
          <w:b w:val="1"/>
          <w:bCs w:val="1"/>
          <w:color w:val="00002D"/>
        </w:rPr>
        <w:t>Of‑Balance Sheet Arrangements</w:t>
      </w:r>
    </w:p>
    <w:p>
      <w:pPr>
        <w:spacing w:after="0" w:line="2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and 2023, we did not have any of-balance sheet arrangements, or material leases that are less than 12 months in duraton, that have or are reasonably likely to have a current or future material efect on our fnancial conditon, changes in fnancial conditon, revenue or expenses, results of operatons, liquidity, capital expenditures, or capital resources.</w:t>
      </w:r>
    </w:p>
    <w:p>
      <w:pPr>
        <w:spacing w:after="0" w:line="210" w:lineRule="exact"/>
        <w:rPr>
          <w:sz w:val="20"/>
          <w:szCs w:val="20"/>
          <w:color w:val="auto"/>
        </w:rPr>
      </w:pPr>
    </w:p>
    <w:p>
      <w:pPr>
        <w:spacing w:after="0"/>
        <w:rPr>
          <w:sz w:val="20"/>
          <w:szCs w:val="20"/>
          <w:color w:val="auto"/>
        </w:rPr>
      </w:pPr>
      <w:r>
        <w:rPr>
          <w:rFonts w:ascii="MS PGothic" w:cs="MS PGothic" w:eastAsia="MS PGothic" w:hAnsi="MS PGothic"/>
          <w:sz w:val="29"/>
          <w:szCs w:val="29"/>
          <w:b w:val="1"/>
          <w:bCs w:val="1"/>
          <w:color w:val="00002D"/>
        </w:rPr>
        <w:t>Critcal Accountng Estmates</w:t>
      </w:r>
    </w:p>
    <w:p>
      <w:pPr>
        <w:spacing w:after="0" w:line="2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preparaton of the consolidated fnancial statements in conformity with GAAP requires management to make estmates and assumptons that afect the reported amounts of assets and liabilites and the disclosure of contngent assets and liabilites at the date of the fnancial statements, and the reported amounts of revenue and expense during the reportng period.</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Although we regularly assess these estmates, actual results could difer materially from these estmates. We base our estmates on historical experience and various other assumptons that we believe to be reasonable under the circumstances. Actual results may difer from management’s estmates if these results difer from historical experience, or other assumptons do not turn out to be substantally accurate, even if such assumptons are reasonable when made. Changes in estmates are recognized in the period in which they become known.</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Critcal estmates relied upon in preparing the consolidated fnancial statements include the determinaton of sales allowance and variable consideraton in our revenue recogniton, the impairment and useful lives of long-lived assets, the capitalizaton and useful lives of product, technology, and development costs for website development, internal-use sofware, and hostng arrangements, and the valuaton and recoverability of intangible assets and goodwill. Accordingly, we consider these to be our critcal accountng estmates and believe that of our signifcant accountng policies, these involve the greatest degree of judgment and complexity.</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Revenue Recogniton – Sales Allowance and Variable Consideraton</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Total consideraton for marketplace revenue is stated within the contracts. There are no contractual cash refund rights, but credits may be issued to a customer at our sole discreton. Dealer customers do not have the right to take possession of our sofware. At the portolio level, there is also variable consideraton that needs to be included in the transacton price. Variable consideraton consists of sales allowances, usage fees, and concessions that change the transacton price of the unsatsfed or partally unsatsfed performance obligaton. We recognize that there are tmes when there is a customer satsfacton issue or other circumstances that will lead to a credit. Due to the known possibility of future credits, a monthly sales allowance review is performed to defer revenue at</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a portolio level for such future adjustments in the period of incurrence. We establish sales allowances at the tme of revenue recogniton based on our history of adjustments and credits provided to our customers. In assessing the adequacy of the sales allowance, we evaluate our history of adjustments and credits made through the date of the issuance of the consolidated fnancial statements.</w:t>
      </w:r>
    </w:p>
    <w:p>
      <w:pPr>
        <w:spacing w:after="0" w:line="164"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color w:val="00002D"/>
        </w:rPr>
        <w:t>Advertsing contracts state the transacton price within the agreement with payment generally being based on the number of clicks or impressions delivered on our websites. Total consideraton is based on output and deemed variable consideraton constrained by an agreed upon delivery schedule and is allocated to the period in which the service was rendered. Additonally, there are generally no contractual cash refund rights. Certain contracts do contain the right for credits in situatons in which impressions are not displayed in compliance with contractual specifcatons. At an individual contract level, we may give a credit for a customer satsfacton issue or other circumstance. Due to the known possibility of future credits, a monthly review is performed to defer revenue at an individual contract level for such future adjustments in the period of incurrence.</w:t>
      </w:r>
    </w:p>
    <w:p>
      <w:pPr>
        <w:spacing w:after="0" w:line="175"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Other marketplace revenue includes revenue from contracts for which the performance obligaton is a series of distnct services with the same level of efort daily. For these contracts, primarily related to our partnerships with fnancing services companies, we estmate the value of the variable consideraton in determining the transacton price and allocate it to the performance obligaton. Revenue is estmated and recognized on a ratable basis over the contractual term. We reassess the estmate of variable consideraton at each reportng period.</w:t>
      </w:r>
    </w:p>
    <w:p>
      <w:pPr>
        <w:spacing w:after="0" w:line="171" w:lineRule="exact"/>
        <w:rPr>
          <w:sz w:val="20"/>
          <w:szCs w:val="20"/>
          <w:color w:val="auto"/>
        </w:rPr>
      </w:pPr>
    </w:p>
    <w:p>
      <w:pPr>
        <w:jc w:val="both"/>
        <w:spacing w:after="0" w:line="295" w:lineRule="auto"/>
        <w:rPr>
          <w:sz w:val="20"/>
          <w:szCs w:val="20"/>
          <w:color w:val="auto"/>
        </w:rPr>
      </w:pPr>
      <w:r>
        <w:rPr>
          <w:rFonts w:ascii="MS PGothic" w:cs="MS PGothic" w:eastAsia="MS PGothic" w:hAnsi="MS PGothic"/>
          <w:sz w:val="18"/>
          <w:szCs w:val="18"/>
          <w:color w:val="00002D"/>
        </w:rPr>
        <w:t>Within wholesale and product transactons, there are typically no contractual cash refund rights, but credits may be issued to a customer at our sole discreton and refunds may be required by law in the case of a vehicle defect. At the portolio level, there is also variable consideraton that needs to be included in the transacton price. Variable consideraton consists of sales allowances and concessions that change the transacton price of the unsatsfed or partally unsatsfed performance obligaton. We recognize that there are tmes when there is a customer satsfacton issue or other circumstance that will lead to a credit or arbitraton. We establish sales allowances at the tme of revenue recogniton based on our history of adjustments and credits provided to our customers. In assessing the adequacy of the sales allowance, we evaluate our history of adjustments and credits made through the date of the issuance of the consolidated fnancial statements.</w:t>
      </w:r>
    </w:p>
    <w:p>
      <w:pPr>
        <w:spacing w:after="0" w:line="187" w:lineRule="exact"/>
        <w:rPr>
          <w:sz w:val="20"/>
          <w:szCs w:val="20"/>
          <w:color w:val="auto"/>
        </w:rPr>
      </w:pPr>
    </w:p>
    <w:p>
      <w:pPr>
        <w:spacing w:after="0"/>
        <w:rPr>
          <w:sz w:val="20"/>
          <w:szCs w:val="20"/>
          <w:color w:val="auto"/>
        </w:rPr>
      </w:pPr>
      <w:r>
        <w:rPr>
          <w:rFonts w:ascii="MS PGothic" w:cs="MS PGothic" w:eastAsia="MS PGothic" w:hAnsi="MS PGothic"/>
          <w:sz w:val="22"/>
          <w:szCs w:val="22"/>
          <w:b w:val="1"/>
          <w:bCs w:val="1"/>
          <w:color w:val="3465B0"/>
        </w:rPr>
        <w:t>Long‑Lived Assets – Impairment and Useful Lives</w:t>
      </w:r>
    </w:p>
    <w:p>
      <w:pPr>
        <w:spacing w:after="0" w:line="259" w:lineRule="exact"/>
        <w:rPr>
          <w:sz w:val="20"/>
          <w:szCs w:val="20"/>
          <w:color w:val="auto"/>
        </w:rPr>
      </w:pPr>
    </w:p>
    <w:p>
      <w:pPr>
        <w:jc w:val="both"/>
        <w:spacing w:after="0" w:line="295" w:lineRule="auto"/>
        <w:rPr>
          <w:sz w:val="20"/>
          <w:szCs w:val="20"/>
          <w:color w:val="auto"/>
        </w:rPr>
      </w:pPr>
      <w:r>
        <w:rPr>
          <w:rFonts w:ascii="MS PGothic" w:cs="MS PGothic" w:eastAsia="MS PGothic" w:hAnsi="MS PGothic"/>
          <w:sz w:val="18"/>
          <w:szCs w:val="18"/>
          <w:color w:val="00002D"/>
        </w:rPr>
        <w:t>We evaluate the recoverability of long-lived assets for impairment at least annually and whenever events or changes in circumstances indicate that the carrying value of an asset may not be recoverable. During this review, we re‑evaluate the signifcant assumptons used in determining the original cost and estmated lives of long-lived assets. Although the assumptons may vary from asset to asset, they generally include operatng results, changes in the use of the asset, cash fows, and other indicators of value. Management then determines whether the remaining useful life contnues to be appropriate, or whether there has been an impairment of long-lived assets. To test for impairment, recoverability of these assets is frst measured by comparing the carrying amount of the asset to the future undiscounted cash fows the asset is expected to generate. If the asset is determined to not be recoverable, the amount of any impairment is measured as the diference between the carrying value and the fair value of the impaired asset.</w:t>
      </w:r>
    </w:p>
    <w:p>
      <w:pPr>
        <w:spacing w:after="0" w:line="1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Website Development and Internal-Use Sofware Costs – Capitalizaton and Useful Lives</w:t>
      </w:r>
    </w:p>
    <w:p>
      <w:pPr>
        <w:spacing w:after="0" w:line="223"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We determine the amount of website development and internal-use sofware costs to be capitalized based on the amount of tme spent by our developers on projects in the operatng stage of development. There is judgment involved in estmatng the tme allocated to a partcular project in the operatng stage. A signifcant change in the tme spent on each project could have a material impact on the amount capitalized and related amortzaton expense in subsequent periods.</w:t>
      </w:r>
    </w:p>
    <w:p>
      <w:pPr>
        <w:spacing w:after="0" w:line="171"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Capitalized website development and capitalized internal-use sofware costs are amortzed on a straight‑line basis over their estmated useful life of three years beginning with the tme when the product is ready for its intended use. We evaluate the useful lives of these assets when each asset is ready for its intended use, and at least annually thereafer to ensure three years remains appropriate.</w:t>
      </w:r>
    </w:p>
    <w:p>
      <w:pPr>
        <w:spacing w:after="0" w:line="164" w:lineRule="exact"/>
        <w:rPr>
          <w:sz w:val="20"/>
          <w:szCs w:val="20"/>
          <w:color w:val="auto"/>
        </w:rPr>
      </w:pPr>
    </w:p>
    <w:p>
      <w:pPr>
        <w:spacing w:after="0"/>
        <w:rPr>
          <w:sz w:val="20"/>
          <w:szCs w:val="20"/>
          <w:color w:val="auto"/>
        </w:rPr>
      </w:pPr>
      <w:r>
        <w:rPr>
          <w:rFonts w:ascii="MS PGothic" w:cs="MS PGothic" w:eastAsia="MS PGothic" w:hAnsi="MS PGothic"/>
          <w:sz w:val="17"/>
          <w:szCs w:val="17"/>
          <w:color w:val="00002D"/>
        </w:rPr>
        <w:t>We also test for impairment at least annually and whenever events or changes in circumstances occur that could impact the recoverability of these assets.</w:t>
      </w:r>
    </w:p>
    <w:p>
      <w:pPr>
        <w:spacing w:after="0" w:line="46"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Impairment is evaluated as discussed in the “Long-Lived Assets – Impairment and Useful Lives” secton above.</w:t>
      </w:r>
    </w:p>
    <w:p>
      <w:pPr>
        <w:spacing w:after="0" w:line="252"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Hostng Arrangements – Capitalizaton and Useful Lives</w:t>
      </w:r>
    </w:p>
    <w:p>
      <w:pPr>
        <w:spacing w:after="0" w:line="221"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Our hostng arrangements consist of cloud-based hostng platorms. We determine the amount of hostng costs to be capitalized based on the amount of tme spent by our developers on projects in the operatng stage of development. There is judgment involved in estmatng the tme allocated to a partcular project in the operatng stage. A signifcant change in the tme spent on each project could have a material impact on the amount capitalized and related amortzaton expense in subsequent periods.</w:t>
      </w:r>
    </w:p>
    <w:p>
      <w:pPr>
        <w:spacing w:after="0" w:line="171"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Capitalized implementaton costs for hostng arrangements are amortzed on a straight‑line basis over an estmated useful life of the term of the hostng arrangement, taking into consideraton several other factors such as, but not limited to, optons to extend the hostng arrangement or optons to terminate the hostng arrangement, beginning with the tme when the sofware is ready for intended use. We evaluate the useful lives of these assets when each asset is ready for its intended use, and at least annually thereafer to ensure the selected useful life remains appropriate.</w:t>
      </w:r>
    </w:p>
    <w:p>
      <w:pPr>
        <w:spacing w:after="0" w:line="171" w:lineRule="exact"/>
        <w:rPr>
          <w:sz w:val="20"/>
          <w:szCs w:val="20"/>
          <w:color w:val="auto"/>
        </w:rPr>
      </w:pPr>
    </w:p>
    <w:p>
      <w:pPr>
        <w:spacing w:after="0"/>
        <w:rPr>
          <w:sz w:val="20"/>
          <w:szCs w:val="20"/>
          <w:color w:val="auto"/>
        </w:rPr>
      </w:pPr>
      <w:r>
        <w:rPr>
          <w:rFonts w:ascii="MS PGothic" w:cs="MS PGothic" w:eastAsia="MS PGothic" w:hAnsi="MS PGothic"/>
          <w:sz w:val="17"/>
          <w:szCs w:val="17"/>
          <w:color w:val="00002D"/>
        </w:rPr>
        <w:t>We also test for impairment at least annually and whenever events or changes in circumstances occur that could impact the recoverability of these assets.</w:t>
      </w:r>
    </w:p>
    <w:p>
      <w:pPr>
        <w:spacing w:after="0" w:line="46"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Impairment is evaluated as discussed in the “Long-Lived Assets – Impairment and Useful Lives” secton above.</w:t>
      </w:r>
    </w:p>
    <w:p>
      <w:pPr>
        <w:spacing w:after="0" w:line="24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Valuaton and Recoverability of Intangible Assets and Goodwill</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Intangible Assets – Valuaton and Recoverability</w:t>
      </w:r>
    </w:p>
    <w:p>
      <w:pPr>
        <w:spacing w:after="0" w:line="217"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Intangible assets are recognized at their estmated fair value at the date of acquisiton. Fair value is determined based on inputs and assumptons such as discount rates, rates of return on assets, and long-term sales growth rates.</w:t>
      </w:r>
    </w:p>
    <w:p>
      <w:pPr>
        <w:spacing w:after="0" w:line="147" w:lineRule="exact"/>
        <w:rPr>
          <w:sz w:val="20"/>
          <w:szCs w:val="20"/>
          <w:color w:val="auto"/>
        </w:rPr>
      </w:pPr>
    </w:p>
    <w:p>
      <w:pPr>
        <w:jc w:val="both"/>
        <w:spacing w:after="0" w:line="336" w:lineRule="auto"/>
        <w:rPr>
          <w:sz w:val="20"/>
          <w:szCs w:val="20"/>
          <w:color w:val="auto"/>
        </w:rPr>
      </w:pPr>
      <w:r>
        <w:rPr>
          <w:rFonts w:ascii="MS PGothic" w:cs="MS PGothic" w:eastAsia="MS PGothic" w:hAnsi="MS PGothic"/>
          <w:sz w:val="17"/>
          <w:szCs w:val="17"/>
          <w:color w:val="00002D"/>
        </w:rPr>
        <w:t>We amortze intangible assets over their estmated useful lives on a straight-line basis. Useful lives are established based on analysis of all pertnent factors such as: the expected use of the asset, expected useful lives of related assets, provisions that may limit the useful life, historical experience with similar arrangements, efects of economic factors, demand, competton, obsolescence, and maintenance required to maintain the future cash fows.</w:t>
      </w:r>
    </w:p>
    <w:p>
      <w:pPr>
        <w:spacing w:after="0" w:line="150" w:lineRule="exact"/>
        <w:rPr>
          <w:sz w:val="20"/>
          <w:szCs w:val="20"/>
          <w:color w:val="auto"/>
        </w:rPr>
      </w:pPr>
    </w:p>
    <w:p>
      <w:pPr>
        <w:spacing w:after="0"/>
        <w:rPr>
          <w:sz w:val="20"/>
          <w:szCs w:val="20"/>
          <w:color w:val="auto"/>
        </w:rPr>
      </w:pPr>
      <w:r>
        <w:rPr>
          <w:rFonts w:ascii="MS PGothic" w:cs="MS PGothic" w:eastAsia="MS PGothic" w:hAnsi="MS PGothic"/>
          <w:sz w:val="17"/>
          <w:szCs w:val="17"/>
          <w:color w:val="00002D"/>
        </w:rPr>
        <w:t>We evaluate the useful lives of these assets as of the acquisiton date and at least annually thereafer to ensure the selected useful life remains appropriate.</w:t>
      </w:r>
    </w:p>
    <w:p>
      <w:pPr>
        <w:spacing w:after="0" w:line="262" w:lineRule="exact"/>
        <w:rPr>
          <w:sz w:val="20"/>
          <w:szCs w:val="20"/>
          <w:color w:val="auto"/>
        </w:rPr>
      </w:pPr>
    </w:p>
    <w:p>
      <w:pPr>
        <w:spacing w:after="0"/>
        <w:rPr>
          <w:sz w:val="20"/>
          <w:szCs w:val="20"/>
          <w:color w:val="auto"/>
        </w:rPr>
      </w:pPr>
      <w:r>
        <w:rPr>
          <w:rFonts w:ascii="MS PGothic" w:cs="MS PGothic" w:eastAsia="MS PGothic" w:hAnsi="MS PGothic"/>
          <w:sz w:val="17"/>
          <w:szCs w:val="17"/>
          <w:color w:val="00002D"/>
        </w:rPr>
        <w:t>We also test for impairment at least annually and whenever events or changes in circumstances occur that could impact the recoverability of these assets.</w:t>
      </w:r>
    </w:p>
    <w:p>
      <w:pPr>
        <w:spacing w:after="0" w:line="46"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Impairment is evaluated as discussed in the “Long-Lived Assets – Impairment and Useful Lives” secton above.</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Goodwill – Valuaton and Recoverability</w:t>
      </w:r>
    </w:p>
    <w:p>
      <w:pPr>
        <w:spacing w:after="0" w:line="217"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Goodwill is recognized when consideraton paid in a purchase acquisiton exceeds the fair value of the net assets acquired. Goodwill is not amortzed, but rather is tested for impairment annually or more frequently if facts and circumstances warrant a review.</w:t>
      </w:r>
    </w:p>
    <w:p>
      <w:pPr>
        <w:spacing w:after="0" w:line="147" w:lineRule="exact"/>
        <w:rPr>
          <w:sz w:val="20"/>
          <w:szCs w:val="20"/>
          <w:color w:val="auto"/>
        </w:rPr>
      </w:pPr>
    </w:p>
    <w:p>
      <w:pPr>
        <w:jc w:val="both"/>
        <w:spacing w:after="0" w:line="336" w:lineRule="auto"/>
        <w:rPr>
          <w:sz w:val="20"/>
          <w:szCs w:val="20"/>
          <w:color w:val="auto"/>
        </w:rPr>
      </w:pPr>
      <w:r>
        <w:rPr>
          <w:rFonts w:ascii="MS PGothic" w:cs="MS PGothic" w:eastAsia="MS PGothic" w:hAnsi="MS PGothic"/>
          <w:sz w:val="17"/>
          <w:szCs w:val="17"/>
          <w:color w:val="00002D"/>
        </w:rPr>
        <w:t>Conditons that could trigger a more frequent impairment assessment include, but are not limited to, a signifcant adverse change in certain agreements, signifcant underperformance relatve to historical or projected future operatng results, an economic downturn afectng automotve marketplaces, increased competton, a signifcant reducton in our stock price for a sustained period, or a reducton of our market capitalizaton relatve to net book value.</w:t>
      </w:r>
    </w:p>
    <w:p>
      <w:pPr>
        <w:spacing w:after="0" w:line="150" w:lineRule="exact"/>
        <w:rPr>
          <w:sz w:val="20"/>
          <w:szCs w:val="20"/>
          <w:color w:val="auto"/>
        </w:rPr>
      </w:pPr>
    </w:p>
    <w:p>
      <w:pPr>
        <w:jc w:val="both"/>
        <w:spacing w:after="0" w:line="294" w:lineRule="auto"/>
        <w:rPr>
          <w:sz w:val="20"/>
          <w:szCs w:val="20"/>
          <w:color w:val="auto"/>
        </w:rPr>
      </w:pPr>
      <w:r>
        <w:rPr>
          <w:rFonts w:ascii="MS PGothic" w:cs="MS PGothic" w:eastAsia="MS PGothic" w:hAnsi="MS PGothic"/>
          <w:sz w:val="18"/>
          <w:szCs w:val="18"/>
          <w:color w:val="00002D"/>
        </w:rPr>
        <w:t>We evaluate impairment either when required following a triggering event or annually on October 1 by comparing the estmated fair value of each reportng unit to its carrying value. For the fscal year 2024, we determined that we had three reportng units with goodwill: U.S. Marketplace, CarOfer, and U.K. Marketplace. We elect to bypass the optonal qualitatve test for impairment and proceed to Step 1, which is a quanttatve impairment test. For the U.S. Marketplace and U.K. Marketplace reportng units, we estmate fair value using a market approach, based on market multples derived from public companies that we identfy as peers. For our U.S. Marketplace and U.K. Marketplace reportng units, we estmate forecasted revenue for the fscal year and estmate revenue market multples using publicly available informaton for each of our peers. For the CarOfer reportng unit, we estmate fair value using an income approach, based on a discounted cash fow method. The assumptons used to estmate the fair value using a discounted cash fow method include revenue and EBITDA forecasts, the weighted average cost of capital and discount rate, debt-free net working</w:t>
      </w:r>
    </w:p>
    <w:p>
      <w:pPr>
        <w:spacing w:after="0" w:line="180"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capital forecasts, and long-term growth rate. We reconcile the aggregate fair values of all reportng units to our market capitalizaton following a triggering event or annually as of October 1, 2024, for reasonableness.</w:t>
      </w:r>
    </w:p>
    <w:p>
      <w:pPr>
        <w:spacing w:after="0" w:line="199"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Recently Issued Accountng Pronouncements</w:t>
      </w:r>
    </w:p>
    <w:p>
      <w:pPr>
        <w:spacing w:after="0" w:line="23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Informaton concerning recently issued accountng pronouncements can be found in Note 2 to our consolidated fnancial statements included elsewhere in this Annual Report.</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7A. Quanttatve and Qualitatve Disclosures about Market Risk.</w:t>
      </w:r>
    </w:p>
    <w:p>
      <w:pPr>
        <w:spacing w:after="0" w:line="2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Market risk represents the risk of loss that may afect our fnancial positon due to adverse changes in fnancial market prices and rates. We are exposed to market risks as described below.</w:t>
      </w:r>
    </w:p>
    <w:p>
      <w:pPr>
        <w:spacing w:after="0" w:line="199" w:lineRule="exact"/>
        <w:rPr>
          <w:sz w:val="20"/>
          <w:szCs w:val="20"/>
          <w:color w:val="auto"/>
        </w:rPr>
      </w:pPr>
    </w:p>
    <w:p>
      <w:pPr>
        <w:spacing w:after="0"/>
        <w:rPr>
          <w:sz w:val="20"/>
          <w:szCs w:val="20"/>
          <w:color w:val="auto"/>
        </w:rPr>
      </w:pPr>
      <w:r>
        <w:rPr>
          <w:rFonts w:ascii="Calibri" w:cs="Calibri" w:eastAsia="Calibri" w:hAnsi="Calibri"/>
          <w:sz w:val="29"/>
          <w:szCs w:val="29"/>
          <w:b w:val="1"/>
          <w:bCs w:val="1"/>
          <w:i w:val="1"/>
          <w:iCs w:val="1"/>
          <w:color w:val="00002D"/>
        </w:rPr>
        <w:t>Interest Rate Risk</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and 2023, our exposure to market risk associated with changes in interest rates related primarily to the 2022 Revolver, which allows us to borrow up to $400.0 million. The applicable interest rate is, at our opton, based on a number of diferent benchmark rates and applicable spreads, as determined by the Consolidated Secured Net Leverage Rato (as defned in Note 9 to our consolidated fnancial statements included elsewhere in this Annual Report). A fuctuaton in interest rates does not have an impact on interest expense unless the 2022 Revolver is drawn upon. Such impact would also be dependent on the amount of the draw.</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there were no borrowings and $9.9 million in leters of credit outstanding under the 2022 Revolver associated with our leases, which reduced the borrowing capacity under the 2022 Revolver to $390.1 million. As of December 31, 2023, there were no borrowings and $9.6 million in leters of credit outstanding under the 2022 Revolver associated with our leases, which reduced the borrowing capacity under the 2022 Revolver to $390.4 million.</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we had cash and cash equivalents of $304.2 million, which consisted of bank deposits, money market accounts, and mutual funds. As of December 31, 2023, we had cash, cash equivalents, and short-term investments of $312.1 million, which consisted of bank deposits, money market accounts, and mutual funds.</w:t>
      </w:r>
    </w:p>
    <w:p>
      <w:pPr>
        <w:spacing w:after="0" w:line="21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00002D"/>
        </w:rPr>
        <w:t>Such interest-earning instruments carry a degree of interest rate risk. For the year ended December 31, 2024 and 2023, fuctuatons resultng from changes in the interest rate environment in interest income have not been material to our business, fnancial conditon, or results of operatons. Given recent changes in the interest rate environment and in an efort to ensure liquidity, we expect variable returns from our cash equivalents for the foreseeable future.</w:t>
      </w:r>
    </w:p>
    <w:p>
      <w:pPr>
        <w:spacing w:after="0" w:line="20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do not enter into investments for trading or speculatve purposes and have not used any derivatve fnancial instruments to manage our interest rate risk exposure. As circumstances change, we will contnue to reassess our approach to managing these risks.</w:t>
      </w:r>
    </w:p>
    <w:p>
      <w:pPr>
        <w:spacing w:after="0" w:line="199" w:lineRule="exact"/>
        <w:rPr>
          <w:sz w:val="20"/>
          <w:szCs w:val="20"/>
          <w:color w:val="auto"/>
        </w:rPr>
      </w:pPr>
    </w:p>
    <w:p>
      <w:pPr>
        <w:spacing w:after="0"/>
        <w:rPr>
          <w:sz w:val="20"/>
          <w:szCs w:val="20"/>
          <w:color w:val="auto"/>
        </w:rPr>
      </w:pPr>
      <w:r>
        <w:rPr>
          <w:rFonts w:ascii="Calibri" w:cs="Calibri" w:eastAsia="Calibri" w:hAnsi="Calibri"/>
          <w:sz w:val="29"/>
          <w:szCs w:val="29"/>
          <w:b w:val="1"/>
          <w:bCs w:val="1"/>
          <w:i w:val="1"/>
          <w:iCs w:val="1"/>
          <w:color w:val="00002D"/>
        </w:rPr>
        <w:t>Infaton Risk</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and 2023, we did not believe that infaton had a material efect on our business, fnancial conditon, or results of operatons. However, if our costs were to become subject to signifcant infatonary pressures, we may not be able to fully ofset such higher costs through price increases. Our inability or failure to do so could harm our business, operatng results, and fnancial conditon. Additonally, infatonary pressures could negatvely impact vehicle purchasing behavior, which could have an adverse impact on our fnancial results.</w:t>
      </w:r>
    </w:p>
    <w:p>
      <w:pPr>
        <w:spacing w:after="0" w:line="201" w:lineRule="exact"/>
        <w:rPr>
          <w:sz w:val="20"/>
          <w:szCs w:val="20"/>
          <w:color w:val="auto"/>
        </w:rPr>
      </w:pPr>
    </w:p>
    <w:p>
      <w:pPr>
        <w:spacing w:after="0"/>
        <w:rPr>
          <w:sz w:val="20"/>
          <w:szCs w:val="20"/>
          <w:color w:val="auto"/>
        </w:rPr>
      </w:pPr>
      <w:r>
        <w:rPr>
          <w:rFonts w:ascii="Calibri" w:cs="Calibri" w:eastAsia="Calibri" w:hAnsi="Calibri"/>
          <w:sz w:val="29"/>
          <w:szCs w:val="29"/>
          <w:b w:val="1"/>
          <w:bCs w:val="1"/>
          <w:i w:val="1"/>
          <w:iCs w:val="1"/>
          <w:color w:val="00002D"/>
        </w:rPr>
        <w:t>Foreign Currency Exchange Risk</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and 2023, we had foreign currency exposures in the Britsh pound, the Euro, and the Canadian dollar, but fuctuatons resultng from exchange rates between these foreign currencies and the U.S. dollar have not been material to our business, fnancial conditon, or results of operatons. However, fuctuatons in exchange rates in the future may have a material impact on our business, fnancial conditon, or results of operatons.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have not used any fnancial instruments to manage our foreign currency exchange risk exposure. As circumstances change, we will contnue to reassess our approach to managing these risks.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8. Financial Statements and Supplementary Data.</w:t>
      </w:r>
    </w:p>
    <w:p>
      <w:pPr>
        <w:spacing w:after="0" w:line="222"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00002D"/>
        </w:rPr>
        <w:t>CarGurus, Inc.</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00002D"/>
        </w:rPr>
        <w:t>Index to Consolidated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Page No.</w:t>
            </w:r>
          </w:p>
        </w:tc>
      </w:tr>
      <w:tr>
        <w:trPr>
          <w:trHeight w:val="162"/>
        </w:trPr>
        <w:tc>
          <w:tcPr>
            <w:tcW w:w="20" w:type="dxa"/>
            <w:vAlign w:val="bottom"/>
          </w:tcPr>
          <w:p>
            <w:pPr>
              <w:spacing w:after="0"/>
              <w:rPr>
                <w:sz w:val="14"/>
                <w:szCs w:val="14"/>
                <w:color w:val="auto"/>
              </w:rPr>
            </w:pPr>
          </w:p>
        </w:tc>
        <w:tc>
          <w:tcPr>
            <w:tcW w:w="10560" w:type="dxa"/>
            <w:vAlign w:val="bottom"/>
            <w:gridSpan w:val="10"/>
          </w:tcPr>
          <w:p>
            <w:pPr>
              <w:spacing w:after="0" w:line="162" w:lineRule="exact"/>
              <w:rPr>
                <w:sz w:val="20"/>
                <w:szCs w:val="20"/>
                <w:color w:val="auto"/>
              </w:rPr>
            </w:pPr>
            <w:r>
              <w:rPr>
                <w:rFonts w:ascii="Calibri" w:cs="Calibri" w:eastAsia="Calibri" w:hAnsi="Calibri"/>
                <w:sz w:val="17"/>
                <w:szCs w:val="17"/>
                <w:color w:val="0000FF"/>
              </w:rPr>
              <w:t>Report of Independent Registered Public Accountng Firm (PCAOB ID: 42)</w:t>
            </w:r>
          </w:p>
        </w:tc>
        <w:tc>
          <w:tcPr>
            <w:tcW w:w="660" w:type="dxa"/>
            <w:vAlign w:val="bottom"/>
          </w:tcPr>
          <w:p>
            <w:pPr>
              <w:jc w:val="center"/>
              <w:spacing w:after="0" w:line="162" w:lineRule="exact"/>
              <w:rPr>
                <w:sz w:val="20"/>
                <w:szCs w:val="20"/>
                <w:color w:val="auto"/>
              </w:rPr>
            </w:pPr>
            <w:r>
              <w:rPr>
                <w:rFonts w:ascii="Calibri" w:cs="Calibri" w:eastAsia="Calibri" w:hAnsi="Calibri"/>
                <w:sz w:val="17"/>
                <w:szCs w:val="17"/>
                <w:color w:val="auto"/>
              </w:rPr>
              <w:t>68</w:t>
            </w:r>
          </w:p>
        </w:tc>
      </w:tr>
      <w:tr>
        <w:trPr>
          <w:trHeight w:val="196"/>
        </w:trPr>
        <w:tc>
          <w:tcPr>
            <w:tcW w:w="20" w:type="dxa"/>
            <w:vAlign w:val="bottom"/>
          </w:tcPr>
          <w:p>
            <w:pPr>
              <w:spacing w:after="0"/>
              <w:rPr>
                <w:sz w:val="17"/>
                <w:szCs w:val="17"/>
                <w:color w:val="auto"/>
              </w:rPr>
            </w:pPr>
          </w:p>
        </w:tc>
        <w:tc>
          <w:tcPr>
            <w:tcW w:w="5200" w:type="dxa"/>
            <w:vAlign w:val="bottom"/>
            <w:tcBorders>
              <w:top w:val="single" w:sz="8" w:color="0000EE"/>
            </w:tcBorders>
            <w:gridSpan w:val="5"/>
          </w:tcPr>
          <w:p>
            <w:pPr>
              <w:spacing w:after="0" w:line="196" w:lineRule="exact"/>
              <w:rPr>
                <w:sz w:val="20"/>
                <w:szCs w:val="20"/>
                <w:color w:val="auto"/>
              </w:rPr>
            </w:pPr>
            <w:r>
              <w:rPr>
                <w:rFonts w:ascii="Calibri" w:cs="Calibri" w:eastAsia="Calibri" w:hAnsi="Calibri"/>
                <w:sz w:val="18"/>
                <w:szCs w:val="18"/>
                <w:color w:val="0000FF"/>
              </w:rPr>
              <w:t>Consolidated Balance Sheets as of December 31, 2024 and 2023</w:t>
            </w:r>
          </w:p>
        </w:tc>
        <w:tc>
          <w:tcPr>
            <w:tcW w:w="5360" w:type="dxa"/>
            <w:vAlign w:val="bottom"/>
            <w:gridSpan w:val="5"/>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Calibri" w:cs="Calibri" w:eastAsia="Calibri" w:hAnsi="Calibri"/>
                <w:sz w:val="18"/>
                <w:szCs w:val="18"/>
                <w:color w:val="auto"/>
                <w:w w:val="98"/>
              </w:rPr>
              <w:t>71</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60" w:type="dxa"/>
            <w:vAlign w:val="bottom"/>
            <w:gridSpan w:val="10"/>
          </w:tcPr>
          <w:p>
            <w:pPr>
              <w:spacing w:after="0" w:line="196" w:lineRule="exact"/>
              <w:rPr>
                <w:sz w:val="20"/>
                <w:szCs w:val="20"/>
                <w:color w:val="auto"/>
              </w:rPr>
            </w:pPr>
            <w:r>
              <w:rPr>
                <w:rFonts w:ascii="Calibri" w:cs="Calibri" w:eastAsia="Calibri" w:hAnsi="Calibri"/>
                <w:sz w:val="18"/>
                <w:szCs w:val="18"/>
                <w:color w:val="0000FF"/>
              </w:rPr>
              <w:t>Consolidated Income Statements for the Years Ended December 31, 2024, 2023, and 2022</w:t>
            </w:r>
          </w:p>
        </w:tc>
        <w:tc>
          <w:tcPr>
            <w:tcW w:w="660" w:type="dxa"/>
            <w:vAlign w:val="bottom"/>
          </w:tcPr>
          <w:p>
            <w:pPr>
              <w:jc w:val="center"/>
              <w:spacing w:after="0" w:line="196" w:lineRule="exact"/>
              <w:rPr>
                <w:sz w:val="20"/>
                <w:szCs w:val="20"/>
                <w:color w:val="auto"/>
              </w:rPr>
            </w:pPr>
            <w:r>
              <w:rPr>
                <w:rFonts w:ascii="Calibri" w:cs="Calibri" w:eastAsia="Calibri" w:hAnsi="Calibri"/>
                <w:sz w:val="18"/>
                <w:szCs w:val="18"/>
                <w:color w:val="auto"/>
                <w:w w:val="98"/>
              </w:rPr>
              <w:t>72</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60" w:type="dxa"/>
            <w:vAlign w:val="bottom"/>
            <w:gridSpan w:val="10"/>
          </w:tcPr>
          <w:p>
            <w:pPr>
              <w:spacing w:after="0" w:line="196" w:lineRule="exact"/>
              <w:rPr>
                <w:sz w:val="20"/>
                <w:szCs w:val="20"/>
                <w:color w:val="auto"/>
              </w:rPr>
            </w:pPr>
            <w:r>
              <w:rPr>
                <w:rFonts w:ascii="Calibri" w:cs="Calibri" w:eastAsia="Calibri" w:hAnsi="Calibri"/>
                <w:sz w:val="18"/>
                <w:szCs w:val="18"/>
                <w:color w:val="0000FF"/>
              </w:rPr>
              <w:t>Consolidated Statements of Comprehensive Income for the Years Ended December 31, 2024, 2023, and 2022</w:t>
            </w:r>
          </w:p>
        </w:tc>
        <w:tc>
          <w:tcPr>
            <w:tcW w:w="660" w:type="dxa"/>
            <w:vAlign w:val="bottom"/>
          </w:tcPr>
          <w:p>
            <w:pPr>
              <w:jc w:val="center"/>
              <w:spacing w:after="0" w:line="196" w:lineRule="exact"/>
              <w:rPr>
                <w:sz w:val="20"/>
                <w:szCs w:val="20"/>
                <w:color w:val="auto"/>
              </w:rPr>
            </w:pPr>
            <w:r>
              <w:rPr>
                <w:rFonts w:ascii="Calibri" w:cs="Calibri" w:eastAsia="Calibri" w:hAnsi="Calibri"/>
                <w:sz w:val="18"/>
                <w:szCs w:val="18"/>
                <w:color w:val="auto"/>
                <w:w w:val="98"/>
              </w:rPr>
              <w:t>73</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sz w:val="20"/>
                <w:szCs w:val="20"/>
                <w:color w:val="auto"/>
              </w:rPr>
            </w:pPr>
            <w:r>
              <w:rPr>
                <w:rFonts w:ascii="Calibri" w:cs="Calibri" w:eastAsia="Calibri" w:hAnsi="Calibri"/>
                <w:sz w:val="18"/>
                <w:szCs w:val="18"/>
                <w:color w:val="0000FF"/>
                <w:w w:val="97"/>
              </w:rPr>
              <w:t>Consolidated Statements of Redeemable Noncontrolling Interest and Stockholders’ Equity for the Years Ended December 31, 2024, 2023, and</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600" w:type="dxa"/>
            <w:vAlign w:val="bottom"/>
            <w:gridSpan w:val="3"/>
          </w:tcPr>
          <w:p>
            <w:pPr>
              <w:jc w:val="right"/>
              <w:spacing w:after="0" w:line="196" w:lineRule="exact"/>
              <w:rPr>
                <w:sz w:val="20"/>
                <w:szCs w:val="20"/>
                <w:color w:val="auto"/>
              </w:rPr>
            </w:pPr>
            <w:r>
              <w:rPr>
                <w:rFonts w:ascii="Calibri" w:cs="Calibri" w:eastAsia="Calibri" w:hAnsi="Calibri"/>
                <w:sz w:val="18"/>
                <w:szCs w:val="18"/>
                <w:color w:val="0000FF"/>
              </w:rPr>
              <w:t>2022</w:t>
            </w:r>
          </w:p>
        </w:tc>
        <w:tc>
          <w:tcPr>
            <w:tcW w:w="2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Calibri" w:cs="Calibri" w:eastAsia="Calibri" w:hAnsi="Calibri"/>
                <w:sz w:val="18"/>
                <w:szCs w:val="18"/>
                <w:color w:val="auto"/>
                <w:w w:val="98"/>
              </w:rPr>
              <w:t>74</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60" w:type="dxa"/>
            <w:vAlign w:val="bottom"/>
            <w:gridSpan w:val="10"/>
          </w:tcPr>
          <w:p>
            <w:pPr>
              <w:spacing w:after="0" w:line="196" w:lineRule="exact"/>
              <w:rPr>
                <w:sz w:val="20"/>
                <w:szCs w:val="20"/>
                <w:color w:val="auto"/>
              </w:rPr>
            </w:pPr>
            <w:r>
              <w:rPr>
                <w:rFonts w:ascii="Calibri" w:cs="Calibri" w:eastAsia="Calibri" w:hAnsi="Calibri"/>
                <w:sz w:val="18"/>
                <w:szCs w:val="18"/>
                <w:color w:val="0000FF"/>
              </w:rPr>
              <w:t>Consolidated Statements of Cash Flows for the Years Ended December 31, 2024, 2023, and 2022</w:t>
            </w:r>
          </w:p>
        </w:tc>
        <w:tc>
          <w:tcPr>
            <w:tcW w:w="660" w:type="dxa"/>
            <w:vAlign w:val="bottom"/>
          </w:tcPr>
          <w:p>
            <w:pPr>
              <w:jc w:val="center"/>
              <w:spacing w:after="0" w:line="196" w:lineRule="exact"/>
              <w:rPr>
                <w:sz w:val="20"/>
                <w:szCs w:val="20"/>
                <w:color w:val="auto"/>
              </w:rPr>
            </w:pPr>
            <w:r>
              <w:rPr>
                <w:rFonts w:ascii="Calibri" w:cs="Calibri" w:eastAsia="Calibri" w:hAnsi="Calibri"/>
                <w:sz w:val="18"/>
                <w:szCs w:val="18"/>
                <w:color w:val="auto"/>
                <w:w w:val="98"/>
              </w:rPr>
              <w:t>75</w:t>
            </w:r>
          </w:p>
        </w:tc>
      </w:tr>
      <w:tr>
        <w:trPr>
          <w:trHeight w:val="196"/>
        </w:trPr>
        <w:tc>
          <w:tcPr>
            <w:tcW w:w="2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3"/>
          </w:tcPr>
          <w:p>
            <w:pPr>
              <w:spacing w:after="0" w:line="196" w:lineRule="exact"/>
              <w:rPr>
                <w:sz w:val="20"/>
                <w:szCs w:val="20"/>
                <w:color w:val="auto"/>
              </w:rPr>
            </w:pPr>
            <w:r>
              <w:rPr>
                <w:rFonts w:ascii="Calibri" w:cs="Calibri" w:eastAsia="Calibri" w:hAnsi="Calibri"/>
                <w:sz w:val="18"/>
                <w:szCs w:val="18"/>
                <w:color w:val="0000FF"/>
                <w:w w:val="97"/>
              </w:rPr>
              <w:t>Notes to Consolidated Financial Statements</w:t>
            </w:r>
          </w:p>
        </w:tc>
        <w:tc>
          <w:tcPr>
            <w:tcW w:w="3740" w:type="dxa"/>
            <w:vAlign w:val="bottom"/>
            <w:tcBorders>
              <w:top w:val="single" w:sz="8" w:color="0000EE"/>
            </w:tcBorders>
            <w:gridSpan w:val="4"/>
          </w:tcPr>
          <w:p>
            <w:pPr>
              <w:spacing w:after="0"/>
              <w:rPr>
                <w:sz w:val="17"/>
                <w:szCs w:val="17"/>
                <w:color w:val="auto"/>
              </w:rPr>
            </w:pPr>
          </w:p>
        </w:tc>
        <w:tc>
          <w:tcPr>
            <w:tcW w:w="3700" w:type="dxa"/>
            <w:vAlign w:val="bottom"/>
            <w:gridSpan w:val="3"/>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Calibri" w:cs="Calibri" w:eastAsia="Calibri" w:hAnsi="Calibri"/>
                <w:sz w:val="18"/>
                <w:szCs w:val="18"/>
                <w:color w:val="auto"/>
                <w:w w:val="98"/>
              </w:rPr>
              <w:t>76</w:t>
            </w:r>
          </w:p>
        </w:tc>
      </w:tr>
      <w:tr>
        <w:trPr>
          <w:trHeight w:val="658"/>
        </w:trPr>
        <w:tc>
          <w:tcPr>
            <w:tcW w:w="6440" w:type="dxa"/>
            <w:vAlign w:val="bottom"/>
            <w:gridSpan w:val="7"/>
          </w:tcPr>
          <w:p>
            <w:pPr>
              <w:jc w:val="right"/>
              <w:ind w:right="720"/>
              <w:spacing w:after="0"/>
              <w:rPr>
                <w:sz w:val="20"/>
                <w:szCs w:val="20"/>
                <w:color w:val="auto"/>
              </w:rPr>
            </w:pPr>
            <w:r>
              <w:rPr>
                <w:rFonts w:ascii="Calibri" w:cs="Calibri" w:eastAsia="Calibri" w:hAnsi="Calibri"/>
                <w:sz w:val="18"/>
                <w:szCs w:val="18"/>
                <w:color w:val="auto"/>
              </w:rPr>
              <w:t>67</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87"/>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Calibri" w:cs="Calibri" w:eastAsia="Calibri" w:hAnsi="Calibri"/>
          <w:sz w:val="29"/>
          <w:szCs w:val="29"/>
          <w:b w:val="1"/>
          <w:bCs w:val="1"/>
          <w:color w:val="00002D"/>
        </w:rPr>
        <w:t>Report of Independent Registered Public Accountng Firm</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Stockholders and the Board of Directors of CarGurus, Inc.</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Opinion on the Financial Statements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audited the accompanying consolidated balance sheets of CarGurus, Inc.(the Company) as of December 31, 2024 and 2023, the related consolidated statements of income, comprehensive income, redeemable noncontrolling interest and stockholders’ equity and cash fows for each of the three years in the period ended December 31, 2024, and the related notes (collectvely referred to as the “consolidated fnancial statements”). In our opinion, the consolidated fnancial statements present fairly, in all material respects, the fnancial positon of the Company at December 31, 2024 and 2023, and the results of its operatons and its cash fows for each of the three years in the period ended December 31, 2024, in conformity with U.S. generally accepted accountng principles.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Company’s internal control over fnancial reportng as of December 31, 2024, based on criteria established in Internal Control—Integrated Framework issued by the Commitee of Sponsoring Organizatons of the Treadway Commission (2013 framework), and our report dated February 20, 2025, expressed an unqualifed opinion thereon.</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 xml:space="preserve">Adopton of ASU 2023-07 </w:t>
      </w:r>
      <w:r>
        <w:rPr>
          <w:rFonts w:ascii="Calibri" w:cs="Calibri" w:eastAsia="Calibri" w:hAnsi="Calibri"/>
          <w:sz w:val="22"/>
          <w:szCs w:val="22"/>
          <w:b w:val="1"/>
          <w:bCs w:val="1"/>
          <w:i w:val="1"/>
          <w:iCs w:val="1"/>
          <w:color w:val="auto"/>
        </w:rPr>
        <w:t>Segment Reportng (Topic 280)</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discussed in Note 2 to the consolidated fnancial statements, the Company changed its method of accountng for segment disclosures in 2024 and 2023 due to the adopton of ASU No. 2023-07, </w:t>
      </w:r>
      <w:r>
        <w:rPr>
          <w:rFonts w:ascii="Calibri" w:cs="Calibri" w:eastAsia="Calibri" w:hAnsi="Calibri"/>
          <w:sz w:val="18"/>
          <w:szCs w:val="18"/>
          <w:i w:val="1"/>
          <w:iCs w:val="1"/>
          <w:color w:val="auto"/>
        </w:rPr>
        <w:t>Segment Reportng</w:t>
      </w:r>
      <w:r>
        <w:rPr>
          <w:rFonts w:ascii="Calibri" w:cs="Calibri" w:eastAsia="Calibri" w:hAnsi="Calibri"/>
          <w:sz w:val="18"/>
          <w:szCs w:val="18"/>
          <w:color w:val="auto"/>
        </w:rPr>
        <w:t>.</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Basis for Opinion</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Critcal Audit Mater</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critcal audit maters communicated below are maters arising from the current period audit of the fnancial statements that were communicated or required to be communicated to the audit commitee and that: (1) relate to accounts or disclosures that are material to the fnancial statements and (2) involved our especially challenging, subjectve or complex judgments. The communicaton of critcal audit maters does not alter in any way our opinion on the consolidated fnancial statements, taken as a whole, and we are not, by communicatng the critcal audit maters below, providing separate opinions on the critcal audit maters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60"/>
        <w:spacing w:after="0"/>
        <w:rPr>
          <w:sz w:val="20"/>
          <w:szCs w:val="20"/>
          <w:color w:val="auto"/>
        </w:rPr>
      </w:pPr>
      <w:r>
        <w:rPr>
          <w:rFonts w:ascii="Calibri" w:cs="Calibri" w:eastAsia="Calibri" w:hAnsi="Calibri"/>
          <w:sz w:val="17"/>
          <w:szCs w:val="17"/>
          <w:b w:val="1"/>
          <w:bCs w:val="1"/>
          <w:i w:val="1"/>
          <w:iCs w:val="1"/>
          <w:color w:val="auto"/>
        </w:rPr>
        <w:t>Impairment of Goodwill and Intangible Assets</w:t>
      </w:r>
    </w:p>
    <w:p>
      <w:pPr>
        <w:sectPr>
          <w:pgSz w:w="11900" w:h="16838" w:orient="portrait"/>
          <w:cols w:equalWidth="0" w:num="1">
            <w:col w:w="11240"/>
          </w:cols>
          <w:pgMar w:left="320" w:top="112" w:right="339" w:bottom="1440" w:gutter="0" w:footer="0" w:header="0"/>
        </w:sectPr>
      </w:pPr>
    </w:p>
    <w:p>
      <w:pPr>
        <w:spacing w:after="0" w:line="116"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i w:val="1"/>
          <w:iCs w:val="1"/>
          <w:color w:val="auto"/>
        </w:rPr>
        <w:t>Descripton of the Mater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ind w:right="100"/>
        <w:spacing w:after="0" w:line="251" w:lineRule="auto"/>
        <w:rPr>
          <w:sz w:val="20"/>
          <w:szCs w:val="20"/>
          <w:color w:val="auto"/>
        </w:rPr>
      </w:pPr>
      <w:r>
        <w:rPr>
          <w:rFonts w:ascii="Calibri" w:cs="Calibri" w:eastAsia="Calibri" w:hAnsi="Calibri"/>
          <w:sz w:val="17"/>
          <w:szCs w:val="17"/>
          <w:color w:val="auto"/>
        </w:rPr>
        <w:t>As more fully described in Note 6 to the consolidated fnancial statements, during 2024, the Company recorded an impairment loss on goodwill and certain intangible assets related to the CarOfer reportng unit. Because of declines in transacton volumes, the Company evaluated the CarOfer long-lived assets and goodwill for recoverability and determined that certain assets were not recoverable and were also impaired. As a result, the Company recognized a $7.5 million impairment loss related to brand intangible assets, and a $115.2 million impairment of goodwill, inclusive of a deferred tax impact of $28.4 million. This represented the amount by which the carrying value exceeded the estmated fair value of these assets.</w:t>
      </w:r>
    </w:p>
    <w:p>
      <w:pPr>
        <w:spacing w:after="0" w:line="200" w:lineRule="exact"/>
        <w:rPr>
          <w:sz w:val="20"/>
          <w:szCs w:val="20"/>
          <w:color w:val="auto"/>
        </w:rPr>
      </w:pPr>
    </w:p>
    <w:p>
      <w:pPr>
        <w:sectPr>
          <w:pgSz w:w="11900" w:h="16838" w:orient="portrait"/>
          <w:cols w:equalWidth="0" w:num="2">
            <w:col w:w="1380" w:space="680"/>
            <w:col w:w="9180"/>
          </w:cols>
          <w:pgMar w:left="320" w:top="112" w:right="339" w:bottom="1440" w:gutter="0" w:footer="0" w:header="0"/>
          <w:type w:val="continuous"/>
        </w:sectPr>
      </w:pPr>
    </w:p>
    <w:p>
      <w:pPr>
        <w:spacing w:after="0" w:line="10" w:lineRule="exact"/>
        <w:rPr>
          <w:sz w:val="20"/>
          <w:szCs w:val="20"/>
          <w:color w:val="auto"/>
        </w:rPr>
      </w:pPr>
    </w:p>
    <w:p>
      <w:pPr>
        <w:jc w:val="both"/>
        <w:ind w:left="2060" w:right="100"/>
        <w:spacing w:after="0" w:line="235" w:lineRule="auto"/>
        <w:rPr>
          <w:sz w:val="20"/>
          <w:szCs w:val="20"/>
          <w:color w:val="auto"/>
        </w:rPr>
      </w:pPr>
      <w:r>
        <w:rPr>
          <w:rFonts w:ascii="Calibri" w:cs="Calibri" w:eastAsia="Calibri" w:hAnsi="Calibri"/>
          <w:sz w:val="18"/>
          <w:szCs w:val="18"/>
          <w:color w:val="auto"/>
        </w:rPr>
        <w:t>Auditng the Company’s impairment of goodwill and intangible assets was complex due to the signifcant estmaton uncertainty in the Company’s determinaton of the fair value of these assets. The signifcant estmaton uncertainty was primarily due to the sensitvity of the fair values to the signifcant underlying assumptons. Signifcant assumptons used in the Company’s fair value estmate included discount rates, royalty rates, and certain assumptons that form the basis of the forecasted results (e.g., revenue growth rates, cost of goods sold, and operatng expenses). These signifcant assumptons are especially challenging to audit as they are forward looking and could be afected by future economic and market conditons.</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ind w:left="120"/>
        <w:spacing w:after="0" w:line="235" w:lineRule="auto"/>
        <w:rPr>
          <w:sz w:val="20"/>
          <w:szCs w:val="20"/>
          <w:color w:val="auto"/>
        </w:rPr>
      </w:pPr>
      <w:r>
        <w:rPr>
          <w:rFonts w:ascii="Calibri" w:cs="Calibri" w:eastAsia="Calibri" w:hAnsi="Calibri"/>
          <w:sz w:val="18"/>
          <w:szCs w:val="18"/>
          <w:i w:val="1"/>
          <w:iCs w:val="1"/>
          <w:color w:val="auto"/>
        </w:rPr>
        <w:t>How We Addressed the Mater in Our Audit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We obtained an understanding, evaluated the design, and tested the operatng efectveness of controls over management’s impairment testng process. This included testng controls over the Company’s estmaton process supportng the fair value of these assets, as well as controls over management’s judgments and evaluaton of underlying assumptons regarding the valuatons.</w:t>
      </w:r>
    </w:p>
    <w:p>
      <w:pPr>
        <w:spacing w:after="0" w:line="200" w:lineRule="exact"/>
        <w:rPr>
          <w:sz w:val="20"/>
          <w:szCs w:val="20"/>
          <w:color w:val="auto"/>
        </w:rPr>
      </w:pPr>
    </w:p>
    <w:p>
      <w:pPr>
        <w:sectPr>
          <w:pgSz w:w="11900" w:h="16838" w:orient="portrait"/>
          <w:cols w:equalWidth="0" w:num="2">
            <w:col w:w="1500" w:space="560"/>
            <w:col w:w="9180"/>
          </w:cols>
          <w:pgMar w:left="320" w:top="112" w:right="339" w:bottom="1440" w:gutter="0" w:footer="0" w:header="0"/>
          <w:type w:val="continuous"/>
        </w:sectPr>
      </w:pPr>
    </w:p>
    <w:p>
      <w:pPr>
        <w:spacing w:after="0" w:line="19" w:lineRule="exact"/>
        <w:rPr>
          <w:sz w:val="20"/>
          <w:szCs w:val="20"/>
          <w:color w:val="auto"/>
        </w:rPr>
      </w:pPr>
    </w:p>
    <w:p>
      <w:pPr>
        <w:jc w:val="both"/>
        <w:ind w:left="2060" w:right="100"/>
        <w:spacing w:after="0" w:line="235" w:lineRule="auto"/>
        <w:rPr>
          <w:sz w:val="20"/>
          <w:szCs w:val="20"/>
          <w:color w:val="auto"/>
        </w:rPr>
      </w:pPr>
      <w:r>
        <w:rPr>
          <w:rFonts w:ascii="Calibri" w:cs="Calibri" w:eastAsia="Calibri" w:hAnsi="Calibri"/>
          <w:sz w:val="18"/>
          <w:szCs w:val="18"/>
          <w:color w:val="auto"/>
        </w:rPr>
        <w:t>Our audit procedures included, among others, testng the key inputs and signifcant assumptons discussed above. We involved our valuaton professionals to assist with our evaluaton of discount rates and royalty rates. Additonally, we evaluated the signifcant assumptons used by the Company described above, and validated the completeness and accuracy of the underlying data supportng the signifcant assumptons and estmates. Specifcally, when evaluatng the assumptons related to the forecasted results and changes in the business that would drive these results, we compared the assumptons to historical results of the business and current industry and economic trends. We also performed a sensitvity analysis of the signifcant assumptons to evaluate the change in the fair values that would result from changes in the assumptons.</w:t>
      </w:r>
    </w:p>
    <w:p>
      <w:pPr>
        <w:sectPr>
          <w:pgSz w:w="11900" w:h="16838" w:orient="portrait"/>
          <w:cols w:equalWidth="0" w:num="1">
            <w:col w:w="11240"/>
          </w:cols>
          <w:pgMar w:left="320" w:top="112" w:right="339" w:bottom="1440" w:gutter="0" w:footer="0" w:header="0"/>
          <w:type w:val="continuous"/>
        </w:sect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tcPr>
          <w:p>
            <w:pPr>
              <w:spacing w:after="0"/>
              <w:rPr>
                <w:sz w:val="19"/>
                <w:szCs w:val="19"/>
                <w:color w:val="auto"/>
              </w:rPr>
            </w:pPr>
          </w:p>
        </w:tc>
        <w:tc>
          <w:tcPr>
            <w:tcW w:w="9620" w:type="dxa"/>
            <w:vAlign w:val="bottom"/>
          </w:tcPr>
          <w:p>
            <w:pPr>
              <w:ind w:left="340"/>
              <w:spacing w:after="0"/>
              <w:rPr>
                <w:sz w:val="20"/>
                <w:szCs w:val="20"/>
                <w:color w:val="auto"/>
              </w:rPr>
            </w:pPr>
            <w:r>
              <w:rPr>
                <w:rFonts w:ascii="Calibri" w:cs="Calibri" w:eastAsia="Calibri" w:hAnsi="Calibri"/>
                <w:sz w:val="18"/>
                <w:szCs w:val="18"/>
                <w:b w:val="1"/>
                <w:bCs w:val="1"/>
                <w:i w:val="1"/>
                <w:iCs w:val="1"/>
                <w:color w:val="auto"/>
              </w:rPr>
              <w:t>Revenue Recogniton</w:t>
            </w:r>
          </w:p>
        </w:tc>
      </w:tr>
      <w:tr>
        <w:trPr>
          <w:trHeight w:val="432"/>
        </w:trPr>
        <w:tc>
          <w:tcPr>
            <w:tcW w:w="1620" w:type="dxa"/>
            <w:vAlign w:val="bottom"/>
          </w:tcPr>
          <w:p>
            <w:pPr>
              <w:ind w:left="20"/>
              <w:spacing w:after="0"/>
              <w:rPr>
                <w:sz w:val="20"/>
                <w:szCs w:val="20"/>
                <w:color w:val="auto"/>
              </w:rPr>
            </w:pPr>
            <w:r>
              <w:rPr>
                <w:rFonts w:ascii="Calibri" w:cs="Calibri" w:eastAsia="Calibri" w:hAnsi="Calibri"/>
                <w:sz w:val="18"/>
                <w:szCs w:val="18"/>
                <w:i w:val="1"/>
                <w:iCs w:val="1"/>
                <w:color w:val="auto"/>
              </w:rPr>
              <w:t>Descripton of the</w:t>
            </w:r>
          </w:p>
        </w:tc>
        <w:tc>
          <w:tcPr>
            <w:tcW w:w="9620" w:type="dxa"/>
            <w:vAlign w:val="bottom"/>
          </w:tcPr>
          <w:p>
            <w:pPr>
              <w:ind w:left="340"/>
              <w:spacing w:after="0"/>
              <w:rPr>
                <w:sz w:val="20"/>
                <w:szCs w:val="20"/>
                <w:color w:val="auto"/>
              </w:rPr>
            </w:pPr>
            <w:r>
              <w:rPr>
                <w:rFonts w:ascii="Calibri" w:cs="Calibri" w:eastAsia="Calibri" w:hAnsi="Calibri"/>
                <w:sz w:val="18"/>
                <w:szCs w:val="18"/>
                <w:color w:val="auto"/>
              </w:rPr>
              <w:t>For the year ended December 31, 2024, the Company recognized revenue of $894.4 million. As explained in Note 2 to the</w:t>
            </w:r>
          </w:p>
        </w:tc>
      </w:tr>
      <w:tr>
        <w:trPr>
          <w:trHeight w:val="216"/>
        </w:trPr>
        <w:tc>
          <w:tcPr>
            <w:tcW w:w="1620" w:type="dxa"/>
            <w:vAlign w:val="bottom"/>
          </w:tcPr>
          <w:p>
            <w:pPr>
              <w:ind w:left="20"/>
              <w:spacing w:after="0" w:line="216" w:lineRule="exact"/>
              <w:rPr>
                <w:sz w:val="20"/>
                <w:szCs w:val="20"/>
                <w:color w:val="auto"/>
              </w:rPr>
            </w:pPr>
            <w:r>
              <w:rPr>
                <w:rFonts w:ascii="Calibri" w:cs="Calibri" w:eastAsia="Calibri" w:hAnsi="Calibri"/>
                <w:sz w:val="18"/>
                <w:szCs w:val="18"/>
                <w:i w:val="1"/>
                <w:iCs w:val="1"/>
                <w:color w:val="auto"/>
              </w:rPr>
              <w:t>Mater</w:t>
            </w:r>
          </w:p>
        </w:tc>
        <w:tc>
          <w:tcPr>
            <w:tcW w:w="9620" w:type="dxa"/>
            <w:vAlign w:val="bottom"/>
          </w:tcPr>
          <w:p>
            <w:pPr>
              <w:ind w:left="340"/>
              <w:spacing w:after="0" w:line="216" w:lineRule="exact"/>
              <w:rPr>
                <w:sz w:val="20"/>
                <w:szCs w:val="20"/>
                <w:color w:val="auto"/>
              </w:rPr>
            </w:pPr>
            <w:r>
              <w:rPr>
                <w:rFonts w:ascii="Calibri" w:cs="Calibri" w:eastAsia="Calibri" w:hAnsi="Calibri"/>
                <w:sz w:val="18"/>
                <w:szCs w:val="18"/>
                <w:color w:val="auto"/>
              </w:rPr>
              <w:t>consolidated fnancial statements, the Company recognizes revenue in accordance with Accountng Standard Codifcaton Topic</w:t>
            </w:r>
          </w:p>
        </w:tc>
      </w:tr>
      <w:tr>
        <w:trPr>
          <w:trHeight w:val="216"/>
        </w:trPr>
        <w:tc>
          <w:tcPr>
            <w:tcW w:w="1620" w:type="dxa"/>
            <w:vAlign w:val="bottom"/>
          </w:tcPr>
          <w:p>
            <w:pPr>
              <w:spacing w:after="0"/>
              <w:rPr>
                <w:sz w:val="18"/>
                <w:szCs w:val="18"/>
                <w:color w:val="auto"/>
              </w:rPr>
            </w:pPr>
          </w:p>
        </w:tc>
        <w:tc>
          <w:tcPr>
            <w:tcW w:w="9620" w:type="dxa"/>
            <w:vAlign w:val="bottom"/>
          </w:tcPr>
          <w:p>
            <w:pPr>
              <w:ind w:left="340"/>
              <w:spacing w:after="0" w:line="216" w:lineRule="exact"/>
              <w:rPr>
                <w:sz w:val="20"/>
                <w:szCs w:val="20"/>
                <w:color w:val="auto"/>
              </w:rPr>
            </w:pPr>
            <w:r>
              <w:rPr>
                <w:rFonts w:ascii="Calibri" w:cs="Calibri" w:eastAsia="Calibri" w:hAnsi="Calibri"/>
                <w:sz w:val="18"/>
                <w:szCs w:val="18"/>
                <w:color w:val="auto"/>
              </w:rPr>
              <w:t xml:space="preserve">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xml:space="preserve"> upon transfer of control of promised services to customers in an amount that</w:t>
            </w:r>
          </w:p>
        </w:tc>
      </w:tr>
      <w:tr>
        <w:trPr>
          <w:trHeight w:val="216"/>
        </w:trPr>
        <w:tc>
          <w:tcPr>
            <w:tcW w:w="1620" w:type="dxa"/>
            <w:vAlign w:val="bottom"/>
          </w:tcPr>
          <w:p>
            <w:pPr>
              <w:spacing w:after="0"/>
              <w:rPr>
                <w:sz w:val="18"/>
                <w:szCs w:val="18"/>
                <w:color w:val="auto"/>
              </w:rPr>
            </w:pPr>
          </w:p>
        </w:tc>
        <w:tc>
          <w:tcPr>
            <w:tcW w:w="9620" w:type="dxa"/>
            <w:vAlign w:val="bottom"/>
          </w:tcPr>
          <w:p>
            <w:pPr>
              <w:ind w:left="340"/>
              <w:spacing w:after="0" w:line="216" w:lineRule="exact"/>
              <w:rPr>
                <w:sz w:val="20"/>
                <w:szCs w:val="20"/>
                <w:color w:val="auto"/>
              </w:rPr>
            </w:pPr>
            <w:r>
              <w:rPr>
                <w:rFonts w:ascii="Calibri" w:cs="Calibri" w:eastAsia="Calibri" w:hAnsi="Calibri"/>
                <w:sz w:val="18"/>
                <w:szCs w:val="18"/>
                <w:color w:val="auto"/>
              </w:rPr>
              <w:t>refects the consideraton the Company expects to receive in exchange for those services.</w:t>
            </w:r>
          </w:p>
        </w:tc>
      </w:tr>
      <w:tr>
        <w:trPr>
          <w:trHeight w:val="432"/>
        </w:trPr>
        <w:tc>
          <w:tcPr>
            <w:tcW w:w="1620" w:type="dxa"/>
            <w:vAlign w:val="bottom"/>
          </w:tcPr>
          <w:p>
            <w:pPr>
              <w:spacing w:after="0"/>
              <w:rPr>
                <w:sz w:val="24"/>
                <w:szCs w:val="24"/>
                <w:color w:val="auto"/>
              </w:rPr>
            </w:pPr>
          </w:p>
        </w:tc>
        <w:tc>
          <w:tcPr>
            <w:tcW w:w="9620" w:type="dxa"/>
            <w:vAlign w:val="bottom"/>
          </w:tcPr>
          <w:p>
            <w:pPr>
              <w:ind w:left="340"/>
              <w:spacing w:after="0"/>
              <w:rPr>
                <w:sz w:val="20"/>
                <w:szCs w:val="20"/>
                <w:color w:val="auto"/>
              </w:rPr>
            </w:pPr>
            <w:r>
              <w:rPr>
                <w:rFonts w:ascii="Calibri" w:cs="Calibri" w:eastAsia="Calibri" w:hAnsi="Calibri"/>
                <w:sz w:val="18"/>
                <w:szCs w:val="18"/>
                <w:color w:val="auto"/>
              </w:rPr>
              <w:t>Auditng management’s recogniton of revenue was challenging because of the higher extent of audit efort and because the</w:t>
            </w:r>
          </w:p>
        </w:tc>
      </w:tr>
      <w:tr>
        <w:trPr>
          <w:trHeight w:val="216"/>
        </w:trPr>
        <w:tc>
          <w:tcPr>
            <w:tcW w:w="1620" w:type="dxa"/>
            <w:vAlign w:val="bottom"/>
          </w:tcPr>
          <w:p>
            <w:pPr>
              <w:spacing w:after="0"/>
              <w:rPr>
                <w:sz w:val="18"/>
                <w:szCs w:val="18"/>
                <w:color w:val="auto"/>
              </w:rPr>
            </w:pPr>
          </w:p>
        </w:tc>
        <w:tc>
          <w:tcPr>
            <w:tcW w:w="9620" w:type="dxa"/>
            <w:vAlign w:val="bottom"/>
          </w:tcPr>
          <w:p>
            <w:pPr>
              <w:ind w:left="340"/>
              <w:spacing w:after="0" w:line="216" w:lineRule="exact"/>
              <w:rPr>
                <w:sz w:val="20"/>
                <w:szCs w:val="20"/>
                <w:color w:val="auto"/>
              </w:rPr>
            </w:pPr>
            <w:r>
              <w:rPr>
                <w:rFonts w:ascii="Calibri" w:cs="Calibri" w:eastAsia="Calibri" w:hAnsi="Calibri"/>
                <w:sz w:val="18"/>
                <w:szCs w:val="18"/>
                <w:color w:val="auto"/>
              </w:rPr>
              <w:t>amounts are material to the consolidated fnancial statements and related disclosures.</w:t>
            </w:r>
          </w:p>
        </w:tc>
      </w:tr>
      <w:tr>
        <w:trPr>
          <w:trHeight w:val="432"/>
        </w:trPr>
        <w:tc>
          <w:tcPr>
            <w:tcW w:w="1620" w:type="dxa"/>
            <w:vAlign w:val="bottom"/>
          </w:tcPr>
          <w:p>
            <w:pPr>
              <w:spacing w:after="0"/>
              <w:rPr>
                <w:sz w:val="24"/>
                <w:szCs w:val="24"/>
                <w:color w:val="auto"/>
              </w:rPr>
            </w:pPr>
          </w:p>
        </w:tc>
        <w:tc>
          <w:tcPr>
            <w:tcW w:w="9620" w:type="dxa"/>
            <w:vAlign w:val="bottom"/>
          </w:tcPr>
          <w:p>
            <w:pPr>
              <w:ind w:left="3920"/>
              <w:spacing w:after="0"/>
              <w:rPr>
                <w:sz w:val="20"/>
                <w:szCs w:val="20"/>
                <w:color w:val="auto"/>
              </w:rPr>
            </w:pPr>
            <w:r>
              <w:rPr>
                <w:rFonts w:ascii="Calibri" w:cs="Calibri" w:eastAsia="Calibri" w:hAnsi="Calibri"/>
                <w:sz w:val="18"/>
                <w:szCs w:val="18"/>
                <w:color w:val="auto"/>
              </w:rPr>
              <w:t>69</w:t>
            </w:r>
          </w:p>
        </w:tc>
      </w:tr>
      <w:tr>
        <w:trPr>
          <w:trHeight w:val="786"/>
        </w:trPr>
        <w:tc>
          <w:tcPr>
            <w:tcW w:w="162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1940" w:val="left"/>
        </w:tabs>
        <w:rPr>
          <w:sz w:val="20"/>
          <w:szCs w:val="20"/>
          <w:color w:val="auto"/>
        </w:rPr>
      </w:pPr>
      <w:r>
        <w:rPr>
          <w:rFonts w:ascii="Calibri" w:cs="Calibri" w:eastAsia="Calibri" w:hAnsi="Calibri"/>
          <w:sz w:val="18"/>
          <w:szCs w:val="18"/>
          <w:i w:val="1"/>
          <w:iCs w:val="1"/>
          <w:color w:val="auto"/>
        </w:rPr>
        <w:t>How We Addressed the</w:t>
      </w:r>
      <w:r>
        <w:rPr>
          <w:sz w:val="20"/>
          <w:szCs w:val="20"/>
          <w:color w:val="auto"/>
        </w:rPr>
        <w:tab/>
      </w:r>
      <w:r>
        <w:rPr>
          <w:rFonts w:ascii="Calibri" w:cs="Calibri" w:eastAsia="Calibri" w:hAnsi="Calibri"/>
          <w:sz w:val="18"/>
          <w:szCs w:val="18"/>
          <w:color w:val="auto"/>
        </w:rPr>
        <w:t>We obtained an understanding, evaluated the design and tested the operatng efectveness of controls over the Company’s</w:t>
      </w:r>
    </w:p>
    <w:p>
      <w:pPr>
        <w:spacing w:after="0" w:line="1" w:lineRule="exact"/>
        <w:rPr>
          <w:sz w:val="20"/>
          <w:szCs w:val="20"/>
          <w:color w:val="auto"/>
        </w:rPr>
      </w:pPr>
    </w:p>
    <w:p>
      <w:pPr>
        <w:ind w:left="1960" w:hanging="1943"/>
        <w:spacing w:after="0" w:line="235" w:lineRule="auto"/>
        <w:tabs>
          <w:tab w:leader="none" w:pos="1940" w:val="left"/>
        </w:tabs>
        <w:rPr>
          <w:sz w:val="20"/>
          <w:szCs w:val="20"/>
          <w:color w:val="auto"/>
        </w:rPr>
      </w:pPr>
      <w:r>
        <w:rPr>
          <w:rFonts w:ascii="Calibri" w:cs="Calibri" w:eastAsia="Calibri" w:hAnsi="Calibri"/>
          <w:sz w:val="18"/>
          <w:szCs w:val="18"/>
          <w:i w:val="1"/>
          <w:iCs w:val="1"/>
          <w:color w:val="auto"/>
        </w:rPr>
        <w:t>Mater in Our Audit</w:t>
      </w:r>
      <w:r>
        <w:rPr>
          <w:sz w:val="20"/>
          <w:szCs w:val="20"/>
          <w:color w:val="auto"/>
        </w:rPr>
        <w:tab/>
      </w:r>
      <w:r>
        <w:rPr>
          <w:rFonts w:ascii="Calibri" w:cs="Calibri" w:eastAsia="Calibri" w:hAnsi="Calibri"/>
          <w:sz w:val="18"/>
          <w:szCs w:val="18"/>
          <w:color w:val="auto"/>
        </w:rPr>
        <w:t>revenue recogniton process, including controls designed to mitgate the risk of override of controls. This included testng controls over management’s review of manual journal entries and revenue related account reconciliatons.</w:t>
      </w:r>
    </w:p>
    <w:p>
      <w:pPr>
        <w:spacing w:after="0" w:line="218" w:lineRule="exact"/>
        <w:rPr>
          <w:sz w:val="20"/>
          <w:szCs w:val="20"/>
          <w:color w:val="auto"/>
        </w:rPr>
      </w:pPr>
    </w:p>
    <w:p>
      <w:pPr>
        <w:jc w:val="both"/>
        <w:ind w:left="1960"/>
        <w:spacing w:after="0" w:line="235" w:lineRule="auto"/>
        <w:rPr>
          <w:sz w:val="20"/>
          <w:szCs w:val="20"/>
          <w:color w:val="auto"/>
        </w:rPr>
      </w:pPr>
      <w:r>
        <w:rPr>
          <w:rFonts w:ascii="Calibri" w:cs="Calibri" w:eastAsia="Calibri" w:hAnsi="Calibri"/>
          <w:sz w:val="18"/>
          <w:szCs w:val="18"/>
          <w:color w:val="auto"/>
        </w:rPr>
        <w:t>We substantvely tested the Company’s revenue recognized for the year ended December 31, 2024, through a combinaton of data analytcs and tests of details. Our audit procedures included, among others, performing a correlaton analysis between the related accounts (i.e., revenue, deferred revenue, accounts receivable, and cash) and testng the existence of cash receipts ted to revenue recogniton. Additonally, we reconciled revenue recognized to the Company’s general ledger to test completeness and performed substantve test of details over signifcant customers deemed to be key items and a representatve sample of the remaining transactons.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Calibri" w:cs="Calibri" w:eastAsia="Calibri" w:hAnsi="Calibri"/>
          <w:sz w:val="18"/>
          <w:szCs w:val="18"/>
          <w:color w:val="00002D"/>
        </w:rPr>
        <w:t>/s/ Ernst &amp; Young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We have served as the Company’s auditor since 2016.</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Boston, Massachusets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February 20,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2" w:name="page73"/>
    <w:bookmarkEnd w:id="7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00002D"/>
        </w:rPr>
        <w:t>CarGurus, Inc.</w:t>
      </w:r>
    </w:p>
    <w:p>
      <w:pPr>
        <w:jc w:val="center"/>
        <w:spacing w:after="0" w:line="237" w:lineRule="auto"/>
        <w:rPr>
          <w:sz w:val="20"/>
          <w:szCs w:val="20"/>
          <w:color w:val="auto"/>
        </w:rPr>
      </w:pPr>
      <w:r>
        <w:rPr>
          <w:rFonts w:ascii="Calibri" w:cs="Calibri" w:eastAsia="Calibri" w:hAnsi="Calibri"/>
          <w:sz w:val="29"/>
          <w:szCs w:val="29"/>
          <w:b w:val="1"/>
          <w:bCs w:val="1"/>
          <w:color w:val="00002D"/>
        </w:rPr>
        <w:t>Consolidated Balance Sheets</w:t>
      </w:r>
    </w:p>
    <w:p>
      <w:pPr>
        <w:jc w:val="center"/>
        <w:spacing w:after="0" w:line="238" w:lineRule="auto"/>
        <w:rPr>
          <w:sz w:val="20"/>
          <w:szCs w:val="20"/>
          <w:color w:val="auto"/>
        </w:rPr>
      </w:pPr>
      <w:r>
        <w:rPr>
          <w:rFonts w:ascii="Calibri" w:cs="Calibri" w:eastAsia="Calibri" w:hAnsi="Calibri"/>
          <w:sz w:val="29"/>
          <w:szCs w:val="29"/>
          <w:b w:val="1"/>
          <w:bCs w:val="1"/>
          <w:color w:val="00002D"/>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191"/>
              <w:spacing w:after="0"/>
              <w:rPr>
                <w:sz w:val="20"/>
                <w:szCs w:val="20"/>
                <w:color w:val="auto"/>
              </w:rPr>
            </w:pPr>
            <w:r>
              <w:rPr>
                <w:rFonts w:ascii="Calibri" w:cs="Calibri" w:eastAsia="Calibri" w:hAnsi="Calibri"/>
                <w:sz w:val="14"/>
                <w:szCs w:val="14"/>
                <w:b w:val="1"/>
                <w:bCs w:val="1"/>
                <w:color w:val="auto"/>
              </w:rPr>
              <w:t>As of December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74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5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r>
      <w:tr>
        <w:trPr>
          <w:trHeight w:val="212"/>
        </w:trPr>
        <w:tc>
          <w:tcPr>
            <w:tcW w:w="742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b w:val="1"/>
                <w:bCs w:val="1"/>
                <w:color w:val="auto"/>
              </w:rPr>
              <w:t>Assets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Cash and cash equivalents</w:t>
            </w:r>
          </w:p>
        </w:tc>
        <w:tc>
          <w:tcPr>
            <w:tcW w:w="900" w:type="dxa"/>
            <w:vAlign w:val="bottom"/>
            <w:shd w:val="clear" w:color="auto" w:fill="CFF0FC"/>
          </w:tcPr>
          <w:p>
            <w:pPr>
              <w:jc w:val="right"/>
              <w:ind w:right="714"/>
              <w:spacing w:after="0" w:line="216" w:lineRule="exact"/>
              <w:rPr>
                <w:sz w:val="20"/>
                <w:szCs w:val="20"/>
                <w:color w:val="auto"/>
              </w:rPr>
            </w:pPr>
            <w:r>
              <w:rPr>
                <w:rFonts w:ascii="Calibri" w:cs="Calibri" w:eastAsia="Calibri" w:hAnsi="Calibri"/>
                <w:sz w:val="18"/>
                <w:szCs w:val="18"/>
                <w:color w:val="auto"/>
                <w:w w:val="87"/>
              </w:rPr>
              <w:t>$</w:t>
            </w: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4"/>
              </w:rPr>
              <w:t>304,193</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center"/>
              <w:ind w:right="530"/>
              <w:spacing w:after="0" w:line="216"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291,363</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0"/>
              <w:spacing w:after="0" w:line="215" w:lineRule="exact"/>
              <w:rPr>
                <w:sz w:val="20"/>
                <w:szCs w:val="20"/>
                <w:color w:val="auto"/>
              </w:rPr>
            </w:pPr>
            <w:r>
              <w:rPr>
                <w:rFonts w:ascii="Calibri" w:cs="Calibri" w:eastAsia="Calibri" w:hAnsi="Calibri"/>
                <w:sz w:val="18"/>
                <w:szCs w:val="18"/>
                <w:color w:val="auto"/>
              </w:rPr>
              <w:t>Short-term investments</w:t>
            </w:r>
          </w:p>
        </w:tc>
        <w:tc>
          <w:tcPr>
            <w:tcW w:w="900" w:type="dxa"/>
            <w:vAlign w:val="bottom"/>
          </w:tcPr>
          <w:p>
            <w:pPr>
              <w:spacing w:after="0"/>
              <w:rPr>
                <w:sz w:val="18"/>
                <w:szCs w:val="18"/>
                <w:color w:val="auto"/>
              </w:rPr>
            </w:pPr>
          </w:p>
        </w:tc>
        <w:tc>
          <w:tcPr>
            <w:tcW w:w="88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20,724</w:t>
            </w:r>
          </w:p>
        </w:tc>
        <w:tc>
          <w:tcPr>
            <w:tcW w:w="100" w:type="dxa"/>
            <w:vAlign w:val="bottom"/>
          </w:tcPr>
          <w:p>
            <w:pPr>
              <w:spacing w:after="0"/>
              <w:rPr>
                <w:sz w:val="18"/>
                <w:szCs w:val="18"/>
                <w:color w:val="auto"/>
              </w:rPr>
            </w:pPr>
          </w:p>
        </w:tc>
      </w:tr>
      <w:tr>
        <w:trPr>
          <w:trHeight w:val="194"/>
        </w:trPr>
        <w:tc>
          <w:tcPr>
            <w:tcW w:w="7420" w:type="dxa"/>
            <w:vAlign w:val="bottom"/>
            <w:shd w:val="clear" w:color="auto" w:fill="CFF0FC"/>
          </w:tcPr>
          <w:p>
            <w:pPr>
              <w:ind w:left="200"/>
              <w:spacing w:after="0" w:line="194" w:lineRule="exact"/>
              <w:rPr>
                <w:sz w:val="20"/>
                <w:szCs w:val="20"/>
                <w:color w:val="auto"/>
              </w:rPr>
            </w:pPr>
            <w:r>
              <w:rPr>
                <w:rFonts w:ascii="Calibri" w:cs="Calibri" w:eastAsia="Calibri" w:hAnsi="Calibri"/>
                <w:sz w:val="18"/>
                <w:szCs w:val="18"/>
                <w:color w:val="auto"/>
              </w:rPr>
              <w:t>Accounts receivable, net of allowance for doubtul accounts of $788 and</w:t>
            </w:r>
          </w:p>
        </w:tc>
        <w:tc>
          <w:tcPr>
            <w:tcW w:w="9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7420" w:type="dxa"/>
            <w:vAlign w:val="bottom"/>
            <w:tcBorders>
              <w:bottom w:val="single" w:sz="8" w:color="CFF0FC"/>
            </w:tcBorders>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$610, respectvely</w:t>
            </w:r>
          </w:p>
        </w:tc>
        <w:tc>
          <w:tcPr>
            <w:tcW w:w="9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44,248</w:t>
            </w:r>
          </w:p>
        </w:tc>
        <w:tc>
          <w:tcPr>
            <w:tcW w:w="2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39,963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42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Inventory</w:t>
            </w:r>
          </w:p>
        </w:tc>
        <w:tc>
          <w:tcPr>
            <w:tcW w:w="9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338</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331</w:t>
            </w: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Prepaid expenses, prepaid income taxes and other current assets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27,868</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25,152</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0"/>
              <w:spacing w:after="0" w:line="215" w:lineRule="exact"/>
              <w:rPr>
                <w:sz w:val="20"/>
                <w:szCs w:val="20"/>
                <w:color w:val="auto"/>
              </w:rPr>
            </w:pPr>
            <w:r>
              <w:rPr>
                <w:rFonts w:ascii="Calibri" w:cs="Calibri" w:eastAsia="Calibri" w:hAnsi="Calibri"/>
                <w:sz w:val="18"/>
                <w:szCs w:val="18"/>
                <w:color w:val="auto"/>
              </w:rPr>
              <w:t>Deferred contract costs</w:t>
            </w:r>
          </w:p>
        </w:tc>
        <w:tc>
          <w:tcPr>
            <w:tcW w:w="9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12,523</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11,095</w:t>
            </w:r>
          </w:p>
        </w:tc>
        <w:tc>
          <w:tcPr>
            <w:tcW w:w="100" w:type="dxa"/>
            <w:vAlign w:val="bottom"/>
          </w:tcPr>
          <w:p>
            <w:pPr>
              <w:spacing w:after="0"/>
              <w:rPr>
                <w:sz w:val="18"/>
                <w:szCs w:val="18"/>
                <w:color w:val="auto"/>
              </w:rPr>
            </w:pPr>
          </w:p>
        </w:tc>
      </w:tr>
      <w:tr>
        <w:trPr>
          <w:trHeight w:val="216"/>
        </w:trPr>
        <w:tc>
          <w:tcPr>
            <w:tcW w:w="742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Restricted cash</w:t>
            </w:r>
          </w:p>
        </w:tc>
        <w:tc>
          <w:tcPr>
            <w:tcW w:w="9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2,036</w:t>
            </w:r>
          </w:p>
        </w:tc>
        <w:tc>
          <w:tcPr>
            <w:tcW w:w="2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20" w:type="dxa"/>
            <w:vAlign w:val="bottom"/>
          </w:tcPr>
          <w:p>
            <w:pPr>
              <w:ind w:left="20"/>
              <w:spacing w:after="0" w:line="209" w:lineRule="exact"/>
              <w:rPr>
                <w:sz w:val="20"/>
                <w:szCs w:val="20"/>
                <w:color w:val="auto"/>
              </w:rPr>
            </w:pPr>
            <w:r>
              <w:rPr>
                <w:rFonts w:ascii="Calibri" w:cs="Calibri" w:eastAsia="Calibri" w:hAnsi="Calibri"/>
                <w:sz w:val="18"/>
                <w:szCs w:val="18"/>
                <w:color w:val="auto"/>
              </w:rPr>
              <w:t>Total current assets</w:t>
            </w:r>
          </w:p>
        </w:tc>
        <w:tc>
          <w:tcPr>
            <w:tcW w:w="90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Calibri" w:cs="Calibri" w:eastAsia="Calibri" w:hAnsi="Calibri"/>
                <w:sz w:val="18"/>
                <w:szCs w:val="18"/>
                <w:color w:val="auto"/>
                <w:w w:val="94"/>
              </w:rPr>
              <w:t>391,206</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line="209" w:lineRule="exact"/>
              <w:rPr>
                <w:sz w:val="20"/>
                <w:szCs w:val="20"/>
                <w:color w:val="auto"/>
              </w:rPr>
            </w:pPr>
            <w:r>
              <w:rPr>
                <w:rFonts w:ascii="Calibri" w:cs="Calibri" w:eastAsia="Calibri" w:hAnsi="Calibri"/>
                <w:sz w:val="18"/>
                <w:szCs w:val="18"/>
                <w:color w:val="auto"/>
              </w:rPr>
              <w:t>391,191</w:t>
            </w: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Property and equipment, net</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4"/>
              </w:rPr>
              <w:t>130,010</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83,370</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
              <w:spacing w:after="0" w:line="215" w:lineRule="exact"/>
              <w:rPr>
                <w:sz w:val="20"/>
                <w:szCs w:val="20"/>
                <w:color w:val="auto"/>
              </w:rPr>
            </w:pPr>
            <w:r>
              <w:rPr>
                <w:rFonts w:ascii="Calibri" w:cs="Calibri" w:eastAsia="Calibri" w:hAnsi="Calibri"/>
                <w:sz w:val="18"/>
                <w:szCs w:val="18"/>
                <w:color w:val="auto"/>
              </w:rPr>
              <w:t>Intangible assets, net</w:t>
            </w:r>
          </w:p>
        </w:tc>
        <w:tc>
          <w:tcPr>
            <w:tcW w:w="9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11,767</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23,056</w:t>
            </w: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Goodwill</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46,167</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157,898</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9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w w:val="94"/>
              </w:rPr>
              <w:t>121,484</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169,682</w:t>
            </w: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Deferred tax assets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4"/>
              </w:rPr>
              <w:t>106,672</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73,356</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contract costs, net of current porton</w:t>
            </w:r>
          </w:p>
        </w:tc>
        <w:tc>
          <w:tcPr>
            <w:tcW w:w="9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13,196</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12,998</w:t>
            </w:r>
          </w:p>
        </w:tc>
        <w:tc>
          <w:tcPr>
            <w:tcW w:w="100" w:type="dxa"/>
            <w:vAlign w:val="bottom"/>
          </w:tcPr>
          <w:p>
            <w:pPr>
              <w:spacing w:after="0"/>
              <w:rPr>
                <w:sz w:val="18"/>
                <w:szCs w:val="18"/>
                <w:color w:val="auto"/>
              </w:rPr>
            </w:pPr>
          </w:p>
        </w:tc>
      </w:tr>
      <w:tr>
        <w:trPr>
          <w:trHeight w:val="216"/>
        </w:trPr>
        <w:tc>
          <w:tcPr>
            <w:tcW w:w="74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non-current assets</w:t>
            </w:r>
          </w:p>
        </w:tc>
        <w:tc>
          <w:tcPr>
            <w:tcW w:w="9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4,034</w:t>
            </w:r>
          </w:p>
        </w:tc>
        <w:tc>
          <w:tcPr>
            <w:tcW w:w="2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7,376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20" w:type="dxa"/>
            <w:vAlign w:val="bottom"/>
          </w:tcPr>
          <w:p>
            <w:pPr>
              <w:ind w:left="20"/>
              <w:spacing w:after="0" w:line="209" w:lineRule="exact"/>
              <w:rPr>
                <w:sz w:val="20"/>
                <w:szCs w:val="20"/>
                <w:color w:val="auto"/>
              </w:rPr>
            </w:pPr>
            <w:r>
              <w:rPr>
                <w:rFonts w:ascii="Calibri" w:cs="Calibri" w:eastAsia="Calibri" w:hAnsi="Calibri"/>
                <w:sz w:val="18"/>
                <w:szCs w:val="18"/>
                <w:color w:val="auto"/>
              </w:rPr>
              <w:t>Total assets</w:t>
            </w:r>
          </w:p>
        </w:tc>
        <w:tc>
          <w:tcPr>
            <w:tcW w:w="900" w:type="dxa"/>
            <w:vAlign w:val="bottom"/>
            <w:tcBorders>
              <w:bottom w:val="single" w:sz="8" w:color="auto"/>
            </w:tcBorders>
          </w:tcPr>
          <w:p>
            <w:pPr>
              <w:jc w:val="right"/>
              <w:ind w:right="714"/>
              <w:spacing w:after="0" w:line="209"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94"/>
              </w:rPr>
              <w:t>824,536</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center"/>
              <w:ind w:right="530"/>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918,927</w:t>
            </w:r>
          </w:p>
        </w:tc>
        <w:tc>
          <w:tcPr>
            <w:tcW w:w="100" w:type="dxa"/>
            <w:vAlign w:val="bottom"/>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20" w:type="dxa"/>
            <w:vAlign w:val="bottom"/>
            <w:shd w:val="clear" w:color="auto" w:fill="CFF0FC"/>
          </w:tcPr>
          <w:p>
            <w:pPr>
              <w:ind w:left="20"/>
              <w:spacing w:after="0" w:line="197" w:lineRule="exact"/>
              <w:rPr>
                <w:sz w:val="20"/>
                <w:szCs w:val="20"/>
                <w:color w:val="auto"/>
              </w:rPr>
            </w:pPr>
            <w:r>
              <w:rPr>
                <w:rFonts w:ascii="Calibri" w:cs="Calibri" w:eastAsia="Calibri" w:hAnsi="Calibri"/>
                <w:sz w:val="18"/>
                <w:szCs w:val="18"/>
                <w:b w:val="1"/>
                <w:bCs w:val="1"/>
                <w:color w:val="auto"/>
              </w:rPr>
              <w:t>Liabilites, redeemable noncontrolling interest and stockholders’ equity</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42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Accounts payable</w:t>
            </w:r>
          </w:p>
        </w:tc>
        <w:tc>
          <w:tcPr>
            <w:tcW w:w="900" w:type="dxa"/>
            <w:vAlign w:val="bottom"/>
            <w:shd w:val="clear" w:color="auto" w:fill="CFF0FC"/>
          </w:tcPr>
          <w:p>
            <w:pPr>
              <w:jc w:val="right"/>
              <w:ind w:right="714"/>
              <w:spacing w:after="0" w:line="216" w:lineRule="exact"/>
              <w:rPr>
                <w:sz w:val="20"/>
                <w:szCs w:val="20"/>
                <w:color w:val="auto"/>
              </w:rPr>
            </w:pPr>
            <w:r>
              <w:rPr>
                <w:rFonts w:ascii="Calibri" w:cs="Calibri" w:eastAsia="Calibri" w:hAnsi="Calibri"/>
                <w:sz w:val="18"/>
                <w:szCs w:val="18"/>
                <w:color w:val="auto"/>
                <w:w w:val="87"/>
              </w:rPr>
              <w:t>$</w:t>
            </w: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26,410</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center"/>
              <w:ind w:right="530"/>
              <w:spacing w:after="0" w:line="216"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47,854</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0"/>
              <w:spacing w:after="0" w:line="215" w:lineRule="exact"/>
              <w:rPr>
                <w:sz w:val="20"/>
                <w:szCs w:val="20"/>
                <w:color w:val="auto"/>
              </w:rPr>
            </w:pPr>
            <w:r>
              <w:rPr>
                <w:rFonts w:ascii="Calibri" w:cs="Calibri" w:eastAsia="Calibri" w:hAnsi="Calibri"/>
                <w:sz w:val="18"/>
                <w:szCs w:val="18"/>
                <w:color w:val="auto"/>
              </w:rPr>
              <w:t>Accrued expenses, accrued income taxes and other current liabilites</w:t>
            </w:r>
          </w:p>
        </w:tc>
        <w:tc>
          <w:tcPr>
            <w:tcW w:w="9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35,975</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33,718</w:t>
            </w: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Deferred revenue</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21,661</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21,322</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lease liabilites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9,005</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12,284</w:t>
            </w:r>
          </w:p>
        </w:tc>
        <w:tc>
          <w:tcPr>
            <w:tcW w:w="100" w:type="dxa"/>
            <w:vAlign w:val="bottom"/>
          </w:tcPr>
          <w:p>
            <w:pPr>
              <w:spacing w:after="0"/>
              <w:rPr>
                <w:sz w:val="18"/>
                <w:szCs w:val="18"/>
                <w:color w:val="auto"/>
              </w:rPr>
            </w:pPr>
          </w:p>
        </w:tc>
      </w:tr>
      <w:tr>
        <w:trPr>
          <w:trHeight w:val="210"/>
        </w:trPr>
        <w:tc>
          <w:tcPr>
            <w:tcW w:w="7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 current liabilites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93,051</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115,178</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lease liabilites</w:t>
            </w:r>
          </w:p>
        </w:tc>
        <w:tc>
          <w:tcPr>
            <w:tcW w:w="9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w w:val="94"/>
              </w:rPr>
              <w:t>183,739</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182,106</w:t>
            </w: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Deferred tax liabilites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58</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
              <w:spacing w:after="0" w:line="215" w:lineRule="exact"/>
              <w:rPr>
                <w:sz w:val="20"/>
                <w:szCs w:val="20"/>
                <w:color w:val="auto"/>
              </w:rPr>
            </w:pPr>
            <w:r>
              <w:rPr>
                <w:rFonts w:ascii="Calibri" w:cs="Calibri" w:eastAsia="Calibri" w:hAnsi="Calibri"/>
                <w:sz w:val="18"/>
                <w:szCs w:val="18"/>
                <w:color w:val="auto"/>
              </w:rPr>
              <w:t>Other non–current liabilites</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6,031</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4,733</w:t>
            </w:r>
          </w:p>
        </w:tc>
        <w:tc>
          <w:tcPr>
            <w:tcW w:w="100" w:type="dxa"/>
            <w:vAlign w:val="bottom"/>
          </w:tcPr>
          <w:p>
            <w:pPr>
              <w:spacing w:after="0"/>
              <w:rPr>
                <w:sz w:val="18"/>
                <w:szCs w:val="18"/>
                <w:color w:val="auto"/>
              </w:rPr>
            </w:pPr>
          </w:p>
        </w:tc>
      </w:tr>
      <w:tr>
        <w:trPr>
          <w:trHeight w:val="210"/>
        </w:trPr>
        <w:tc>
          <w:tcPr>
            <w:tcW w:w="7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 liabilites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94"/>
              </w:rPr>
              <w:t>282,847</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302,075</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
              <w:spacing w:after="0" w:line="215" w:lineRule="exact"/>
              <w:rPr>
                <w:sz w:val="20"/>
                <w:szCs w:val="20"/>
                <w:color w:val="auto"/>
              </w:rPr>
            </w:pPr>
            <w:r>
              <w:rPr>
                <w:rFonts w:ascii="Calibri" w:cs="Calibri" w:eastAsia="Calibri" w:hAnsi="Calibri"/>
                <w:sz w:val="18"/>
                <w:szCs w:val="18"/>
                <w:color w:val="auto"/>
              </w:rPr>
              <w:t>Commitments and contngencies (Note 10)</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Stockholders’ equity:</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4"/>
        </w:trPr>
        <w:tc>
          <w:tcPr>
            <w:tcW w:w="7420" w:type="dxa"/>
            <w:vAlign w:val="bottom"/>
          </w:tcPr>
          <w:p>
            <w:pPr>
              <w:ind w:left="200"/>
              <w:spacing w:after="0" w:line="194" w:lineRule="exact"/>
              <w:rPr>
                <w:sz w:val="20"/>
                <w:szCs w:val="20"/>
                <w:color w:val="auto"/>
              </w:rPr>
            </w:pPr>
            <w:r>
              <w:rPr>
                <w:rFonts w:ascii="Calibri" w:cs="Calibri" w:eastAsia="Calibri" w:hAnsi="Calibri"/>
                <w:sz w:val="18"/>
                <w:szCs w:val="18"/>
                <w:color w:val="auto"/>
              </w:rPr>
              <w:t>Preferred stock, $0.001 par value per share; 10,000,000 shares authorized;</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420" w:type="dxa"/>
            <w:vAlign w:val="bottom"/>
          </w:tcPr>
          <w:p>
            <w:pPr>
              <w:ind w:left="320"/>
              <w:spacing w:after="0" w:line="215" w:lineRule="exact"/>
              <w:rPr>
                <w:sz w:val="20"/>
                <w:szCs w:val="20"/>
                <w:color w:val="auto"/>
              </w:rPr>
            </w:pPr>
            <w:r>
              <w:rPr>
                <w:rFonts w:ascii="Calibri" w:cs="Calibri" w:eastAsia="Calibri" w:hAnsi="Calibri"/>
                <w:sz w:val="18"/>
                <w:szCs w:val="18"/>
                <w:color w:val="auto"/>
              </w:rPr>
              <w:t>no shares issued and outstanding</w:t>
            </w:r>
          </w:p>
        </w:tc>
        <w:tc>
          <w:tcPr>
            <w:tcW w:w="900" w:type="dxa"/>
            <w:vAlign w:val="bottom"/>
          </w:tcPr>
          <w:p>
            <w:pPr>
              <w:spacing w:after="0"/>
              <w:rPr>
                <w:sz w:val="18"/>
                <w:szCs w:val="18"/>
                <w:color w:val="auto"/>
              </w:rPr>
            </w:pPr>
          </w:p>
        </w:tc>
        <w:tc>
          <w:tcPr>
            <w:tcW w:w="88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740" w:type="dxa"/>
            <w:vAlign w:val="bottom"/>
          </w:tcPr>
          <w:p>
            <w:pPr>
              <w:spacing w:after="0"/>
              <w:rPr>
                <w:sz w:val="18"/>
                <w:szCs w:val="18"/>
                <w:color w:val="auto"/>
              </w:rPr>
            </w:pPr>
          </w:p>
        </w:tc>
        <w:tc>
          <w:tcPr>
            <w:tcW w:w="13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7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7420" w:type="dxa"/>
            <w:vAlign w:val="bottom"/>
            <w:shd w:val="clear" w:color="auto" w:fill="CFF0FC"/>
          </w:tcPr>
          <w:p>
            <w:pPr>
              <w:ind w:left="200"/>
              <w:spacing w:after="0" w:line="194" w:lineRule="exact"/>
              <w:rPr>
                <w:sz w:val="20"/>
                <w:szCs w:val="20"/>
                <w:color w:val="auto"/>
              </w:rPr>
            </w:pPr>
            <w:r>
              <w:rPr>
                <w:rFonts w:ascii="Calibri" w:cs="Calibri" w:eastAsia="Calibri" w:hAnsi="Calibri"/>
                <w:sz w:val="18"/>
                <w:szCs w:val="18"/>
                <w:color w:val="auto"/>
              </w:rPr>
              <w:t>Class A common stock, $0.001 par value per share; 500,000,000 shares</w:t>
            </w:r>
          </w:p>
        </w:tc>
        <w:tc>
          <w:tcPr>
            <w:tcW w:w="9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5"/>
        </w:trPr>
        <w:tc>
          <w:tcPr>
            <w:tcW w:w="7420" w:type="dxa"/>
            <w:vAlign w:val="bottom"/>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authorized; 89,002,571 and 92,175,243 shares issued and outstanding at</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420" w:type="dxa"/>
            <w:vAlign w:val="bottom"/>
            <w:tcBorders>
              <w:bottom w:val="single" w:sz="8" w:color="CFF0FC"/>
            </w:tcBorders>
            <w:shd w:val="clear" w:color="auto" w:fill="CFF0FC"/>
          </w:tcPr>
          <w:p>
            <w:pPr>
              <w:ind w:left="320"/>
              <w:spacing w:after="0" w:line="216" w:lineRule="exact"/>
              <w:rPr>
                <w:sz w:val="20"/>
                <w:szCs w:val="20"/>
                <w:color w:val="auto"/>
              </w:rPr>
            </w:pPr>
            <w:r>
              <w:rPr>
                <w:rFonts w:ascii="Calibri" w:cs="Calibri" w:eastAsia="Calibri" w:hAnsi="Calibri"/>
                <w:sz w:val="18"/>
                <w:szCs w:val="18"/>
                <w:color w:val="auto"/>
              </w:rPr>
              <w:t>December 31, 2024 and 2023, respectvely</w:t>
            </w:r>
          </w:p>
        </w:tc>
        <w:tc>
          <w:tcPr>
            <w:tcW w:w="9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89</w:t>
            </w:r>
          </w:p>
        </w:tc>
        <w:tc>
          <w:tcPr>
            <w:tcW w:w="2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4"/>
        </w:trPr>
        <w:tc>
          <w:tcPr>
            <w:tcW w:w="7420" w:type="dxa"/>
            <w:vAlign w:val="bottom"/>
          </w:tcPr>
          <w:p>
            <w:pPr>
              <w:ind w:left="200"/>
              <w:spacing w:after="0" w:line="194" w:lineRule="exact"/>
              <w:rPr>
                <w:sz w:val="20"/>
                <w:szCs w:val="20"/>
                <w:color w:val="auto"/>
              </w:rPr>
            </w:pPr>
            <w:r>
              <w:rPr>
                <w:rFonts w:ascii="Calibri" w:cs="Calibri" w:eastAsia="Calibri" w:hAnsi="Calibri"/>
                <w:sz w:val="18"/>
                <w:szCs w:val="18"/>
                <w:color w:val="auto"/>
              </w:rPr>
              <w:t>Class B common stock, $0.001 par value per share; 100,000,000 shares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420" w:type="dxa"/>
            <w:vAlign w:val="bottom"/>
          </w:tcPr>
          <w:p>
            <w:pPr>
              <w:ind w:left="320"/>
              <w:spacing w:after="0" w:line="215" w:lineRule="exact"/>
              <w:rPr>
                <w:sz w:val="20"/>
                <w:szCs w:val="20"/>
                <w:color w:val="auto"/>
              </w:rPr>
            </w:pPr>
            <w:r>
              <w:rPr>
                <w:rFonts w:ascii="Calibri" w:cs="Calibri" w:eastAsia="Calibri" w:hAnsi="Calibri"/>
                <w:sz w:val="18"/>
                <w:szCs w:val="18"/>
                <w:color w:val="auto"/>
              </w:rPr>
              <w:t>authorized; 14,986,745 and 15,999,173 shares issued and outstanding at</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tcPr>
          <w:p>
            <w:pPr>
              <w:ind w:left="320"/>
              <w:spacing w:after="0" w:line="216" w:lineRule="exact"/>
              <w:rPr>
                <w:sz w:val="20"/>
                <w:szCs w:val="20"/>
                <w:color w:val="auto"/>
              </w:rPr>
            </w:pPr>
            <w:r>
              <w:rPr>
                <w:rFonts w:ascii="Calibri" w:cs="Calibri" w:eastAsia="Calibri" w:hAnsi="Calibri"/>
                <w:sz w:val="18"/>
                <w:szCs w:val="18"/>
                <w:color w:val="auto"/>
              </w:rPr>
              <w:t>December 31, 2024 and 2023, respectvely</w:t>
            </w:r>
          </w:p>
        </w:tc>
        <w:tc>
          <w:tcPr>
            <w:tcW w:w="90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Calibri" w:cs="Calibri" w:eastAsia="Calibri" w:hAnsi="Calibri"/>
                <w:sz w:val="18"/>
                <w:szCs w:val="18"/>
                <w:color w:val="auto"/>
              </w:rPr>
              <w:t>15</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8"/>
                <w:szCs w:val="18"/>
                <w:color w:val="auto"/>
              </w:rPr>
            </w:pPr>
          </w:p>
        </w:tc>
      </w:tr>
      <w:tr>
        <w:trPr>
          <w:trHeight w:val="23"/>
        </w:trPr>
        <w:tc>
          <w:tcPr>
            <w:tcW w:w="7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2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Additonal paid–in capital</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4"/>
              </w:rPr>
              <w:t>169,013</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263,498</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0"/>
              <w:spacing w:after="0" w:line="215" w:lineRule="exact"/>
              <w:rPr>
                <w:sz w:val="20"/>
                <w:szCs w:val="20"/>
                <w:color w:val="auto"/>
              </w:rPr>
            </w:pPr>
            <w:r>
              <w:rPr>
                <w:rFonts w:ascii="Calibri" w:cs="Calibri" w:eastAsia="Calibri" w:hAnsi="Calibri"/>
                <w:sz w:val="18"/>
                <w:szCs w:val="18"/>
                <w:color w:val="auto"/>
              </w:rPr>
              <w:t>Retained earnings</w:t>
            </w:r>
          </w:p>
        </w:tc>
        <w:tc>
          <w:tcPr>
            <w:tcW w:w="9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w w:val="94"/>
              </w:rPr>
              <w:t>375,119</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354,147</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Accumulated other comprehensive loss</w:t>
            </w:r>
          </w:p>
        </w:tc>
        <w:tc>
          <w:tcPr>
            <w:tcW w:w="9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(2,547 )</w:t>
            </w:r>
          </w:p>
        </w:tc>
        <w:tc>
          <w:tcPr>
            <w:tcW w:w="7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(901 )</w:t>
            </w:r>
          </w:p>
        </w:tc>
      </w:tr>
      <w:tr>
        <w:trPr>
          <w:trHeight w:val="209"/>
        </w:trPr>
        <w:tc>
          <w:tcPr>
            <w:tcW w:w="742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color w:val="auto"/>
              </w:rPr>
              <w:t>Total stockholders’ equity</w:t>
            </w:r>
          </w:p>
        </w:tc>
        <w:tc>
          <w:tcPr>
            <w:tcW w:w="9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94"/>
              </w:rPr>
              <w:t>541,689</w:t>
            </w:r>
          </w:p>
        </w:tc>
        <w:tc>
          <w:tcPr>
            <w:tcW w:w="280" w:type="dxa"/>
            <w:vAlign w:val="bottom"/>
            <w:tcBorders>
              <w:top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616,852</w:t>
            </w:r>
          </w:p>
        </w:tc>
        <w:tc>
          <w:tcPr>
            <w:tcW w:w="100" w:type="dxa"/>
            <w:vAlign w:val="bottom"/>
            <w:tcBorders>
              <w:top w:val="single" w:sz="8" w:color="CFF0FC"/>
            </w:tcBorders>
          </w:tcPr>
          <w:p>
            <w:pPr>
              <w:spacing w:after="0"/>
              <w:rPr>
                <w:sz w:val="18"/>
                <w:szCs w:val="18"/>
                <w:color w:val="auto"/>
              </w:rPr>
            </w:pPr>
          </w:p>
        </w:tc>
      </w:tr>
      <w:tr>
        <w:trPr>
          <w:trHeight w:val="249"/>
        </w:trPr>
        <w:tc>
          <w:tcPr>
            <w:tcW w:w="742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liabilites, redeemable noncontrolling interest and stockholders’ equity</w:t>
            </w:r>
          </w:p>
        </w:tc>
        <w:tc>
          <w:tcPr>
            <w:tcW w:w="900" w:type="dxa"/>
            <w:vAlign w:val="bottom"/>
            <w:tcBorders>
              <w:bottom w:val="single" w:sz="8" w:color="auto"/>
            </w:tcBorders>
            <w:shd w:val="clear" w:color="auto" w:fill="CFF0FC"/>
          </w:tcPr>
          <w:p>
            <w:pPr>
              <w:jc w:val="right"/>
              <w:ind w:right="714"/>
              <w:spacing w:after="0" w:line="209"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94"/>
              </w:rPr>
              <w:t>824,536</w:t>
            </w:r>
          </w:p>
        </w:tc>
        <w:tc>
          <w:tcPr>
            <w:tcW w:w="2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center"/>
              <w:ind w:right="530"/>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918,927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-4902835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-4902835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-3796665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-316865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18"/>
          <w:szCs w:val="18"/>
          <w:color w:val="00002D"/>
        </w:rPr>
        <w:t>The accompanying notes are an integral part of these consolidated fnancial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00002D"/>
        </w:rPr>
        <w:t>CarGurus, Inc.</w:t>
      </w:r>
    </w:p>
    <w:p>
      <w:pPr>
        <w:jc w:val="center"/>
        <w:spacing w:after="0" w:line="237" w:lineRule="auto"/>
        <w:rPr>
          <w:sz w:val="20"/>
          <w:szCs w:val="20"/>
          <w:color w:val="auto"/>
        </w:rPr>
      </w:pPr>
      <w:r>
        <w:rPr>
          <w:rFonts w:ascii="Calibri" w:cs="Calibri" w:eastAsia="Calibri" w:hAnsi="Calibri"/>
          <w:sz w:val="29"/>
          <w:szCs w:val="29"/>
          <w:b w:val="1"/>
          <w:bCs w:val="1"/>
          <w:color w:val="00002D"/>
        </w:rPr>
        <w:t>Consolidated Income Statements</w:t>
      </w:r>
    </w:p>
    <w:p>
      <w:pPr>
        <w:jc w:val="center"/>
        <w:spacing w:after="0" w:line="238" w:lineRule="auto"/>
        <w:rPr>
          <w:sz w:val="20"/>
          <w:szCs w:val="20"/>
          <w:color w:val="auto"/>
        </w:rPr>
      </w:pPr>
      <w:r>
        <w:rPr>
          <w:rFonts w:ascii="Calibri" w:cs="Calibri" w:eastAsia="Calibri" w:hAnsi="Calibri"/>
          <w:sz w:val="29"/>
          <w:szCs w:val="29"/>
          <w:b w:val="1"/>
          <w:bCs w:val="1"/>
          <w:color w:val="00002D"/>
        </w:rPr>
        <w:t>(in thousands, except share and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Calibri" w:cs="Calibri" w:eastAsia="Calibri" w:hAnsi="Calibri"/>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3"/>
        </w:trPr>
        <w:tc>
          <w:tcPr>
            <w:tcW w:w="6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1"/>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1"/>
              <w:spacing w:after="0"/>
              <w:rPr>
                <w:sz w:val="20"/>
                <w:szCs w:val="20"/>
                <w:color w:val="auto"/>
              </w:rPr>
            </w:pPr>
            <w:r>
              <w:rPr>
                <w:rFonts w:ascii="Calibri" w:cs="Calibri" w:eastAsia="Calibri" w:hAnsi="Calibri"/>
                <w:sz w:val="14"/>
                <w:szCs w:val="14"/>
                <w:b w:val="1"/>
                <w:bCs w:val="1"/>
                <w:color w:val="auto"/>
              </w:rPr>
              <w:t>2023</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1"/>
              <w:spacing w:after="0"/>
              <w:rPr>
                <w:sz w:val="20"/>
                <w:szCs w:val="20"/>
                <w:color w:val="auto"/>
              </w:rPr>
            </w:pPr>
            <w:r>
              <w:rPr>
                <w:rFonts w:ascii="Calibri" w:cs="Calibri" w:eastAsia="Calibri" w:hAnsi="Calibri"/>
                <w:sz w:val="14"/>
                <w:szCs w:val="14"/>
                <w:b w:val="1"/>
                <w:bCs w:val="1"/>
                <w:color w:val="auto"/>
              </w:rPr>
              <w:t>2022</w:t>
            </w:r>
          </w:p>
        </w:tc>
        <w:tc>
          <w:tcPr>
            <w:tcW w:w="120" w:type="dxa"/>
            <w:vAlign w:val="bottom"/>
          </w:tcPr>
          <w:p>
            <w:pPr>
              <w:spacing w:after="0"/>
              <w:rPr>
                <w:sz w:val="15"/>
                <w:szCs w:val="15"/>
                <w:color w:val="auto"/>
              </w:rPr>
            </w:pPr>
          </w:p>
        </w:tc>
      </w:tr>
      <w:tr>
        <w:trPr>
          <w:trHeight w:val="212"/>
        </w:trPr>
        <w:tc>
          <w:tcPr>
            <w:tcW w:w="660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Revenue</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600" w:type="dxa"/>
            <w:vAlign w:val="bottom"/>
          </w:tcPr>
          <w:p>
            <w:pPr>
              <w:ind w:left="200"/>
              <w:spacing w:after="0" w:line="215" w:lineRule="exact"/>
              <w:rPr>
                <w:sz w:val="20"/>
                <w:szCs w:val="20"/>
                <w:color w:val="auto"/>
              </w:rPr>
            </w:pPr>
            <w:r>
              <w:rPr>
                <w:rFonts w:ascii="Calibri" w:cs="Calibri" w:eastAsia="Calibri" w:hAnsi="Calibri"/>
                <w:sz w:val="18"/>
                <w:szCs w:val="18"/>
                <w:color w:val="auto"/>
              </w:rPr>
              <w:t>Marketplace</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796,599</w:t>
            </w:r>
          </w:p>
        </w:tc>
        <w:tc>
          <w:tcPr>
            <w:tcW w:w="120" w:type="dxa"/>
            <w:vAlign w:val="bottom"/>
          </w:tcPr>
          <w:p>
            <w:pPr>
              <w:spacing w:after="0"/>
              <w:rPr>
                <w:sz w:val="18"/>
                <w:szCs w:val="18"/>
                <w:color w:val="auto"/>
              </w:rPr>
            </w:pPr>
          </w:p>
        </w:tc>
        <w:tc>
          <w:tcPr>
            <w:tcW w:w="40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698,236</w:t>
            </w:r>
          </w:p>
        </w:tc>
        <w:tc>
          <w:tcPr>
            <w:tcW w:w="26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658,771</w:t>
            </w:r>
          </w:p>
        </w:tc>
        <w:tc>
          <w:tcPr>
            <w:tcW w:w="120" w:type="dxa"/>
            <w:vAlign w:val="bottom"/>
          </w:tcPr>
          <w:p>
            <w:pPr>
              <w:spacing w:after="0"/>
              <w:rPr>
                <w:sz w:val="18"/>
                <w:szCs w:val="18"/>
                <w:color w:val="auto"/>
              </w:rPr>
            </w:pPr>
          </w:p>
        </w:tc>
      </w:tr>
      <w:tr>
        <w:trPr>
          <w:trHeight w:val="217"/>
        </w:trPr>
        <w:tc>
          <w:tcPr>
            <w:tcW w:w="6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Wholesale</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51,201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100,908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237,635</w:t>
            </w:r>
          </w:p>
        </w:tc>
        <w:tc>
          <w:tcPr>
            <w:tcW w:w="120" w:type="dxa"/>
            <w:vAlign w:val="bottom"/>
            <w:shd w:val="clear" w:color="auto" w:fill="CFF0FC"/>
          </w:tcPr>
          <w:p>
            <w:pPr>
              <w:spacing w:after="0"/>
              <w:rPr>
                <w:sz w:val="18"/>
                <w:szCs w:val="18"/>
                <w:color w:val="auto"/>
              </w:rPr>
            </w:pPr>
          </w:p>
        </w:tc>
      </w:tr>
      <w:tr>
        <w:trPr>
          <w:trHeight w:val="215"/>
        </w:trPr>
        <w:tc>
          <w:tcPr>
            <w:tcW w:w="6600" w:type="dxa"/>
            <w:vAlign w:val="bottom"/>
          </w:tcPr>
          <w:p>
            <w:pPr>
              <w:ind w:left="200"/>
              <w:spacing w:after="0" w:line="215" w:lineRule="exact"/>
              <w:rPr>
                <w:sz w:val="20"/>
                <w:szCs w:val="20"/>
                <w:color w:val="auto"/>
              </w:rPr>
            </w:pPr>
            <w:r>
              <w:rPr>
                <w:rFonts w:ascii="Calibri" w:cs="Calibri" w:eastAsia="Calibri" w:hAnsi="Calibri"/>
                <w:sz w:val="18"/>
                <w:szCs w:val="18"/>
                <w:color w:val="auto"/>
              </w:rPr>
              <w:t>Product</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46,584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115,098</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758,629</w:t>
            </w:r>
          </w:p>
        </w:tc>
        <w:tc>
          <w:tcPr>
            <w:tcW w:w="120" w:type="dxa"/>
            <w:vAlign w:val="bottom"/>
          </w:tcPr>
          <w:p>
            <w:pPr>
              <w:spacing w:after="0"/>
              <w:rPr>
                <w:sz w:val="18"/>
                <w:szCs w:val="18"/>
                <w:color w:val="auto"/>
              </w:rPr>
            </w:pPr>
          </w:p>
        </w:tc>
      </w:tr>
      <w:tr>
        <w:trPr>
          <w:trHeight w:val="164"/>
        </w:trPr>
        <w:tc>
          <w:tcPr>
            <w:tcW w:w="6600" w:type="dxa"/>
            <w:vAlign w:val="bottom"/>
          </w:tcPr>
          <w:p>
            <w:pPr>
              <w:ind w:left="380"/>
              <w:spacing w:after="0" w:line="164" w:lineRule="exact"/>
              <w:rPr>
                <w:sz w:val="20"/>
                <w:szCs w:val="20"/>
                <w:color w:val="auto"/>
              </w:rPr>
            </w:pPr>
            <w:r>
              <w:rPr>
                <w:rFonts w:ascii="Calibri" w:cs="Calibri" w:eastAsia="Calibri" w:hAnsi="Calibri"/>
                <w:sz w:val="17"/>
                <w:szCs w:val="17"/>
                <w:color w:val="auto"/>
              </w:rPr>
              <w:t>Total revenue</w:t>
            </w:r>
          </w:p>
        </w:tc>
        <w:tc>
          <w:tcPr>
            <w:tcW w:w="260" w:type="dxa"/>
            <w:vAlign w:val="bottom"/>
          </w:tcPr>
          <w:p>
            <w:pPr>
              <w:spacing w:after="0"/>
              <w:rPr>
                <w:sz w:val="14"/>
                <w:szCs w:val="14"/>
                <w:color w:val="auto"/>
              </w:rPr>
            </w:pPr>
          </w:p>
        </w:tc>
        <w:tc>
          <w:tcPr>
            <w:tcW w:w="1060" w:type="dxa"/>
            <w:vAlign w:val="bottom"/>
          </w:tcPr>
          <w:p>
            <w:pPr>
              <w:jc w:val="right"/>
              <w:spacing w:after="0" w:line="164" w:lineRule="exact"/>
              <w:rPr>
                <w:sz w:val="20"/>
                <w:szCs w:val="20"/>
                <w:color w:val="auto"/>
              </w:rPr>
            </w:pPr>
            <w:r>
              <w:rPr>
                <w:rFonts w:ascii="Calibri" w:cs="Calibri" w:eastAsia="Calibri" w:hAnsi="Calibri"/>
                <w:sz w:val="17"/>
                <w:szCs w:val="17"/>
                <w:color w:val="auto"/>
              </w:rPr>
              <w:t>894,384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7"/>
                <w:szCs w:val="17"/>
                <w:color w:val="auto"/>
              </w:rPr>
              <w:t>914,242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7"/>
                <w:szCs w:val="17"/>
                <w:color w:val="auto"/>
              </w:rPr>
              <w:t>1,655,035</w:t>
            </w:r>
          </w:p>
        </w:tc>
        <w:tc>
          <w:tcPr>
            <w:tcW w:w="120" w:type="dxa"/>
            <w:vAlign w:val="bottom"/>
          </w:tcPr>
          <w:p>
            <w:pPr>
              <w:spacing w:after="0"/>
              <w:rPr>
                <w:sz w:val="14"/>
                <w:szCs w:val="14"/>
                <w:color w:val="auto"/>
              </w:rPr>
            </w:pPr>
          </w:p>
        </w:tc>
      </w:tr>
      <w:tr>
        <w:trPr>
          <w:trHeight w:val="263"/>
        </w:trPr>
        <w:tc>
          <w:tcPr>
            <w:tcW w:w="6600" w:type="dxa"/>
            <w:vAlign w:val="bottom"/>
          </w:tcPr>
          <w:p>
            <w:pPr>
              <w:ind w:left="20"/>
              <w:spacing w:after="0" w:line="263" w:lineRule="exact"/>
              <w:rPr>
                <w:sz w:val="20"/>
                <w:szCs w:val="20"/>
                <w:color w:val="auto"/>
              </w:rPr>
            </w:pPr>
            <w:r>
              <w:rPr>
                <w:rFonts w:ascii="Calibri" w:cs="Calibri" w:eastAsia="Calibri" w:hAnsi="Calibri"/>
                <w:sz w:val="18"/>
                <w:szCs w:val="18"/>
                <w:color w:val="auto"/>
              </w:rPr>
              <w:t>Cost of revenue</w:t>
            </w:r>
            <w:r>
              <w:rPr>
                <w:rFonts w:ascii="Calibri" w:cs="Calibri" w:eastAsia="Calibri" w:hAnsi="Calibri"/>
                <w:sz w:val="24"/>
                <w:szCs w:val="24"/>
                <w:color w:val="auto"/>
                <w:vertAlign w:val="superscript"/>
              </w:rPr>
              <w:t>(1)</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69"/>
        </w:trPr>
        <w:tc>
          <w:tcPr>
            <w:tcW w:w="6600" w:type="dxa"/>
            <w:vAlign w:val="bottom"/>
          </w:tcPr>
          <w:p>
            <w:pPr>
              <w:ind w:left="200"/>
              <w:spacing w:after="0" w:line="169" w:lineRule="exact"/>
              <w:rPr>
                <w:sz w:val="20"/>
                <w:szCs w:val="20"/>
                <w:color w:val="auto"/>
              </w:rPr>
            </w:pPr>
            <w:r>
              <w:rPr>
                <w:rFonts w:ascii="Calibri" w:cs="Calibri" w:eastAsia="Calibri" w:hAnsi="Calibri"/>
                <w:sz w:val="18"/>
                <w:szCs w:val="18"/>
                <w:color w:val="auto"/>
              </w:rPr>
              <w:t>Marketplace</w:t>
            </w:r>
          </w:p>
        </w:tc>
        <w:tc>
          <w:tcPr>
            <w:tcW w:w="26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Calibri" w:cs="Calibri" w:eastAsia="Calibri" w:hAnsi="Calibri"/>
                <w:sz w:val="18"/>
                <w:szCs w:val="18"/>
                <w:color w:val="auto"/>
              </w:rPr>
              <w:t>54,950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8"/>
                <w:szCs w:val="18"/>
                <w:color w:val="auto"/>
              </w:rPr>
              <w:t>60,020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Calibri" w:cs="Calibri" w:eastAsia="Calibri" w:hAnsi="Calibri"/>
                <w:sz w:val="18"/>
                <w:szCs w:val="18"/>
                <w:color w:val="auto"/>
              </w:rPr>
              <w:t>56,040</w:t>
            </w:r>
          </w:p>
        </w:tc>
        <w:tc>
          <w:tcPr>
            <w:tcW w:w="120" w:type="dxa"/>
            <w:vAlign w:val="bottom"/>
          </w:tcPr>
          <w:p>
            <w:pPr>
              <w:spacing w:after="0"/>
              <w:rPr>
                <w:sz w:val="14"/>
                <w:szCs w:val="14"/>
                <w:color w:val="auto"/>
              </w:rPr>
            </w:pPr>
          </w:p>
        </w:tc>
      </w:tr>
      <w:tr>
        <w:trPr>
          <w:trHeight w:val="263"/>
        </w:trPr>
        <w:tc>
          <w:tcPr>
            <w:tcW w:w="6600" w:type="dxa"/>
            <w:vAlign w:val="bottom"/>
          </w:tcPr>
          <w:p>
            <w:pPr>
              <w:ind w:left="200"/>
              <w:spacing w:after="0" w:line="263" w:lineRule="exact"/>
              <w:rPr>
                <w:sz w:val="20"/>
                <w:szCs w:val="20"/>
                <w:color w:val="auto"/>
              </w:rPr>
            </w:pPr>
            <w:r>
              <w:rPr>
                <w:rFonts w:ascii="Calibri" w:cs="Calibri" w:eastAsia="Calibri" w:hAnsi="Calibri"/>
                <w:sz w:val="18"/>
                <w:szCs w:val="18"/>
                <w:color w:val="auto"/>
              </w:rPr>
              <w:t>Wholesale</w:t>
            </w:r>
            <w:r>
              <w:rPr>
                <w:rFonts w:ascii="Calibri" w:cs="Calibri" w:eastAsia="Calibri" w:hAnsi="Calibri"/>
                <w:sz w:val="24"/>
                <w:szCs w:val="24"/>
                <w:color w:val="auto"/>
                <w:vertAlign w:val="superscript"/>
              </w:rPr>
              <w:t>(2)</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auto"/>
              </w:rPr>
              <w:t>54,340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90,066</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176,446</w:t>
            </w:r>
          </w:p>
        </w:tc>
        <w:tc>
          <w:tcPr>
            <w:tcW w:w="120" w:type="dxa"/>
            <w:vAlign w:val="bottom"/>
          </w:tcPr>
          <w:p>
            <w:pPr>
              <w:spacing w:after="0"/>
              <w:rPr>
                <w:sz w:val="22"/>
                <w:szCs w:val="22"/>
                <w:color w:val="auto"/>
              </w:rPr>
            </w:pPr>
          </w:p>
        </w:tc>
      </w:tr>
      <w:tr>
        <w:trPr>
          <w:trHeight w:val="215"/>
        </w:trPr>
        <w:tc>
          <w:tcPr>
            <w:tcW w:w="660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Product</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46,149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112,702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764,996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ind w:left="380"/>
              <w:spacing w:after="0" w:line="209" w:lineRule="exact"/>
              <w:rPr>
                <w:sz w:val="20"/>
                <w:szCs w:val="20"/>
                <w:color w:val="auto"/>
              </w:rPr>
            </w:pPr>
            <w:r>
              <w:rPr>
                <w:rFonts w:ascii="Calibri" w:cs="Calibri" w:eastAsia="Calibri" w:hAnsi="Calibri"/>
                <w:sz w:val="18"/>
                <w:szCs w:val="18"/>
                <w:color w:val="auto"/>
              </w:rPr>
              <w:t>Total cost of revenue</w:t>
            </w:r>
          </w:p>
        </w:tc>
        <w:tc>
          <w:tcPr>
            <w:tcW w:w="26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Calibri" w:cs="Calibri" w:eastAsia="Calibri" w:hAnsi="Calibri"/>
                <w:sz w:val="18"/>
                <w:szCs w:val="18"/>
                <w:color w:val="auto"/>
              </w:rPr>
              <w:t>155,439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09" w:lineRule="exact"/>
              <w:rPr>
                <w:sz w:val="20"/>
                <w:szCs w:val="20"/>
                <w:color w:val="auto"/>
              </w:rPr>
            </w:pPr>
            <w:r>
              <w:rPr>
                <w:rFonts w:ascii="Calibri" w:cs="Calibri" w:eastAsia="Calibri" w:hAnsi="Calibri"/>
                <w:sz w:val="18"/>
                <w:szCs w:val="18"/>
                <w:color w:val="auto"/>
              </w:rPr>
              <w:t>262,788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09" w:lineRule="exact"/>
              <w:rPr>
                <w:sz w:val="20"/>
                <w:szCs w:val="20"/>
                <w:color w:val="auto"/>
              </w:rPr>
            </w:pPr>
            <w:r>
              <w:rPr>
                <w:rFonts w:ascii="Calibri" w:cs="Calibri" w:eastAsia="Calibri" w:hAnsi="Calibri"/>
                <w:sz w:val="18"/>
                <w:szCs w:val="18"/>
                <w:color w:val="auto"/>
              </w:rPr>
              <w:t>997,482</w:t>
            </w:r>
          </w:p>
        </w:tc>
        <w:tc>
          <w:tcPr>
            <w:tcW w:w="120" w:type="dxa"/>
            <w:vAlign w:val="bottom"/>
          </w:tcPr>
          <w:p>
            <w:pPr>
              <w:spacing w:after="0"/>
              <w:rPr>
                <w:sz w:val="18"/>
                <w:szCs w:val="18"/>
                <w:color w:val="auto"/>
              </w:rPr>
            </w:pPr>
          </w:p>
        </w:tc>
      </w:tr>
      <w:tr>
        <w:trPr>
          <w:trHeight w:val="217"/>
        </w:trPr>
        <w:tc>
          <w:tcPr>
            <w:tcW w:w="6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Gross proft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738,945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651,454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657,553</w:t>
            </w:r>
          </w:p>
        </w:tc>
        <w:tc>
          <w:tcPr>
            <w:tcW w:w="120" w:type="dxa"/>
            <w:vAlign w:val="bottom"/>
            <w:shd w:val="clear" w:color="auto" w:fill="CFF0FC"/>
          </w:tcPr>
          <w:p>
            <w:pPr>
              <w:spacing w:after="0"/>
              <w:rPr>
                <w:sz w:val="18"/>
                <w:szCs w:val="18"/>
                <w:color w:val="auto"/>
              </w:rPr>
            </w:pPr>
          </w:p>
        </w:tc>
      </w:tr>
      <w:tr>
        <w:trPr>
          <w:trHeight w:val="215"/>
        </w:trPr>
        <w:tc>
          <w:tcPr>
            <w:tcW w:w="660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expenses: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6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Sales and marketng</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322,249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304,070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336,708</w:t>
            </w:r>
          </w:p>
        </w:tc>
        <w:tc>
          <w:tcPr>
            <w:tcW w:w="120" w:type="dxa"/>
            <w:vAlign w:val="bottom"/>
            <w:shd w:val="clear" w:color="auto" w:fill="CFF0FC"/>
          </w:tcPr>
          <w:p>
            <w:pPr>
              <w:spacing w:after="0"/>
              <w:rPr>
                <w:sz w:val="18"/>
                <w:szCs w:val="18"/>
                <w:color w:val="auto"/>
              </w:rPr>
            </w:pPr>
          </w:p>
        </w:tc>
      </w:tr>
      <w:tr>
        <w:trPr>
          <w:trHeight w:val="215"/>
        </w:trPr>
        <w:tc>
          <w:tcPr>
            <w:tcW w:w="6600" w:type="dxa"/>
            <w:vAlign w:val="bottom"/>
          </w:tcPr>
          <w:p>
            <w:pPr>
              <w:ind w:left="200"/>
              <w:spacing w:after="0" w:line="215" w:lineRule="exact"/>
              <w:rPr>
                <w:sz w:val="20"/>
                <w:szCs w:val="20"/>
                <w:color w:val="auto"/>
              </w:rPr>
            </w:pPr>
            <w:r>
              <w:rPr>
                <w:rFonts w:ascii="Calibri" w:cs="Calibri" w:eastAsia="Calibri" w:hAnsi="Calibri"/>
                <w:sz w:val="18"/>
                <w:szCs w:val="18"/>
                <w:color w:val="auto"/>
              </w:rPr>
              <w:t>Product, technology, and development</w:t>
            </w:r>
          </w:p>
        </w:tc>
        <w:tc>
          <w:tcPr>
            <w:tcW w:w="26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144,432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146,169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123,768</w:t>
            </w:r>
          </w:p>
        </w:tc>
        <w:tc>
          <w:tcPr>
            <w:tcW w:w="120" w:type="dxa"/>
            <w:vAlign w:val="bottom"/>
          </w:tcPr>
          <w:p>
            <w:pPr>
              <w:spacing w:after="0"/>
              <w:rPr>
                <w:sz w:val="18"/>
                <w:szCs w:val="18"/>
                <w:color w:val="auto"/>
              </w:rPr>
            </w:pPr>
          </w:p>
        </w:tc>
      </w:tr>
      <w:tr>
        <w:trPr>
          <w:trHeight w:val="217"/>
        </w:trPr>
        <w:tc>
          <w:tcPr>
            <w:tcW w:w="6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General and administratve</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112,066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152,757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73,117</w:t>
            </w:r>
          </w:p>
        </w:tc>
        <w:tc>
          <w:tcPr>
            <w:tcW w:w="120" w:type="dxa"/>
            <w:vAlign w:val="bottom"/>
            <w:shd w:val="clear" w:color="auto" w:fill="CFF0FC"/>
          </w:tcPr>
          <w:p>
            <w:pPr>
              <w:spacing w:after="0"/>
              <w:rPr>
                <w:sz w:val="18"/>
                <w:szCs w:val="18"/>
                <w:color w:val="auto"/>
              </w:rPr>
            </w:pPr>
          </w:p>
        </w:tc>
      </w:tr>
      <w:tr>
        <w:trPr>
          <w:trHeight w:val="215"/>
        </w:trPr>
        <w:tc>
          <w:tcPr>
            <w:tcW w:w="6600" w:type="dxa"/>
            <w:vAlign w:val="bottom"/>
          </w:tcPr>
          <w:p>
            <w:pPr>
              <w:ind w:left="200"/>
              <w:spacing w:after="0" w:line="215" w:lineRule="exact"/>
              <w:rPr>
                <w:sz w:val="20"/>
                <w:szCs w:val="20"/>
                <w:color w:val="auto"/>
              </w:rPr>
            </w:pPr>
            <w:r>
              <w:rPr>
                <w:rFonts w:ascii="Calibri" w:cs="Calibri" w:eastAsia="Calibri" w:hAnsi="Calibri"/>
                <w:sz w:val="18"/>
                <w:szCs w:val="18"/>
                <w:color w:val="auto"/>
              </w:rPr>
              <w:t>Impairment</w:t>
            </w:r>
          </w:p>
        </w:tc>
        <w:tc>
          <w:tcPr>
            <w:tcW w:w="26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134,501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660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Depreciaton and amortzaton</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12,285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15,831</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15,482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380"/>
              <w:spacing w:after="0" w:line="209" w:lineRule="exact"/>
              <w:rPr>
                <w:sz w:val="20"/>
                <w:szCs w:val="20"/>
                <w:color w:val="auto"/>
              </w:rPr>
            </w:pPr>
            <w:r>
              <w:rPr>
                <w:rFonts w:ascii="Calibri" w:cs="Calibri" w:eastAsia="Calibri" w:hAnsi="Calibri"/>
                <w:sz w:val="18"/>
                <w:szCs w:val="18"/>
                <w:color w:val="auto"/>
              </w:rPr>
              <w:t>Total operatng expenses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725,533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618,827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549,075</w:t>
            </w:r>
          </w:p>
        </w:tc>
        <w:tc>
          <w:tcPr>
            <w:tcW w:w="12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Income from operatons</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13,412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32,627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108,478</w:t>
            </w:r>
          </w:p>
        </w:tc>
        <w:tc>
          <w:tcPr>
            <w:tcW w:w="120" w:type="dxa"/>
            <w:vAlign w:val="bottom"/>
            <w:shd w:val="clear" w:color="auto" w:fill="CFF0FC"/>
          </w:tcPr>
          <w:p>
            <w:pPr>
              <w:spacing w:after="0"/>
              <w:rPr>
                <w:sz w:val="18"/>
                <w:szCs w:val="18"/>
                <w:color w:val="auto"/>
              </w:rPr>
            </w:pPr>
          </w:p>
        </w:tc>
      </w:tr>
      <w:tr>
        <w:trPr>
          <w:trHeight w:val="215"/>
        </w:trPr>
        <w:tc>
          <w:tcPr>
            <w:tcW w:w="660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net:</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6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Interest income</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12,189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18,430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3,845</w:t>
            </w:r>
          </w:p>
        </w:tc>
        <w:tc>
          <w:tcPr>
            <w:tcW w:w="120" w:type="dxa"/>
            <w:vAlign w:val="bottom"/>
            <w:shd w:val="clear" w:color="auto" w:fill="CFF0FC"/>
          </w:tcPr>
          <w:p>
            <w:pPr>
              <w:spacing w:after="0"/>
              <w:rPr>
                <w:sz w:val="18"/>
                <w:szCs w:val="18"/>
                <w:color w:val="auto"/>
              </w:rPr>
            </w:pPr>
          </w:p>
        </w:tc>
      </w:tr>
      <w:tr>
        <w:trPr>
          <w:trHeight w:val="215"/>
        </w:trPr>
        <w:tc>
          <w:tcPr>
            <w:tcW w:w="6600" w:type="dxa"/>
            <w:vAlign w:val="bottom"/>
          </w:tcPr>
          <w:p>
            <w:pPr>
              <w:ind w:left="200"/>
              <w:spacing w:after="0" w:line="215" w:lineRule="exact"/>
              <w:rPr>
                <w:sz w:val="20"/>
                <w:szCs w:val="20"/>
                <w:color w:val="auto"/>
              </w:rPr>
            </w:pPr>
            <w:r>
              <w:rPr>
                <w:rFonts w:ascii="Calibri" w:cs="Calibri" w:eastAsia="Calibri" w:hAnsi="Calibri"/>
                <w:sz w:val="18"/>
                <w:szCs w:val="18"/>
                <w:color w:val="auto"/>
              </w:rPr>
              <w:t>Other (expense) income, net</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(944 )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630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(961 )</w:t>
            </w:r>
          </w:p>
        </w:tc>
      </w:tr>
      <w:tr>
        <w:trPr>
          <w:trHeight w:val="210"/>
        </w:trPr>
        <w:tc>
          <w:tcPr>
            <w:tcW w:w="6600" w:type="dxa"/>
            <w:vAlign w:val="bottom"/>
            <w:shd w:val="clear" w:color="auto" w:fill="CFF0FC"/>
          </w:tcPr>
          <w:p>
            <w:pPr>
              <w:ind w:left="380"/>
              <w:spacing w:after="0" w:line="210" w:lineRule="exact"/>
              <w:rPr>
                <w:sz w:val="20"/>
                <w:szCs w:val="20"/>
                <w:color w:val="auto"/>
              </w:rPr>
            </w:pPr>
            <w:r>
              <w:rPr>
                <w:rFonts w:ascii="Calibri" w:cs="Calibri" w:eastAsia="Calibri" w:hAnsi="Calibri"/>
                <w:sz w:val="18"/>
                <w:szCs w:val="18"/>
                <w:color w:val="auto"/>
              </w:rPr>
              <w:t>Total other income, net</w:t>
            </w: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11,245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19,060</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2,884</w:t>
            </w:r>
          </w:p>
        </w:tc>
        <w:tc>
          <w:tcPr>
            <w:tcW w:w="120" w:type="dxa"/>
            <w:vAlign w:val="bottom"/>
            <w:shd w:val="clear" w:color="auto" w:fill="CFF0FC"/>
          </w:tcPr>
          <w:p>
            <w:pPr>
              <w:spacing w:after="0"/>
              <w:rPr>
                <w:sz w:val="18"/>
                <w:szCs w:val="18"/>
                <w:color w:val="auto"/>
              </w:rPr>
            </w:pPr>
          </w:p>
        </w:tc>
      </w:tr>
      <w:tr>
        <w:trPr>
          <w:trHeight w:val="215"/>
        </w:trPr>
        <w:tc>
          <w:tcPr>
            <w:tcW w:w="6600" w:type="dxa"/>
            <w:vAlign w:val="bottom"/>
          </w:tcPr>
          <w:p>
            <w:pPr>
              <w:ind w:left="20"/>
              <w:spacing w:after="0" w:line="215" w:lineRule="exact"/>
              <w:rPr>
                <w:sz w:val="20"/>
                <w:szCs w:val="20"/>
                <w:color w:val="auto"/>
              </w:rPr>
            </w:pPr>
            <w:r>
              <w:rPr>
                <w:rFonts w:ascii="Calibri" w:cs="Calibri" w:eastAsia="Calibri" w:hAnsi="Calibri"/>
                <w:sz w:val="18"/>
                <w:szCs w:val="18"/>
                <w:color w:val="auto"/>
              </w:rPr>
              <w:t>Income before income taxes</w:t>
            </w:r>
          </w:p>
        </w:tc>
        <w:tc>
          <w:tcPr>
            <w:tcW w:w="26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24,657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51,687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111,362</w:t>
            </w:r>
          </w:p>
        </w:tc>
        <w:tc>
          <w:tcPr>
            <w:tcW w:w="12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Provision for income taxes</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3,685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29,634</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32,408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line="209" w:lineRule="exact"/>
              <w:rPr>
                <w:sz w:val="20"/>
                <w:szCs w:val="20"/>
                <w:color w:val="auto"/>
              </w:rPr>
            </w:pPr>
            <w:r>
              <w:rPr>
                <w:rFonts w:ascii="Calibri" w:cs="Calibri" w:eastAsia="Calibri" w:hAnsi="Calibri"/>
                <w:sz w:val="18"/>
                <w:szCs w:val="18"/>
                <w:color w:val="auto"/>
              </w:rPr>
              <w:t>Consolidated net income</w:t>
            </w:r>
          </w:p>
        </w:tc>
        <w:tc>
          <w:tcPr>
            <w:tcW w:w="260" w:type="dxa"/>
            <w:vAlign w:val="bottom"/>
          </w:tcPr>
          <w:p>
            <w:pPr>
              <w:spacing w:after="0"/>
              <w:rPr>
                <w:sz w:val="18"/>
                <w:szCs w:val="18"/>
                <w:color w:val="auto"/>
              </w:rPr>
            </w:pPr>
          </w:p>
        </w:tc>
        <w:tc>
          <w:tcPr>
            <w:tcW w:w="1060" w:type="dxa"/>
            <w:vAlign w:val="bottom"/>
          </w:tcPr>
          <w:p>
            <w:pPr>
              <w:jc w:val="right"/>
              <w:spacing w:after="0" w:line="209" w:lineRule="exact"/>
              <w:rPr>
                <w:sz w:val="20"/>
                <w:szCs w:val="20"/>
                <w:color w:val="auto"/>
              </w:rPr>
            </w:pPr>
            <w:r>
              <w:rPr>
                <w:rFonts w:ascii="Calibri" w:cs="Calibri" w:eastAsia="Calibri" w:hAnsi="Calibri"/>
                <w:sz w:val="18"/>
                <w:szCs w:val="18"/>
                <w:color w:val="auto"/>
              </w:rPr>
              <w:t>20,972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09" w:lineRule="exact"/>
              <w:rPr>
                <w:sz w:val="20"/>
                <w:szCs w:val="20"/>
                <w:color w:val="auto"/>
              </w:rPr>
            </w:pPr>
            <w:r>
              <w:rPr>
                <w:rFonts w:ascii="Calibri" w:cs="Calibri" w:eastAsia="Calibri" w:hAnsi="Calibri"/>
                <w:sz w:val="18"/>
                <w:szCs w:val="18"/>
                <w:color w:val="auto"/>
              </w:rPr>
              <w:t>22,053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09" w:lineRule="exact"/>
              <w:rPr>
                <w:sz w:val="20"/>
                <w:szCs w:val="20"/>
                <w:color w:val="auto"/>
              </w:rPr>
            </w:pPr>
            <w:r>
              <w:rPr>
                <w:rFonts w:ascii="Calibri" w:cs="Calibri" w:eastAsia="Calibri" w:hAnsi="Calibri"/>
                <w:sz w:val="18"/>
                <w:szCs w:val="18"/>
                <w:color w:val="auto"/>
              </w:rPr>
              <w:t>78,954</w:t>
            </w:r>
          </w:p>
        </w:tc>
        <w:tc>
          <w:tcPr>
            <w:tcW w:w="12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Net loss atributable to redeemable noncontrolling interest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(14,889 )</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(5,433 )</w:t>
            </w:r>
          </w:p>
        </w:tc>
      </w:tr>
      <w:tr>
        <w:trPr>
          <w:trHeight w:val="210"/>
        </w:trPr>
        <w:tc>
          <w:tcPr>
            <w:tcW w:w="660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color w:val="auto"/>
              </w:rPr>
              <w:t>Net income atributable to CarGurus, Inc.</w:t>
            </w:r>
          </w:p>
        </w:tc>
        <w:tc>
          <w:tcPr>
            <w:tcW w:w="260" w:type="dxa"/>
            <w:vAlign w:val="bottom"/>
            <w:tcBorders>
              <w:top w:val="single" w:sz="8" w:color="auto"/>
            </w:tcBorders>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20,972</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36,942</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84,387</w:t>
            </w:r>
          </w:p>
        </w:tc>
        <w:tc>
          <w:tcPr>
            <w:tcW w:w="120" w:type="dxa"/>
            <w:vAlign w:val="bottom"/>
            <w:tcBorders>
              <w:top w:val="single" w:sz="8" w:color="CFF0FC"/>
            </w:tcBorders>
          </w:tcPr>
          <w:p>
            <w:pPr>
              <w:spacing w:after="0"/>
              <w:rPr>
                <w:sz w:val="18"/>
                <w:szCs w:val="18"/>
                <w:color w:val="auto"/>
              </w:rPr>
            </w:pPr>
          </w:p>
        </w:tc>
      </w:tr>
      <w:tr>
        <w:trPr>
          <w:trHeight w:val="217"/>
        </w:trPr>
        <w:tc>
          <w:tcPr>
            <w:tcW w:w="6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Deemed dividend on redempton of noncontrolling interest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5,838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6600" w:type="dxa"/>
            <w:vAlign w:val="bottom"/>
          </w:tcPr>
          <w:p>
            <w:pPr>
              <w:ind w:left="20"/>
              <w:spacing w:after="0" w:line="215" w:lineRule="exact"/>
              <w:rPr>
                <w:sz w:val="20"/>
                <w:szCs w:val="20"/>
                <w:color w:val="auto"/>
              </w:rPr>
            </w:pPr>
            <w:r>
              <w:rPr>
                <w:rFonts w:ascii="Calibri" w:cs="Calibri" w:eastAsia="Calibri" w:hAnsi="Calibri"/>
                <w:sz w:val="18"/>
                <w:szCs w:val="18"/>
                <w:color w:val="auto"/>
              </w:rPr>
              <w:t>Accreton of redeemable noncontrolling interest to redempton value</w:t>
            </w:r>
          </w:p>
        </w:tc>
        <w:tc>
          <w:tcPr>
            <w:tcW w:w="26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(109,398 )</w:t>
            </w:r>
          </w:p>
        </w:tc>
      </w:tr>
      <w:tr>
        <w:trPr>
          <w:trHeight w:val="250"/>
        </w:trPr>
        <w:tc>
          <w:tcPr>
            <w:tcW w:w="660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Net income atributable to common stockholders</w:t>
            </w:r>
          </w:p>
        </w:tc>
        <w:tc>
          <w:tcPr>
            <w:tcW w:w="260" w:type="dxa"/>
            <w:vAlign w:val="bottom"/>
            <w:tcBorders>
              <w:top w:val="single" w:sz="8" w:color="auto"/>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20,972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31,104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193,785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6600" w:type="dxa"/>
            <w:vAlign w:val="bottom"/>
          </w:tcPr>
          <w:p>
            <w:pPr>
              <w:ind w:left="20"/>
              <w:spacing w:after="0" w:line="196" w:lineRule="exact"/>
              <w:rPr>
                <w:sz w:val="20"/>
                <w:szCs w:val="20"/>
                <w:color w:val="auto"/>
              </w:rPr>
            </w:pPr>
            <w:r>
              <w:rPr>
                <w:rFonts w:ascii="Calibri" w:cs="Calibri" w:eastAsia="Calibri" w:hAnsi="Calibri"/>
                <w:sz w:val="18"/>
                <w:szCs w:val="18"/>
                <w:color w:val="auto"/>
              </w:rPr>
              <w:t>Net income per share atributable to common stockholders: (Note 12)</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6"/>
        </w:trPr>
        <w:tc>
          <w:tcPr>
            <w:tcW w:w="66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Basic</w:t>
            </w:r>
          </w:p>
        </w:tc>
        <w:tc>
          <w:tcPr>
            <w:tcW w:w="260" w:type="dxa"/>
            <w:vAlign w:val="bottom"/>
            <w:tcBorders>
              <w:bottom w:val="single" w:sz="8" w:color="auto"/>
            </w:tcBorders>
            <w:shd w:val="clear" w:color="auto" w:fill="CFF0FC"/>
          </w:tcPr>
          <w:p>
            <w:pPr>
              <w:jc w:val="right"/>
              <w:ind w:right="70"/>
              <w:spacing w:after="0" w:line="216"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0.20</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0.27</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line="216"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1.64</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6600" w:type="dxa"/>
            <w:vAlign w:val="bottom"/>
          </w:tcPr>
          <w:p>
            <w:pPr>
              <w:ind w:left="20"/>
              <w:spacing w:after="0" w:line="196" w:lineRule="exact"/>
              <w:rPr>
                <w:sz w:val="20"/>
                <w:szCs w:val="20"/>
                <w:color w:val="auto"/>
              </w:rPr>
            </w:pPr>
            <w:r>
              <w:rPr>
                <w:rFonts w:ascii="Calibri" w:cs="Calibri" w:eastAsia="Calibri" w:hAnsi="Calibri"/>
                <w:sz w:val="18"/>
                <w:szCs w:val="18"/>
                <w:color w:val="auto"/>
              </w:rPr>
              <w:t>Diluted</w:t>
            </w:r>
          </w:p>
        </w:tc>
        <w:tc>
          <w:tcPr>
            <w:tcW w:w="260" w:type="dxa"/>
            <w:vAlign w:val="bottom"/>
          </w:tcPr>
          <w:p>
            <w:pPr>
              <w:jc w:val="right"/>
              <w:ind w:right="70"/>
              <w:spacing w:after="0" w:line="196"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196" w:lineRule="exact"/>
              <w:rPr>
                <w:sz w:val="20"/>
                <w:szCs w:val="20"/>
                <w:color w:val="auto"/>
              </w:rPr>
            </w:pPr>
            <w:r>
              <w:rPr>
                <w:rFonts w:ascii="Calibri" w:cs="Calibri" w:eastAsia="Calibri" w:hAnsi="Calibri"/>
                <w:sz w:val="18"/>
                <w:szCs w:val="18"/>
                <w:color w:val="auto"/>
              </w:rPr>
              <w:t>0.20</w:t>
            </w:r>
          </w:p>
        </w:tc>
        <w:tc>
          <w:tcPr>
            <w:tcW w:w="120" w:type="dxa"/>
            <w:vAlign w:val="bottom"/>
          </w:tcPr>
          <w:p>
            <w:pPr>
              <w:spacing w:after="0"/>
              <w:rPr>
                <w:sz w:val="17"/>
                <w:szCs w:val="17"/>
                <w:color w:val="auto"/>
              </w:rPr>
            </w:pPr>
          </w:p>
        </w:tc>
        <w:tc>
          <w:tcPr>
            <w:tcW w:w="400" w:type="dxa"/>
            <w:vAlign w:val="bottom"/>
            <w:gridSpan w:val="2"/>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196" w:lineRule="exact"/>
              <w:rPr>
                <w:sz w:val="20"/>
                <w:szCs w:val="20"/>
                <w:color w:val="auto"/>
              </w:rPr>
            </w:pPr>
            <w:r>
              <w:rPr>
                <w:rFonts w:ascii="Calibri" w:cs="Calibri" w:eastAsia="Calibri" w:hAnsi="Calibri"/>
                <w:sz w:val="18"/>
                <w:szCs w:val="18"/>
                <w:color w:val="auto"/>
              </w:rPr>
              <w:t>0.19</w:t>
            </w:r>
          </w:p>
        </w:tc>
        <w:tc>
          <w:tcPr>
            <w:tcW w:w="26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196" w:lineRule="exact"/>
              <w:rPr>
                <w:sz w:val="20"/>
                <w:szCs w:val="20"/>
                <w:color w:val="auto"/>
              </w:rPr>
            </w:pPr>
            <w:r>
              <w:rPr>
                <w:rFonts w:ascii="Calibri" w:cs="Calibri" w:eastAsia="Calibri" w:hAnsi="Calibri"/>
                <w:sz w:val="18"/>
                <w:szCs w:val="18"/>
                <w:color w:val="auto"/>
              </w:rPr>
              <w:t>0.62</w:t>
            </w:r>
          </w:p>
        </w:tc>
        <w:tc>
          <w:tcPr>
            <w:tcW w:w="12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6600" w:type="dxa"/>
            <w:vAlign w:val="bottom"/>
            <w:shd w:val="clear" w:color="auto" w:fill="CFF0FC"/>
          </w:tcPr>
          <w:p>
            <w:pPr>
              <w:ind w:left="20"/>
              <w:spacing w:after="0" w:line="174" w:lineRule="exact"/>
              <w:rPr>
                <w:sz w:val="20"/>
                <w:szCs w:val="20"/>
                <w:color w:val="auto"/>
              </w:rPr>
            </w:pPr>
            <w:r>
              <w:rPr>
                <w:rFonts w:ascii="Calibri" w:cs="Calibri" w:eastAsia="Calibri" w:hAnsi="Calibri"/>
                <w:sz w:val="18"/>
                <w:szCs w:val="18"/>
                <w:color w:val="auto"/>
              </w:rPr>
              <w:t>Weighted–average number of shares of common stock used in</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18"/>
        </w:trPr>
        <w:tc>
          <w:tcPr>
            <w:tcW w:w="660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rPr>
              <w:t>computng net income per share atributable to common stockholders:</w:t>
            </w: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215"/>
        </w:trPr>
        <w:tc>
          <w:tcPr>
            <w:tcW w:w="6600" w:type="dxa"/>
            <w:vAlign w:val="bottom"/>
          </w:tcPr>
          <w:p>
            <w:pPr>
              <w:ind w:left="20"/>
              <w:spacing w:after="0" w:line="215" w:lineRule="exact"/>
              <w:rPr>
                <w:sz w:val="20"/>
                <w:szCs w:val="20"/>
                <w:color w:val="auto"/>
              </w:rPr>
            </w:pPr>
            <w:r>
              <w:rPr>
                <w:rFonts w:ascii="Calibri" w:cs="Calibri" w:eastAsia="Calibri" w:hAnsi="Calibri"/>
                <w:sz w:val="18"/>
                <w:szCs w:val="18"/>
                <w:color w:val="auto"/>
              </w:rPr>
              <w:t>Basic</w:t>
            </w:r>
          </w:p>
        </w:tc>
        <w:tc>
          <w:tcPr>
            <w:tcW w:w="26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104,535,572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113,240,139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118,474,991</w:t>
            </w:r>
          </w:p>
        </w:tc>
        <w:tc>
          <w:tcPr>
            <w:tcW w:w="120" w:type="dxa"/>
            <w:vAlign w:val="bottom"/>
          </w:tcPr>
          <w:p>
            <w:pPr>
              <w:spacing w:after="0"/>
              <w:rPr>
                <w:sz w:val="18"/>
                <w:szCs w:val="18"/>
                <w:color w:val="auto"/>
              </w:rPr>
            </w:pPr>
          </w:p>
        </w:tc>
      </w:tr>
      <w:tr>
        <w:trPr>
          <w:trHeight w:val="217"/>
        </w:trPr>
        <w:tc>
          <w:tcPr>
            <w:tcW w:w="6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Diluted</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106,263,886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114,188,834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128,150,974</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-4799965</wp:posOffset>
            </wp:positionV>
            <wp:extent cx="71323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-4525645</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-4114165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-4114165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-4114165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-3007995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-3007995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-3007995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-1885315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-1885315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-1885315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-1602105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-1602105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-1602105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-1036320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-1019175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-1036320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-1019175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-736600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-719455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-736600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-719455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-719455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3" w:lineRule="exact"/>
        <w:rPr>
          <w:sz w:val="20"/>
          <w:szCs w:val="20"/>
          <w:color w:val="auto"/>
        </w:rPr>
      </w:pPr>
    </w:p>
    <w:p>
      <w:pPr>
        <w:ind w:left="1020" w:hanging="503"/>
        <w:spacing w:after="0"/>
        <w:tabs>
          <w:tab w:leader="none" w:pos="102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Includes depreciaton and amortzaton expense for the years ended December 31, 2024, 2023, and 2022 of $13,075, $32,643, and $29,852, respectvely.</w:t>
      </w:r>
    </w:p>
    <w:p>
      <w:pPr>
        <w:spacing w:after="0" w:line="112" w:lineRule="exact"/>
        <w:rPr>
          <w:rFonts w:ascii="Calibri" w:cs="Calibri" w:eastAsia="Calibri" w:hAnsi="Calibri"/>
          <w:sz w:val="14"/>
          <w:szCs w:val="14"/>
          <w:color w:val="auto"/>
        </w:rPr>
      </w:pPr>
    </w:p>
    <w:p>
      <w:pPr>
        <w:ind w:left="1020" w:hanging="503"/>
        <w:spacing w:after="0"/>
        <w:tabs>
          <w:tab w:leader="none" w:pos="102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Includes impairment of other assets fo</w:t>
      </w:r>
      <w:r>
        <w:rPr>
          <w:rFonts w:ascii="Calibri" w:cs="Calibri" w:eastAsia="Calibri" w:hAnsi="Calibri"/>
          <w:sz w:val="14"/>
          <w:szCs w:val="14"/>
          <w:color w:val="00002D"/>
        </w:rPr>
        <w:t>r the years ended December 31, 2024, 2023, and 2022 of $9,930, $184, and $165, respectvely.</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The accompanying notes are an integral part of these consolidated fnancial statements.</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00002D"/>
        </w:rPr>
        <w:t>CarGurus, Inc.</w:t>
      </w:r>
    </w:p>
    <w:p>
      <w:pPr>
        <w:jc w:val="center"/>
        <w:spacing w:after="0" w:line="237" w:lineRule="auto"/>
        <w:rPr>
          <w:sz w:val="20"/>
          <w:szCs w:val="20"/>
          <w:color w:val="auto"/>
        </w:rPr>
      </w:pPr>
      <w:r>
        <w:rPr>
          <w:rFonts w:ascii="Calibri" w:cs="Calibri" w:eastAsia="Calibri" w:hAnsi="Calibri"/>
          <w:sz w:val="29"/>
          <w:szCs w:val="29"/>
          <w:b w:val="1"/>
          <w:bCs w:val="1"/>
          <w:color w:val="00002D"/>
        </w:rPr>
        <w:t>Consolidated Statements of Comprehensive Income</w:t>
      </w:r>
    </w:p>
    <w:p>
      <w:pPr>
        <w:jc w:val="center"/>
        <w:spacing w:after="0" w:line="238" w:lineRule="auto"/>
        <w:rPr>
          <w:sz w:val="20"/>
          <w:szCs w:val="20"/>
          <w:color w:val="auto"/>
        </w:rPr>
      </w:pPr>
      <w:r>
        <w:rPr>
          <w:rFonts w:ascii="Calibri" w:cs="Calibri" w:eastAsia="Calibri" w:hAnsi="Calibri"/>
          <w:sz w:val="29"/>
          <w:szCs w:val="29"/>
          <w:b w:val="1"/>
          <w:bCs w:val="1"/>
          <w:color w:val="00002D"/>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Calibri" w:cs="Calibri" w:eastAsia="Calibri" w:hAnsi="Calibri"/>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Calibri" w:cs="Calibri" w:eastAsia="Calibri" w:hAnsi="Calibri"/>
                <w:sz w:val="14"/>
                <w:szCs w:val="14"/>
                <w:b w:val="1"/>
                <w:bCs w:val="1"/>
                <w:color w:val="auto"/>
              </w:rPr>
              <w:t>2023</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Calibri" w:cs="Calibri" w:eastAsia="Calibri" w:hAnsi="Calibri"/>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600" w:type="dxa"/>
            <w:vAlign w:val="bottom"/>
            <w:shd w:val="clear" w:color="auto" w:fill="CFF0FC"/>
          </w:tcPr>
          <w:p>
            <w:pPr>
              <w:ind w:left="20"/>
              <w:spacing w:after="0" w:line="212" w:lineRule="exact"/>
              <w:rPr>
                <w:sz w:val="20"/>
                <w:szCs w:val="20"/>
                <w:color w:val="auto"/>
              </w:rPr>
            </w:pPr>
            <w:r>
              <w:rPr>
                <w:rFonts w:ascii="Calibri" w:cs="Calibri" w:eastAsia="Calibri" w:hAnsi="Calibri"/>
                <w:sz w:val="18"/>
                <w:szCs w:val="18"/>
                <w:color w:val="auto"/>
              </w:rPr>
              <w:t>Consolidated net income</w:t>
            </w:r>
          </w:p>
        </w:tc>
        <w:tc>
          <w:tcPr>
            <w:tcW w:w="800" w:type="dxa"/>
            <w:vAlign w:val="bottom"/>
            <w:shd w:val="clear" w:color="auto" w:fill="CFF0FC"/>
          </w:tcPr>
          <w:p>
            <w:pPr>
              <w:jc w:val="right"/>
              <w:ind w:right="616"/>
              <w:spacing w:after="0" w:line="212"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w w:val="95"/>
              </w:rPr>
              <w:t>20,972</w:t>
            </w: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10"/>
              <w:spacing w:after="0" w:line="212"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22,053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212"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78,954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Foreign currency translaton adjustment</w:t>
            </w:r>
          </w:p>
        </w:tc>
        <w:tc>
          <w:tcPr>
            <w:tcW w:w="8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w w:val="99"/>
              </w:rPr>
              <w:t>(1,646 )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743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line="216" w:lineRule="exact"/>
              <w:rPr>
                <w:sz w:val="20"/>
                <w:szCs w:val="20"/>
                <w:color w:val="auto"/>
              </w:rPr>
            </w:pPr>
            <w:r>
              <w:rPr>
                <w:rFonts w:ascii="Calibri" w:cs="Calibri" w:eastAsia="Calibri" w:hAnsi="Calibri"/>
                <w:sz w:val="18"/>
                <w:szCs w:val="18"/>
                <w:color w:val="auto"/>
              </w:rPr>
              <w:t>(1,241 )</w:t>
            </w:r>
          </w:p>
        </w:tc>
        <w:tc>
          <w:tcPr>
            <w:tcW w:w="0" w:type="dxa"/>
            <w:vAlign w:val="bottom"/>
          </w:tcPr>
          <w:p>
            <w:pPr>
              <w:spacing w:after="0"/>
              <w:rPr>
                <w:sz w:val="1"/>
                <w:szCs w:val="1"/>
                <w:color w:val="auto"/>
              </w:rPr>
            </w:pPr>
          </w:p>
        </w:tc>
      </w:tr>
      <w:tr>
        <w:trPr>
          <w:trHeight w:val="209"/>
        </w:trPr>
        <w:tc>
          <w:tcPr>
            <w:tcW w:w="660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color w:val="auto"/>
              </w:rPr>
              <w:t>Consolidated comprehensive income</w:t>
            </w:r>
          </w:p>
        </w:tc>
        <w:tc>
          <w:tcPr>
            <w:tcW w:w="8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95"/>
              </w:rPr>
              <w:t>19,326</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22,796</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77,713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00" w:type="dxa"/>
            <w:vAlign w:val="bottom"/>
            <w:shd w:val="clear" w:color="auto" w:fill="CFF0FC"/>
          </w:tcPr>
          <w:p>
            <w:pPr>
              <w:ind w:left="200"/>
              <w:spacing w:after="0" w:line="194" w:lineRule="exact"/>
              <w:rPr>
                <w:sz w:val="20"/>
                <w:szCs w:val="20"/>
                <w:color w:val="auto"/>
              </w:rPr>
            </w:pPr>
            <w:r>
              <w:rPr>
                <w:rFonts w:ascii="Calibri" w:cs="Calibri" w:eastAsia="Calibri" w:hAnsi="Calibri"/>
                <w:sz w:val="18"/>
                <w:szCs w:val="18"/>
                <w:color w:val="auto"/>
              </w:rPr>
              <w:t>Comprehensive loss atributable to redeemable</w:t>
            </w:r>
          </w:p>
        </w:tc>
        <w:tc>
          <w:tcPr>
            <w:tcW w:w="800" w:type="dxa"/>
            <w:vAlign w:val="bottom"/>
            <w:shd w:val="clear" w:color="auto" w:fill="CFF0FC"/>
          </w:tcPr>
          <w:p>
            <w:pPr>
              <w:spacing w:after="0"/>
              <w:rPr>
                <w:sz w:val="16"/>
                <w:szCs w:val="16"/>
                <w:color w:val="auto"/>
              </w:rPr>
            </w:pPr>
          </w:p>
        </w:tc>
        <w:tc>
          <w:tcPr>
            <w:tcW w:w="5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vMerge w:val="restart"/>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8"/>
                <w:szCs w:val="18"/>
                <w:color w:val="auto"/>
              </w:rPr>
              <w:t>(14,889 )</w:t>
            </w:r>
          </w:p>
        </w:tc>
        <w:tc>
          <w:tcPr>
            <w:tcW w:w="32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jc w:val="right"/>
              <w:ind w:right="60"/>
              <w:spacing w:after="0"/>
              <w:rPr>
                <w:sz w:val="20"/>
                <w:szCs w:val="20"/>
                <w:color w:val="auto"/>
              </w:rPr>
            </w:pPr>
            <w:r>
              <w:rPr>
                <w:rFonts w:ascii="Calibri" w:cs="Calibri" w:eastAsia="Calibri" w:hAnsi="Calibri"/>
                <w:sz w:val="18"/>
                <w:szCs w:val="18"/>
                <w:color w:val="auto"/>
              </w:rPr>
              <w:t>(5,433 )</w:t>
            </w:r>
          </w:p>
        </w:tc>
        <w:tc>
          <w:tcPr>
            <w:tcW w:w="0" w:type="dxa"/>
            <w:vAlign w:val="bottom"/>
          </w:tcPr>
          <w:p>
            <w:pPr>
              <w:spacing w:after="0"/>
              <w:rPr>
                <w:sz w:val="1"/>
                <w:szCs w:val="1"/>
                <w:color w:val="auto"/>
              </w:rPr>
            </w:pPr>
          </w:p>
        </w:tc>
      </w:tr>
      <w:tr>
        <w:trPr>
          <w:trHeight w:val="220"/>
        </w:trPr>
        <w:tc>
          <w:tcPr>
            <w:tcW w:w="6600" w:type="dxa"/>
            <w:vAlign w:val="bottom"/>
            <w:shd w:val="clear" w:color="auto" w:fill="CFF0FC"/>
          </w:tcPr>
          <w:p>
            <w:pPr>
              <w:ind w:left="320"/>
              <w:spacing w:after="0" w:line="215" w:lineRule="exact"/>
              <w:rPr>
                <w:sz w:val="20"/>
                <w:szCs w:val="20"/>
                <w:color w:val="auto"/>
              </w:rPr>
            </w:pPr>
            <w:r>
              <w:rPr>
                <w:rFonts w:ascii="Calibri" w:cs="Calibri" w:eastAsia="Calibri" w:hAnsi="Calibri"/>
                <w:sz w:val="18"/>
                <w:szCs w:val="18"/>
                <w:color w:val="auto"/>
              </w:rPr>
              <w:t>noncontrolling interests</w:t>
            </w:r>
          </w:p>
        </w:tc>
        <w:tc>
          <w:tcPr>
            <w:tcW w:w="800" w:type="dxa"/>
            <w:vAlign w:val="bottom"/>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tcBorders>
              <w:top w:val="single" w:sz="8" w:color="CFF0FC"/>
            </w:tcBorders>
          </w:tcPr>
          <w:p>
            <w:pPr>
              <w:ind w:left="20"/>
              <w:spacing w:after="0" w:line="214" w:lineRule="exact"/>
              <w:rPr>
                <w:sz w:val="20"/>
                <w:szCs w:val="20"/>
                <w:color w:val="auto"/>
              </w:rPr>
            </w:pPr>
            <w:r>
              <w:rPr>
                <w:rFonts w:ascii="Calibri" w:cs="Calibri" w:eastAsia="Calibri" w:hAnsi="Calibri"/>
                <w:sz w:val="18"/>
                <w:szCs w:val="18"/>
                <w:color w:val="auto"/>
              </w:rPr>
              <w:t>Comprehensive income atributable to CarGurus, Inc.</w:t>
            </w:r>
          </w:p>
        </w:tc>
        <w:tc>
          <w:tcPr>
            <w:tcW w:w="800" w:type="dxa"/>
            <w:vAlign w:val="bottom"/>
            <w:tcBorders>
              <w:top w:val="single" w:sz="8" w:color="auto"/>
              <w:bottom w:val="single" w:sz="8" w:color="auto"/>
            </w:tcBorders>
          </w:tcPr>
          <w:p>
            <w:pPr>
              <w:jc w:val="right"/>
              <w:ind w:right="616"/>
              <w:spacing w:after="0" w:line="214" w:lineRule="exact"/>
              <w:rPr>
                <w:sz w:val="20"/>
                <w:szCs w:val="20"/>
                <w:color w:val="auto"/>
              </w:rPr>
            </w:pPr>
            <w:r>
              <w:rPr>
                <w:rFonts w:ascii="Calibri" w:cs="Calibri" w:eastAsia="Calibri" w:hAnsi="Calibri"/>
                <w:sz w:val="18"/>
                <w:szCs w:val="18"/>
                <w:color w:val="auto"/>
                <w:w w:val="87"/>
              </w:rPr>
              <w:t>$</w:t>
            </w:r>
          </w:p>
        </w:tc>
        <w:tc>
          <w:tcPr>
            <w:tcW w:w="520" w:type="dxa"/>
            <w:vAlign w:val="bottom"/>
            <w:tcBorders>
              <w:top w:val="single" w:sz="8" w:color="auto"/>
              <w:bottom w:val="single" w:sz="8" w:color="auto"/>
            </w:tcBorders>
          </w:tcPr>
          <w:p>
            <w:pPr>
              <w:jc w:val="right"/>
              <w:spacing w:after="0" w:line="214" w:lineRule="exact"/>
              <w:rPr>
                <w:sz w:val="20"/>
                <w:szCs w:val="20"/>
                <w:color w:val="auto"/>
              </w:rPr>
            </w:pPr>
            <w:r>
              <w:rPr>
                <w:rFonts w:ascii="Calibri" w:cs="Calibri" w:eastAsia="Calibri" w:hAnsi="Calibri"/>
                <w:sz w:val="18"/>
                <w:szCs w:val="18"/>
                <w:color w:val="auto"/>
                <w:w w:val="95"/>
              </w:rPr>
              <w:t>19,326</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line="214" w:lineRule="exact"/>
              <w:rPr>
                <w:sz w:val="20"/>
                <w:szCs w:val="20"/>
                <w:color w:val="auto"/>
              </w:rPr>
            </w:pPr>
            <w:r>
              <w:rPr>
                <w:rFonts w:ascii="Calibri" w:cs="Calibri" w:eastAsia="Calibri" w:hAnsi="Calibri"/>
                <w:sz w:val="18"/>
                <w:szCs w:val="18"/>
                <w:color w:val="auto"/>
              </w:rPr>
              <w:t>$</w:t>
            </w:r>
          </w:p>
        </w:tc>
        <w:tc>
          <w:tcPr>
            <w:tcW w:w="1020" w:type="dxa"/>
            <w:vAlign w:val="bottom"/>
            <w:tcBorders>
              <w:top w:val="single" w:sz="8" w:color="auto"/>
              <w:bottom w:val="single" w:sz="8" w:color="auto"/>
            </w:tcBorders>
          </w:tcPr>
          <w:p>
            <w:pPr>
              <w:jc w:val="right"/>
              <w:spacing w:after="0" w:line="214" w:lineRule="exact"/>
              <w:rPr>
                <w:sz w:val="20"/>
                <w:szCs w:val="20"/>
                <w:color w:val="auto"/>
              </w:rPr>
            </w:pPr>
            <w:r>
              <w:rPr>
                <w:rFonts w:ascii="Calibri" w:cs="Calibri" w:eastAsia="Calibri" w:hAnsi="Calibri"/>
                <w:sz w:val="18"/>
                <w:szCs w:val="18"/>
                <w:color w:val="auto"/>
              </w:rPr>
              <w:t>37,685</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14" w:lineRule="exact"/>
              <w:rPr>
                <w:sz w:val="20"/>
                <w:szCs w:val="20"/>
                <w:color w:val="auto"/>
              </w:rPr>
            </w:pPr>
            <w:r>
              <w:rPr>
                <w:rFonts w:ascii="Calibri" w:cs="Calibri" w:eastAsia="Calibri" w:hAnsi="Calibri"/>
                <w:sz w:val="18"/>
                <w:szCs w:val="18"/>
                <w:color w:val="auto"/>
                <w:w w:val="87"/>
              </w:rPr>
              <w:t>$</w:t>
            </w:r>
          </w:p>
        </w:tc>
        <w:tc>
          <w:tcPr>
            <w:tcW w:w="1020" w:type="dxa"/>
            <w:vAlign w:val="bottom"/>
            <w:tcBorders>
              <w:top w:val="single" w:sz="8" w:color="auto"/>
              <w:bottom w:val="single" w:sz="8" w:color="auto"/>
            </w:tcBorders>
          </w:tcPr>
          <w:p>
            <w:pPr>
              <w:jc w:val="right"/>
              <w:spacing w:after="0" w:line="214" w:lineRule="exact"/>
              <w:rPr>
                <w:sz w:val="20"/>
                <w:szCs w:val="20"/>
                <w:color w:val="auto"/>
              </w:rPr>
            </w:pPr>
            <w:r>
              <w:rPr>
                <w:rFonts w:ascii="Calibri" w:cs="Calibri" w:eastAsia="Calibri" w:hAnsi="Calibri"/>
                <w:sz w:val="18"/>
                <w:szCs w:val="18"/>
                <w:color w:val="auto"/>
              </w:rPr>
              <w:t>83,146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-582295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-582295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18"/>
          <w:szCs w:val="18"/>
          <w:color w:val="00002D"/>
        </w:rPr>
        <w:t>The accompanying notes are an integral part of these consolidated fnancial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00002D"/>
        </w:rPr>
        <w:t>CarGurus, Inc.</w:t>
      </w:r>
    </w:p>
    <w:p>
      <w:pPr>
        <w:jc w:val="center"/>
        <w:spacing w:after="0" w:line="237" w:lineRule="auto"/>
        <w:rPr>
          <w:sz w:val="20"/>
          <w:szCs w:val="20"/>
          <w:color w:val="auto"/>
        </w:rPr>
      </w:pPr>
      <w:r>
        <w:rPr>
          <w:rFonts w:ascii="Calibri" w:cs="Calibri" w:eastAsia="Calibri" w:hAnsi="Calibri"/>
          <w:sz w:val="29"/>
          <w:szCs w:val="29"/>
          <w:b w:val="1"/>
          <w:bCs w:val="1"/>
          <w:color w:val="00002D"/>
        </w:rPr>
        <w:t>Consolidated Statements of Redeemable Noncontrolling Interest and Stockholders’ Equity</w:t>
      </w:r>
    </w:p>
    <w:p>
      <w:pPr>
        <w:jc w:val="center"/>
        <w:spacing w:after="0" w:line="238" w:lineRule="auto"/>
        <w:rPr>
          <w:sz w:val="20"/>
          <w:szCs w:val="20"/>
          <w:color w:val="auto"/>
        </w:rPr>
      </w:pPr>
      <w:r>
        <w:rPr>
          <w:rFonts w:ascii="Calibri" w:cs="Calibri" w:eastAsia="Calibri" w:hAnsi="Calibri"/>
          <w:sz w:val="29"/>
          <w:szCs w:val="29"/>
          <w:b w:val="1"/>
          <w:bCs w:val="1"/>
          <w:color w:val="00002D"/>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Calibri" w:cs="Calibri" w:eastAsia="Calibri" w:hAnsi="Calibri"/>
                <w:sz w:val="12"/>
                <w:szCs w:val="12"/>
                <w:b w:val="1"/>
                <w:bCs w:val="1"/>
                <w:color w:val="auto"/>
                <w:w w:val="97"/>
              </w:rPr>
              <w:t>Accumulated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840" w:type="dxa"/>
            <w:vAlign w:val="bottom"/>
            <w:tcBorders>
              <w:right w:val="single" w:sz="8" w:color="auto"/>
            </w:tcBorders>
            <w:gridSpan w:val="3"/>
          </w:tcPr>
          <w:p>
            <w:pPr>
              <w:jc w:val="center"/>
              <w:ind w:right="160"/>
              <w:spacing w:after="0" w:line="135" w:lineRule="exact"/>
              <w:rPr>
                <w:sz w:val="20"/>
                <w:szCs w:val="20"/>
                <w:color w:val="auto"/>
              </w:rPr>
            </w:pPr>
            <w:r>
              <w:rPr>
                <w:rFonts w:ascii="Calibri" w:cs="Calibri" w:eastAsia="Calibri" w:hAnsi="Calibri"/>
                <w:sz w:val="12"/>
                <w:szCs w:val="12"/>
                <w:b w:val="1"/>
                <w:bCs w:val="1"/>
                <w:color w:val="auto"/>
                <w:w w:val="96"/>
              </w:rPr>
              <w:t>Redeemable</w:t>
            </w:r>
          </w:p>
        </w:tc>
        <w:tc>
          <w:tcPr>
            <w:tcW w:w="80" w:type="dxa"/>
            <w:vAlign w:val="bottom"/>
          </w:tcPr>
          <w:p>
            <w:pPr>
              <w:spacing w:after="0"/>
              <w:rPr>
                <w:sz w:val="11"/>
                <w:szCs w:val="11"/>
                <w:color w:val="auto"/>
              </w:rPr>
            </w:pPr>
          </w:p>
        </w:tc>
        <w:tc>
          <w:tcPr>
            <w:tcW w:w="900" w:type="dxa"/>
            <w:vAlign w:val="bottom"/>
            <w:gridSpan w:val="2"/>
            <w:vMerge w:val="restart"/>
          </w:tcPr>
          <w:p>
            <w:pPr>
              <w:jc w:val="right"/>
              <w:ind w:right="20"/>
              <w:spacing w:after="0"/>
              <w:rPr>
                <w:sz w:val="20"/>
                <w:szCs w:val="20"/>
                <w:color w:val="auto"/>
              </w:rPr>
            </w:pPr>
            <w:r>
              <w:rPr>
                <w:rFonts w:ascii="Calibri" w:cs="Calibri" w:eastAsia="Calibri" w:hAnsi="Calibri"/>
                <w:sz w:val="12"/>
                <w:szCs w:val="12"/>
                <w:b w:val="1"/>
                <w:bCs w:val="1"/>
                <w:color w:val="auto"/>
              </w:rPr>
              <w:t>Class A</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vMerge w:val="restart"/>
          </w:tcPr>
          <w:p>
            <w:pPr>
              <w:jc w:val="right"/>
              <w:ind w:right="2"/>
              <w:spacing w:after="0"/>
              <w:rPr>
                <w:sz w:val="20"/>
                <w:szCs w:val="20"/>
                <w:color w:val="auto"/>
              </w:rPr>
            </w:pPr>
            <w:r>
              <w:rPr>
                <w:rFonts w:ascii="Calibri" w:cs="Calibri" w:eastAsia="Calibri" w:hAnsi="Calibri"/>
                <w:sz w:val="12"/>
                <w:szCs w:val="12"/>
                <w:b w:val="1"/>
                <w:bCs w:val="1"/>
                <w:color w:val="auto"/>
              </w:rPr>
              <w:t>Class B</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360"/>
              <w:spacing w:after="0" w:line="135" w:lineRule="exact"/>
              <w:rPr>
                <w:sz w:val="20"/>
                <w:szCs w:val="20"/>
                <w:color w:val="auto"/>
              </w:rPr>
            </w:pPr>
            <w:r>
              <w:rPr>
                <w:rFonts w:ascii="Calibri" w:cs="Calibri" w:eastAsia="Calibri" w:hAnsi="Calibri"/>
                <w:sz w:val="12"/>
                <w:szCs w:val="12"/>
                <w:b w:val="1"/>
                <w:bCs w:val="1"/>
                <w:color w:val="auto"/>
                <w:w w:val="96"/>
              </w:rPr>
              <w:t>Other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840" w:type="dxa"/>
            <w:vAlign w:val="bottom"/>
            <w:tcBorders>
              <w:right w:val="single" w:sz="8" w:color="auto"/>
            </w:tcBorders>
            <w:gridSpan w:val="3"/>
          </w:tcPr>
          <w:p>
            <w:pPr>
              <w:spacing w:after="0" w:line="122" w:lineRule="exact"/>
              <w:rPr>
                <w:sz w:val="20"/>
                <w:szCs w:val="20"/>
                <w:color w:val="auto"/>
              </w:rPr>
            </w:pPr>
            <w:r>
              <w:rPr>
                <w:rFonts w:ascii="Calibri" w:cs="Calibri" w:eastAsia="Calibri" w:hAnsi="Calibri"/>
                <w:sz w:val="12"/>
                <w:szCs w:val="12"/>
                <w:b w:val="1"/>
                <w:bCs w:val="1"/>
                <w:color w:val="auto"/>
              </w:rPr>
              <w:t>Noncontrollin</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tcPr>
          <w:p>
            <w:pPr>
              <w:jc w:val="center"/>
              <w:ind w:right="220"/>
              <w:spacing w:after="0" w:line="122" w:lineRule="exact"/>
              <w:rPr>
                <w:sz w:val="20"/>
                <w:szCs w:val="20"/>
                <w:color w:val="auto"/>
              </w:rPr>
            </w:pPr>
            <w:r>
              <w:rPr>
                <w:rFonts w:ascii="Calibri" w:cs="Calibri" w:eastAsia="Calibri" w:hAnsi="Calibri"/>
                <w:sz w:val="12"/>
                <w:szCs w:val="12"/>
                <w:b w:val="1"/>
                <w:bCs w:val="1"/>
                <w:color w:val="auto"/>
              </w:rPr>
              <w:t>Additonal</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spacing w:after="0" w:line="122" w:lineRule="exact"/>
              <w:rPr>
                <w:sz w:val="20"/>
                <w:szCs w:val="20"/>
                <w:color w:val="auto"/>
              </w:rPr>
            </w:pPr>
            <w:r>
              <w:rPr>
                <w:rFonts w:ascii="Calibri" w:cs="Calibri" w:eastAsia="Calibri" w:hAnsi="Calibri"/>
                <w:sz w:val="12"/>
                <w:szCs w:val="12"/>
                <w:b w:val="1"/>
                <w:bCs w:val="1"/>
                <w:color w:val="auto"/>
              </w:rPr>
              <w:t>Comprehensiv</w:t>
            </w: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Calibri" w:cs="Calibri" w:eastAsia="Calibri" w:hAnsi="Calibri"/>
                <w:sz w:val="12"/>
                <w:szCs w:val="12"/>
                <w:b w:val="1"/>
                <w:bCs w:val="1"/>
                <w:color w:val="auto"/>
                <w:w w:val="94"/>
              </w:rPr>
              <w:t>Total</w:t>
            </w:r>
          </w:p>
        </w:tc>
        <w:tc>
          <w:tcPr>
            <w:tcW w:w="0" w:type="dxa"/>
            <w:vAlign w:val="bottom"/>
          </w:tcPr>
          <w:p>
            <w:pPr>
              <w:spacing w:after="0"/>
              <w:rPr>
                <w:sz w:val="1"/>
                <w:szCs w:val="1"/>
                <w:color w:val="auto"/>
              </w:rPr>
            </w:pPr>
          </w:p>
        </w:tc>
      </w:tr>
      <w:tr>
        <w:trPr>
          <w:trHeight w:val="150"/>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right w:val="single" w:sz="8" w:color="auto"/>
            </w:tcBorders>
            <w:gridSpan w:val="2"/>
          </w:tcPr>
          <w:p>
            <w:pPr>
              <w:jc w:val="center"/>
              <w:ind w:right="240"/>
              <w:spacing w:after="0"/>
              <w:rPr>
                <w:sz w:val="20"/>
                <w:szCs w:val="20"/>
                <w:color w:val="auto"/>
              </w:rPr>
            </w:pPr>
            <w:r>
              <w:rPr>
                <w:rFonts w:ascii="Calibri" w:cs="Calibri" w:eastAsia="Calibri" w:hAnsi="Calibri"/>
                <w:sz w:val="12"/>
                <w:szCs w:val="12"/>
                <w:b w:val="1"/>
                <w:bCs w:val="1"/>
                <w:color w:val="auto"/>
              </w:rPr>
              <w:t>g</w:t>
            </w:r>
          </w:p>
        </w:tc>
        <w:tc>
          <w:tcPr>
            <w:tcW w:w="80" w:type="dxa"/>
            <w:vAlign w:val="bottom"/>
          </w:tcPr>
          <w:p>
            <w:pPr>
              <w:spacing w:after="0"/>
              <w:rPr>
                <w:sz w:val="13"/>
                <w:szCs w:val="13"/>
                <w:color w:val="auto"/>
              </w:rPr>
            </w:pPr>
          </w:p>
        </w:tc>
        <w:tc>
          <w:tcPr>
            <w:tcW w:w="1660" w:type="dxa"/>
            <w:vAlign w:val="bottom"/>
            <w:gridSpan w:val="5"/>
          </w:tcPr>
          <w:p>
            <w:pPr>
              <w:jc w:val="right"/>
              <w:ind w:right="580"/>
              <w:spacing w:after="0" w:line="138" w:lineRule="exact"/>
              <w:rPr>
                <w:sz w:val="20"/>
                <w:szCs w:val="20"/>
                <w:color w:val="auto"/>
              </w:rPr>
            </w:pPr>
            <w:r>
              <w:rPr>
                <w:rFonts w:ascii="Calibri" w:cs="Calibri" w:eastAsia="Calibri" w:hAnsi="Calibri"/>
                <w:sz w:val="12"/>
                <w:szCs w:val="12"/>
                <w:b w:val="1"/>
                <w:bCs w:val="1"/>
                <w:color w:val="auto"/>
              </w:rPr>
              <w:t>Common Stock</w:t>
            </w:r>
          </w:p>
        </w:tc>
        <w:tc>
          <w:tcPr>
            <w:tcW w:w="1700" w:type="dxa"/>
            <w:vAlign w:val="bottom"/>
            <w:gridSpan w:val="5"/>
          </w:tcPr>
          <w:p>
            <w:pPr>
              <w:jc w:val="right"/>
              <w:ind w:right="600"/>
              <w:spacing w:after="0" w:line="138" w:lineRule="exact"/>
              <w:rPr>
                <w:sz w:val="20"/>
                <w:szCs w:val="20"/>
                <w:color w:val="auto"/>
              </w:rPr>
            </w:pPr>
            <w:r>
              <w:rPr>
                <w:rFonts w:ascii="Calibri" w:cs="Calibri" w:eastAsia="Calibri" w:hAnsi="Calibri"/>
                <w:sz w:val="12"/>
                <w:szCs w:val="12"/>
                <w:b w:val="1"/>
                <w:bCs w:val="1"/>
                <w:color w:val="auto"/>
              </w:rPr>
              <w:t>Common Stock</w:t>
            </w:r>
          </w:p>
        </w:tc>
        <w:tc>
          <w:tcPr>
            <w:tcW w:w="100" w:type="dxa"/>
            <w:vAlign w:val="bottom"/>
          </w:tcPr>
          <w:p>
            <w:pPr>
              <w:spacing w:after="0"/>
              <w:rPr>
                <w:sz w:val="13"/>
                <w:szCs w:val="13"/>
                <w:color w:val="auto"/>
              </w:rPr>
            </w:pPr>
          </w:p>
        </w:tc>
        <w:tc>
          <w:tcPr>
            <w:tcW w:w="720" w:type="dxa"/>
            <w:vAlign w:val="bottom"/>
            <w:gridSpan w:val="2"/>
          </w:tcPr>
          <w:p>
            <w:pPr>
              <w:jc w:val="center"/>
              <w:ind w:right="320"/>
              <w:spacing w:after="0"/>
              <w:rPr>
                <w:sz w:val="20"/>
                <w:szCs w:val="20"/>
                <w:color w:val="auto"/>
              </w:rPr>
            </w:pPr>
            <w:r>
              <w:rPr>
                <w:rFonts w:ascii="Calibri" w:cs="Calibri" w:eastAsia="Calibri" w:hAnsi="Calibri"/>
                <w:sz w:val="12"/>
                <w:szCs w:val="12"/>
                <w:b w:val="1"/>
                <w:bCs w:val="1"/>
                <w:color w:val="auto"/>
                <w:w w:val="96"/>
              </w:rPr>
              <w:t>Paid–in</w:t>
            </w:r>
          </w:p>
        </w:tc>
        <w:tc>
          <w:tcPr>
            <w:tcW w:w="8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Calibri" w:cs="Calibri" w:eastAsia="Calibri" w:hAnsi="Calibri"/>
                <w:sz w:val="12"/>
                <w:szCs w:val="12"/>
                <w:b w:val="1"/>
                <w:bCs w:val="1"/>
                <w:color w:val="auto"/>
                <w:w w:val="93"/>
              </w:rPr>
              <w:t>Retained</w:t>
            </w:r>
          </w:p>
        </w:tc>
        <w:tc>
          <w:tcPr>
            <w:tcW w:w="140" w:type="dxa"/>
            <w:vAlign w:val="bottom"/>
          </w:tcPr>
          <w:p>
            <w:pPr>
              <w:spacing w:after="0"/>
              <w:rPr>
                <w:sz w:val="13"/>
                <w:szCs w:val="13"/>
                <w:color w:val="auto"/>
              </w:rPr>
            </w:pPr>
          </w:p>
        </w:tc>
        <w:tc>
          <w:tcPr>
            <w:tcW w:w="800" w:type="dxa"/>
            <w:vAlign w:val="bottom"/>
            <w:gridSpan w:val="2"/>
          </w:tcPr>
          <w:p>
            <w:pPr>
              <w:jc w:val="center"/>
              <w:ind w:right="380"/>
              <w:spacing w:after="0"/>
              <w:rPr>
                <w:sz w:val="20"/>
                <w:szCs w:val="20"/>
                <w:color w:val="auto"/>
              </w:rPr>
            </w:pPr>
            <w:r>
              <w:rPr>
                <w:rFonts w:ascii="Calibri" w:cs="Calibri" w:eastAsia="Calibri" w:hAnsi="Calibri"/>
                <w:sz w:val="12"/>
                <w:szCs w:val="12"/>
                <w:b w:val="1"/>
                <w:bCs w:val="1"/>
                <w:color w:val="auto"/>
                <w:w w:val="98"/>
              </w:rPr>
              <w:t>e</w:t>
            </w:r>
          </w:p>
        </w:tc>
        <w:tc>
          <w:tcPr>
            <w:tcW w:w="860" w:type="dxa"/>
            <w:vAlign w:val="bottom"/>
            <w:gridSpan w:val="3"/>
          </w:tcPr>
          <w:p>
            <w:pPr>
              <w:jc w:val="center"/>
              <w:ind w:right="120"/>
              <w:spacing w:after="0"/>
              <w:rPr>
                <w:sz w:val="20"/>
                <w:szCs w:val="20"/>
                <w:color w:val="auto"/>
              </w:rPr>
            </w:pPr>
            <w:r>
              <w:rPr>
                <w:rFonts w:ascii="Calibri" w:cs="Calibri" w:eastAsia="Calibri" w:hAnsi="Calibri"/>
                <w:sz w:val="12"/>
                <w:szCs w:val="12"/>
                <w:b w:val="1"/>
                <w:bCs w:val="1"/>
                <w:color w:val="auto"/>
                <w:w w:val="97"/>
              </w:rPr>
              <w:t>Stockholders’</w:t>
            </w: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center"/>
              <w:ind w:right="240"/>
              <w:spacing w:after="0" w:line="118" w:lineRule="exact"/>
              <w:rPr>
                <w:sz w:val="20"/>
                <w:szCs w:val="20"/>
                <w:color w:val="auto"/>
              </w:rPr>
            </w:pPr>
            <w:r>
              <w:rPr>
                <w:rFonts w:ascii="Calibri" w:cs="Calibri" w:eastAsia="Calibri" w:hAnsi="Calibri"/>
                <w:sz w:val="12"/>
                <w:szCs w:val="12"/>
                <w:b w:val="1"/>
                <w:bCs w:val="1"/>
                <w:color w:val="auto"/>
                <w:w w:val="97"/>
              </w:rPr>
              <w:t>Interest</w:t>
            </w:r>
          </w:p>
        </w:tc>
        <w:tc>
          <w:tcPr>
            <w:tcW w:w="8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400"/>
              <w:spacing w:after="0" w:line="129" w:lineRule="exact"/>
              <w:rPr>
                <w:sz w:val="20"/>
                <w:szCs w:val="20"/>
                <w:color w:val="auto"/>
              </w:rPr>
            </w:pPr>
            <w:r>
              <w:rPr>
                <w:rFonts w:ascii="Calibri" w:cs="Calibri" w:eastAsia="Calibri" w:hAnsi="Calibri"/>
                <w:sz w:val="12"/>
                <w:szCs w:val="12"/>
                <w:b w:val="1"/>
                <w:bCs w:val="1"/>
                <w:color w:val="auto"/>
              </w:rPr>
              <w:t>Shares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22"/>
              <w:spacing w:after="0" w:line="129" w:lineRule="exact"/>
              <w:rPr>
                <w:sz w:val="20"/>
                <w:szCs w:val="20"/>
                <w:color w:val="auto"/>
              </w:rPr>
            </w:pPr>
            <w:r>
              <w:rPr>
                <w:rFonts w:ascii="Calibri" w:cs="Calibri" w:eastAsia="Calibri" w:hAnsi="Calibri"/>
                <w:sz w:val="12"/>
                <w:szCs w:val="12"/>
                <w:b w:val="1"/>
                <w:bCs w:val="1"/>
                <w:color w:val="auto"/>
                <w:w w:val="93"/>
              </w:rPr>
              <w:t>Amount</w:t>
            </w:r>
          </w:p>
        </w:tc>
        <w:tc>
          <w:tcPr>
            <w:tcW w:w="22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400"/>
              <w:spacing w:after="0" w:line="129" w:lineRule="exact"/>
              <w:rPr>
                <w:sz w:val="20"/>
                <w:szCs w:val="20"/>
                <w:color w:val="auto"/>
              </w:rPr>
            </w:pPr>
            <w:r>
              <w:rPr>
                <w:rFonts w:ascii="Calibri" w:cs="Calibri" w:eastAsia="Calibri" w:hAnsi="Calibri"/>
                <w:sz w:val="12"/>
                <w:szCs w:val="12"/>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42"/>
              <w:spacing w:after="0" w:line="129" w:lineRule="exact"/>
              <w:rPr>
                <w:sz w:val="20"/>
                <w:szCs w:val="20"/>
                <w:color w:val="auto"/>
              </w:rPr>
            </w:pPr>
            <w:r>
              <w:rPr>
                <w:rFonts w:ascii="Calibri" w:cs="Calibri" w:eastAsia="Calibri" w:hAnsi="Calibri"/>
                <w:sz w:val="12"/>
                <w:szCs w:val="12"/>
                <w:b w:val="1"/>
                <w:bCs w:val="1"/>
                <w:color w:val="auto"/>
                <w:w w:val="98"/>
              </w:rPr>
              <w:t>Amount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300"/>
              <w:spacing w:after="0" w:line="118" w:lineRule="exact"/>
              <w:rPr>
                <w:sz w:val="20"/>
                <w:szCs w:val="20"/>
                <w:color w:val="auto"/>
              </w:rPr>
            </w:pPr>
            <w:r>
              <w:rPr>
                <w:rFonts w:ascii="Calibri" w:cs="Calibri" w:eastAsia="Calibri" w:hAnsi="Calibri"/>
                <w:sz w:val="12"/>
                <w:szCs w:val="12"/>
                <w:b w:val="1"/>
                <w:bCs w:val="1"/>
                <w:color w:val="auto"/>
                <w:w w:val="97"/>
              </w:rPr>
              <w:t>Capital</w:t>
            </w:r>
          </w:p>
        </w:tc>
        <w:tc>
          <w:tcPr>
            <w:tcW w:w="80" w:type="dxa"/>
            <w:vAlign w:val="bottom"/>
          </w:tcPr>
          <w:p>
            <w:pPr>
              <w:spacing w:after="0"/>
              <w:rPr>
                <w:sz w:val="11"/>
                <w:szCs w:val="11"/>
                <w:color w:val="auto"/>
              </w:rPr>
            </w:pPr>
          </w:p>
        </w:tc>
        <w:tc>
          <w:tcPr>
            <w:tcW w:w="760" w:type="dxa"/>
            <w:vAlign w:val="bottom"/>
            <w:gridSpan w:val="2"/>
          </w:tcPr>
          <w:p>
            <w:pPr>
              <w:jc w:val="right"/>
              <w:ind w:right="320"/>
              <w:spacing w:after="0" w:line="118" w:lineRule="exact"/>
              <w:rPr>
                <w:sz w:val="20"/>
                <w:szCs w:val="20"/>
                <w:color w:val="auto"/>
              </w:rPr>
            </w:pPr>
            <w:r>
              <w:rPr>
                <w:rFonts w:ascii="Calibri" w:cs="Calibri" w:eastAsia="Calibri" w:hAnsi="Calibri"/>
                <w:sz w:val="12"/>
                <w:szCs w:val="12"/>
                <w:b w:val="1"/>
                <w:bCs w:val="1"/>
                <w:color w:val="auto"/>
                <w:w w:val="99"/>
              </w:rPr>
              <w:t>Earnings</w:t>
            </w:r>
          </w:p>
        </w:tc>
        <w:tc>
          <w:tcPr>
            <w:tcW w:w="140" w:type="dxa"/>
            <w:vAlign w:val="bottom"/>
          </w:tcPr>
          <w:p>
            <w:pPr>
              <w:spacing w:after="0"/>
              <w:rPr>
                <w:sz w:val="11"/>
                <w:szCs w:val="11"/>
                <w:color w:val="auto"/>
              </w:rPr>
            </w:pPr>
          </w:p>
        </w:tc>
        <w:tc>
          <w:tcPr>
            <w:tcW w:w="800" w:type="dxa"/>
            <w:vAlign w:val="bottom"/>
            <w:gridSpan w:val="2"/>
          </w:tcPr>
          <w:p>
            <w:pPr>
              <w:jc w:val="center"/>
              <w:ind w:right="360"/>
              <w:spacing w:after="0" w:line="118" w:lineRule="exact"/>
              <w:rPr>
                <w:sz w:val="20"/>
                <w:szCs w:val="20"/>
                <w:color w:val="auto"/>
              </w:rPr>
            </w:pPr>
            <w:r>
              <w:rPr>
                <w:rFonts w:ascii="Calibri" w:cs="Calibri" w:eastAsia="Calibri" w:hAnsi="Calibri"/>
                <w:sz w:val="12"/>
                <w:szCs w:val="12"/>
                <w:b w:val="1"/>
                <w:bCs w:val="1"/>
                <w:color w:val="auto"/>
                <w:w w:val="94"/>
              </w:rPr>
              <w:t>Loss</w:t>
            </w:r>
          </w:p>
        </w:tc>
        <w:tc>
          <w:tcPr>
            <w:tcW w:w="160" w:type="dxa"/>
            <w:vAlign w:val="bottom"/>
          </w:tcPr>
          <w:p>
            <w:pPr>
              <w:spacing w:after="0"/>
              <w:rPr>
                <w:sz w:val="11"/>
                <w:szCs w:val="11"/>
                <w:color w:val="auto"/>
              </w:rPr>
            </w:pPr>
          </w:p>
        </w:tc>
        <w:tc>
          <w:tcPr>
            <w:tcW w:w="700" w:type="dxa"/>
            <w:vAlign w:val="bottom"/>
            <w:gridSpan w:val="2"/>
          </w:tcPr>
          <w:p>
            <w:pPr>
              <w:jc w:val="center"/>
              <w:ind w:right="280"/>
              <w:spacing w:after="0" w:line="118" w:lineRule="exact"/>
              <w:rPr>
                <w:sz w:val="20"/>
                <w:szCs w:val="20"/>
                <w:color w:val="auto"/>
              </w:rPr>
            </w:pPr>
            <w:r>
              <w:rPr>
                <w:rFonts w:ascii="Calibri" w:cs="Calibri" w:eastAsia="Calibri" w:hAnsi="Calibri"/>
                <w:sz w:val="12"/>
                <w:szCs w:val="12"/>
                <w:b w:val="1"/>
                <w:bCs w:val="1"/>
                <w:color w:val="auto"/>
                <w:w w:val="94"/>
              </w:rPr>
              <w:t>Equity</w:t>
            </w:r>
          </w:p>
        </w:tc>
        <w:tc>
          <w:tcPr>
            <w:tcW w:w="0" w:type="dxa"/>
            <w:vAlign w:val="bottom"/>
          </w:tcPr>
          <w:p>
            <w:pPr>
              <w:spacing w:after="0"/>
              <w:rPr>
                <w:sz w:val="1"/>
                <w:szCs w:val="1"/>
                <w:color w:val="auto"/>
              </w:rPr>
            </w:pPr>
          </w:p>
        </w:tc>
      </w:tr>
      <w:tr>
        <w:trPr>
          <w:trHeight w:val="113"/>
        </w:trPr>
        <w:tc>
          <w:tcPr>
            <w:tcW w:w="3500" w:type="dxa"/>
            <w:vAlign w:val="bottom"/>
            <w:shd w:val="clear" w:color="auto" w:fill="CFF0FC"/>
          </w:tcPr>
          <w:p>
            <w:pPr>
              <w:ind w:left="20"/>
              <w:spacing w:after="0" w:line="113" w:lineRule="exact"/>
              <w:rPr>
                <w:sz w:val="20"/>
                <w:szCs w:val="20"/>
                <w:color w:val="auto"/>
              </w:rPr>
            </w:pPr>
            <w:r>
              <w:rPr>
                <w:rFonts w:ascii="Calibri" w:cs="Calibri" w:eastAsia="Calibri" w:hAnsi="Calibri"/>
                <w:sz w:val="12"/>
                <w:szCs w:val="12"/>
                <w:color w:val="auto"/>
              </w:rPr>
              <w:t>Balance as of December 31, 2021</w:t>
            </w: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2"/>
                <w:szCs w:val="12"/>
                <w:color w:val="auto"/>
              </w:rPr>
              <w:t>101,773,0</w:t>
            </w:r>
          </w:p>
        </w:tc>
        <w:tc>
          <w:tcPr>
            <w:tcW w:w="22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2"/>
                <w:szCs w:val="12"/>
                <w:color w:val="auto"/>
              </w:rPr>
              <w:t>15,999,17</w:t>
            </w: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38" w:lineRule="exact"/>
              <w:rPr>
                <w:sz w:val="20"/>
                <w:szCs w:val="20"/>
                <w:color w:val="auto"/>
              </w:rPr>
            </w:pPr>
            <w:r>
              <w:rPr>
                <w:rFonts w:ascii="Calibri" w:cs="Calibri" w:eastAsia="Calibri" w:hAnsi="Calibri"/>
                <w:sz w:val="12"/>
                <w:szCs w:val="12"/>
                <w:color w:val="auto"/>
              </w:rPr>
              <w:t>$</w:t>
            </w:r>
          </w:p>
        </w:tc>
        <w:tc>
          <w:tcPr>
            <w:tcW w:w="60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162,808</w:t>
            </w: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34</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Calibri" w:cs="Calibri" w:eastAsia="Calibri" w:hAnsi="Calibri"/>
                <w:sz w:val="11"/>
                <w:szCs w:val="11"/>
                <w:color w:val="auto"/>
                <w:w w:val="70"/>
              </w:rPr>
              <w:t>$</w:t>
            </w:r>
          </w:p>
        </w:tc>
        <w:tc>
          <w:tcPr>
            <w:tcW w:w="48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102</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2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16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2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387,868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4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129,258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line="138" w:lineRule="exact"/>
              <w:rPr>
                <w:sz w:val="20"/>
                <w:szCs w:val="20"/>
                <w:color w:val="auto"/>
              </w:rPr>
            </w:pPr>
            <w:r>
              <w:rPr>
                <w:rFonts w:ascii="Calibri" w:cs="Calibri" w:eastAsia="Calibri" w:hAnsi="Calibri"/>
                <w:sz w:val="12"/>
                <w:szCs w:val="12"/>
                <w:color w:val="auto"/>
              </w:rPr>
              <w:t>$</w:t>
            </w:r>
          </w:p>
        </w:tc>
        <w:tc>
          <w:tcPr>
            <w:tcW w:w="800" w:type="dxa"/>
            <w:vAlign w:val="bottom"/>
            <w:gridSpan w:val="2"/>
            <w:shd w:val="clear" w:color="auto" w:fill="CFF0FC"/>
          </w:tcPr>
          <w:p>
            <w:pPr>
              <w:jc w:val="right"/>
              <w:ind w:right="160"/>
              <w:spacing w:after="0" w:line="138" w:lineRule="exact"/>
              <w:rPr>
                <w:sz w:val="20"/>
                <w:szCs w:val="20"/>
                <w:color w:val="auto"/>
              </w:rPr>
            </w:pPr>
            <w:r>
              <w:rPr>
                <w:rFonts w:ascii="Calibri" w:cs="Calibri" w:eastAsia="Calibri" w:hAnsi="Calibri"/>
                <w:sz w:val="12"/>
                <w:szCs w:val="12"/>
                <w:color w:val="auto"/>
              </w:rPr>
              <w:t>(403 )</w:t>
            </w:r>
          </w:p>
        </w:tc>
        <w:tc>
          <w:tcPr>
            <w:tcW w:w="160" w:type="dxa"/>
            <w:vAlign w:val="bottom"/>
            <w:shd w:val="clear" w:color="auto" w:fill="CFF0FC"/>
          </w:tcPr>
          <w:p>
            <w:pPr>
              <w:jc w:val="right"/>
              <w:ind w:right="22"/>
              <w:spacing w:after="0" w:line="138" w:lineRule="exact"/>
              <w:rPr>
                <w:sz w:val="20"/>
                <w:szCs w:val="20"/>
                <w:color w:val="auto"/>
              </w:rPr>
            </w:pPr>
            <w:r>
              <w:rPr>
                <w:rFonts w:ascii="Calibri" w:cs="Calibri" w:eastAsia="Calibri" w:hAnsi="Calibri"/>
                <w:sz w:val="12"/>
                <w:szCs w:val="12"/>
                <w:color w:val="auto"/>
                <w:w w:val="97"/>
              </w:rPr>
              <w:t>$</w:t>
            </w:r>
          </w:p>
        </w:tc>
        <w:tc>
          <w:tcPr>
            <w:tcW w:w="60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516,841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Net (loss) income</w:t>
            </w: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80"/>
              <w:spacing w:after="0" w:line="135" w:lineRule="exact"/>
              <w:rPr>
                <w:sz w:val="20"/>
                <w:szCs w:val="20"/>
                <w:color w:val="auto"/>
              </w:rPr>
            </w:pPr>
            <w:r>
              <w:rPr>
                <w:rFonts w:ascii="Calibri" w:cs="Calibri" w:eastAsia="Calibri" w:hAnsi="Calibri"/>
                <w:sz w:val="12"/>
                <w:szCs w:val="12"/>
                <w:color w:val="auto"/>
              </w:rPr>
              <w:t>(5,433 )</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Calibri" w:cs="Calibri" w:eastAsia="Calibri" w:hAnsi="Calibri"/>
                <w:sz w:val="12"/>
                <w:szCs w:val="12"/>
                <w:color w:val="auto"/>
              </w:rPr>
              <w:t>84,387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Calibri" w:cs="Calibri" w:eastAsia="Calibri" w:hAnsi="Calibri"/>
                <w:sz w:val="12"/>
                <w:szCs w:val="12"/>
                <w:color w:val="auto"/>
              </w:rPr>
              <w:t>84,387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Stock–based compensaton expense</w:t>
            </w:r>
          </w:p>
        </w:tc>
        <w:tc>
          <w:tcPr>
            <w:tcW w:w="10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59,245</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59,245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Issuance of common stock upon exercise of stock optons</w:t>
            </w: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Calibri" w:cs="Calibri" w:eastAsia="Calibri" w:hAnsi="Calibri"/>
                <w:sz w:val="12"/>
                <w:szCs w:val="12"/>
                <w:color w:val="auto"/>
              </w:rPr>
              <w:t>131,061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Calibri" w:cs="Calibri" w:eastAsia="Calibri" w:hAnsi="Calibri"/>
                <w:sz w:val="12"/>
                <w:szCs w:val="12"/>
                <w:color w:val="auto"/>
              </w:rPr>
              <w:t>721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Calibri" w:cs="Calibri" w:eastAsia="Calibri" w:hAnsi="Calibri"/>
                <w:sz w:val="12"/>
                <w:szCs w:val="12"/>
                <w:color w:val="auto"/>
              </w:rPr>
              <w:t>721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Issuance of common stock upon vestng of restricted stock units</w:t>
            </w:r>
          </w:p>
        </w:tc>
        <w:tc>
          <w:tcPr>
            <w:tcW w:w="10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1,649,294</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line="135" w:lineRule="exact"/>
              <w:rPr>
                <w:sz w:val="20"/>
                <w:szCs w:val="20"/>
                <w:color w:val="auto"/>
              </w:rPr>
            </w:pPr>
            <w:r>
              <w:rPr>
                <w:rFonts w:ascii="Calibri" w:cs="Calibri" w:eastAsia="Calibri" w:hAnsi="Calibri"/>
                <w:sz w:val="12"/>
                <w:szCs w:val="12"/>
                <w:color w:val="auto"/>
              </w:rPr>
              <w:t>(1 )</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20"/>
        </w:trPr>
        <w:tc>
          <w:tcPr>
            <w:tcW w:w="3500" w:type="dxa"/>
            <w:vAlign w:val="bottom"/>
          </w:tcPr>
          <w:p>
            <w:pPr>
              <w:ind w:left="200"/>
              <w:spacing w:after="0" w:line="120" w:lineRule="exact"/>
              <w:rPr>
                <w:sz w:val="20"/>
                <w:szCs w:val="20"/>
                <w:color w:val="auto"/>
              </w:rPr>
            </w:pPr>
            <w:r>
              <w:rPr>
                <w:rFonts w:ascii="Calibri" w:cs="Calibri" w:eastAsia="Calibri" w:hAnsi="Calibri"/>
                <w:sz w:val="12"/>
                <w:szCs w:val="12"/>
                <w:color w:val="auto"/>
              </w:rPr>
              <w:t>Payment of withholding taxes on net share setlements of</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0"/>
              <w:spacing w:after="0" w:line="138" w:lineRule="exact"/>
              <w:rPr>
                <w:sz w:val="20"/>
                <w:szCs w:val="20"/>
                <w:color w:val="auto"/>
              </w:rPr>
            </w:pPr>
            <w:r>
              <w:rPr>
                <w:rFonts w:ascii="Calibri" w:cs="Calibri" w:eastAsia="Calibri" w:hAnsi="Calibri"/>
                <w:sz w:val="12"/>
                <w:szCs w:val="12"/>
                <w:color w:val="auto"/>
              </w:rPr>
              <w:t>restricted stock units</w:t>
            </w: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60"/>
              <w:spacing w:after="0" w:line="138"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38" w:lineRule="exact"/>
              <w:rPr>
                <w:sz w:val="20"/>
                <w:szCs w:val="20"/>
                <w:color w:val="auto"/>
              </w:rPr>
            </w:pPr>
            <w:r>
              <w:rPr>
                <w:rFonts w:ascii="Calibri" w:cs="Calibri" w:eastAsia="Calibri" w:hAnsi="Calibri"/>
                <w:sz w:val="12"/>
                <w:szCs w:val="12"/>
                <w:color w:val="auto"/>
              </w:rPr>
              <w:t>(566,267 )</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38" w:lineRule="exact"/>
              <w:rPr>
                <w:sz w:val="20"/>
                <w:szCs w:val="20"/>
                <w:color w:val="auto"/>
              </w:rPr>
            </w:pPr>
            <w:r>
              <w:rPr>
                <w:rFonts w:ascii="Calibri" w:cs="Calibri" w:eastAsia="Calibri" w:hAnsi="Calibri"/>
                <w:sz w:val="12"/>
                <w:szCs w:val="12"/>
                <w:color w:val="auto"/>
              </w:rPr>
              <w:t>(16,025 )</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38"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38" w:lineRule="exact"/>
              <w:rPr>
                <w:sz w:val="20"/>
                <w:szCs w:val="20"/>
                <w:color w:val="auto"/>
              </w:rPr>
            </w:pPr>
            <w:r>
              <w:rPr>
                <w:rFonts w:ascii="Calibri" w:cs="Calibri" w:eastAsia="Calibri" w:hAnsi="Calibri"/>
                <w:sz w:val="12"/>
                <w:szCs w:val="12"/>
                <w:color w:val="auto"/>
              </w:rPr>
              <w:t>(16,025 )</w:t>
            </w:r>
          </w:p>
        </w:tc>
        <w:tc>
          <w:tcPr>
            <w:tcW w:w="0" w:type="dxa"/>
            <w:vAlign w:val="bottom"/>
          </w:tcPr>
          <w:p>
            <w:pPr>
              <w:spacing w:after="0"/>
              <w:rPr>
                <w:sz w:val="1"/>
                <w:szCs w:val="1"/>
                <w:color w:val="auto"/>
              </w:rPr>
            </w:pPr>
          </w:p>
        </w:tc>
      </w:tr>
      <w:tr>
        <w:trPr>
          <w:trHeight w:val="141"/>
        </w:trPr>
        <w:tc>
          <w:tcPr>
            <w:tcW w:w="3500" w:type="dxa"/>
            <w:vAlign w:val="bottom"/>
            <w:shd w:val="clear" w:color="auto" w:fill="CFF0FC"/>
          </w:tcPr>
          <w:p>
            <w:pPr>
              <w:ind w:left="200"/>
              <w:spacing w:after="0" w:line="141" w:lineRule="exact"/>
              <w:rPr>
                <w:sz w:val="20"/>
                <w:szCs w:val="20"/>
                <w:color w:val="auto"/>
              </w:rPr>
            </w:pPr>
            <w:r>
              <w:rPr>
                <w:rFonts w:ascii="Calibri" w:cs="Calibri" w:eastAsia="Calibri" w:hAnsi="Calibri"/>
                <w:sz w:val="12"/>
                <w:szCs w:val="12"/>
                <w:color w:val="auto"/>
              </w:rPr>
              <w:t>Repurchase of common stock</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160"/>
              <w:spacing w:after="0" w:line="141"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1" w:lineRule="exact"/>
              <w:rPr>
                <w:sz w:val="20"/>
                <w:szCs w:val="20"/>
                <w:color w:val="auto"/>
              </w:rPr>
            </w:pPr>
            <w:r>
              <w:rPr>
                <w:rFonts w:ascii="Calibri" w:cs="Calibri" w:eastAsia="Calibri" w:hAnsi="Calibri"/>
                <w:sz w:val="12"/>
                <w:szCs w:val="12"/>
                <w:color w:val="auto"/>
              </w:rPr>
              <w:t>(1,350,473 )</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line="141" w:lineRule="exact"/>
              <w:rPr>
                <w:sz w:val="20"/>
                <w:szCs w:val="20"/>
                <w:color w:val="auto"/>
              </w:rPr>
            </w:pPr>
            <w:r>
              <w:rPr>
                <w:rFonts w:ascii="Calibri" w:cs="Calibri" w:eastAsia="Calibri" w:hAnsi="Calibri"/>
                <w:sz w:val="12"/>
                <w:szCs w:val="12"/>
                <w:color w:val="auto"/>
              </w:rPr>
              <w:t>(1 )</w:t>
            </w:r>
          </w:p>
        </w:tc>
        <w:tc>
          <w:tcPr>
            <w:tcW w:w="88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1" w:lineRule="exact"/>
              <w:rPr>
                <w:sz w:val="20"/>
                <w:szCs w:val="20"/>
                <w:color w:val="auto"/>
              </w:rPr>
            </w:pPr>
            <w:r>
              <w:rPr>
                <w:rFonts w:ascii="Calibri" w:cs="Calibri" w:eastAsia="Calibri" w:hAnsi="Calibri"/>
                <w:sz w:val="12"/>
                <w:szCs w:val="12"/>
                <w:color w:val="auto"/>
              </w:rPr>
              <w:t>(18,716 )</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line="141"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1" w:lineRule="exact"/>
              <w:rPr>
                <w:sz w:val="20"/>
                <w:szCs w:val="20"/>
                <w:color w:val="auto"/>
              </w:rPr>
            </w:pPr>
            <w:r>
              <w:rPr>
                <w:rFonts w:ascii="Calibri" w:cs="Calibri" w:eastAsia="Calibri" w:hAnsi="Calibri"/>
                <w:sz w:val="12"/>
                <w:szCs w:val="12"/>
                <w:color w:val="auto"/>
              </w:rPr>
              <w:t>(18,717 )</w:t>
            </w:r>
          </w:p>
        </w:tc>
        <w:tc>
          <w:tcPr>
            <w:tcW w:w="0" w:type="dxa"/>
            <w:vAlign w:val="bottom"/>
          </w:tcPr>
          <w:p>
            <w:pPr>
              <w:spacing w:after="0"/>
              <w:rPr>
                <w:sz w:val="1"/>
                <w:szCs w:val="1"/>
                <w:color w:val="auto"/>
              </w:rPr>
            </w:pPr>
          </w:p>
        </w:tc>
      </w:tr>
      <w:tr>
        <w:trPr>
          <w:trHeight w:val="120"/>
        </w:trPr>
        <w:tc>
          <w:tcPr>
            <w:tcW w:w="3500" w:type="dxa"/>
            <w:vAlign w:val="bottom"/>
          </w:tcPr>
          <w:p>
            <w:pPr>
              <w:ind w:left="200"/>
              <w:spacing w:after="0" w:line="120" w:lineRule="exact"/>
              <w:rPr>
                <w:sz w:val="20"/>
                <w:szCs w:val="20"/>
                <w:color w:val="auto"/>
              </w:rPr>
            </w:pPr>
            <w:r>
              <w:rPr>
                <w:rFonts w:ascii="Calibri" w:cs="Calibri" w:eastAsia="Calibri" w:hAnsi="Calibri"/>
                <w:sz w:val="12"/>
                <w:szCs w:val="12"/>
                <w:color w:val="auto"/>
              </w:rPr>
              <w:t>Accreton of redeemable noncontrolling interest to redempton</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0"/>
              <w:spacing w:after="0" w:line="138" w:lineRule="exact"/>
              <w:rPr>
                <w:sz w:val="20"/>
                <w:szCs w:val="20"/>
                <w:color w:val="auto"/>
              </w:rPr>
            </w:pPr>
            <w:r>
              <w:rPr>
                <w:rFonts w:ascii="Calibri" w:cs="Calibri" w:eastAsia="Calibri" w:hAnsi="Calibri"/>
                <w:sz w:val="12"/>
                <w:szCs w:val="12"/>
                <w:color w:val="auto"/>
              </w:rPr>
              <w:t>value</w:t>
            </w: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80"/>
              <w:spacing w:after="0" w:line="138" w:lineRule="exact"/>
              <w:rPr>
                <w:sz w:val="20"/>
                <w:szCs w:val="20"/>
                <w:color w:val="auto"/>
              </w:rPr>
            </w:pPr>
            <w:r>
              <w:rPr>
                <w:rFonts w:ascii="Calibri" w:cs="Calibri" w:eastAsia="Calibri" w:hAnsi="Calibri"/>
                <w:sz w:val="12"/>
                <w:szCs w:val="12"/>
                <w:color w:val="auto"/>
              </w:rPr>
              <w:t>(109,398 )</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2"/>
                <w:szCs w:val="12"/>
                <w:color w:val="auto"/>
              </w:rPr>
            </w:pPr>
          </w:p>
        </w:tc>
        <w:tc>
          <w:tcPr>
            <w:tcW w:w="540" w:type="dxa"/>
            <w:vAlign w:val="bottom"/>
          </w:tcPr>
          <w:p>
            <w:pPr>
              <w:jc w:val="right"/>
              <w:spacing w:after="0" w:line="138" w:lineRule="exact"/>
              <w:rPr>
                <w:sz w:val="20"/>
                <w:szCs w:val="20"/>
                <w:color w:val="auto"/>
              </w:rPr>
            </w:pPr>
            <w:r>
              <w:rPr>
                <w:rFonts w:ascii="Calibri" w:cs="Calibri" w:eastAsia="Calibri" w:hAnsi="Calibri"/>
                <w:sz w:val="12"/>
                <w:szCs w:val="12"/>
                <w:color w:val="auto"/>
              </w:rPr>
              <w:t>109,398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2"/>
                <w:szCs w:val="12"/>
                <w:color w:val="auto"/>
              </w:rPr>
            </w:pPr>
          </w:p>
        </w:tc>
        <w:tc>
          <w:tcPr>
            <w:tcW w:w="600" w:type="dxa"/>
            <w:vAlign w:val="bottom"/>
          </w:tcPr>
          <w:p>
            <w:pPr>
              <w:jc w:val="right"/>
              <w:spacing w:after="0" w:line="138" w:lineRule="exact"/>
              <w:rPr>
                <w:sz w:val="20"/>
                <w:szCs w:val="20"/>
                <w:color w:val="auto"/>
              </w:rPr>
            </w:pPr>
            <w:r>
              <w:rPr>
                <w:rFonts w:ascii="Calibri" w:cs="Calibri" w:eastAsia="Calibri" w:hAnsi="Calibri"/>
                <w:sz w:val="12"/>
                <w:szCs w:val="12"/>
                <w:color w:val="auto"/>
              </w:rPr>
              <w:t>109,398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00" w:type="dxa"/>
            <w:vAlign w:val="bottom"/>
            <w:shd w:val="clear" w:color="auto" w:fill="CFF0FC"/>
          </w:tcPr>
          <w:p>
            <w:pPr>
              <w:ind w:left="200"/>
              <w:spacing w:after="0" w:line="141" w:lineRule="exact"/>
              <w:rPr>
                <w:sz w:val="20"/>
                <w:szCs w:val="20"/>
                <w:color w:val="auto"/>
              </w:rPr>
            </w:pPr>
            <w:r>
              <w:rPr>
                <w:rFonts w:ascii="Calibri" w:cs="Calibri" w:eastAsia="Calibri" w:hAnsi="Calibri"/>
                <w:sz w:val="12"/>
                <w:szCs w:val="12"/>
                <w:color w:val="auto"/>
              </w:rPr>
              <w:t>Tax distributons to redeemable noncontrolling interest holders</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80"/>
              <w:spacing w:after="0" w:line="141" w:lineRule="exact"/>
              <w:rPr>
                <w:sz w:val="20"/>
                <w:szCs w:val="20"/>
                <w:color w:val="auto"/>
              </w:rPr>
            </w:pPr>
            <w:r>
              <w:rPr>
                <w:rFonts w:ascii="Calibri" w:cs="Calibri" w:eastAsia="Calibri" w:hAnsi="Calibri"/>
                <w:sz w:val="12"/>
                <w:szCs w:val="12"/>
                <w:color w:val="auto"/>
              </w:rPr>
              <w:t>(11,228 )</w:t>
            </w: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88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line="141"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1" w:lineRule="exact"/>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Foreign currency translaton adjustment</w:t>
            </w: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Calibri" w:cs="Calibri" w:eastAsia="Calibri" w:hAnsi="Calibri"/>
                <w:sz w:val="12"/>
                <w:szCs w:val="12"/>
                <w:color w:val="auto"/>
              </w:rPr>
              <w:t>(1,241 )</w:t>
            </w:r>
          </w:p>
        </w:tc>
        <w:tc>
          <w:tcPr>
            <w:tcW w:w="1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Calibri" w:cs="Calibri" w:eastAsia="Calibri" w:hAnsi="Calibri"/>
                <w:sz w:val="12"/>
                <w:szCs w:val="12"/>
                <w:color w:val="auto"/>
              </w:rPr>
              <w:t>(1,241 )</w:t>
            </w:r>
          </w:p>
        </w:tc>
        <w:tc>
          <w:tcPr>
            <w:tcW w:w="0" w:type="dxa"/>
            <w:vAlign w:val="bottom"/>
          </w:tcPr>
          <w:p>
            <w:pPr>
              <w:spacing w:after="0"/>
              <w:rPr>
                <w:sz w:val="1"/>
                <w:szCs w:val="1"/>
                <w:color w:val="auto"/>
              </w:rPr>
            </w:pPr>
          </w:p>
        </w:tc>
      </w:tr>
      <w:tr>
        <w:trPr>
          <w:trHeight w:val="113"/>
        </w:trPr>
        <w:tc>
          <w:tcPr>
            <w:tcW w:w="3500" w:type="dxa"/>
            <w:vAlign w:val="bottom"/>
            <w:shd w:val="clear" w:color="auto" w:fill="CFF0FC"/>
          </w:tcPr>
          <w:p>
            <w:pPr>
              <w:ind w:left="20"/>
              <w:spacing w:after="0" w:line="113" w:lineRule="exact"/>
              <w:rPr>
                <w:sz w:val="20"/>
                <w:szCs w:val="20"/>
                <w:color w:val="auto"/>
              </w:rPr>
            </w:pPr>
            <w:r>
              <w:rPr>
                <w:rFonts w:ascii="Calibri" w:cs="Calibri" w:eastAsia="Calibri" w:hAnsi="Calibri"/>
                <w:sz w:val="12"/>
                <w:szCs w:val="12"/>
                <w:color w:val="auto"/>
              </w:rPr>
              <w:t>Balance as of December 31, 2022</w:t>
            </w: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2"/>
                <w:szCs w:val="12"/>
                <w:color w:val="auto"/>
              </w:rPr>
              <w:t>101,636,6</w:t>
            </w:r>
          </w:p>
        </w:tc>
        <w:tc>
          <w:tcPr>
            <w:tcW w:w="22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2"/>
                <w:szCs w:val="12"/>
                <w:color w:val="auto"/>
              </w:rPr>
              <w:t>15,999,17</w:t>
            </w: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38" w:lineRule="exact"/>
              <w:rPr>
                <w:sz w:val="20"/>
                <w:szCs w:val="20"/>
                <w:color w:val="auto"/>
              </w:rPr>
            </w:pPr>
            <w:r>
              <w:rPr>
                <w:rFonts w:ascii="Calibri" w:cs="Calibri" w:eastAsia="Calibri" w:hAnsi="Calibri"/>
                <w:sz w:val="12"/>
                <w:szCs w:val="12"/>
                <w:color w:val="auto"/>
              </w:rPr>
              <w:t>$</w:t>
            </w:r>
          </w:p>
        </w:tc>
        <w:tc>
          <w:tcPr>
            <w:tcW w:w="60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36,749</w:t>
            </w: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49</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Calibri" w:cs="Calibri" w:eastAsia="Calibri" w:hAnsi="Calibri"/>
                <w:sz w:val="11"/>
                <w:szCs w:val="11"/>
                <w:color w:val="auto"/>
                <w:w w:val="70"/>
              </w:rPr>
              <w:t>$</w:t>
            </w:r>
          </w:p>
        </w:tc>
        <w:tc>
          <w:tcPr>
            <w:tcW w:w="48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102</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2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16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2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413,092</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4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323,043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line="138" w:lineRule="exact"/>
              <w:rPr>
                <w:sz w:val="20"/>
                <w:szCs w:val="20"/>
                <w:color w:val="auto"/>
              </w:rPr>
            </w:pPr>
            <w:r>
              <w:rPr>
                <w:rFonts w:ascii="Calibri" w:cs="Calibri" w:eastAsia="Calibri" w:hAnsi="Calibri"/>
                <w:sz w:val="12"/>
                <w:szCs w:val="12"/>
                <w:color w:val="auto"/>
              </w:rPr>
              <w:t>$</w:t>
            </w:r>
          </w:p>
        </w:tc>
        <w:tc>
          <w:tcPr>
            <w:tcW w:w="800" w:type="dxa"/>
            <w:vAlign w:val="bottom"/>
            <w:gridSpan w:val="2"/>
            <w:shd w:val="clear" w:color="auto" w:fill="CFF0FC"/>
          </w:tcPr>
          <w:p>
            <w:pPr>
              <w:jc w:val="right"/>
              <w:ind w:right="160"/>
              <w:spacing w:after="0" w:line="138" w:lineRule="exact"/>
              <w:rPr>
                <w:sz w:val="20"/>
                <w:szCs w:val="20"/>
                <w:color w:val="auto"/>
              </w:rPr>
            </w:pPr>
            <w:r>
              <w:rPr>
                <w:rFonts w:ascii="Calibri" w:cs="Calibri" w:eastAsia="Calibri" w:hAnsi="Calibri"/>
                <w:sz w:val="12"/>
                <w:szCs w:val="12"/>
                <w:color w:val="auto"/>
              </w:rPr>
              <w:t>(1,644 )</w:t>
            </w:r>
          </w:p>
        </w:tc>
        <w:tc>
          <w:tcPr>
            <w:tcW w:w="160" w:type="dxa"/>
            <w:vAlign w:val="bottom"/>
            <w:shd w:val="clear" w:color="auto" w:fill="CFF0FC"/>
          </w:tcPr>
          <w:p>
            <w:pPr>
              <w:jc w:val="right"/>
              <w:ind w:right="22"/>
              <w:spacing w:after="0" w:line="138" w:lineRule="exact"/>
              <w:rPr>
                <w:sz w:val="20"/>
                <w:szCs w:val="20"/>
                <w:color w:val="auto"/>
              </w:rPr>
            </w:pPr>
            <w:r>
              <w:rPr>
                <w:rFonts w:ascii="Calibri" w:cs="Calibri" w:eastAsia="Calibri" w:hAnsi="Calibri"/>
                <w:sz w:val="12"/>
                <w:szCs w:val="12"/>
                <w:color w:val="auto"/>
                <w:w w:val="97"/>
              </w:rPr>
              <w:t>$</w:t>
            </w:r>
          </w:p>
        </w:tc>
        <w:tc>
          <w:tcPr>
            <w:tcW w:w="600" w:type="dxa"/>
            <w:vAlign w:val="bottom"/>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734,609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Net (loss) income</w:t>
            </w: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80"/>
              <w:spacing w:after="0" w:line="135" w:lineRule="exact"/>
              <w:rPr>
                <w:sz w:val="20"/>
                <w:szCs w:val="20"/>
                <w:color w:val="auto"/>
              </w:rPr>
            </w:pPr>
            <w:r>
              <w:rPr>
                <w:rFonts w:ascii="Calibri" w:cs="Calibri" w:eastAsia="Calibri" w:hAnsi="Calibri"/>
                <w:sz w:val="12"/>
                <w:szCs w:val="12"/>
                <w:color w:val="auto"/>
              </w:rPr>
              <w:t>(14,889 )</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Calibri" w:cs="Calibri" w:eastAsia="Calibri" w:hAnsi="Calibri"/>
                <w:sz w:val="12"/>
                <w:szCs w:val="12"/>
                <w:color w:val="auto"/>
              </w:rPr>
              <w:t>36,942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Calibri" w:cs="Calibri" w:eastAsia="Calibri" w:hAnsi="Calibri"/>
                <w:sz w:val="12"/>
                <w:szCs w:val="12"/>
                <w:color w:val="auto"/>
              </w:rPr>
              <w:t>36,942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Stock–based compensaton expense</w:t>
            </w:r>
          </w:p>
        </w:tc>
        <w:tc>
          <w:tcPr>
            <w:tcW w:w="10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63,312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63,312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Issuance of common stock upon exercise of stock optons</w:t>
            </w: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Calibri" w:cs="Calibri" w:eastAsia="Calibri" w:hAnsi="Calibri"/>
                <w:sz w:val="12"/>
                <w:szCs w:val="12"/>
                <w:color w:val="auto"/>
              </w:rPr>
              <w:t>15,834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Calibri" w:cs="Calibri" w:eastAsia="Calibri" w:hAnsi="Calibri"/>
                <w:sz w:val="12"/>
                <w:szCs w:val="12"/>
                <w:color w:val="auto"/>
              </w:rPr>
              <w:t>74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Calibri" w:cs="Calibri" w:eastAsia="Calibri" w:hAnsi="Calibri"/>
                <w:sz w:val="12"/>
                <w:szCs w:val="12"/>
                <w:color w:val="auto"/>
              </w:rPr>
              <w:t>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Issuance of common stock upon vestng of restricted stock units</w:t>
            </w:r>
          </w:p>
        </w:tc>
        <w:tc>
          <w:tcPr>
            <w:tcW w:w="10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2,440,510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line="135" w:lineRule="exact"/>
              <w:rPr>
                <w:sz w:val="20"/>
                <w:szCs w:val="20"/>
                <w:color w:val="auto"/>
              </w:rPr>
            </w:pPr>
            <w:r>
              <w:rPr>
                <w:rFonts w:ascii="Calibri" w:cs="Calibri" w:eastAsia="Calibri" w:hAnsi="Calibri"/>
                <w:sz w:val="12"/>
                <w:szCs w:val="12"/>
                <w:color w:val="auto"/>
              </w:rPr>
              <w:t>(1 )</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20"/>
        </w:trPr>
        <w:tc>
          <w:tcPr>
            <w:tcW w:w="3500" w:type="dxa"/>
            <w:vAlign w:val="bottom"/>
          </w:tcPr>
          <w:p>
            <w:pPr>
              <w:ind w:left="200"/>
              <w:spacing w:after="0" w:line="120" w:lineRule="exact"/>
              <w:rPr>
                <w:sz w:val="20"/>
                <w:szCs w:val="20"/>
                <w:color w:val="auto"/>
              </w:rPr>
            </w:pPr>
            <w:r>
              <w:rPr>
                <w:rFonts w:ascii="Calibri" w:cs="Calibri" w:eastAsia="Calibri" w:hAnsi="Calibri"/>
                <w:sz w:val="12"/>
                <w:szCs w:val="12"/>
                <w:color w:val="auto"/>
              </w:rPr>
              <w:t>Payment of withholding taxes on net share setlements of equity</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0"/>
              <w:spacing w:after="0" w:line="138" w:lineRule="exact"/>
              <w:rPr>
                <w:sz w:val="20"/>
                <w:szCs w:val="20"/>
                <w:color w:val="auto"/>
              </w:rPr>
            </w:pPr>
            <w:r>
              <w:rPr>
                <w:rFonts w:ascii="Calibri" w:cs="Calibri" w:eastAsia="Calibri" w:hAnsi="Calibri"/>
                <w:sz w:val="12"/>
                <w:szCs w:val="12"/>
                <w:color w:val="auto"/>
              </w:rPr>
              <w:t>awards</w:t>
            </w: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60"/>
              <w:spacing w:after="0" w:line="138"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38" w:lineRule="exact"/>
              <w:rPr>
                <w:sz w:val="20"/>
                <w:szCs w:val="20"/>
                <w:color w:val="auto"/>
              </w:rPr>
            </w:pPr>
            <w:r>
              <w:rPr>
                <w:rFonts w:ascii="Calibri" w:cs="Calibri" w:eastAsia="Calibri" w:hAnsi="Calibri"/>
                <w:sz w:val="12"/>
                <w:szCs w:val="12"/>
                <w:color w:val="auto"/>
              </w:rPr>
              <w:t>(840,995 )</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38" w:lineRule="exact"/>
              <w:rPr>
                <w:sz w:val="20"/>
                <w:szCs w:val="20"/>
                <w:color w:val="auto"/>
              </w:rPr>
            </w:pPr>
            <w:r>
              <w:rPr>
                <w:rFonts w:ascii="Calibri" w:cs="Calibri" w:eastAsia="Calibri" w:hAnsi="Calibri"/>
                <w:sz w:val="12"/>
                <w:szCs w:val="12"/>
                <w:color w:val="auto"/>
              </w:rPr>
              <w:t>(15,729 )</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38"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38" w:lineRule="exact"/>
              <w:rPr>
                <w:sz w:val="20"/>
                <w:szCs w:val="20"/>
                <w:color w:val="auto"/>
              </w:rPr>
            </w:pPr>
            <w:r>
              <w:rPr>
                <w:rFonts w:ascii="Calibri" w:cs="Calibri" w:eastAsia="Calibri" w:hAnsi="Calibri"/>
                <w:sz w:val="12"/>
                <w:szCs w:val="12"/>
                <w:color w:val="auto"/>
              </w:rPr>
              <w:t>(15,729 )</w:t>
            </w:r>
          </w:p>
        </w:tc>
        <w:tc>
          <w:tcPr>
            <w:tcW w:w="0" w:type="dxa"/>
            <w:vAlign w:val="bottom"/>
          </w:tcPr>
          <w:p>
            <w:pPr>
              <w:spacing w:after="0"/>
              <w:rPr>
                <w:sz w:val="1"/>
                <w:szCs w:val="1"/>
                <w:color w:val="auto"/>
              </w:rPr>
            </w:pPr>
          </w:p>
        </w:tc>
      </w:tr>
      <w:tr>
        <w:trPr>
          <w:trHeight w:val="126"/>
        </w:trPr>
        <w:tc>
          <w:tcPr>
            <w:tcW w:w="3500" w:type="dxa"/>
            <w:vAlign w:val="bottom"/>
            <w:shd w:val="clear" w:color="auto" w:fill="CFF0FC"/>
          </w:tcPr>
          <w:p>
            <w:pPr>
              <w:ind w:left="200"/>
              <w:spacing w:after="0" w:line="126" w:lineRule="exact"/>
              <w:rPr>
                <w:sz w:val="20"/>
                <w:szCs w:val="20"/>
                <w:color w:val="auto"/>
              </w:rPr>
            </w:pPr>
            <w:r>
              <w:rPr>
                <w:rFonts w:ascii="Calibri" w:cs="Calibri" w:eastAsia="Calibri" w:hAnsi="Calibri"/>
                <w:sz w:val="12"/>
                <w:szCs w:val="12"/>
                <w:color w:val="auto"/>
              </w:rPr>
              <w:t>Repurchase of common stock</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6" w:lineRule="exact"/>
              <w:rPr>
                <w:sz w:val="20"/>
                <w:szCs w:val="20"/>
                <w:color w:val="auto"/>
              </w:rPr>
            </w:pPr>
            <w:r>
              <w:rPr>
                <w:rFonts w:ascii="Calibri" w:cs="Calibri" w:eastAsia="Calibri" w:hAnsi="Calibri"/>
                <w:sz w:val="12"/>
                <w:szCs w:val="12"/>
                <w:color w:val="auto"/>
              </w:rPr>
              <w:t>(11,076,75</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tcBorders>
              <w:right w:val="single" w:sz="8" w:color="auto"/>
            </w:tcBorders>
            <w:gridSpan w:val="2"/>
            <w:shd w:val="clear" w:color="auto" w:fill="CFF0FC"/>
          </w:tcPr>
          <w:p>
            <w:pPr>
              <w:jc w:val="right"/>
              <w:ind w:right="160"/>
              <w:spacing w:after="0" w:line="138"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line="138" w:lineRule="exact"/>
              <w:rPr>
                <w:sz w:val="20"/>
                <w:szCs w:val="20"/>
                <w:color w:val="auto"/>
              </w:rPr>
            </w:pPr>
            <w:r>
              <w:rPr>
                <w:rFonts w:ascii="Calibri" w:cs="Calibri" w:eastAsia="Calibri" w:hAnsi="Calibri"/>
                <w:sz w:val="12"/>
                <w:szCs w:val="12"/>
                <w:color w:val="auto"/>
              </w:rPr>
              <w:t>5 )</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60"/>
              <w:spacing w:after="0" w:line="138" w:lineRule="exact"/>
              <w:rPr>
                <w:sz w:val="20"/>
                <w:szCs w:val="20"/>
                <w:color w:val="auto"/>
              </w:rPr>
            </w:pPr>
            <w:r>
              <w:rPr>
                <w:rFonts w:ascii="Calibri" w:cs="Calibri" w:eastAsia="Calibri" w:hAnsi="Calibri"/>
                <w:sz w:val="12"/>
                <w:szCs w:val="12"/>
                <w:color w:val="auto"/>
              </w:rPr>
              <w:t>(11 )</w:t>
            </w:r>
          </w:p>
        </w:tc>
        <w:tc>
          <w:tcPr>
            <w:tcW w:w="880" w:type="dxa"/>
            <w:vAlign w:val="bottom"/>
            <w:gridSpan w:val="2"/>
            <w:shd w:val="clear" w:color="auto" w:fill="CFF0FC"/>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60"/>
              <w:spacing w:after="0" w:line="138" w:lineRule="exact"/>
              <w:rPr>
                <w:sz w:val="20"/>
                <w:szCs w:val="20"/>
                <w:color w:val="auto"/>
              </w:rPr>
            </w:pPr>
            <w:r>
              <w:rPr>
                <w:rFonts w:ascii="Calibri" w:cs="Calibri" w:eastAsia="Calibri" w:hAnsi="Calibri"/>
                <w:sz w:val="12"/>
                <w:szCs w:val="12"/>
                <w:color w:val="auto"/>
              </w:rPr>
              <w:t>(205,808 )</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line="138"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line="138" w:lineRule="exact"/>
              <w:rPr>
                <w:sz w:val="20"/>
                <w:szCs w:val="20"/>
                <w:color w:val="auto"/>
              </w:rPr>
            </w:pPr>
            <w:r>
              <w:rPr>
                <w:rFonts w:ascii="Calibri" w:cs="Calibri" w:eastAsia="Calibri" w:hAnsi="Calibri"/>
                <w:sz w:val="12"/>
                <w:szCs w:val="12"/>
                <w:color w:val="auto"/>
              </w:rPr>
              <w:t>(205,819 )</w:t>
            </w: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Acquisiton of remaining interest in CarOfer, LLC</w:t>
            </w: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80"/>
              <w:spacing w:after="0" w:line="135" w:lineRule="exact"/>
              <w:rPr>
                <w:sz w:val="20"/>
                <w:szCs w:val="20"/>
                <w:color w:val="auto"/>
              </w:rPr>
            </w:pPr>
            <w:r>
              <w:rPr>
                <w:rFonts w:ascii="Calibri" w:cs="Calibri" w:eastAsia="Calibri" w:hAnsi="Calibri"/>
                <w:sz w:val="12"/>
                <w:szCs w:val="12"/>
                <w:color w:val="auto"/>
              </w:rPr>
              <w:t>(21,838 )</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Calibri" w:cs="Calibri" w:eastAsia="Calibri" w:hAnsi="Calibri"/>
                <w:sz w:val="12"/>
                <w:szCs w:val="12"/>
                <w:color w:val="auto"/>
              </w:rPr>
              <w:t>8,558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Calibri" w:cs="Calibri" w:eastAsia="Calibri" w:hAnsi="Calibri"/>
                <w:sz w:val="12"/>
                <w:szCs w:val="12"/>
                <w:color w:val="auto"/>
              </w:rPr>
              <w:t>(5,838 )</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Calibri" w:cs="Calibri" w:eastAsia="Calibri" w:hAnsi="Calibri"/>
                <w:sz w:val="12"/>
                <w:szCs w:val="12"/>
                <w:color w:val="auto"/>
              </w:rPr>
              <w:t>2,720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Tax distributons to redeemable noncontrolling interest holders</w:t>
            </w:r>
          </w:p>
        </w:tc>
        <w:tc>
          <w:tcPr>
            <w:tcW w:w="10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80"/>
              <w:spacing w:after="0" w:line="135" w:lineRule="exact"/>
              <w:rPr>
                <w:sz w:val="20"/>
                <w:szCs w:val="20"/>
                <w:color w:val="auto"/>
              </w:rPr>
            </w:pPr>
            <w:r>
              <w:rPr>
                <w:rFonts w:ascii="Calibri" w:cs="Calibri" w:eastAsia="Calibri" w:hAnsi="Calibri"/>
                <w:sz w:val="12"/>
                <w:szCs w:val="12"/>
                <w:color w:val="auto"/>
              </w:rPr>
              <w:t>(22 )</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Foreign currency translaton adjustment</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743</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743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500" w:type="dxa"/>
            <w:vAlign w:val="bottom"/>
            <w:shd w:val="clear" w:color="auto" w:fill="CFF0FC"/>
          </w:tcPr>
          <w:p>
            <w:pPr>
              <w:ind w:left="20"/>
              <w:spacing w:after="0" w:line="113" w:lineRule="exact"/>
              <w:rPr>
                <w:sz w:val="20"/>
                <w:szCs w:val="20"/>
                <w:color w:val="auto"/>
              </w:rPr>
            </w:pPr>
            <w:r>
              <w:rPr>
                <w:rFonts w:ascii="Calibri" w:cs="Calibri" w:eastAsia="Calibri" w:hAnsi="Calibri"/>
                <w:sz w:val="12"/>
                <w:szCs w:val="12"/>
                <w:color w:val="auto"/>
              </w:rPr>
              <w:t>Balance as of December 31, 2023</w:t>
            </w:r>
          </w:p>
        </w:tc>
        <w:tc>
          <w:tcPr>
            <w:tcW w:w="100" w:type="dxa"/>
            <w:vAlign w:val="bottom"/>
            <w:vMerge w:val="restart"/>
            <w:shd w:val="clear" w:color="auto" w:fill="CFF0FC"/>
          </w:tcPr>
          <w:p>
            <w:pPr>
              <w:spacing w:after="0"/>
              <w:rPr>
                <w:sz w:val="20"/>
                <w:szCs w:val="20"/>
                <w:color w:val="auto"/>
              </w:rPr>
            </w:pPr>
            <w:r>
              <w:rPr>
                <w:rFonts w:ascii="Calibri" w:cs="Calibri" w:eastAsia="Calibri" w:hAnsi="Calibri"/>
                <w:sz w:val="12"/>
                <w:szCs w:val="12"/>
                <w:color w:val="auto"/>
              </w:rPr>
              <w:t>$</w:t>
            </w:r>
          </w:p>
        </w:tc>
        <w:tc>
          <w:tcPr>
            <w:tcW w:w="74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3" w:lineRule="exact"/>
              <w:rPr>
                <w:sz w:val="20"/>
                <w:szCs w:val="20"/>
                <w:color w:val="auto"/>
              </w:rPr>
            </w:pPr>
            <w:r>
              <w:rPr>
                <w:rFonts w:ascii="Calibri" w:cs="Calibri" w:eastAsia="Calibri" w:hAnsi="Calibri"/>
                <w:sz w:val="12"/>
                <w:szCs w:val="12"/>
                <w:color w:val="auto"/>
              </w:rPr>
              <w:t>92,175,24</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3" w:lineRule="exact"/>
              <w:rPr>
                <w:sz w:val="20"/>
                <w:szCs w:val="20"/>
                <w:color w:val="auto"/>
              </w:rPr>
            </w:pPr>
            <w:r>
              <w:rPr>
                <w:rFonts w:ascii="Calibri" w:cs="Calibri" w:eastAsia="Calibri" w:hAnsi="Calibri"/>
                <w:sz w:val="12"/>
                <w:szCs w:val="12"/>
                <w:color w:val="auto"/>
              </w:rPr>
              <w:t>15,999,17</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3500" w:type="dxa"/>
            <w:vAlign w:val="bottom"/>
            <w:shd w:val="clear" w:color="auto" w:fill="CFF0FC"/>
          </w:tcPr>
          <w:p>
            <w:pPr>
              <w:spacing w:after="0"/>
              <w:rPr>
                <w:sz w:val="6"/>
                <w:szCs w:val="6"/>
                <w:color w:val="auto"/>
              </w:rPr>
            </w:pPr>
          </w:p>
        </w:tc>
        <w:tc>
          <w:tcPr>
            <w:tcW w:w="100" w:type="dxa"/>
            <w:vAlign w:val="bottom"/>
            <w:vMerge w:val="continue"/>
            <w:shd w:val="clear" w:color="auto" w:fill="CFF0FC"/>
          </w:tcPr>
          <w:p>
            <w:pPr>
              <w:spacing w:after="0"/>
              <w:rPr>
                <w:sz w:val="6"/>
                <w:szCs w:val="6"/>
                <w:color w:val="auto"/>
              </w:rPr>
            </w:pPr>
          </w:p>
        </w:tc>
        <w:tc>
          <w:tcPr>
            <w:tcW w:w="740" w:type="dxa"/>
            <w:vAlign w:val="bottom"/>
            <w:tcBorders>
              <w:right w:val="single" w:sz="8" w:color="auto"/>
            </w:tcBorders>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8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3</w:t>
            </w:r>
          </w:p>
        </w:tc>
        <w:tc>
          <w:tcPr>
            <w:tcW w:w="220" w:type="dxa"/>
            <w:vAlign w:val="bottom"/>
            <w:shd w:val="clear" w:color="auto" w:fill="CFF0FC"/>
          </w:tcPr>
          <w:p>
            <w:pPr>
              <w:spacing w:after="0"/>
              <w:rPr>
                <w:sz w:val="6"/>
                <w:szCs w:val="6"/>
                <w:color w:val="auto"/>
              </w:rPr>
            </w:pPr>
          </w:p>
        </w:tc>
        <w:tc>
          <w:tcPr>
            <w:tcW w:w="60" w:type="dxa"/>
            <w:vAlign w:val="bottom"/>
            <w:vMerge w:val="restart"/>
            <w:shd w:val="clear" w:color="auto" w:fill="CFF0FC"/>
          </w:tcPr>
          <w:p>
            <w:pPr>
              <w:jc w:val="right"/>
              <w:spacing w:after="0"/>
              <w:rPr>
                <w:sz w:val="20"/>
                <w:szCs w:val="20"/>
                <w:color w:val="auto"/>
              </w:rPr>
            </w:pPr>
            <w:r>
              <w:rPr>
                <w:rFonts w:ascii="Calibri" w:cs="Calibri" w:eastAsia="Calibri" w:hAnsi="Calibri"/>
                <w:sz w:val="11"/>
                <w:szCs w:val="11"/>
                <w:color w:val="auto"/>
                <w:w w:val="70"/>
              </w:rPr>
              <w:t>$</w:t>
            </w:r>
          </w:p>
        </w:tc>
        <w:tc>
          <w:tcPr>
            <w:tcW w:w="48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92</w:t>
            </w:r>
          </w:p>
        </w:tc>
        <w:tc>
          <w:tcPr>
            <w:tcW w:w="220" w:type="dxa"/>
            <w:vAlign w:val="bottom"/>
            <w:shd w:val="clear" w:color="auto" w:fill="CFF0FC"/>
          </w:tcPr>
          <w:p>
            <w:pPr>
              <w:spacing w:after="0"/>
              <w:rPr>
                <w:sz w:val="6"/>
                <w:szCs w:val="6"/>
                <w:color w:val="auto"/>
              </w:rPr>
            </w:pPr>
          </w:p>
        </w:tc>
        <w:tc>
          <w:tcPr>
            <w:tcW w:w="66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3</w:t>
            </w:r>
          </w:p>
        </w:tc>
        <w:tc>
          <w:tcPr>
            <w:tcW w:w="220" w:type="dxa"/>
            <w:vAlign w:val="bottom"/>
            <w:shd w:val="clear" w:color="auto" w:fill="CFF0FC"/>
          </w:tcPr>
          <w:p>
            <w:pPr>
              <w:spacing w:after="0"/>
              <w:rPr>
                <w:sz w:val="6"/>
                <w:szCs w:val="6"/>
                <w:color w:val="auto"/>
              </w:rPr>
            </w:pPr>
          </w:p>
        </w:tc>
        <w:tc>
          <w:tcPr>
            <w:tcW w:w="8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2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16</w:t>
            </w:r>
          </w:p>
        </w:tc>
        <w:tc>
          <w:tcPr>
            <w:tcW w:w="220" w:type="dxa"/>
            <w:vAlign w:val="bottom"/>
            <w:shd w:val="clear" w:color="auto" w:fill="CFF0FC"/>
          </w:tcPr>
          <w:p>
            <w:pPr>
              <w:spacing w:after="0"/>
              <w:rPr>
                <w:sz w:val="6"/>
                <w:szCs w:val="6"/>
                <w:color w:val="auto"/>
              </w:rPr>
            </w:pPr>
          </w:p>
        </w:tc>
        <w:tc>
          <w:tcPr>
            <w:tcW w:w="10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2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263,498</w:t>
            </w:r>
          </w:p>
        </w:tc>
        <w:tc>
          <w:tcPr>
            <w:tcW w:w="200" w:type="dxa"/>
            <w:vAlign w:val="bottom"/>
            <w:shd w:val="clear" w:color="auto" w:fill="CFF0FC"/>
          </w:tcPr>
          <w:p>
            <w:pPr>
              <w:spacing w:after="0"/>
              <w:rPr>
                <w:sz w:val="6"/>
                <w:szCs w:val="6"/>
                <w:color w:val="auto"/>
              </w:rPr>
            </w:pPr>
          </w:p>
        </w:tc>
        <w:tc>
          <w:tcPr>
            <w:tcW w:w="8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4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354,147</w:t>
            </w:r>
          </w:p>
        </w:tc>
        <w:tc>
          <w:tcPr>
            <w:tcW w:w="220" w:type="dxa"/>
            <w:vAlign w:val="bottom"/>
            <w:shd w:val="clear" w:color="auto" w:fill="CFF0FC"/>
          </w:tcPr>
          <w:p>
            <w:pPr>
              <w:spacing w:after="0"/>
              <w:rPr>
                <w:sz w:val="6"/>
                <w:szCs w:val="6"/>
                <w:color w:val="auto"/>
              </w:rPr>
            </w:pPr>
          </w:p>
        </w:tc>
        <w:tc>
          <w:tcPr>
            <w:tcW w:w="140" w:type="dxa"/>
            <w:vAlign w:val="bottom"/>
            <w:vMerge w:val="restart"/>
            <w:shd w:val="clear" w:color="auto" w:fill="CFF0FC"/>
          </w:tcPr>
          <w:p>
            <w:pPr>
              <w:spacing w:after="0" w:line="138" w:lineRule="exact"/>
              <w:rPr>
                <w:sz w:val="20"/>
                <w:szCs w:val="20"/>
                <w:color w:val="auto"/>
              </w:rPr>
            </w:pPr>
            <w:r>
              <w:rPr>
                <w:rFonts w:ascii="Calibri" w:cs="Calibri" w:eastAsia="Calibri" w:hAnsi="Calibri"/>
                <w:sz w:val="12"/>
                <w:szCs w:val="12"/>
                <w:color w:val="auto"/>
              </w:rPr>
              <w:t>$</w:t>
            </w:r>
          </w:p>
        </w:tc>
        <w:tc>
          <w:tcPr>
            <w:tcW w:w="800" w:type="dxa"/>
            <w:vAlign w:val="bottom"/>
            <w:gridSpan w:val="2"/>
            <w:vMerge w:val="restart"/>
            <w:shd w:val="clear" w:color="auto" w:fill="CFF0FC"/>
          </w:tcPr>
          <w:p>
            <w:pPr>
              <w:jc w:val="right"/>
              <w:ind w:right="160"/>
              <w:spacing w:after="0" w:line="138" w:lineRule="exact"/>
              <w:rPr>
                <w:sz w:val="20"/>
                <w:szCs w:val="20"/>
                <w:color w:val="auto"/>
              </w:rPr>
            </w:pPr>
            <w:r>
              <w:rPr>
                <w:rFonts w:ascii="Calibri" w:cs="Calibri" w:eastAsia="Calibri" w:hAnsi="Calibri"/>
                <w:sz w:val="12"/>
                <w:szCs w:val="12"/>
                <w:color w:val="auto"/>
              </w:rPr>
              <w:t>(901 )</w:t>
            </w:r>
          </w:p>
        </w:tc>
        <w:tc>
          <w:tcPr>
            <w:tcW w:w="160" w:type="dxa"/>
            <w:vAlign w:val="bottom"/>
            <w:vMerge w:val="restart"/>
            <w:shd w:val="clear" w:color="auto" w:fill="CFF0FC"/>
          </w:tcPr>
          <w:p>
            <w:pPr>
              <w:jc w:val="right"/>
              <w:ind w:right="22"/>
              <w:spacing w:after="0" w:line="138" w:lineRule="exact"/>
              <w:rPr>
                <w:sz w:val="20"/>
                <w:szCs w:val="20"/>
                <w:color w:val="auto"/>
              </w:rPr>
            </w:pPr>
            <w:r>
              <w:rPr>
                <w:rFonts w:ascii="Calibri" w:cs="Calibri" w:eastAsia="Calibri" w:hAnsi="Calibri"/>
                <w:sz w:val="12"/>
                <w:szCs w:val="12"/>
                <w:color w:val="auto"/>
                <w:w w:val="97"/>
              </w:rPr>
              <w:t>$</w:t>
            </w:r>
          </w:p>
        </w:tc>
        <w:tc>
          <w:tcPr>
            <w:tcW w:w="60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616,852</w:t>
            </w: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5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40" w:type="dxa"/>
            <w:vAlign w:val="bottom"/>
            <w:tcBorders>
              <w:right w:val="single" w:sz="8" w:color="auto"/>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0" w:type="dxa"/>
            <w:vAlign w:val="bottom"/>
            <w:vMerge w:val="continue"/>
            <w:shd w:val="clear" w:color="auto" w:fill="CFF0FC"/>
          </w:tcPr>
          <w:p>
            <w:pPr>
              <w:spacing w:after="0"/>
              <w:rPr>
                <w:sz w:val="6"/>
                <w:szCs w:val="6"/>
                <w:color w:val="auto"/>
              </w:rPr>
            </w:pPr>
          </w:p>
        </w:tc>
        <w:tc>
          <w:tcPr>
            <w:tcW w:w="4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 w:type="dxa"/>
            <w:vAlign w:val="bottom"/>
            <w:vMerge w:val="continue"/>
            <w:shd w:val="clear" w:color="auto" w:fill="CFF0FC"/>
          </w:tcPr>
          <w:p>
            <w:pPr>
              <w:spacing w:after="0"/>
              <w:rPr>
                <w:sz w:val="6"/>
                <w:szCs w:val="6"/>
                <w:color w:val="auto"/>
              </w:rPr>
            </w:pPr>
          </w:p>
        </w:tc>
        <w:tc>
          <w:tcPr>
            <w:tcW w:w="52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vMerge w:val="continue"/>
            <w:shd w:val="clear" w:color="auto" w:fill="CFF0FC"/>
          </w:tcPr>
          <w:p>
            <w:pPr>
              <w:spacing w:after="0"/>
              <w:rPr>
                <w:sz w:val="6"/>
                <w:szCs w:val="6"/>
                <w:color w:val="auto"/>
              </w:rPr>
            </w:pPr>
          </w:p>
        </w:tc>
        <w:tc>
          <w:tcPr>
            <w:tcW w:w="52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0" w:type="dxa"/>
            <w:vAlign w:val="bottom"/>
            <w:vMerge w:val="continue"/>
            <w:shd w:val="clear" w:color="auto" w:fill="CFF0FC"/>
          </w:tcPr>
          <w:p>
            <w:pPr>
              <w:spacing w:after="0"/>
              <w:rPr>
                <w:sz w:val="6"/>
                <w:szCs w:val="6"/>
                <w:color w:val="auto"/>
              </w:rPr>
            </w:pPr>
          </w:p>
        </w:tc>
        <w:tc>
          <w:tcPr>
            <w:tcW w:w="54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160" w:type="dxa"/>
            <w:vAlign w:val="bottom"/>
            <w:vMerge w:val="continue"/>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Net income</w:t>
            </w: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Calibri" w:cs="Calibri" w:eastAsia="Calibri" w:hAnsi="Calibri"/>
                <w:sz w:val="12"/>
                <w:szCs w:val="12"/>
                <w:color w:val="auto"/>
              </w:rPr>
              <w:t>20,972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Calibri" w:cs="Calibri" w:eastAsia="Calibri" w:hAnsi="Calibri"/>
                <w:sz w:val="12"/>
                <w:szCs w:val="12"/>
                <w:color w:val="auto"/>
              </w:rPr>
              <w:t>20,972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Stock–based compensaton expense</w:t>
            </w:r>
          </w:p>
        </w:tc>
        <w:tc>
          <w:tcPr>
            <w:tcW w:w="10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68,818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68,818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Issuance of common stock upon exercise of stock optons</w:t>
            </w: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Calibri" w:cs="Calibri" w:eastAsia="Calibri" w:hAnsi="Calibri"/>
                <w:sz w:val="12"/>
                <w:szCs w:val="12"/>
                <w:color w:val="auto"/>
              </w:rPr>
              <w:t>345,721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Calibri" w:cs="Calibri" w:eastAsia="Calibri" w:hAnsi="Calibri"/>
                <w:sz w:val="12"/>
                <w:szCs w:val="12"/>
                <w:color w:val="auto"/>
              </w:rPr>
              <w:t>4,923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Calibri" w:cs="Calibri" w:eastAsia="Calibri" w:hAnsi="Calibri"/>
                <w:sz w:val="12"/>
                <w:szCs w:val="12"/>
                <w:color w:val="auto"/>
              </w:rPr>
              <w:t>4,923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Issuance of common stock upon vestng of restricted stock units</w:t>
            </w:r>
          </w:p>
        </w:tc>
        <w:tc>
          <w:tcPr>
            <w:tcW w:w="10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2,793,920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3</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line="135" w:lineRule="exact"/>
              <w:rPr>
                <w:sz w:val="20"/>
                <w:szCs w:val="20"/>
                <w:color w:val="auto"/>
              </w:rPr>
            </w:pPr>
            <w:r>
              <w:rPr>
                <w:rFonts w:ascii="Calibri" w:cs="Calibri" w:eastAsia="Calibri" w:hAnsi="Calibri"/>
                <w:sz w:val="12"/>
                <w:szCs w:val="12"/>
                <w:color w:val="auto"/>
              </w:rPr>
              <w:t>(3 )</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20"/>
        </w:trPr>
        <w:tc>
          <w:tcPr>
            <w:tcW w:w="3500" w:type="dxa"/>
            <w:vAlign w:val="bottom"/>
          </w:tcPr>
          <w:p>
            <w:pPr>
              <w:ind w:left="200"/>
              <w:spacing w:after="0" w:line="120" w:lineRule="exact"/>
              <w:rPr>
                <w:sz w:val="20"/>
                <w:szCs w:val="20"/>
                <w:color w:val="auto"/>
              </w:rPr>
            </w:pPr>
            <w:r>
              <w:rPr>
                <w:rFonts w:ascii="Calibri" w:cs="Calibri" w:eastAsia="Calibri" w:hAnsi="Calibri"/>
                <w:sz w:val="12"/>
                <w:szCs w:val="12"/>
                <w:color w:val="auto"/>
              </w:rPr>
              <w:t>Payment of withholding taxes on net share setlements of equity</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0"/>
              <w:spacing w:after="0" w:line="138" w:lineRule="exact"/>
              <w:rPr>
                <w:sz w:val="20"/>
                <w:szCs w:val="20"/>
                <w:color w:val="auto"/>
              </w:rPr>
            </w:pPr>
            <w:r>
              <w:rPr>
                <w:rFonts w:ascii="Calibri" w:cs="Calibri" w:eastAsia="Calibri" w:hAnsi="Calibri"/>
                <w:sz w:val="12"/>
                <w:szCs w:val="12"/>
                <w:color w:val="auto"/>
              </w:rPr>
              <w:t>awards</w:t>
            </w: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60"/>
              <w:spacing w:after="0" w:line="138"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38" w:lineRule="exact"/>
              <w:rPr>
                <w:sz w:val="20"/>
                <w:szCs w:val="20"/>
                <w:color w:val="auto"/>
              </w:rPr>
            </w:pPr>
            <w:r>
              <w:rPr>
                <w:rFonts w:ascii="Calibri" w:cs="Calibri" w:eastAsia="Calibri" w:hAnsi="Calibri"/>
                <w:sz w:val="12"/>
                <w:szCs w:val="12"/>
                <w:color w:val="auto"/>
              </w:rPr>
              <w:t>(967,439 )</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line="138" w:lineRule="exact"/>
              <w:rPr>
                <w:sz w:val="20"/>
                <w:szCs w:val="20"/>
                <w:color w:val="auto"/>
              </w:rPr>
            </w:pPr>
            <w:r>
              <w:rPr>
                <w:rFonts w:ascii="Calibri" w:cs="Calibri" w:eastAsia="Calibri" w:hAnsi="Calibri"/>
                <w:sz w:val="12"/>
                <w:szCs w:val="12"/>
                <w:color w:val="auto"/>
              </w:rPr>
              <w:t>(1 )</w:t>
            </w:r>
          </w:p>
        </w:tc>
        <w:tc>
          <w:tcPr>
            <w:tcW w:w="88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38" w:lineRule="exact"/>
              <w:rPr>
                <w:sz w:val="20"/>
                <w:szCs w:val="20"/>
                <w:color w:val="auto"/>
              </w:rPr>
            </w:pPr>
            <w:r>
              <w:rPr>
                <w:rFonts w:ascii="Calibri" w:cs="Calibri" w:eastAsia="Calibri" w:hAnsi="Calibri"/>
                <w:sz w:val="12"/>
                <w:szCs w:val="12"/>
                <w:color w:val="auto"/>
              </w:rPr>
              <w:t>(24,876 )</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38"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38" w:lineRule="exact"/>
              <w:rPr>
                <w:sz w:val="20"/>
                <w:szCs w:val="20"/>
                <w:color w:val="auto"/>
              </w:rPr>
            </w:pPr>
            <w:r>
              <w:rPr>
                <w:rFonts w:ascii="Calibri" w:cs="Calibri" w:eastAsia="Calibri" w:hAnsi="Calibri"/>
                <w:sz w:val="12"/>
                <w:szCs w:val="12"/>
                <w:color w:val="auto"/>
              </w:rPr>
              <w:t>(24,877 )</w:t>
            </w:r>
          </w:p>
        </w:tc>
        <w:tc>
          <w:tcPr>
            <w:tcW w:w="0" w:type="dxa"/>
            <w:vAlign w:val="bottom"/>
          </w:tcPr>
          <w:p>
            <w:pPr>
              <w:spacing w:after="0"/>
              <w:rPr>
                <w:sz w:val="1"/>
                <w:szCs w:val="1"/>
                <w:color w:val="auto"/>
              </w:rPr>
            </w:pPr>
          </w:p>
        </w:tc>
      </w:tr>
      <w:tr>
        <w:trPr>
          <w:trHeight w:val="141"/>
        </w:trPr>
        <w:tc>
          <w:tcPr>
            <w:tcW w:w="3500" w:type="dxa"/>
            <w:vAlign w:val="bottom"/>
            <w:shd w:val="clear" w:color="auto" w:fill="CFF0FC"/>
          </w:tcPr>
          <w:p>
            <w:pPr>
              <w:ind w:left="200"/>
              <w:spacing w:after="0" w:line="141" w:lineRule="exact"/>
              <w:rPr>
                <w:sz w:val="20"/>
                <w:szCs w:val="20"/>
                <w:color w:val="auto"/>
              </w:rPr>
            </w:pPr>
            <w:r>
              <w:rPr>
                <w:rFonts w:ascii="Calibri" w:cs="Calibri" w:eastAsia="Calibri" w:hAnsi="Calibri"/>
                <w:sz w:val="12"/>
                <w:szCs w:val="12"/>
                <w:color w:val="auto"/>
              </w:rPr>
              <w:t>Repurchase of common stock</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160"/>
              <w:spacing w:after="0" w:line="141"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line="141" w:lineRule="exact"/>
              <w:rPr>
                <w:sz w:val="20"/>
                <w:szCs w:val="20"/>
                <w:color w:val="auto"/>
              </w:rPr>
            </w:pPr>
            <w:r>
              <w:rPr>
                <w:rFonts w:ascii="Calibri" w:cs="Calibri" w:eastAsia="Calibri" w:hAnsi="Calibri"/>
                <w:sz w:val="12"/>
                <w:szCs w:val="12"/>
                <w:color w:val="auto"/>
              </w:rPr>
              <w:t>(6,357,302 )</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line="141" w:lineRule="exact"/>
              <w:rPr>
                <w:sz w:val="20"/>
                <w:szCs w:val="20"/>
                <w:color w:val="auto"/>
              </w:rPr>
            </w:pPr>
            <w:r>
              <w:rPr>
                <w:rFonts w:ascii="Calibri" w:cs="Calibri" w:eastAsia="Calibri" w:hAnsi="Calibri"/>
                <w:sz w:val="12"/>
                <w:szCs w:val="12"/>
                <w:color w:val="auto"/>
              </w:rPr>
              <w:t>(6 )</w:t>
            </w:r>
          </w:p>
        </w:tc>
        <w:tc>
          <w:tcPr>
            <w:tcW w:w="88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1" w:lineRule="exact"/>
              <w:rPr>
                <w:sz w:val="20"/>
                <w:szCs w:val="20"/>
                <w:color w:val="auto"/>
              </w:rPr>
            </w:pPr>
            <w:r>
              <w:rPr>
                <w:rFonts w:ascii="Calibri" w:cs="Calibri" w:eastAsia="Calibri" w:hAnsi="Calibri"/>
                <w:sz w:val="12"/>
                <w:szCs w:val="12"/>
                <w:color w:val="auto"/>
              </w:rPr>
              <w:t>(146,854 )</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line="141"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1" w:lineRule="exact"/>
              <w:rPr>
                <w:sz w:val="20"/>
                <w:szCs w:val="20"/>
                <w:color w:val="auto"/>
              </w:rPr>
            </w:pPr>
            <w:r>
              <w:rPr>
                <w:rFonts w:ascii="Calibri" w:cs="Calibri" w:eastAsia="Calibri" w:hAnsi="Calibri"/>
                <w:sz w:val="12"/>
                <w:szCs w:val="12"/>
                <w:color w:val="auto"/>
              </w:rPr>
              <w:t>(146,860 )</w:t>
            </w: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Conversion of common stock</w:t>
            </w: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Calibri" w:cs="Calibri" w:eastAsia="Calibri" w:hAnsi="Calibri"/>
                <w:sz w:val="12"/>
                <w:szCs w:val="12"/>
                <w:color w:val="auto"/>
              </w:rPr>
              <w:t>1,012,428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Calibri" w:cs="Calibri" w:eastAsia="Calibri" w:hAnsi="Calibri"/>
                <w:sz w:val="12"/>
                <w:szCs w:val="12"/>
                <w:color w:val="auto"/>
              </w:rPr>
              <w:t>1</w:t>
            </w:r>
          </w:p>
        </w:tc>
        <w:tc>
          <w:tcPr>
            <w:tcW w:w="2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Calibri" w:cs="Calibri" w:eastAsia="Calibri" w:hAnsi="Calibri"/>
                <w:sz w:val="12"/>
                <w:szCs w:val="12"/>
                <w:color w:val="auto"/>
              </w:rPr>
              <w:t>(1,012,428 )</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Calibri" w:cs="Calibri" w:eastAsia="Calibri" w:hAnsi="Calibri"/>
                <w:sz w:val="12"/>
                <w:szCs w:val="12"/>
                <w:color w:val="auto"/>
              </w:rPr>
              <w:t>(1 )</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Calibri" w:cs="Calibri" w:eastAsia="Calibri" w:hAnsi="Calibri"/>
                <w:sz w:val="12"/>
                <w:szCs w:val="12"/>
                <w:color w:val="auto"/>
              </w:rPr>
              <w:t>—</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Other (Note 6)</w:t>
            </w:r>
          </w:p>
        </w:tc>
        <w:tc>
          <w:tcPr>
            <w:tcW w:w="100" w:type="dxa"/>
            <w:vAlign w:val="bottom"/>
            <w:shd w:val="clear" w:color="auto" w:fill="CFF0FC"/>
          </w:tcPr>
          <w:p>
            <w:pPr>
              <w:spacing w:after="0"/>
              <w:rPr>
                <w:sz w:val="11"/>
                <w:szCs w:val="11"/>
                <w:color w:val="auto"/>
              </w:rPr>
            </w:pPr>
          </w:p>
        </w:tc>
        <w:tc>
          <w:tcPr>
            <w:tcW w:w="740" w:type="dxa"/>
            <w:vAlign w:val="bottom"/>
            <w:tcBorders>
              <w:right w:val="single" w:sz="8" w:color="auto"/>
            </w:tcBorders>
            <w:gridSpan w:val="2"/>
            <w:shd w:val="clear" w:color="auto" w:fill="CFF0FC"/>
          </w:tcPr>
          <w:p>
            <w:pPr>
              <w:jc w:val="right"/>
              <w:ind w:right="16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8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3,507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line="135" w:lineRule="exact"/>
              <w:rPr>
                <w:sz w:val="20"/>
                <w:szCs w:val="20"/>
                <w:color w:val="auto"/>
              </w:rPr>
            </w:pPr>
            <w:r>
              <w:rPr>
                <w:rFonts w:ascii="Calibri" w:cs="Calibri" w:eastAsia="Calibri" w:hAnsi="Calibri"/>
                <w:sz w:val="12"/>
                <w:szCs w:val="12"/>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3,507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0"/>
              <w:spacing w:after="0" w:line="135" w:lineRule="exact"/>
              <w:rPr>
                <w:sz w:val="20"/>
                <w:szCs w:val="20"/>
                <w:color w:val="auto"/>
              </w:rPr>
            </w:pPr>
            <w:r>
              <w:rPr>
                <w:rFonts w:ascii="Calibri" w:cs="Calibri" w:eastAsia="Calibri" w:hAnsi="Calibri"/>
                <w:sz w:val="12"/>
                <w:szCs w:val="12"/>
                <w:color w:val="auto"/>
              </w:rPr>
              <w:t>Foreign currency translaton adjustment</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Calibri" w:cs="Calibri" w:eastAsia="Calibri" w:hAnsi="Calibri"/>
                <w:sz w:val="12"/>
                <w:szCs w:val="12"/>
                <w:color w:val="auto"/>
              </w:rPr>
              <w:t>(1,646 )</w:t>
            </w:r>
          </w:p>
        </w:tc>
        <w:tc>
          <w:tcPr>
            <w:tcW w:w="1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Calibri" w:cs="Calibri" w:eastAsia="Calibri" w:hAnsi="Calibri"/>
                <w:sz w:val="12"/>
                <w:szCs w:val="12"/>
                <w:color w:val="auto"/>
              </w:rPr>
              <w:t>(1,646 )</w:t>
            </w:r>
          </w:p>
        </w:tc>
        <w:tc>
          <w:tcPr>
            <w:tcW w:w="0" w:type="dxa"/>
            <w:vAlign w:val="bottom"/>
          </w:tcPr>
          <w:p>
            <w:pPr>
              <w:spacing w:after="0"/>
              <w:rPr>
                <w:sz w:val="1"/>
                <w:szCs w:val="1"/>
                <w:color w:val="auto"/>
              </w:rPr>
            </w:pPr>
          </w:p>
        </w:tc>
      </w:tr>
      <w:tr>
        <w:trPr>
          <w:trHeight w:val="113"/>
        </w:trPr>
        <w:tc>
          <w:tcPr>
            <w:tcW w:w="3500" w:type="dxa"/>
            <w:vAlign w:val="bottom"/>
            <w:shd w:val="clear" w:color="auto" w:fill="CFF0FC"/>
          </w:tcPr>
          <w:p>
            <w:pPr>
              <w:ind w:left="20"/>
              <w:spacing w:after="0" w:line="113" w:lineRule="exact"/>
              <w:rPr>
                <w:sz w:val="20"/>
                <w:szCs w:val="20"/>
                <w:color w:val="auto"/>
              </w:rPr>
            </w:pPr>
            <w:r>
              <w:rPr>
                <w:rFonts w:ascii="Calibri" w:cs="Calibri" w:eastAsia="Calibri" w:hAnsi="Calibri"/>
                <w:sz w:val="12"/>
                <w:szCs w:val="12"/>
                <w:color w:val="auto"/>
              </w:rPr>
              <w:t>Balance as of December 31, 2024</w:t>
            </w:r>
          </w:p>
        </w:tc>
        <w:tc>
          <w:tcPr>
            <w:tcW w:w="100" w:type="dxa"/>
            <w:vAlign w:val="bottom"/>
            <w:tcBorders>
              <w:top w:val="single" w:sz="8" w:color="auto"/>
            </w:tcBorders>
            <w:vMerge w:val="restart"/>
            <w:shd w:val="clear" w:color="auto" w:fill="CFF0FC"/>
          </w:tcPr>
          <w:p>
            <w:pPr>
              <w:spacing w:after="0"/>
              <w:rPr>
                <w:sz w:val="20"/>
                <w:szCs w:val="20"/>
                <w:color w:val="auto"/>
              </w:rPr>
            </w:pPr>
            <w:r>
              <w:rPr>
                <w:rFonts w:ascii="Calibri" w:cs="Calibri" w:eastAsia="Calibri" w:hAnsi="Calibri"/>
                <w:sz w:val="12"/>
                <w:szCs w:val="12"/>
                <w:color w:val="auto"/>
              </w:rPr>
              <w:t>$</w:t>
            </w: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2"/>
                <w:szCs w:val="12"/>
                <w:color w:val="auto"/>
              </w:rPr>
              <w:t>—</w:t>
            </w:r>
          </w:p>
        </w:tc>
        <w:tc>
          <w:tcPr>
            <w:tcW w:w="140" w:type="dxa"/>
            <w:vAlign w:val="bottom"/>
            <w:tcBorders>
              <w:right w:val="single" w:sz="8" w:color="CFF0FC"/>
            </w:tcBorders>
            <w:vMerge w:val="restart"/>
            <w:shd w:val="clear" w:color="auto" w:fill="CFF0FC"/>
          </w:tcPr>
          <w:p>
            <w:pPr>
              <w:spacing w:after="0"/>
              <w:rPr>
                <w:sz w:val="9"/>
                <w:szCs w:val="9"/>
                <w:color w:val="auto"/>
              </w:rPr>
            </w:pPr>
          </w:p>
        </w:tc>
        <w:tc>
          <w:tcPr>
            <w:tcW w:w="80" w:type="dxa"/>
            <w:vAlign w:val="bottom"/>
            <w:vMerge w:val="restart"/>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2"/>
                <w:szCs w:val="12"/>
                <w:color w:val="auto"/>
              </w:rPr>
              <w:t>89,002,57</w:t>
            </w:r>
          </w:p>
        </w:tc>
        <w:tc>
          <w:tcPr>
            <w:tcW w:w="22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2"/>
                <w:szCs w:val="12"/>
                <w:color w:val="auto"/>
              </w:rPr>
              <w:t>14,986,74</w:t>
            </w: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3500" w:type="dxa"/>
            <w:vAlign w:val="bottom"/>
            <w:shd w:val="clear" w:color="auto" w:fill="CFF0FC"/>
          </w:tcPr>
          <w:p>
            <w:pPr>
              <w:spacing w:after="0"/>
              <w:rPr>
                <w:sz w:val="6"/>
                <w:szCs w:val="6"/>
                <w:color w:val="auto"/>
              </w:rPr>
            </w:pPr>
          </w:p>
        </w:tc>
        <w:tc>
          <w:tcPr>
            <w:tcW w:w="100" w:type="dxa"/>
            <w:vAlign w:val="bottom"/>
            <w:vMerge w:val="continue"/>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140" w:type="dxa"/>
            <w:vAlign w:val="bottom"/>
            <w:tcBorders>
              <w:right w:val="single" w:sz="8" w:color="CFF0FC"/>
            </w:tcBorders>
            <w:vMerge w:val="continue"/>
            <w:shd w:val="clear" w:color="auto" w:fill="CFF0FC"/>
          </w:tcPr>
          <w:p>
            <w:pPr>
              <w:spacing w:after="0"/>
              <w:rPr>
                <w:sz w:val="6"/>
                <w:szCs w:val="6"/>
                <w:color w:val="auto"/>
              </w:rPr>
            </w:pPr>
          </w:p>
        </w:tc>
        <w:tc>
          <w:tcPr>
            <w:tcW w:w="80" w:type="dxa"/>
            <w:vAlign w:val="bottom"/>
            <w:vMerge w:val="continue"/>
            <w:shd w:val="clear" w:color="auto" w:fill="CFF0FC"/>
          </w:tcPr>
          <w:p>
            <w:pPr>
              <w:spacing w:after="0"/>
              <w:rPr>
                <w:sz w:val="6"/>
                <w:szCs w:val="6"/>
                <w:color w:val="auto"/>
              </w:rPr>
            </w:pPr>
          </w:p>
        </w:tc>
        <w:tc>
          <w:tcPr>
            <w:tcW w:w="68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1</w:t>
            </w:r>
          </w:p>
        </w:tc>
        <w:tc>
          <w:tcPr>
            <w:tcW w:w="220" w:type="dxa"/>
            <w:vAlign w:val="bottom"/>
            <w:shd w:val="clear" w:color="auto" w:fill="CFF0FC"/>
          </w:tcPr>
          <w:p>
            <w:pPr>
              <w:spacing w:after="0"/>
              <w:rPr>
                <w:sz w:val="6"/>
                <w:szCs w:val="6"/>
                <w:color w:val="auto"/>
              </w:rPr>
            </w:pPr>
          </w:p>
        </w:tc>
        <w:tc>
          <w:tcPr>
            <w:tcW w:w="60" w:type="dxa"/>
            <w:vAlign w:val="bottom"/>
            <w:vMerge w:val="restart"/>
            <w:shd w:val="clear" w:color="auto" w:fill="CFF0FC"/>
          </w:tcPr>
          <w:p>
            <w:pPr>
              <w:jc w:val="right"/>
              <w:spacing w:after="0"/>
              <w:rPr>
                <w:sz w:val="20"/>
                <w:szCs w:val="20"/>
                <w:color w:val="auto"/>
              </w:rPr>
            </w:pPr>
            <w:r>
              <w:rPr>
                <w:rFonts w:ascii="Calibri" w:cs="Calibri" w:eastAsia="Calibri" w:hAnsi="Calibri"/>
                <w:sz w:val="11"/>
                <w:szCs w:val="11"/>
                <w:color w:val="auto"/>
                <w:w w:val="70"/>
              </w:rPr>
              <w:t>$</w:t>
            </w:r>
          </w:p>
        </w:tc>
        <w:tc>
          <w:tcPr>
            <w:tcW w:w="48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89</w:t>
            </w:r>
          </w:p>
        </w:tc>
        <w:tc>
          <w:tcPr>
            <w:tcW w:w="220" w:type="dxa"/>
            <w:vAlign w:val="bottom"/>
            <w:shd w:val="clear" w:color="auto" w:fill="CFF0FC"/>
          </w:tcPr>
          <w:p>
            <w:pPr>
              <w:spacing w:after="0"/>
              <w:rPr>
                <w:sz w:val="6"/>
                <w:szCs w:val="6"/>
                <w:color w:val="auto"/>
              </w:rPr>
            </w:pPr>
          </w:p>
        </w:tc>
        <w:tc>
          <w:tcPr>
            <w:tcW w:w="66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5</w:t>
            </w:r>
          </w:p>
        </w:tc>
        <w:tc>
          <w:tcPr>
            <w:tcW w:w="220" w:type="dxa"/>
            <w:vAlign w:val="bottom"/>
            <w:shd w:val="clear" w:color="auto" w:fill="CFF0FC"/>
          </w:tcPr>
          <w:p>
            <w:pPr>
              <w:spacing w:after="0"/>
              <w:rPr>
                <w:sz w:val="6"/>
                <w:szCs w:val="6"/>
                <w:color w:val="auto"/>
              </w:rPr>
            </w:pPr>
          </w:p>
        </w:tc>
        <w:tc>
          <w:tcPr>
            <w:tcW w:w="8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2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15</w:t>
            </w:r>
          </w:p>
        </w:tc>
        <w:tc>
          <w:tcPr>
            <w:tcW w:w="220" w:type="dxa"/>
            <w:vAlign w:val="bottom"/>
            <w:shd w:val="clear" w:color="auto" w:fill="CFF0FC"/>
          </w:tcPr>
          <w:p>
            <w:pPr>
              <w:spacing w:after="0"/>
              <w:rPr>
                <w:sz w:val="6"/>
                <w:szCs w:val="6"/>
                <w:color w:val="auto"/>
              </w:rPr>
            </w:pPr>
          </w:p>
        </w:tc>
        <w:tc>
          <w:tcPr>
            <w:tcW w:w="10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2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169,013</w:t>
            </w:r>
          </w:p>
        </w:tc>
        <w:tc>
          <w:tcPr>
            <w:tcW w:w="200" w:type="dxa"/>
            <w:vAlign w:val="bottom"/>
            <w:shd w:val="clear" w:color="auto" w:fill="CFF0FC"/>
          </w:tcPr>
          <w:p>
            <w:pPr>
              <w:spacing w:after="0"/>
              <w:rPr>
                <w:sz w:val="6"/>
                <w:szCs w:val="6"/>
                <w:color w:val="auto"/>
              </w:rPr>
            </w:pPr>
          </w:p>
        </w:tc>
        <w:tc>
          <w:tcPr>
            <w:tcW w:w="8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w w:val="97"/>
              </w:rPr>
              <w:t>$</w:t>
            </w:r>
          </w:p>
        </w:tc>
        <w:tc>
          <w:tcPr>
            <w:tcW w:w="54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375,119</w:t>
            </w:r>
          </w:p>
        </w:tc>
        <w:tc>
          <w:tcPr>
            <w:tcW w:w="220" w:type="dxa"/>
            <w:vAlign w:val="bottom"/>
            <w:shd w:val="clear" w:color="auto" w:fill="CFF0FC"/>
          </w:tcPr>
          <w:p>
            <w:pPr>
              <w:spacing w:after="0"/>
              <w:rPr>
                <w:sz w:val="6"/>
                <w:szCs w:val="6"/>
                <w:color w:val="auto"/>
              </w:rPr>
            </w:pPr>
          </w:p>
        </w:tc>
        <w:tc>
          <w:tcPr>
            <w:tcW w:w="140" w:type="dxa"/>
            <w:vAlign w:val="bottom"/>
            <w:vMerge w:val="restart"/>
            <w:shd w:val="clear" w:color="auto" w:fill="CFF0FC"/>
          </w:tcPr>
          <w:p>
            <w:pPr>
              <w:spacing w:after="0" w:line="138" w:lineRule="exact"/>
              <w:rPr>
                <w:sz w:val="20"/>
                <w:szCs w:val="20"/>
                <w:color w:val="auto"/>
              </w:rPr>
            </w:pPr>
            <w:r>
              <w:rPr>
                <w:rFonts w:ascii="Calibri" w:cs="Calibri" w:eastAsia="Calibri" w:hAnsi="Calibri"/>
                <w:sz w:val="12"/>
                <w:szCs w:val="12"/>
                <w:color w:val="auto"/>
              </w:rPr>
              <w:t>$</w:t>
            </w:r>
          </w:p>
        </w:tc>
        <w:tc>
          <w:tcPr>
            <w:tcW w:w="800" w:type="dxa"/>
            <w:vAlign w:val="bottom"/>
            <w:gridSpan w:val="2"/>
            <w:vMerge w:val="restart"/>
            <w:shd w:val="clear" w:color="auto" w:fill="CFF0FC"/>
          </w:tcPr>
          <w:p>
            <w:pPr>
              <w:jc w:val="right"/>
              <w:ind w:right="160"/>
              <w:spacing w:after="0" w:line="138" w:lineRule="exact"/>
              <w:rPr>
                <w:sz w:val="20"/>
                <w:szCs w:val="20"/>
                <w:color w:val="auto"/>
              </w:rPr>
            </w:pPr>
            <w:r>
              <w:rPr>
                <w:rFonts w:ascii="Calibri" w:cs="Calibri" w:eastAsia="Calibri" w:hAnsi="Calibri"/>
                <w:sz w:val="12"/>
                <w:szCs w:val="12"/>
                <w:color w:val="auto"/>
              </w:rPr>
              <w:t>(2,547 )</w:t>
            </w:r>
          </w:p>
        </w:tc>
        <w:tc>
          <w:tcPr>
            <w:tcW w:w="160" w:type="dxa"/>
            <w:vAlign w:val="bottom"/>
            <w:vMerge w:val="restart"/>
            <w:shd w:val="clear" w:color="auto" w:fill="CFF0FC"/>
          </w:tcPr>
          <w:p>
            <w:pPr>
              <w:jc w:val="right"/>
              <w:ind w:right="22"/>
              <w:spacing w:after="0" w:line="138" w:lineRule="exact"/>
              <w:rPr>
                <w:sz w:val="20"/>
                <w:szCs w:val="20"/>
                <w:color w:val="auto"/>
              </w:rPr>
            </w:pPr>
            <w:r>
              <w:rPr>
                <w:rFonts w:ascii="Calibri" w:cs="Calibri" w:eastAsia="Calibri" w:hAnsi="Calibri"/>
                <w:sz w:val="12"/>
                <w:szCs w:val="12"/>
                <w:color w:val="auto"/>
                <w:w w:val="97"/>
              </w:rPr>
              <w:t>$</w:t>
            </w:r>
          </w:p>
        </w:tc>
        <w:tc>
          <w:tcPr>
            <w:tcW w:w="600" w:type="dxa"/>
            <w:vAlign w:val="bottom"/>
            <w:vMerge w:val="restart"/>
            <w:shd w:val="clear" w:color="auto" w:fill="CFF0FC"/>
          </w:tcPr>
          <w:p>
            <w:pPr>
              <w:jc w:val="right"/>
              <w:spacing w:after="0" w:line="138" w:lineRule="exact"/>
              <w:rPr>
                <w:sz w:val="20"/>
                <w:szCs w:val="20"/>
                <w:color w:val="auto"/>
              </w:rPr>
            </w:pPr>
            <w:r>
              <w:rPr>
                <w:rFonts w:ascii="Calibri" w:cs="Calibri" w:eastAsia="Calibri" w:hAnsi="Calibri"/>
                <w:sz w:val="12"/>
                <w:szCs w:val="12"/>
                <w:color w:val="auto"/>
              </w:rPr>
              <w:t>541,689</w:t>
            </w: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5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vMerge w:val="continue"/>
            <w:shd w:val="clear" w:color="auto" w:fill="CFF0FC"/>
          </w:tcPr>
          <w:p>
            <w:pPr>
              <w:spacing w:after="0"/>
              <w:rPr>
                <w:sz w:val="8"/>
                <w:szCs w:val="8"/>
                <w:color w:val="auto"/>
              </w:rPr>
            </w:pPr>
          </w:p>
        </w:tc>
        <w:tc>
          <w:tcPr>
            <w:tcW w:w="48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vMerge w:val="continue"/>
            <w:shd w:val="clear" w:color="auto" w:fill="CFF0FC"/>
          </w:tcPr>
          <w:p>
            <w:pPr>
              <w:spacing w:after="0"/>
              <w:rPr>
                <w:sz w:val="8"/>
                <w:szCs w:val="8"/>
                <w:color w:val="auto"/>
              </w:rPr>
            </w:pPr>
          </w:p>
        </w:tc>
        <w:tc>
          <w:tcPr>
            <w:tcW w:w="52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52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vMerge w:val="continue"/>
            <w:shd w:val="clear" w:color="auto" w:fill="CFF0FC"/>
          </w:tcPr>
          <w:p>
            <w:pPr>
              <w:spacing w:after="0"/>
              <w:rPr>
                <w:sz w:val="8"/>
                <w:szCs w:val="8"/>
                <w:color w:val="auto"/>
              </w:rPr>
            </w:pPr>
          </w:p>
        </w:tc>
        <w:tc>
          <w:tcPr>
            <w:tcW w:w="54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vMerge w:val="continue"/>
            <w:shd w:val="clear" w:color="auto" w:fill="CFF0FC"/>
          </w:tcPr>
          <w:p>
            <w:pPr>
              <w:spacing w:after="0"/>
              <w:rPr>
                <w:sz w:val="8"/>
                <w:szCs w:val="8"/>
                <w:color w:val="auto"/>
              </w:rPr>
            </w:pPr>
          </w:p>
        </w:tc>
        <w:tc>
          <w:tcPr>
            <w:tcW w:w="800" w:type="dxa"/>
            <w:vAlign w:val="bottom"/>
            <w:gridSpan w:val="2"/>
            <w:vMerge w:val="continue"/>
            <w:shd w:val="clear" w:color="auto" w:fill="CFF0FC"/>
          </w:tcPr>
          <w:p>
            <w:pPr>
              <w:spacing w:after="0"/>
              <w:rPr>
                <w:sz w:val="8"/>
                <w:szCs w:val="8"/>
                <w:color w:val="auto"/>
              </w:rPr>
            </w:pPr>
          </w:p>
        </w:tc>
        <w:tc>
          <w:tcPr>
            <w:tcW w:w="160" w:type="dxa"/>
            <w:vAlign w:val="bottom"/>
            <w:vMerge w:val="continue"/>
            <w:shd w:val="clear" w:color="auto" w:fill="CFF0FC"/>
          </w:tcPr>
          <w:p>
            <w:pPr>
              <w:spacing w:after="0"/>
              <w:rPr>
                <w:sz w:val="8"/>
                <w:szCs w:val="8"/>
                <w:color w:val="auto"/>
              </w:rPr>
            </w:pPr>
          </w:p>
        </w:tc>
        <w:tc>
          <w:tcPr>
            <w:tcW w:w="6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-25400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-25400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Calibri" w:cs="Calibri" w:eastAsia="Calibri" w:hAnsi="Calibri"/>
          <w:sz w:val="18"/>
          <w:szCs w:val="18"/>
          <w:color w:val="00002D"/>
        </w:rPr>
        <w:t>The accompanying notes are an integral part of these consolidated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00002D"/>
        </w:rPr>
        <w:t>CarGurus, Inc.</w:t>
      </w:r>
    </w:p>
    <w:p>
      <w:pPr>
        <w:jc w:val="center"/>
        <w:spacing w:after="0" w:line="237" w:lineRule="auto"/>
        <w:rPr>
          <w:sz w:val="20"/>
          <w:szCs w:val="20"/>
          <w:color w:val="auto"/>
        </w:rPr>
      </w:pPr>
      <w:r>
        <w:rPr>
          <w:rFonts w:ascii="Calibri" w:cs="Calibri" w:eastAsia="Calibri" w:hAnsi="Calibri"/>
          <w:sz w:val="29"/>
          <w:szCs w:val="29"/>
          <w:b w:val="1"/>
          <w:bCs w:val="1"/>
          <w:color w:val="00002D"/>
        </w:rPr>
        <w:t>Consolidated Statements of Cash Flows</w:t>
      </w:r>
    </w:p>
    <w:p>
      <w:pPr>
        <w:jc w:val="center"/>
        <w:spacing w:after="0" w:line="238" w:lineRule="auto"/>
        <w:rPr>
          <w:sz w:val="20"/>
          <w:szCs w:val="20"/>
          <w:color w:val="auto"/>
        </w:rPr>
      </w:pPr>
      <w:r>
        <w:rPr>
          <w:rFonts w:ascii="Calibri" w:cs="Calibri" w:eastAsia="Calibri" w:hAnsi="Calibri"/>
          <w:sz w:val="29"/>
          <w:szCs w:val="29"/>
          <w:b w:val="1"/>
          <w:bCs w:val="1"/>
          <w:color w:val="00002D"/>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2"/>
                <w:szCs w:val="12"/>
                <w:b w:val="1"/>
                <w:bCs w:val="1"/>
                <w:color w:val="auto"/>
                <w:w w:val="99"/>
              </w:rPr>
              <w:t>Year Ended December 31,</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b w:val="1"/>
                <w:bCs w:val="1"/>
                <w:color w:val="auto"/>
              </w:rPr>
              <w:t>2024</w:t>
            </w: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2"/>
              <w:spacing w:after="0" w:line="135" w:lineRule="exact"/>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2"/>
              <w:spacing w:after="0" w:line="135"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20" w:type="dxa"/>
            <w:vAlign w:val="bottom"/>
            <w:shd w:val="clear" w:color="auto" w:fill="CFF0FC"/>
          </w:tcPr>
          <w:p>
            <w:pPr>
              <w:ind w:left="20"/>
              <w:spacing w:after="0" w:line="129" w:lineRule="exact"/>
              <w:rPr>
                <w:sz w:val="20"/>
                <w:szCs w:val="20"/>
                <w:color w:val="auto"/>
              </w:rPr>
            </w:pPr>
            <w:r>
              <w:rPr>
                <w:rFonts w:ascii="Calibri" w:cs="Calibri" w:eastAsia="Calibri" w:hAnsi="Calibri"/>
                <w:sz w:val="12"/>
                <w:szCs w:val="12"/>
                <w:b w:val="1"/>
                <w:bCs w:val="1"/>
                <w:color w:val="auto"/>
              </w:rPr>
              <w:t>Operatng Actvites</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Calibri" w:cs="Calibri" w:eastAsia="Calibri" w:hAnsi="Calibri"/>
                <w:sz w:val="12"/>
                <w:szCs w:val="12"/>
                <w:color w:val="auto"/>
              </w:rPr>
              <w:t>Consolidated net income</w:t>
            </w:r>
          </w:p>
        </w:tc>
        <w:tc>
          <w:tcPr>
            <w:tcW w:w="820" w:type="dxa"/>
            <w:vAlign w:val="bottom"/>
          </w:tcPr>
          <w:p>
            <w:pPr>
              <w:jc w:val="right"/>
              <w:ind w:right="682"/>
              <w:spacing w:after="0" w:line="135" w:lineRule="exact"/>
              <w:rPr>
                <w:sz w:val="20"/>
                <w:szCs w:val="20"/>
                <w:color w:val="auto"/>
              </w:rPr>
            </w:pPr>
            <w:r>
              <w:rPr>
                <w:rFonts w:ascii="Calibri" w:cs="Calibri" w:eastAsia="Calibri" w:hAnsi="Calibri"/>
                <w:sz w:val="12"/>
                <w:szCs w:val="12"/>
                <w:color w:val="auto"/>
                <w:w w:val="97"/>
              </w:rPr>
              <w:t>$</w:t>
            </w: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20,972</w:t>
            </w:r>
          </w:p>
        </w:tc>
        <w:tc>
          <w:tcPr>
            <w:tcW w:w="260" w:type="dxa"/>
            <w:vAlign w:val="bottom"/>
          </w:tcPr>
          <w:p>
            <w:pPr>
              <w:spacing w:after="0"/>
              <w:rPr>
                <w:sz w:val="11"/>
                <w:szCs w:val="11"/>
                <w:color w:val="auto"/>
              </w:rPr>
            </w:pPr>
          </w:p>
        </w:tc>
        <w:tc>
          <w:tcPr>
            <w:tcW w:w="32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w w:val="97"/>
              </w:rPr>
              <w:t>$</w:t>
            </w: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22,053</w:t>
            </w:r>
          </w:p>
        </w:tc>
        <w:tc>
          <w:tcPr>
            <w:tcW w:w="56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78,954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620" w:type="dxa"/>
            <w:vAlign w:val="bottom"/>
            <w:shd w:val="clear" w:color="auto" w:fill="CFF0FC"/>
          </w:tcPr>
          <w:p>
            <w:pPr>
              <w:ind w:left="120"/>
              <w:spacing w:after="0" w:line="120" w:lineRule="exact"/>
              <w:rPr>
                <w:sz w:val="20"/>
                <w:szCs w:val="20"/>
                <w:color w:val="auto"/>
              </w:rPr>
            </w:pPr>
            <w:r>
              <w:rPr>
                <w:rFonts w:ascii="Calibri" w:cs="Calibri" w:eastAsia="Calibri" w:hAnsi="Calibri"/>
                <w:sz w:val="12"/>
                <w:szCs w:val="12"/>
                <w:color w:val="auto"/>
              </w:rPr>
              <w:t>Adjustments to reconcile consolidated net income to net cash provided</w:t>
            </w:r>
          </w:p>
        </w:tc>
        <w:tc>
          <w:tcPr>
            <w:tcW w:w="8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20" w:type="dxa"/>
            <w:vAlign w:val="bottom"/>
            <w:shd w:val="clear" w:color="auto" w:fill="CFF0FC"/>
          </w:tcPr>
          <w:p>
            <w:pPr>
              <w:ind w:left="200"/>
              <w:spacing w:after="0" w:line="138" w:lineRule="exact"/>
              <w:rPr>
                <w:sz w:val="20"/>
                <w:szCs w:val="20"/>
                <w:color w:val="auto"/>
              </w:rPr>
            </w:pPr>
            <w:r>
              <w:rPr>
                <w:rFonts w:ascii="Calibri" w:cs="Calibri" w:eastAsia="Calibri" w:hAnsi="Calibri"/>
                <w:sz w:val="12"/>
                <w:szCs w:val="12"/>
                <w:color w:val="auto"/>
              </w:rPr>
              <w:t>by operatng actvites:</w:t>
            </w:r>
          </w:p>
        </w:tc>
        <w:tc>
          <w:tcPr>
            <w:tcW w:w="8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0"/>
              <w:spacing w:after="0" w:line="135" w:lineRule="exact"/>
              <w:rPr>
                <w:sz w:val="20"/>
                <w:szCs w:val="20"/>
                <w:color w:val="auto"/>
              </w:rPr>
            </w:pPr>
            <w:r>
              <w:rPr>
                <w:rFonts w:ascii="Calibri" w:cs="Calibri" w:eastAsia="Calibri" w:hAnsi="Calibri"/>
                <w:sz w:val="12"/>
                <w:szCs w:val="12"/>
                <w:color w:val="auto"/>
              </w:rPr>
              <w:t>Depreciaton and amortzaton</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25,360</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48,474</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45,334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Gain on sale of property and equipment</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66"/>
              <w:spacing w:after="0" w:line="135" w:lineRule="exact"/>
              <w:rPr>
                <w:sz w:val="20"/>
                <w:szCs w:val="20"/>
                <w:color w:val="auto"/>
              </w:rPr>
            </w:pPr>
            <w:r>
              <w:rPr>
                <w:rFonts w:ascii="Calibri" w:cs="Calibri" w:eastAsia="Calibri" w:hAnsi="Calibri"/>
                <w:sz w:val="12"/>
                <w:szCs w:val="12"/>
                <w:color w:val="auto"/>
              </w:rPr>
              <w:t>(460 )</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0"/>
              <w:spacing w:after="0" w:line="135" w:lineRule="exact"/>
              <w:rPr>
                <w:sz w:val="20"/>
                <w:szCs w:val="20"/>
                <w:color w:val="auto"/>
              </w:rPr>
            </w:pPr>
            <w:r>
              <w:rPr>
                <w:rFonts w:ascii="Calibri" w:cs="Calibri" w:eastAsia="Calibri" w:hAnsi="Calibri"/>
                <w:sz w:val="12"/>
                <w:szCs w:val="12"/>
                <w:color w:val="auto"/>
              </w:rPr>
              <w:t>Currency loss (gain) on foreign denominated transactons</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971</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166"/>
              <w:spacing w:after="0" w:line="135" w:lineRule="exact"/>
              <w:rPr>
                <w:sz w:val="20"/>
                <w:szCs w:val="20"/>
                <w:color w:val="auto"/>
              </w:rPr>
            </w:pPr>
            <w:r>
              <w:rPr>
                <w:rFonts w:ascii="Calibri" w:cs="Calibri" w:eastAsia="Calibri" w:hAnsi="Calibri"/>
                <w:sz w:val="12"/>
                <w:szCs w:val="12"/>
                <w:color w:val="auto"/>
              </w:rPr>
              <w:t>(283 )</w:t>
            </w: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155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Other non-cash (income) expense, net</w:t>
            </w:r>
          </w:p>
        </w:tc>
        <w:tc>
          <w:tcPr>
            <w:tcW w:w="8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2"/>
              <w:spacing w:after="0" w:line="135" w:lineRule="exact"/>
              <w:rPr>
                <w:sz w:val="20"/>
                <w:szCs w:val="20"/>
                <w:color w:val="auto"/>
              </w:rPr>
            </w:pPr>
            <w:r>
              <w:rPr>
                <w:rFonts w:ascii="Calibri" w:cs="Calibri" w:eastAsia="Calibri" w:hAnsi="Calibri"/>
                <w:sz w:val="12"/>
                <w:szCs w:val="12"/>
                <w:color w:val="auto"/>
              </w:rPr>
              <w:t>(816 )</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88</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0"/>
              <w:spacing w:after="0" w:line="135" w:lineRule="exact"/>
              <w:rPr>
                <w:sz w:val="20"/>
                <w:szCs w:val="20"/>
                <w:color w:val="auto"/>
              </w:rPr>
            </w:pPr>
            <w:r>
              <w:rPr>
                <w:rFonts w:ascii="Calibri" w:cs="Calibri" w:eastAsia="Calibri" w:hAnsi="Calibri"/>
                <w:sz w:val="12"/>
                <w:szCs w:val="12"/>
                <w:color w:val="auto"/>
              </w:rPr>
              <w:t>Deferred taxes</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(33,348</w:t>
            </w:r>
          </w:p>
        </w:tc>
        <w:tc>
          <w:tcPr>
            <w:tcW w:w="260" w:type="dxa"/>
            <w:vAlign w:val="bottom"/>
          </w:tcPr>
          <w:p>
            <w:pPr>
              <w:jc w:val="right"/>
              <w:ind w:right="142"/>
              <w:spacing w:after="0" w:line="135" w:lineRule="exact"/>
              <w:rPr>
                <w:sz w:val="20"/>
                <w:szCs w:val="20"/>
                <w:color w:val="auto"/>
              </w:rPr>
            </w:pPr>
            <w:r>
              <w:rPr>
                <w:rFonts w:ascii="Calibri" w:cs="Calibri" w:eastAsia="Calibri" w:hAnsi="Calibri"/>
                <w:sz w:val="12"/>
                <w:szCs w:val="12"/>
                <w:color w:val="auto"/>
              </w:rPr>
              <w:t>)</w:t>
            </w: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(37,864</w:t>
            </w:r>
          </w:p>
        </w:tc>
        <w:tc>
          <w:tcPr>
            <w:tcW w:w="260" w:type="dxa"/>
            <w:vAlign w:val="bottom"/>
          </w:tcPr>
          <w:p>
            <w:pPr>
              <w:jc w:val="right"/>
              <w:ind w:right="166"/>
              <w:spacing w:after="0"/>
              <w:rPr>
                <w:sz w:val="20"/>
                <w:szCs w:val="20"/>
                <w:color w:val="auto"/>
              </w:rPr>
            </w:pPr>
            <w:r>
              <w:rPr>
                <w:rFonts w:ascii="Calibri" w:cs="Calibri" w:eastAsia="Calibri" w:hAnsi="Calibri"/>
                <w:sz w:val="9"/>
                <w:szCs w:val="9"/>
                <w:color w:val="auto"/>
                <w:w w:val="71"/>
              </w:rPr>
              <w:t>)</w:t>
            </w: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(22,114</w:t>
            </w:r>
          </w:p>
        </w:tc>
        <w:tc>
          <w:tcPr>
            <w:tcW w:w="100" w:type="dxa"/>
            <w:vAlign w:val="bottom"/>
          </w:tcPr>
          <w:p>
            <w:pPr>
              <w:jc w:val="right"/>
              <w:ind w:right="13"/>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Provision for doubtul accounts</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2,051</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378</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1,769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0"/>
              <w:spacing w:after="0" w:line="135" w:lineRule="exact"/>
              <w:rPr>
                <w:sz w:val="20"/>
                <w:szCs w:val="20"/>
                <w:color w:val="auto"/>
              </w:rPr>
            </w:pPr>
            <w:r>
              <w:rPr>
                <w:rFonts w:ascii="Calibri" w:cs="Calibri" w:eastAsia="Calibri" w:hAnsi="Calibri"/>
                <w:sz w:val="12"/>
                <w:szCs w:val="12"/>
                <w:color w:val="auto"/>
              </w:rPr>
              <w:t>Stock-based compensaton expense</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62,272</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63,737</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54,777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Amortzaton of deferred fnancing costs</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515</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515</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0"/>
              <w:spacing w:after="0" w:line="135" w:lineRule="exact"/>
              <w:rPr>
                <w:sz w:val="20"/>
                <w:szCs w:val="20"/>
                <w:color w:val="auto"/>
              </w:rPr>
            </w:pPr>
            <w:r>
              <w:rPr>
                <w:rFonts w:ascii="Calibri" w:cs="Calibri" w:eastAsia="Calibri" w:hAnsi="Calibri"/>
                <w:sz w:val="12"/>
                <w:szCs w:val="12"/>
                <w:color w:val="auto"/>
              </w:rPr>
              <w:t>Amortzaton of deferred contract costs</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13,975</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11,817</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11,067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200"/>
              <w:spacing w:after="0" w:line="135" w:lineRule="exact"/>
              <w:rPr>
                <w:sz w:val="20"/>
                <w:szCs w:val="20"/>
                <w:color w:val="auto"/>
              </w:rPr>
            </w:pPr>
            <w:r>
              <w:rPr>
                <w:rFonts w:ascii="Calibri" w:cs="Calibri" w:eastAsia="Calibri" w:hAnsi="Calibri"/>
                <w:sz w:val="12"/>
                <w:szCs w:val="12"/>
                <w:color w:val="auto"/>
              </w:rPr>
              <w:t>Impairment</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144,431</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184</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165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0"/>
              <w:spacing w:after="0" w:line="135" w:lineRule="exact"/>
              <w:rPr>
                <w:sz w:val="20"/>
                <w:szCs w:val="20"/>
                <w:color w:val="auto"/>
              </w:rPr>
            </w:pPr>
            <w:r>
              <w:rPr>
                <w:rFonts w:ascii="Calibri" w:cs="Calibri" w:eastAsia="Calibri" w:hAnsi="Calibri"/>
                <w:sz w:val="12"/>
                <w:szCs w:val="12"/>
                <w:color w:val="auto"/>
              </w:rPr>
              <w:t>Changes in operatng assets and liabilites:</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300"/>
              <w:spacing w:after="0" w:line="135" w:lineRule="exact"/>
              <w:rPr>
                <w:sz w:val="20"/>
                <w:szCs w:val="20"/>
                <w:color w:val="auto"/>
              </w:rPr>
            </w:pPr>
            <w:r>
              <w:rPr>
                <w:rFonts w:ascii="Calibri" w:cs="Calibri" w:eastAsia="Calibri" w:hAnsi="Calibri"/>
                <w:sz w:val="12"/>
                <w:szCs w:val="12"/>
                <w:color w:val="auto"/>
              </w:rPr>
              <w:t>Accounts receivable</w:t>
            </w:r>
          </w:p>
        </w:tc>
        <w:tc>
          <w:tcPr>
            <w:tcW w:w="8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2"/>
              <w:spacing w:after="0" w:line="135" w:lineRule="exact"/>
              <w:rPr>
                <w:sz w:val="20"/>
                <w:szCs w:val="20"/>
                <w:color w:val="auto"/>
              </w:rPr>
            </w:pPr>
            <w:r>
              <w:rPr>
                <w:rFonts w:ascii="Calibri" w:cs="Calibri" w:eastAsia="Calibri" w:hAnsi="Calibri"/>
                <w:sz w:val="12"/>
                <w:szCs w:val="12"/>
                <w:color w:val="auto"/>
              </w:rPr>
              <w:t>(4,866 )</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10,975</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152,954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300"/>
              <w:spacing w:after="0" w:line="135" w:lineRule="exact"/>
              <w:rPr>
                <w:sz w:val="20"/>
                <w:szCs w:val="20"/>
                <w:color w:val="auto"/>
              </w:rPr>
            </w:pPr>
            <w:r>
              <w:rPr>
                <w:rFonts w:ascii="Calibri" w:cs="Calibri" w:eastAsia="Calibri" w:hAnsi="Calibri"/>
                <w:sz w:val="12"/>
                <w:szCs w:val="12"/>
                <w:color w:val="auto"/>
              </w:rPr>
              <w:t>Inventory</w:t>
            </w:r>
          </w:p>
        </w:tc>
        <w:tc>
          <w:tcPr>
            <w:tcW w:w="820" w:type="dxa"/>
            <w:vAlign w:val="bottom"/>
          </w:tcPr>
          <w:p>
            <w:pPr>
              <w:spacing w:after="0"/>
              <w:rPr>
                <w:sz w:val="11"/>
                <w:szCs w:val="11"/>
                <w:color w:val="auto"/>
              </w:rPr>
            </w:pPr>
          </w:p>
        </w:tc>
        <w:tc>
          <w:tcPr>
            <w:tcW w:w="760" w:type="dxa"/>
            <w:vAlign w:val="bottom"/>
            <w:gridSpan w:val="2"/>
          </w:tcPr>
          <w:p>
            <w:pPr>
              <w:jc w:val="right"/>
              <w:ind w:right="142"/>
              <w:spacing w:after="0" w:line="135" w:lineRule="exact"/>
              <w:rPr>
                <w:sz w:val="20"/>
                <w:szCs w:val="20"/>
                <w:color w:val="auto"/>
              </w:rPr>
            </w:pPr>
            <w:r>
              <w:rPr>
                <w:rFonts w:ascii="Calibri" w:cs="Calibri" w:eastAsia="Calibri" w:hAnsi="Calibri"/>
                <w:sz w:val="12"/>
                <w:szCs w:val="12"/>
                <w:color w:val="auto"/>
              </w:rPr>
              <w:t>(112 )</w:t>
            </w: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1,958</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14,374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300"/>
              <w:spacing w:after="0" w:line="135" w:lineRule="exact"/>
              <w:rPr>
                <w:sz w:val="20"/>
                <w:szCs w:val="20"/>
                <w:color w:val="auto"/>
              </w:rPr>
            </w:pPr>
            <w:r>
              <w:rPr>
                <w:rFonts w:ascii="Calibri" w:cs="Calibri" w:eastAsia="Calibri" w:hAnsi="Calibri"/>
                <w:sz w:val="12"/>
                <w:szCs w:val="12"/>
                <w:color w:val="auto"/>
              </w:rPr>
              <w:t>Prepaid expenses, prepaid income taxes, and other assets</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(1,627</w:t>
            </w:r>
          </w:p>
        </w:tc>
        <w:tc>
          <w:tcPr>
            <w:tcW w:w="260" w:type="dxa"/>
            <w:vAlign w:val="bottom"/>
            <w:shd w:val="clear" w:color="auto" w:fill="CFF0FC"/>
          </w:tcPr>
          <w:p>
            <w:pPr>
              <w:jc w:val="right"/>
              <w:ind w:right="142"/>
              <w:spacing w:after="0" w:line="135" w:lineRule="exact"/>
              <w:rPr>
                <w:sz w:val="20"/>
                <w:szCs w:val="20"/>
                <w:color w:val="auto"/>
              </w:rPr>
            </w:pPr>
            <w:r>
              <w:rPr>
                <w:rFonts w:ascii="Calibri" w:cs="Calibri" w:eastAsia="Calibri" w:hAnsi="Calibri"/>
                <w:sz w:val="12"/>
                <w:szCs w:val="12"/>
                <w:color w:val="auto"/>
              </w:rPr>
              <w:t>)</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(1,498</w:t>
            </w:r>
          </w:p>
        </w:tc>
        <w:tc>
          <w:tcPr>
            <w:tcW w:w="260" w:type="dxa"/>
            <w:vAlign w:val="bottom"/>
            <w:shd w:val="clear" w:color="auto" w:fill="CFF0FC"/>
          </w:tcPr>
          <w:p>
            <w:pPr>
              <w:jc w:val="right"/>
              <w:ind w:right="166"/>
              <w:spacing w:after="0"/>
              <w:rPr>
                <w:sz w:val="20"/>
                <w:szCs w:val="20"/>
                <w:color w:val="auto"/>
              </w:rPr>
            </w:pPr>
            <w:r>
              <w:rPr>
                <w:rFonts w:ascii="Calibri" w:cs="Calibri" w:eastAsia="Calibri" w:hAnsi="Calibri"/>
                <w:sz w:val="9"/>
                <w:szCs w:val="9"/>
                <w:color w:val="auto"/>
                <w:w w:val="71"/>
              </w:rPr>
              <w:t>)</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(6,573</w:t>
            </w:r>
          </w:p>
        </w:tc>
        <w:tc>
          <w:tcPr>
            <w:tcW w:w="100" w:type="dxa"/>
            <w:vAlign w:val="bottom"/>
            <w:shd w:val="clear" w:color="auto" w:fill="CFF0FC"/>
          </w:tcPr>
          <w:p>
            <w:pPr>
              <w:jc w:val="right"/>
              <w:ind w:right="13"/>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35"/>
        </w:trPr>
        <w:tc>
          <w:tcPr>
            <w:tcW w:w="6620" w:type="dxa"/>
            <w:vAlign w:val="bottom"/>
          </w:tcPr>
          <w:p>
            <w:pPr>
              <w:ind w:left="300"/>
              <w:spacing w:after="0" w:line="135" w:lineRule="exact"/>
              <w:rPr>
                <w:sz w:val="20"/>
                <w:szCs w:val="20"/>
                <w:color w:val="auto"/>
              </w:rPr>
            </w:pPr>
            <w:r>
              <w:rPr>
                <w:rFonts w:ascii="Calibri" w:cs="Calibri" w:eastAsia="Calibri" w:hAnsi="Calibri"/>
                <w:sz w:val="12"/>
                <w:szCs w:val="12"/>
                <w:color w:val="auto"/>
              </w:rPr>
              <w:t>Deferred contract costs</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(15,701</w:t>
            </w:r>
          </w:p>
        </w:tc>
        <w:tc>
          <w:tcPr>
            <w:tcW w:w="260" w:type="dxa"/>
            <w:vAlign w:val="bottom"/>
          </w:tcPr>
          <w:p>
            <w:pPr>
              <w:jc w:val="right"/>
              <w:ind w:right="142"/>
              <w:spacing w:after="0" w:line="135" w:lineRule="exact"/>
              <w:rPr>
                <w:sz w:val="20"/>
                <w:szCs w:val="20"/>
                <w:color w:val="auto"/>
              </w:rPr>
            </w:pPr>
            <w:r>
              <w:rPr>
                <w:rFonts w:ascii="Calibri" w:cs="Calibri" w:eastAsia="Calibri" w:hAnsi="Calibri"/>
                <w:sz w:val="12"/>
                <w:szCs w:val="12"/>
                <w:color w:val="auto"/>
              </w:rPr>
              <w:t>)</w:t>
            </w: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(18,440</w:t>
            </w:r>
          </w:p>
        </w:tc>
        <w:tc>
          <w:tcPr>
            <w:tcW w:w="260" w:type="dxa"/>
            <w:vAlign w:val="bottom"/>
          </w:tcPr>
          <w:p>
            <w:pPr>
              <w:jc w:val="right"/>
              <w:ind w:right="166"/>
              <w:spacing w:after="0"/>
              <w:rPr>
                <w:sz w:val="20"/>
                <w:szCs w:val="20"/>
                <w:color w:val="auto"/>
              </w:rPr>
            </w:pPr>
            <w:r>
              <w:rPr>
                <w:rFonts w:ascii="Calibri" w:cs="Calibri" w:eastAsia="Calibri" w:hAnsi="Calibri"/>
                <w:sz w:val="9"/>
                <w:szCs w:val="9"/>
                <w:color w:val="auto"/>
                <w:w w:val="71"/>
              </w:rPr>
              <w:t>)</w:t>
            </w: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(13,697</w:t>
            </w:r>
          </w:p>
        </w:tc>
        <w:tc>
          <w:tcPr>
            <w:tcW w:w="100" w:type="dxa"/>
            <w:vAlign w:val="bottom"/>
          </w:tcPr>
          <w:p>
            <w:pPr>
              <w:jc w:val="right"/>
              <w:ind w:right="13"/>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300"/>
              <w:spacing w:after="0" w:line="135" w:lineRule="exact"/>
              <w:rPr>
                <w:sz w:val="20"/>
                <w:szCs w:val="20"/>
                <w:color w:val="auto"/>
              </w:rPr>
            </w:pPr>
            <w:r>
              <w:rPr>
                <w:rFonts w:ascii="Calibri" w:cs="Calibri" w:eastAsia="Calibri" w:hAnsi="Calibri"/>
                <w:sz w:val="12"/>
                <w:szCs w:val="12"/>
                <w:color w:val="auto"/>
              </w:rPr>
              <w:t>Accounts payable</w:t>
            </w:r>
          </w:p>
        </w:tc>
        <w:tc>
          <w:tcPr>
            <w:tcW w:w="8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2"/>
              <w:spacing w:after="0" w:line="135" w:lineRule="exact"/>
              <w:rPr>
                <w:sz w:val="20"/>
                <w:szCs w:val="20"/>
                <w:color w:val="auto"/>
              </w:rPr>
            </w:pPr>
            <w:r>
              <w:rPr>
                <w:rFonts w:ascii="Calibri" w:cs="Calibri" w:eastAsia="Calibri" w:hAnsi="Calibri"/>
                <w:sz w:val="12"/>
                <w:szCs w:val="12"/>
                <w:color w:val="auto"/>
              </w:rPr>
              <w:t>(4,663 )</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2,080</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3"/>
              <w:spacing w:after="0" w:line="135" w:lineRule="exact"/>
              <w:rPr>
                <w:sz w:val="20"/>
                <w:szCs w:val="20"/>
                <w:color w:val="auto"/>
              </w:rPr>
            </w:pPr>
            <w:r>
              <w:rPr>
                <w:rFonts w:ascii="Calibri" w:cs="Calibri" w:eastAsia="Calibri" w:hAnsi="Calibri"/>
                <w:sz w:val="12"/>
                <w:szCs w:val="12"/>
                <w:color w:val="auto"/>
              </w:rPr>
              <w:t>(35,047 )</w:t>
            </w:r>
          </w:p>
        </w:tc>
        <w:tc>
          <w:tcPr>
            <w:tcW w:w="0" w:type="dxa"/>
            <w:vAlign w:val="bottom"/>
          </w:tcPr>
          <w:p>
            <w:pPr>
              <w:spacing w:after="0"/>
              <w:rPr>
                <w:sz w:val="1"/>
                <w:szCs w:val="1"/>
                <w:color w:val="auto"/>
              </w:rPr>
            </w:pPr>
          </w:p>
        </w:tc>
      </w:tr>
      <w:tr>
        <w:trPr>
          <w:trHeight w:val="135"/>
        </w:trPr>
        <w:tc>
          <w:tcPr>
            <w:tcW w:w="6620" w:type="dxa"/>
            <w:vAlign w:val="bottom"/>
          </w:tcPr>
          <w:p>
            <w:pPr>
              <w:ind w:left="300"/>
              <w:spacing w:after="0" w:line="135" w:lineRule="exact"/>
              <w:rPr>
                <w:sz w:val="20"/>
                <w:szCs w:val="20"/>
                <w:color w:val="auto"/>
              </w:rPr>
            </w:pPr>
            <w:r>
              <w:rPr>
                <w:rFonts w:ascii="Calibri" w:cs="Calibri" w:eastAsia="Calibri" w:hAnsi="Calibri"/>
                <w:sz w:val="12"/>
                <w:szCs w:val="12"/>
                <w:color w:val="auto"/>
              </w:rPr>
              <w:t>Accrued expenses, accrued income taxes, and other liabilites</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3,897</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(3,419</w:t>
            </w:r>
          </w:p>
        </w:tc>
        <w:tc>
          <w:tcPr>
            <w:tcW w:w="260" w:type="dxa"/>
            <w:vAlign w:val="bottom"/>
          </w:tcPr>
          <w:p>
            <w:pPr>
              <w:jc w:val="right"/>
              <w:ind w:right="166"/>
              <w:spacing w:after="0"/>
              <w:rPr>
                <w:sz w:val="20"/>
                <w:szCs w:val="20"/>
                <w:color w:val="auto"/>
              </w:rPr>
            </w:pPr>
            <w:r>
              <w:rPr>
                <w:rFonts w:ascii="Calibri" w:cs="Calibri" w:eastAsia="Calibri" w:hAnsi="Calibri"/>
                <w:sz w:val="9"/>
                <w:szCs w:val="9"/>
                <w:color w:val="auto"/>
                <w:w w:val="71"/>
              </w:rPr>
              <w:t>)</w:t>
            </w: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(25,077</w:t>
            </w:r>
          </w:p>
        </w:tc>
        <w:tc>
          <w:tcPr>
            <w:tcW w:w="100" w:type="dxa"/>
            <w:vAlign w:val="bottom"/>
          </w:tcPr>
          <w:p>
            <w:pPr>
              <w:jc w:val="right"/>
              <w:ind w:right="13"/>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300"/>
              <w:spacing w:after="0" w:line="135" w:lineRule="exact"/>
              <w:rPr>
                <w:sz w:val="20"/>
                <w:szCs w:val="20"/>
                <w:color w:val="auto"/>
              </w:rPr>
            </w:pPr>
            <w:r>
              <w:rPr>
                <w:rFonts w:ascii="Calibri" w:cs="Calibri" w:eastAsia="Calibri" w:hAnsi="Calibri"/>
                <w:sz w:val="12"/>
                <w:szCs w:val="12"/>
                <w:color w:val="auto"/>
              </w:rPr>
              <w:t>Deferred revenue</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362</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9,067</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3"/>
              <w:spacing w:after="0" w:line="135" w:lineRule="exact"/>
              <w:rPr>
                <w:sz w:val="20"/>
                <w:szCs w:val="20"/>
                <w:color w:val="auto"/>
              </w:rPr>
            </w:pPr>
            <w:r>
              <w:rPr>
                <w:rFonts w:ascii="Calibri" w:cs="Calibri" w:eastAsia="Calibri" w:hAnsi="Calibri"/>
                <w:sz w:val="12"/>
                <w:szCs w:val="12"/>
                <w:color w:val="auto"/>
              </w:rPr>
              <w:t>(525 )</w:t>
            </w:r>
          </w:p>
        </w:tc>
        <w:tc>
          <w:tcPr>
            <w:tcW w:w="0" w:type="dxa"/>
            <w:vAlign w:val="bottom"/>
          </w:tcPr>
          <w:p>
            <w:pPr>
              <w:spacing w:after="0"/>
              <w:rPr>
                <w:sz w:val="1"/>
                <w:szCs w:val="1"/>
                <w:color w:val="auto"/>
              </w:rPr>
            </w:pPr>
          </w:p>
        </w:tc>
      </w:tr>
      <w:tr>
        <w:trPr>
          <w:trHeight w:val="135"/>
        </w:trPr>
        <w:tc>
          <w:tcPr>
            <w:tcW w:w="6620" w:type="dxa"/>
            <w:vAlign w:val="bottom"/>
          </w:tcPr>
          <w:p>
            <w:pPr>
              <w:ind w:left="300"/>
              <w:spacing w:after="0" w:line="135" w:lineRule="exact"/>
              <w:rPr>
                <w:sz w:val="20"/>
                <w:szCs w:val="20"/>
                <w:color w:val="auto"/>
              </w:rPr>
            </w:pPr>
            <w:r>
              <w:rPr>
                <w:rFonts w:ascii="Calibri" w:cs="Calibri" w:eastAsia="Calibri" w:hAnsi="Calibri"/>
                <w:sz w:val="12"/>
                <w:szCs w:val="12"/>
                <w:color w:val="auto"/>
              </w:rPr>
              <w:t>Lease obligatons</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41,821</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15,165</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13"/>
              <w:spacing w:after="0" w:line="135" w:lineRule="exact"/>
              <w:rPr>
                <w:sz w:val="20"/>
                <w:szCs w:val="20"/>
                <w:color w:val="auto"/>
              </w:rPr>
            </w:pPr>
            <w:r>
              <w:rPr>
                <w:rFonts w:ascii="Calibri" w:cs="Calibri" w:eastAsia="Calibri" w:hAnsi="Calibri"/>
                <w:sz w:val="12"/>
                <w:szCs w:val="12"/>
                <w:color w:val="auto"/>
              </w:rPr>
              <w:t>(546 )</w:t>
            </w:r>
          </w:p>
        </w:tc>
        <w:tc>
          <w:tcPr>
            <w:tcW w:w="0" w:type="dxa"/>
            <w:vAlign w:val="bottom"/>
          </w:tcPr>
          <w:p>
            <w:pPr>
              <w:spacing w:after="0"/>
              <w:rPr>
                <w:sz w:val="1"/>
                <w:szCs w:val="1"/>
                <w:color w:val="auto"/>
              </w:rPr>
            </w:pPr>
          </w:p>
        </w:tc>
      </w:tr>
      <w:tr>
        <w:trPr>
          <w:trHeight w:val="128"/>
        </w:trPr>
        <w:tc>
          <w:tcPr>
            <w:tcW w:w="6620" w:type="dxa"/>
            <w:vAlign w:val="bottom"/>
            <w:tcBorders>
              <w:bottom w:val="single" w:sz="8" w:color="CFF0FC"/>
            </w:tcBorders>
            <w:shd w:val="clear" w:color="auto" w:fill="CFF0FC"/>
          </w:tcPr>
          <w:p>
            <w:pPr>
              <w:ind w:left="20"/>
              <w:spacing w:after="0" w:line="129" w:lineRule="exact"/>
              <w:rPr>
                <w:sz w:val="20"/>
                <w:szCs w:val="20"/>
                <w:color w:val="auto"/>
              </w:rPr>
            </w:pPr>
            <w:r>
              <w:rPr>
                <w:rFonts w:ascii="Calibri" w:cs="Calibri" w:eastAsia="Calibri" w:hAnsi="Calibri"/>
                <w:sz w:val="12"/>
                <w:szCs w:val="12"/>
                <w:color w:val="auto"/>
              </w:rPr>
              <w:t>Net cash provided by operatng actvites</w:t>
            </w:r>
          </w:p>
        </w:tc>
        <w:tc>
          <w:tcPr>
            <w:tcW w:w="820" w:type="dxa"/>
            <w:vAlign w:val="bottom"/>
            <w:tcBorders>
              <w:top w:val="single" w:sz="8" w:color="auto"/>
              <w:bottom w:val="single" w:sz="8" w:color="auto"/>
            </w:tcBorders>
            <w:shd w:val="clear" w:color="auto" w:fill="CFF0FC"/>
          </w:tcPr>
          <w:p>
            <w:pPr>
              <w:spacing w:after="0"/>
              <w:rPr>
                <w:sz w:val="11"/>
                <w:szCs w:val="11"/>
                <w:color w:val="auto"/>
              </w:rPr>
            </w:pPr>
          </w:p>
        </w:tc>
        <w:tc>
          <w:tcPr>
            <w:tcW w:w="5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Calibri" w:cs="Calibri" w:eastAsia="Calibri" w:hAnsi="Calibri"/>
                <w:sz w:val="12"/>
                <w:szCs w:val="12"/>
                <w:color w:val="auto"/>
              </w:rPr>
              <w:t>255,494</w:t>
            </w:r>
          </w:p>
        </w:tc>
        <w:tc>
          <w:tcPr>
            <w:tcW w:w="26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Calibri" w:cs="Calibri" w:eastAsia="Calibri" w:hAnsi="Calibri"/>
                <w:sz w:val="12"/>
                <w:szCs w:val="12"/>
                <w:color w:val="auto"/>
              </w:rPr>
              <w:t>124,527</w:t>
            </w:r>
          </w:p>
        </w:tc>
        <w:tc>
          <w:tcPr>
            <w:tcW w:w="26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Calibri" w:cs="Calibri" w:eastAsia="Calibri" w:hAnsi="Calibri"/>
                <w:sz w:val="12"/>
                <w:szCs w:val="12"/>
                <w:color w:val="auto"/>
              </w:rPr>
              <w:t>256,106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20" w:type="dxa"/>
            <w:vAlign w:val="bottom"/>
          </w:tcPr>
          <w:p>
            <w:pPr>
              <w:ind w:left="20"/>
              <w:spacing w:after="0" w:line="129" w:lineRule="exact"/>
              <w:rPr>
                <w:sz w:val="20"/>
                <w:szCs w:val="20"/>
                <w:color w:val="auto"/>
              </w:rPr>
            </w:pPr>
            <w:r>
              <w:rPr>
                <w:rFonts w:ascii="Calibri" w:cs="Calibri" w:eastAsia="Calibri" w:hAnsi="Calibri"/>
                <w:sz w:val="12"/>
                <w:szCs w:val="12"/>
                <w:b w:val="1"/>
                <w:bCs w:val="1"/>
                <w:color w:val="auto"/>
              </w:rPr>
              <w:t>Investng Actvites</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120"/>
              <w:spacing w:after="0" w:line="135" w:lineRule="exact"/>
              <w:rPr>
                <w:sz w:val="20"/>
                <w:szCs w:val="20"/>
                <w:color w:val="auto"/>
              </w:rPr>
            </w:pPr>
            <w:r>
              <w:rPr>
                <w:rFonts w:ascii="Calibri" w:cs="Calibri" w:eastAsia="Calibri" w:hAnsi="Calibri"/>
                <w:sz w:val="12"/>
                <w:szCs w:val="12"/>
                <w:color w:val="auto"/>
              </w:rPr>
              <w:t>Purchases of property and equipment</w:t>
            </w:r>
          </w:p>
        </w:tc>
        <w:tc>
          <w:tcPr>
            <w:tcW w:w="8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2"/>
              <w:spacing w:after="0" w:line="135" w:lineRule="exact"/>
              <w:rPr>
                <w:sz w:val="20"/>
                <w:szCs w:val="20"/>
                <w:color w:val="auto"/>
              </w:rPr>
            </w:pPr>
            <w:r>
              <w:rPr>
                <w:rFonts w:ascii="Calibri" w:cs="Calibri" w:eastAsia="Calibri" w:hAnsi="Calibri"/>
                <w:sz w:val="12"/>
                <w:szCs w:val="12"/>
                <w:color w:val="auto"/>
              </w:rPr>
              <w:t>(75,173 )</w:t>
            </w:r>
          </w:p>
        </w:tc>
        <w:tc>
          <w:tcPr>
            <w:tcW w:w="32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66"/>
              <w:spacing w:after="0" w:line="135" w:lineRule="exact"/>
              <w:rPr>
                <w:sz w:val="20"/>
                <w:szCs w:val="20"/>
                <w:color w:val="auto"/>
              </w:rPr>
            </w:pPr>
            <w:r>
              <w:rPr>
                <w:rFonts w:ascii="Calibri" w:cs="Calibri" w:eastAsia="Calibri" w:hAnsi="Calibri"/>
                <w:sz w:val="12"/>
                <w:szCs w:val="12"/>
                <w:color w:val="auto"/>
              </w:rPr>
              <w:t>(24,563 )</w:t>
            </w: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3"/>
              <w:spacing w:after="0" w:line="135" w:lineRule="exact"/>
              <w:rPr>
                <w:sz w:val="20"/>
                <w:szCs w:val="20"/>
                <w:color w:val="auto"/>
              </w:rPr>
            </w:pPr>
            <w:r>
              <w:rPr>
                <w:rFonts w:ascii="Calibri" w:cs="Calibri" w:eastAsia="Calibri" w:hAnsi="Calibri"/>
                <w:sz w:val="12"/>
                <w:szCs w:val="12"/>
                <w:color w:val="auto"/>
              </w:rPr>
              <w:t>(5,924 )</w:t>
            </w: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Calibri" w:cs="Calibri" w:eastAsia="Calibri" w:hAnsi="Calibri"/>
                <w:sz w:val="12"/>
                <w:szCs w:val="12"/>
                <w:color w:val="auto"/>
              </w:rPr>
              <w:t>Proceeds from sale of property and equipment</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460</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120"/>
              <w:spacing w:after="0" w:line="135" w:lineRule="exact"/>
              <w:rPr>
                <w:sz w:val="20"/>
                <w:szCs w:val="20"/>
                <w:color w:val="auto"/>
              </w:rPr>
            </w:pPr>
            <w:r>
              <w:rPr>
                <w:rFonts w:ascii="Calibri" w:cs="Calibri" w:eastAsia="Calibri" w:hAnsi="Calibri"/>
                <w:sz w:val="12"/>
                <w:szCs w:val="12"/>
                <w:color w:val="auto"/>
              </w:rPr>
              <w:t>Capitalizaton of website development costs</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(18,776</w:t>
            </w:r>
          </w:p>
        </w:tc>
        <w:tc>
          <w:tcPr>
            <w:tcW w:w="260" w:type="dxa"/>
            <w:vAlign w:val="bottom"/>
            <w:shd w:val="clear" w:color="auto" w:fill="CFF0FC"/>
          </w:tcPr>
          <w:p>
            <w:pPr>
              <w:jc w:val="right"/>
              <w:ind w:right="142"/>
              <w:spacing w:after="0" w:line="135" w:lineRule="exact"/>
              <w:rPr>
                <w:sz w:val="20"/>
                <w:szCs w:val="20"/>
                <w:color w:val="auto"/>
              </w:rPr>
            </w:pPr>
            <w:r>
              <w:rPr>
                <w:rFonts w:ascii="Calibri" w:cs="Calibri" w:eastAsia="Calibri" w:hAnsi="Calibri"/>
                <w:sz w:val="12"/>
                <w:szCs w:val="12"/>
                <w:color w:val="auto"/>
              </w:rPr>
              <w:t>)</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(16,648</w:t>
            </w:r>
          </w:p>
        </w:tc>
        <w:tc>
          <w:tcPr>
            <w:tcW w:w="260" w:type="dxa"/>
            <w:vAlign w:val="bottom"/>
            <w:shd w:val="clear" w:color="auto" w:fill="CFF0FC"/>
          </w:tcPr>
          <w:p>
            <w:pPr>
              <w:jc w:val="right"/>
              <w:ind w:right="166"/>
              <w:spacing w:after="0"/>
              <w:rPr>
                <w:sz w:val="20"/>
                <w:szCs w:val="20"/>
                <w:color w:val="auto"/>
              </w:rPr>
            </w:pPr>
            <w:r>
              <w:rPr>
                <w:rFonts w:ascii="Calibri" w:cs="Calibri" w:eastAsia="Calibri" w:hAnsi="Calibri"/>
                <w:sz w:val="9"/>
                <w:szCs w:val="9"/>
                <w:color w:val="auto"/>
                <w:w w:val="71"/>
              </w:rPr>
              <w:t>)</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(11,346</w:t>
            </w:r>
          </w:p>
        </w:tc>
        <w:tc>
          <w:tcPr>
            <w:tcW w:w="100" w:type="dxa"/>
            <w:vAlign w:val="bottom"/>
            <w:shd w:val="clear" w:color="auto" w:fill="CFF0FC"/>
          </w:tcPr>
          <w:p>
            <w:pPr>
              <w:jc w:val="right"/>
              <w:ind w:right="13"/>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Calibri" w:cs="Calibri" w:eastAsia="Calibri" w:hAnsi="Calibri"/>
                <w:sz w:val="12"/>
                <w:szCs w:val="12"/>
                <w:color w:val="auto"/>
              </w:rPr>
              <w:t>Purchases of short-term investments</w:t>
            </w:r>
          </w:p>
        </w:tc>
        <w:tc>
          <w:tcPr>
            <w:tcW w:w="820" w:type="dxa"/>
            <w:vAlign w:val="bottom"/>
          </w:tcPr>
          <w:p>
            <w:pPr>
              <w:spacing w:after="0"/>
              <w:rPr>
                <w:sz w:val="11"/>
                <w:szCs w:val="11"/>
                <w:color w:val="auto"/>
              </w:rPr>
            </w:pPr>
          </w:p>
        </w:tc>
        <w:tc>
          <w:tcPr>
            <w:tcW w:w="760" w:type="dxa"/>
            <w:vAlign w:val="bottom"/>
            <w:gridSpan w:val="2"/>
          </w:tcPr>
          <w:p>
            <w:pPr>
              <w:jc w:val="right"/>
              <w:ind w:right="142"/>
              <w:spacing w:after="0" w:line="135" w:lineRule="exact"/>
              <w:rPr>
                <w:sz w:val="20"/>
                <w:szCs w:val="20"/>
                <w:color w:val="auto"/>
              </w:rPr>
            </w:pPr>
            <w:r>
              <w:rPr>
                <w:rFonts w:ascii="Calibri" w:cs="Calibri" w:eastAsia="Calibri" w:hAnsi="Calibri"/>
                <w:sz w:val="12"/>
                <w:szCs w:val="12"/>
                <w:color w:val="auto"/>
              </w:rPr>
              <w:t>(494 )</w:t>
            </w:r>
          </w:p>
        </w:tc>
        <w:tc>
          <w:tcPr>
            <w:tcW w:w="320" w:type="dxa"/>
            <w:vAlign w:val="bottom"/>
          </w:tcPr>
          <w:p>
            <w:pPr>
              <w:spacing w:after="0"/>
              <w:rPr>
                <w:sz w:val="11"/>
                <w:szCs w:val="11"/>
                <w:color w:val="auto"/>
              </w:rPr>
            </w:pPr>
          </w:p>
        </w:tc>
        <w:tc>
          <w:tcPr>
            <w:tcW w:w="1280" w:type="dxa"/>
            <w:vAlign w:val="bottom"/>
            <w:gridSpan w:val="2"/>
          </w:tcPr>
          <w:p>
            <w:pPr>
              <w:jc w:val="right"/>
              <w:ind w:right="166"/>
              <w:spacing w:after="0" w:line="135" w:lineRule="exact"/>
              <w:rPr>
                <w:sz w:val="20"/>
                <w:szCs w:val="20"/>
                <w:color w:val="auto"/>
              </w:rPr>
            </w:pPr>
            <w:r>
              <w:rPr>
                <w:rFonts w:ascii="Calibri" w:cs="Calibri" w:eastAsia="Calibri" w:hAnsi="Calibri"/>
                <w:sz w:val="12"/>
                <w:szCs w:val="12"/>
                <w:color w:val="auto"/>
              </w:rPr>
              <w:t>(98,016 )</w:t>
            </w: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120"/>
              <w:spacing w:after="0" w:line="135" w:lineRule="exact"/>
              <w:rPr>
                <w:sz w:val="20"/>
                <w:szCs w:val="20"/>
                <w:color w:val="auto"/>
              </w:rPr>
            </w:pPr>
            <w:r>
              <w:rPr>
                <w:rFonts w:ascii="Calibri" w:cs="Calibri" w:eastAsia="Calibri" w:hAnsi="Calibri"/>
                <w:sz w:val="12"/>
                <w:szCs w:val="12"/>
                <w:color w:val="auto"/>
              </w:rPr>
              <w:t>Maturites of short-term investments</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90,000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Calibri" w:cs="Calibri" w:eastAsia="Calibri" w:hAnsi="Calibri"/>
                <w:sz w:val="12"/>
                <w:szCs w:val="12"/>
                <w:color w:val="auto"/>
              </w:rPr>
              <w:t>Sale of short-term investments</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21,218</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77,462</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120"/>
              <w:spacing w:after="0" w:line="135" w:lineRule="exact"/>
              <w:rPr>
                <w:sz w:val="20"/>
                <w:szCs w:val="20"/>
                <w:color w:val="auto"/>
              </w:rPr>
            </w:pPr>
            <w:r>
              <w:rPr>
                <w:rFonts w:ascii="Calibri" w:cs="Calibri" w:eastAsia="Calibri" w:hAnsi="Calibri"/>
                <w:sz w:val="12"/>
                <w:szCs w:val="12"/>
                <w:color w:val="auto"/>
              </w:rPr>
              <w:t>Advance payments to customers, net of collectons</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259</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66"/>
              <w:spacing w:after="0" w:line="135" w:lineRule="exact"/>
              <w:rPr>
                <w:sz w:val="20"/>
                <w:szCs w:val="20"/>
                <w:color w:val="auto"/>
              </w:rPr>
            </w:pPr>
            <w:r>
              <w:rPr>
                <w:rFonts w:ascii="Calibri" w:cs="Calibri" w:eastAsia="Calibri" w:hAnsi="Calibri"/>
                <w:sz w:val="12"/>
                <w:szCs w:val="12"/>
                <w:color w:val="auto"/>
              </w:rPr>
              <w:t>(259 )</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620" w:type="dxa"/>
            <w:vAlign w:val="bottom"/>
          </w:tcPr>
          <w:p>
            <w:pPr>
              <w:ind w:left="20"/>
              <w:spacing w:after="0" w:line="129" w:lineRule="exact"/>
              <w:rPr>
                <w:sz w:val="20"/>
                <w:szCs w:val="20"/>
                <w:color w:val="auto"/>
              </w:rPr>
            </w:pPr>
            <w:r>
              <w:rPr>
                <w:rFonts w:ascii="Calibri" w:cs="Calibri" w:eastAsia="Calibri" w:hAnsi="Calibri"/>
                <w:sz w:val="12"/>
                <w:szCs w:val="12"/>
                <w:color w:val="auto"/>
              </w:rPr>
              <w:t>Net cash (used in) provided by investng actvites</w:t>
            </w:r>
          </w:p>
        </w:tc>
        <w:tc>
          <w:tcPr>
            <w:tcW w:w="820" w:type="dxa"/>
            <w:vAlign w:val="bottom"/>
          </w:tcPr>
          <w:p>
            <w:pPr>
              <w:spacing w:after="0"/>
              <w:rPr>
                <w:sz w:val="11"/>
                <w:szCs w:val="11"/>
                <w:color w:val="auto"/>
              </w:rPr>
            </w:pPr>
          </w:p>
        </w:tc>
        <w:tc>
          <w:tcPr>
            <w:tcW w:w="760" w:type="dxa"/>
            <w:vAlign w:val="bottom"/>
            <w:gridSpan w:val="2"/>
          </w:tcPr>
          <w:p>
            <w:pPr>
              <w:jc w:val="right"/>
              <w:ind w:right="142"/>
              <w:spacing w:after="0" w:line="129" w:lineRule="exact"/>
              <w:rPr>
                <w:sz w:val="20"/>
                <w:szCs w:val="20"/>
                <w:color w:val="auto"/>
              </w:rPr>
            </w:pPr>
            <w:r>
              <w:rPr>
                <w:rFonts w:ascii="Calibri" w:cs="Calibri" w:eastAsia="Calibri" w:hAnsi="Calibri"/>
                <w:sz w:val="12"/>
                <w:szCs w:val="12"/>
                <w:color w:val="auto"/>
              </w:rPr>
              <w:t>(72,966 )</w:t>
            </w:r>
          </w:p>
        </w:tc>
        <w:tc>
          <w:tcPr>
            <w:tcW w:w="320" w:type="dxa"/>
            <w:vAlign w:val="bottom"/>
          </w:tcPr>
          <w:p>
            <w:pPr>
              <w:spacing w:after="0"/>
              <w:rPr>
                <w:sz w:val="11"/>
                <w:szCs w:val="11"/>
                <w:color w:val="auto"/>
              </w:rPr>
            </w:pPr>
          </w:p>
        </w:tc>
        <w:tc>
          <w:tcPr>
            <w:tcW w:w="1280" w:type="dxa"/>
            <w:vAlign w:val="bottom"/>
            <w:gridSpan w:val="2"/>
          </w:tcPr>
          <w:p>
            <w:pPr>
              <w:jc w:val="right"/>
              <w:ind w:right="166"/>
              <w:spacing w:after="0" w:line="129" w:lineRule="exact"/>
              <w:rPr>
                <w:sz w:val="20"/>
                <w:szCs w:val="20"/>
                <w:color w:val="auto"/>
              </w:rPr>
            </w:pPr>
            <w:r>
              <w:rPr>
                <w:rFonts w:ascii="Calibri" w:cs="Calibri" w:eastAsia="Calibri" w:hAnsi="Calibri"/>
                <w:sz w:val="12"/>
                <w:szCs w:val="12"/>
                <w:color w:val="auto"/>
              </w:rPr>
              <w:t>(61,564 )</w:t>
            </w:r>
          </w:p>
        </w:tc>
        <w:tc>
          <w:tcPr>
            <w:tcW w:w="30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Calibri" w:cs="Calibri" w:eastAsia="Calibri" w:hAnsi="Calibri"/>
                <w:sz w:val="12"/>
                <w:szCs w:val="12"/>
                <w:color w:val="auto"/>
              </w:rPr>
              <w:t>72,730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620" w:type="dxa"/>
            <w:vAlign w:val="bottom"/>
            <w:shd w:val="clear" w:color="auto" w:fill="CFF0FC"/>
          </w:tcPr>
          <w:p>
            <w:pPr>
              <w:ind w:left="20"/>
              <w:spacing w:after="0" w:line="129" w:lineRule="exact"/>
              <w:rPr>
                <w:sz w:val="20"/>
                <w:szCs w:val="20"/>
                <w:color w:val="auto"/>
              </w:rPr>
            </w:pPr>
            <w:r>
              <w:rPr>
                <w:rFonts w:ascii="Calibri" w:cs="Calibri" w:eastAsia="Calibri" w:hAnsi="Calibri"/>
                <w:sz w:val="12"/>
                <w:szCs w:val="12"/>
                <w:b w:val="1"/>
                <w:bCs w:val="1"/>
                <w:color w:val="auto"/>
              </w:rPr>
              <w:t>Financing Actvites</w:t>
            </w:r>
          </w:p>
        </w:tc>
        <w:tc>
          <w:tcPr>
            <w:tcW w:w="82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Calibri" w:cs="Calibri" w:eastAsia="Calibri" w:hAnsi="Calibri"/>
                <w:sz w:val="12"/>
                <w:szCs w:val="12"/>
                <w:color w:val="auto"/>
              </w:rPr>
              <w:t>Proceeds from issuance of common stock upon exercise of stock optons</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4,923</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74</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721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120"/>
              <w:spacing w:after="0" w:line="135" w:lineRule="exact"/>
              <w:rPr>
                <w:sz w:val="20"/>
                <w:szCs w:val="20"/>
                <w:color w:val="auto"/>
              </w:rPr>
            </w:pPr>
            <w:r>
              <w:rPr>
                <w:rFonts w:ascii="Calibri" w:cs="Calibri" w:eastAsia="Calibri" w:hAnsi="Calibri"/>
                <w:sz w:val="12"/>
                <w:szCs w:val="12"/>
                <w:color w:val="auto"/>
              </w:rPr>
              <w:t>Payment of withholding taxes on net share setlements of restricted stock units</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(24,891</w:t>
            </w:r>
          </w:p>
        </w:tc>
        <w:tc>
          <w:tcPr>
            <w:tcW w:w="260" w:type="dxa"/>
            <w:vAlign w:val="bottom"/>
            <w:shd w:val="clear" w:color="auto" w:fill="CFF0FC"/>
          </w:tcPr>
          <w:p>
            <w:pPr>
              <w:jc w:val="right"/>
              <w:ind w:right="142"/>
              <w:spacing w:after="0" w:line="135" w:lineRule="exact"/>
              <w:rPr>
                <w:sz w:val="20"/>
                <w:szCs w:val="20"/>
                <w:color w:val="auto"/>
              </w:rPr>
            </w:pPr>
            <w:r>
              <w:rPr>
                <w:rFonts w:ascii="Calibri" w:cs="Calibri" w:eastAsia="Calibri" w:hAnsi="Calibri"/>
                <w:sz w:val="12"/>
                <w:szCs w:val="12"/>
                <w:color w:val="auto"/>
              </w:rPr>
              <w:t>)</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(15,597</w:t>
            </w:r>
          </w:p>
        </w:tc>
        <w:tc>
          <w:tcPr>
            <w:tcW w:w="260" w:type="dxa"/>
            <w:vAlign w:val="bottom"/>
            <w:shd w:val="clear" w:color="auto" w:fill="CFF0FC"/>
          </w:tcPr>
          <w:p>
            <w:pPr>
              <w:jc w:val="right"/>
              <w:ind w:right="166"/>
              <w:spacing w:after="0"/>
              <w:rPr>
                <w:sz w:val="20"/>
                <w:szCs w:val="20"/>
                <w:color w:val="auto"/>
              </w:rPr>
            </w:pPr>
            <w:r>
              <w:rPr>
                <w:rFonts w:ascii="Calibri" w:cs="Calibri" w:eastAsia="Calibri" w:hAnsi="Calibri"/>
                <w:sz w:val="9"/>
                <w:szCs w:val="9"/>
                <w:color w:val="auto"/>
                <w:w w:val="71"/>
              </w:rPr>
              <w:t>)</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(16,022</w:t>
            </w:r>
          </w:p>
        </w:tc>
        <w:tc>
          <w:tcPr>
            <w:tcW w:w="100" w:type="dxa"/>
            <w:vAlign w:val="bottom"/>
            <w:shd w:val="clear" w:color="auto" w:fill="CFF0FC"/>
          </w:tcPr>
          <w:p>
            <w:pPr>
              <w:jc w:val="right"/>
              <w:ind w:right="13"/>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Calibri" w:cs="Calibri" w:eastAsia="Calibri" w:hAnsi="Calibri"/>
                <w:sz w:val="12"/>
                <w:szCs w:val="12"/>
                <w:color w:val="auto"/>
              </w:rPr>
              <w:t>Repurchases of common stock</w:t>
            </w:r>
          </w:p>
        </w:tc>
        <w:tc>
          <w:tcPr>
            <w:tcW w:w="820" w:type="dxa"/>
            <w:vAlign w:val="bottom"/>
          </w:tcPr>
          <w:p>
            <w:pPr>
              <w:spacing w:after="0"/>
              <w:rPr>
                <w:sz w:val="11"/>
                <w:szCs w:val="11"/>
                <w:color w:val="auto"/>
              </w:rPr>
            </w:pPr>
          </w:p>
        </w:tc>
        <w:tc>
          <w:tcPr>
            <w:tcW w:w="760" w:type="dxa"/>
            <w:vAlign w:val="bottom"/>
            <w:gridSpan w:val="2"/>
          </w:tcPr>
          <w:p>
            <w:pPr>
              <w:jc w:val="right"/>
              <w:ind w:right="142"/>
              <w:spacing w:after="0" w:line="135" w:lineRule="exact"/>
              <w:rPr>
                <w:sz w:val="20"/>
                <w:szCs w:val="20"/>
                <w:color w:val="auto"/>
              </w:rPr>
            </w:pPr>
            <w:r>
              <w:rPr>
                <w:rFonts w:ascii="Calibri" w:cs="Calibri" w:eastAsia="Calibri" w:hAnsi="Calibri"/>
                <w:sz w:val="12"/>
                <w:szCs w:val="12"/>
                <w:color w:val="auto"/>
              </w:rPr>
              <w:t>(146,180 )</w:t>
            </w:r>
          </w:p>
        </w:tc>
        <w:tc>
          <w:tcPr>
            <w:tcW w:w="320" w:type="dxa"/>
            <w:vAlign w:val="bottom"/>
          </w:tcPr>
          <w:p>
            <w:pPr>
              <w:spacing w:after="0"/>
              <w:rPr>
                <w:sz w:val="11"/>
                <w:szCs w:val="11"/>
                <w:color w:val="auto"/>
              </w:rPr>
            </w:pPr>
          </w:p>
        </w:tc>
        <w:tc>
          <w:tcPr>
            <w:tcW w:w="1280" w:type="dxa"/>
            <w:vAlign w:val="bottom"/>
            <w:gridSpan w:val="2"/>
          </w:tcPr>
          <w:p>
            <w:pPr>
              <w:jc w:val="right"/>
              <w:ind w:right="166"/>
              <w:spacing w:after="0" w:line="135" w:lineRule="exact"/>
              <w:rPr>
                <w:sz w:val="20"/>
                <w:szCs w:val="20"/>
                <w:color w:val="auto"/>
              </w:rPr>
            </w:pPr>
            <w:r>
              <w:rPr>
                <w:rFonts w:ascii="Calibri" w:cs="Calibri" w:eastAsia="Calibri" w:hAnsi="Calibri"/>
                <w:sz w:val="12"/>
                <w:szCs w:val="12"/>
                <w:color w:val="auto"/>
              </w:rPr>
              <w:t>(208,524 )</w:t>
            </w:r>
          </w:p>
        </w:tc>
        <w:tc>
          <w:tcPr>
            <w:tcW w:w="300" w:type="dxa"/>
            <w:vAlign w:val="bottom"/>
          </w:tcPr>
          <w:p>
            <w:pPr>
              <w:spacing w:after="0"/>
              <w:rPr>
                <w:sz w:val="11"/>
                <w:szCs w:val="11"/>
                <w:color w:val="auto"/>
              </w:rPr>
            </w:pPr>
          </w:p>
        </w:tc>
        <w:tc>
          <w:tcPr>
            <w:tcW w:w="1140" w:type="dxa"/>
            <w:vAlign w:val="bottom"/>
            <w:gridSpan w:val="2"/>
          </w:tcPr>
          <w:p>
            <w:pPr>
              <w:jc w:val="right"/>
              <w:ind w:right="13"/>
              <w:spacing w:after="0" w:line="135" w:lineRule="exact"/>
              <w:rPr>
                <w:sz w:val="20"/>
                <w:szCs w:val="20"/>
                <w:color w:val="auto"/>
              </w:rPr>
            </w:pPr>
            <w:r>
              <w:rPr>
                <w:rFonts w:ascii="Calibri" w:cs="Calibri" w:eastAsia="Calibri" w:hAnsi="Calibri"/>
                <w:sz w:val="12"/>
                <w:szCs w:val="12"/>
                <w:color w:val="auto"/>
              </w:rPr>
              <w:t>(14,428 )</w:t>
            </w: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120"/>
              <w:spacing w:after="0" w:line="135" w:lineRule="exact"/>
              <w:rPr>
                <w:sz w:val="20"/>
                <w:szCs w:val="20"/>
                <w:color w:val="auto"/>
              </w:rPr>
            </w:pPr>
            <w:r>
              <w:rPr>
                <w:rFonts w:ascii="Calibri" w:cs="Calibri" w:eastAsia="Calibri" w:hAnsi="Calibri"/>
                <w:sz w:val="12"/>
                <w:szCs w:val="12"/>
                <w:color w:val="auto"/>
              </w:rPr>
              <w:t>Payment of excise taxes on repurchases of common stock</w:t>
            </w:r>
          </w:p>
        </w:tc>
        <w:tc>
          <w:tcPr>
            <w:tcW w:w="8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2"/>
              <w:spacing w:after="0" w:line="135" w:lineRule="exact"/>
              <w:rPr>
                <w:sz w:val="20"/>
                <w:szCs w:val="20"/>
                <w:color w:val="auto"/>
              </w:rPr>
            </w:pPr>
            <w:r>
              <w:rPr>
                <w:rFonts w:ascii="Calibri" w:cs="Calibri" w:eastAsia="Calibri" w:hAnsi="Calibri"/>
                <w:sz w:val="12"/>
                <w:szCs w:val="12"/>
                <w:color w:val="auto"/>
              </w:rPr>
              <w:t>(1,584 )</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Calibri" w:cs="Calibri" w:eastAsia="Calibri" w:hAnsi="Calibri"/>
                <w:sz w:val="12"/>
                <w:szCs w:val="12"/>
                <w:color w:val="auto"/>
              </w:rPr>
              <w:t>Payment of fnance lease obligatons</w:t>
            </w:r>
          </w:p>
        </w:tc>
        <w:tc>
          <w:tcPr>
            <w:tcW w:w="820" w:type="dxa"/>
            <w:vAlign w:val="bottom"/>
          </w:tcPr>
          <w:p>
            <w:pPr>
              <w:spacing w:after="0"/>
              <w:rPr>
                <w:sz w:val="11"/>
                <w:szCs w:val="11"/>
                <w:color w:val="auto"/>
              </w:rPr>
            </w:pPr>
          </w:p>
        </w:tc>
        <w:tc>
          <w:tcPr>
            <w:tcW w:w="760" w:type="dxa"/>
            <w:vAlign w:val="bottom"/>
            <w:gridSpan w:val="2"/>
          </w:tcPr>
          <w:p>
            <w:pPr>
              <w:jc w:val="right"/>
              <w:ind w:right="142"/>
              <w:spacing w:after="0" w:line="135" w:lineRule="exact"/>
              <w:rPr>
                <w:sz w:val="20"/>
                <w:szCs w:val="20"/>
                <w:color w:val="auto"/>
              </w:rPr>
            </w:pPr>
            <w:r>
              <w:rPr>
                <w:rFonts w:ascii="Calibri" w:cs="Calibri" w:eastAsia="Calibri" w:hAnsi="Calibri"/>
                <w:sz w:val="12"/>
                <w:szCs w:val="12"/>
                <w:color w:val="auto"/>
              </w:rPr>
              <w:t>(75 )</w:t>
            </w:r>
          </w:p>
        </w:tc>
        <w:tc>
          <w:tcPr>
            <w:tcW w:w="320" w:type="dxa"/>
            <w:vAlign w:val="bottom"/>
          </w:tcPr>
          <w:p>
            <w:pPr>
              <w:spacing w:after="0"/>
              <w:rPr>
                <w:sz w:val="11"/>
                <w:szCs w:val="11"/>
                <w:color w:val="auto"/>
              </w:rPr>
            </w:pPr>
          </w:p>
        </w:tc>
        <w:tc>
          <w:tcPr>
            <w:tcW w:w="1280" w:type="dxa"/>
            <w:vAlign w:val="bottom"/>
            <w:gridSpan w:val="2"/>
          </w:tcPr>
          <w:p>
            <w:pPr>
              <w:jc w:val="right"/>
              <w:ind w:right="166"/>
              <w:spacing w:after="0" w:line="135" w:lineRule="exact"/>
              <w:rPr>
                <w:sz w:val="20"/>
                <w:szCs w:val="20"/>
                <w:color w:val="auto"/>
              </w:rPr>
            </w:pPr>
            <w:r>
              <w:rPr>
                <w:rFonts w:ascii="Calibri" w:cs="Calibri" w:eastAsia="Calibri" w:hAnsi="Calibri"/>
                <w:sz w:val="12"/>
                <w:szCs w:val="12"/>
                <w:color w:val="auto"/>
              </w:rPr>
              <w:t>(70 )</w:t>
            </w:r>
          </w:p>
        </w:tc>
        <w:tc>
          <w:tcPr>
            <w:tcW w:w="300" w:type="dxa"/>
            <w:vAlign w:val="bottom"/>
          </w:tcPr>
          <w:p>
            <w:pPr>
              <w:spacing w:after="0"/>
              <w:rPr>
                <w:sz w:val="11"/>
                <w:szCs w:val="11"/>
                <w:color w:val="auto"/>
              </w:rPr>
            </w:pPr>
          </w:p>
        </w:tc>
        <w:tc>
          <w:tcPr>
            <w:tcW w:w="1140" w:type="dxa"/>
            <w:vAlign w:val="bottom"/>
            <w:gridSpan w:val="2"/>
          </w:tcPr>
          <w:p>
            <w:pPr>
              <w:jc w:val="right"/>
              <w:ind w:right="13"/>
              <w:spacing w:after="0" w:line="135" w:lineRule="exact"/>
              <w:rPr>
                <w:sz w:val="20"/>
                <w:szCs w:val="20"/>
                <w:color w:val="auto"/>
              </w:rPr>
            </w:pPr>
            <w:r>
              <w:rPr>
                <w:rFonts w:ascii="Calibri" w:cs="Calibri" w:eastAsia="Calibri" w:hAnsi="Calibri"/>
                <w:sz w:val="12"/>
                <w:szCs w:val="12"/>
                <w:color w:val="auto"/>
              </w:rPr>
              <w:t>(68 )</w:t>
            </w: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120"/>
              <w:spacing w:after="0" w:line="135" w:lineRule="exact"/>
              <w:rPr>
                <w:sz w:val="20"/>
                <w:szCs w:val="20"/>
                <w:color w:val="auto"/>
              </w:rPr>
            </w:pPr>
            <w:r>
              <w:rPr>
                <w:rFonts w:ascii="Calibri" w:cs="Calibri" w:eastAsia="Calibri" w:hAnsi="Calibri"/>
                <w:sz w:val="12"/>
                <w:szCs w:val="12"/>
                <w:color w:val="auto"/>
              </w:rPr>
              <w:t>Payment of deferred fnancing costs</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3"/>
              <w:spacing w:after="0" w:line="135" w:lineRule="exact"/>
              <w:rPr>
                <w:sz w:val="20"/>
                <w:szCs w:val="20"/>
                <w:color w:val="auto"/>
              </w:rPr>
            </w:pPr>
            <w:r>
              <w:rPr>
                <w:rFonts w:ascii="Calibri" w:cs="Calibri" w:eastAsia="Calibri" w:hAnsi="Calibri"/>
                <w:sz w:val="12"/>
                <w:szCs w:val="12"/>
                <w:color w:val="auto"/>
              </w:rPr>
              <w:t>(2,578 )</w:t>
            </w: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Calibri" w:cs="Calibri" w:eastAsia="Calibri" w:hAnsi="Calibri"/>
                <w:sz w:val="12"/>
                <w:szCs w:val="12"/>
                <w:color w:val="auto"/>
              </w:rPr>
              <w:t>Payment of tax distributons to redeemable noncontrolling interest holders</w:t>
            </w:r>
          </w:p>
        </w:tc>
        <w:tc>
          <w:tcPr>
            <w:tcW w:w="8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166"/>
              <w:spacing w:after="0" w:line="135" w:lineRule="exact"/>
              <w:rPr>
                <w:sz w:val="20"/>
                <w:szCs w:val="20"/>
                <w:color w:val="auto"/>
              </w:rPr>
            </w:pPr>
            <w:r>
              <w:rPr>
                <w:rFonts w:ascii="Calibri" w:cs="Calibri" w:eastAsia="Calibri" w:hAnsi="Calibri"/>
                <w:sz w:val="12"/>
                <w:szCs w:val="12"/>
                <w:color w:val="auto"/>
              </w:rPr>
              <w:t>(38 )</w:t>
            </w:r>
          </w:p>
        </w:tc>
        <w:tc>
          <w:tcPr>
            <w:tcW w:w="300" w:type="dxa"/>
            <w:vAlign w:val="bottom"/>
          </w:tcPr>
          <w:p>
            <w:pPr>
              <w:spacing w:after="0"/>
              <w:rPr>
                <w:sz w:val="11"/>
                <w:szCs w:val="11"/>
                <w:color w:val="auto"/>
              </w:rPr>
            </w:pPr>
          </w:p>
        </w:tc>
        <w:tc>
          <w:tcPr>
            <w:tcW w:w="1140" w:type="dxa"/>
            <w:vAlign w:val="bottom"/>
            <w:gridSpan w:val="2"/>
          </w:tcPr>
          <w:p>
            <w:pPr>
              <w:jc w:val="right"/>
              <w:ind w:right="13"/>
              <w:spacing w:after="0" w:line="135" w:lineRule="exact"/>
              <w:rPr>
                <w:sz w:val="20"/>
                <w:szCs w:val="20"/>
                <w:color w:val="auto"/>
              </w:rPr>
            </w:pPr>
            <w:r>
              <w:rPr>
                <w:rFonts w:ascii="Calibri" w:cs="Calibri" w:eastAsia="Calibri" w:hAnsi="Calibri"/>
                <w:sz w:val="12"/>
                <w:szCs w:val="12"/>
                <w:color w:val="auto"/>
              </w:rPr>
              <w:t>(19,913 )</w:t>
            </w: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120"/>
              <w:spacing w:after="0" w:line="135" w:lineRule="exact"/>
              <w:rPr>
                <w:sz w:val="20"/>
                <w:szCs w:val="20"/>
                <w:color w:val="auto"/>
              </w:rPr>
            </w:pPr>
            <w:r>
              <w:rPr>
                <w:rFonts w:ascii="Calibri" w:cs="Calibri" w:eastAsia="Calibri" w:hAnsi="Calibri"/>
                <w:sz w:val="12"/>
                <w:szCs w:val="12"/>
                <w:color w:val="auto"/>
              </w:rPr>
              <w:t>Acquisiton of remaining interest in CarOfer, LLC</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66"/>
              <w:spacing w:after="0" w:line="135" w:lineRule="exact"/>
              <w:rPr>
                <w:sz w:val="20"/>
                <w:szCs w:val="20"/>
                <w:color w:val="auto"/>
              </w:rPr>
            </w:pPr>
            <w:r>
              <w:rPr>
                <w:rFonts w:ascii="Calibri" w:cs="Calibri" w:eastAsia="Calibri" w:hAnsi="Calibri"/>
                <w:sz w:val="12"/>
                <w:szCs w:val="12"/>
                <w:color w:val="auto"/>
              </w:rPr>
              <w:t>(25,014 )</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120"/>
              <w:spacing w:after="0" w:line="135" w:lineRule="exact"/>
              <w:rPr>
                <w:sz w:val="20"/>
                <w:szCs w:val="20"/>
                <w:color w:val="auto"/>
              </w:rPr>
            </w:pPr>
            <w:r>
              <w:rPr>
                <w:rFonts w:ascii="Calibri" w:cs="Calibri" w:eastAsia="Calibri" w:hAnsi="Calibri"/>
                <w:sz w:val="12"/>
                <w:szCs w:val="12"/>
                <w:color w:val="auto"/>
              </w:rPr>
              <w:t>Change in gross advance payments received from third-party transacton processor</w:t>
            </w:r>
          </w:p>
        </w:tc>
        <w:tc>
          <w:tcPr>
            <w:tcW w:w="820" w:type="dxa"/>
            <w:vAlign w:val="bottom"/>
          </w:tcPr>
          <w:p>
            <w:pPr>
              <w:spacing w:after="0"/>
              <w:rPr>
                <w:sz w:val="11"/>
                <w:szCs w:val="11"/>
                <w:color w:val="auto"/>
              </w:rPr>
            </w:pPr>
          </w:p>
        </w:tc>
        <w:tc>
          <w:tcPr>
            <w:tcW w:w="760" w:type="dxa"/>
            <w:vAlign w:val="bottom"/>
            <w:gridSpan w:val="2"/>
          </w:tcPr>
          <w:p>
            <w:pPr>
              <w:jc w:val="right"/>
              <w:ind w:right="142"/>
              <w:spacing w:after="0" w:line="135" w:lineRule="exact"/>
              <w:rPr>
                <w:sz w:val="20"/>
                <w:szCs w:val="20"/>
                <w:color w:val="auto"/>
              </w:rPr>
            </w:pPr>
            <w:r>
              <w:rPr>
                <w:rFonts w:ascii="Calibri" w:cs="Calibri" w:eastAsia="Calibri" w:hAnsi="Calibri"/>
                <w:sz w:val="12"/>
                <w:szCs w:val="12"/>
                <w:color w:val="auto"/>
              </w:rPr>
              <w:t>(822 )</w:t>
            </w:r>
          </w:p>
        </w:tc>
        <w:tc>
          <w:tcPr>
            <w:tcW w:w="320" w:type="dxa"/>
            <w:vAlign w:val="bottom"/>
          </w:tcPr>
          <w:p>
            <w:pPr>
              <w:spacing w:after="0"/>
              <w:rPr>
                <w:sz w:val="11"/>
                <w:szCs w:val="11"/>
                <w:color w:val="auto"/>
              </w:rPr>
            </w:pPr>
          </w:p>
        </w:tc>
        <w:tc>
          <w:tcPr>
            <w:tcW w:w="1280" w:type="dxa"/>
            <w:vAlign w:val="bottom"/>
            <w:gridSpan w:val="2"/>
          </w:tcPr>
          <w:p>
            <w:pPr>
              <w:jc w:val="right"/>
              <w:ind w:right="166"/>
              <w:spacing w:after="0" w:line="135" w:lineRule="exact"/>
              <w:rPr>
                <w:sz w:val="20"/>
                <w:szCs w:val="20"/>
                <w:color w:val="auto"/>
              </w:rPr>
            </w:pPr>
            <w:r>
              <w:rPr>
                <w:rFonts w:ascii="Calibri" w:cs="Calibri" w:eastAsia="Calibri" w:hAnsi="Calibri"/>
                <w:sz w:val="12"/>
                <w:szCs w:val="12"/>
                <w:color w:val="auto"/>
              </w:rPr>
              <w:t>(4,475 )</w:t>
            </w:r>
          </w:p>
        </w:tc>
        <w:tc>
          <w:tcPr>
            <w:tcW w:w="300" w:type="dxa"/>
            <w:vAlign w:val="bottom"/>
          </w:tcPr>
          <w:p>
            <w:pPr>
              <w:spacing w:after="0"/>
              <w:rPr>
                <w:sz w:val="11"/>
                <w:szCs w:val="11"/>
                <w:color w:val="auto"/>
              </w:rPr>
            </w:pPr>
          </w:p>
        </w:tc>
        <w:tc>
          <w:tcPr>
            <w:tcW w:w="1140" w:type="dxa"/>
            <w:vAlign w:val="bottom"/>
            <w:gridSpan w:val="2"/>
          </w:tcPr>
          <w:p>
            <w:pPr>
              <w:jc w:val="right"/>
              <w:ind w:right="13"/>
              <w:spacing w:after="0" w:line="135" w:lineRule="exact"/>
              <w:rPr>
                <w:sz w:val="20"/>
                <w:szCs w:val="20"/>
                <w:color w:val="auto"/>
              </w:rPr>
            </w:pPr>
            <w:r>
              <w:rPr>
                <w:rFonts w:ascii="Calibri" w:cs="Calibri" w:eastAsia="Calibri" w:hAnsi="Calibri"/>
                <w:sz w:val="12"/>
                <w:szCs w:val="12"/>
                <w:color w:val="auto"/>
              </w:rPr>
              <w:t>(40,332 )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620" w:type="dxa"/>
            <w:vAlign w:val="bottom"/>
            <w:shd w:val="clear" w:color="auto" w:fill="CFF0FC"/>
          </w:tcPr>
          <w:p>
            <w:pPr>
              <w:ind w:left="20"/>
              <w:spacing w:after="0" w:line="129" w:lineRule="exact"/>
              <w:rPr>
                <w:sz w:val="20"/>
                <w:szCs w:val="20"/>
                <w:color w:val="auto"/>
              </w:rPr>
            </w:pPr>
            <w:r>
              <w:rPr>
                <w:rFonts w:ascii="Calibri" w:cs="Calibri" w:eastAsia="Calibri" w:hAnsi="Calibri"/>
                <w:sz w:val="12"/>
                <w:szCs w:val="12"/>
                <w:color w:val="auto"/>
              </w:rPr>
              <w:t>Net cash used in fnancing actvites</w:t>
            </w:r>
          </w:p>
        </w:tc>
        <w:tc>
          <w:tcPr>
            <w:tcW w:w="8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2"/>
              <w:spacing w:after="0" w:line="129" w:lineRule="exact"/>
              <w:rPr>
                <w:sz w:val="20"/>
                <w:szCs w:val="20"/>
                <w:color w:val="auto"/>
              </w:rPr>
            </w:pPr>
            <w:r>
              <w:rPr>
                <w:rFonts w:ascii="Calibri" w:cs="Calibri" w:eastAsia="Calibri" w:hAnsi="Calibri"/>
                <w:sz w:val="12"/>
                <w:szCs w:val="12"/>
                <w:color w:val="auto"/>
              </w:rPr>
              <w:t>(168,629 )</w:t>
            </w:r>
          </w:p>
        </w:tc>
        <w:tc>
          <w:tcPr>
            <w:tcW w:w="32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66"/>
              <w:spacing w:after="0" w:line="129" w:lineRule="exact"/>
              <w:rPr>
                <w:sz w:val="20"/>
                <w:szCs w:val="20"/>
                <w:color w:val="auto"/>
              </w:rPr>
            </w:pPr>
            <w:r>
              <w:rPr>
                <w:rFonts w:ascii="Calibri" w:cs="Calibri" w:eastAsia="Calibri" w:hAnsi="Calibri"/>
                <w:sz w:val="12"/>
                <w:szCs w:val="12"/>
                <w:color w:val="auto"/>
              </w:rPr>
              <w:t>(253,644 )</w:t>
            </w: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3"/>
              <w:spacing w:after="0" w:line="129" w:lineRule="exact"/>
              <w:rPr>
                <w:sz w:val="20"/>
                <w:szCs w:val="20"/>
                <w:color w:val="auto"/>
              </w:rPr>
            </w:pPr>
            <w:r>
              <w:rPr>
                <w:rFonts w:ascii="Calibri" w:cs="Calibri" w:eastAsia="Calibri" w:hAnsi="Calibri"/>
                <w:sz w:val="12"/>
                <w:szCs w:val="12"/>
                <w:color w:val="auto"/>
              </w:rPr>
              <w:t>(92,620 )</w:t>
            </w:r>
          </w:p>
        </w:tc>
        <w:tc>
          <w:tcPr>
            <w:tcW w:w="0" w:type="dxa"/>
            <w:vAlign w:val="bottom"/>
          </w:tcPr>
          <w:p>
            <w:pPr>
              <w:spacing w:after="0"/>
              <w:rPr>
                <w:sz w:val="1"/>
                <w:szCs w:val="1"/>
                <w:color w:val="auto"/>
              </w:rPr>
            </w:pPr>
          </w:p>
        </w:tc>
      </w:tr>
      <w:tr>
        <w:trPr>
          <w:trHeight w:val="128"/>
        </w:trPr>
        <w:tc>
          <w:tcPr>
            <w:tcW w:w="6620" w:type="dxa"/>
            <w:vAlign w:val="bottom"/>
            <w:tcBorders>
              <w:top w:val="single" w:sz="8" w:color="CFF0FC"/>
            </w:tcBorders>
          </w:tcPr>
          <w:p>
            <w:pPr>
              <w:ind w:left="20"/>
              <w:spacing w:after="0" w:line="129" w:lineRule="exact"/>
              <w:rPr>
                <w:sz w:val="20"/>
                <w:szCs w:val="20"/>
                <w:color w:val="auto"/>
              </w:rPr>
            </w:pPr>
            <w:r>
              <w:rPr>
                <w:rFonts w:ascii="Calibri" w:cs="Calibri" w:eastAsia="Calibri" w:hAnsi="Calibri"/>
                <w:sz w:val="12"/>
                <w:szCs w:val="12"/>
                <w:color w:val="auto"/>
              </w:rPr>
              <w:t>Impact of foreign currency on cash, cash equivalents, and restricted cash</w:t>
            </w:r>
          </w:p>
        </w:tc>
        <w:tc>
          <w:tcPr>
            <w:tcW w:w="8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Calibri" w:cs="Calibri" w:eastAsia="Calibri" w:hAnsi="Calibri"/>
                <w:sz w:val="12"/>
                <w:szCs w:val="12"/>
                <w:color w:val="auto"/>
              </w:rPr>
              <w:t>(1,596</w:t>
            </w:r>
          </w:p>
        </w:tc>
        <w:tc>
          <w:tcPr>
            <w:tcW w:w="260" w:type="dxa"/>
            <w:vAlign w:val="bottom"/>
            <w:tcBorders>
              <w:top w:val="single" w:sz="8" w:color="CFF0FC"/>
            </w:tcBorders>
          </w:tcPr>
          <w:p>
            <w:pPr>
              <w:jc w:val="right"/>
              <w:ind w:right="142"/>
              <w:spacing w:after="0" w:line="129" w:lineRule="exact"/>
              <w:rPr>
                <w:sz w:val="20"/>
                <w:szCs w:val="20"/>
                <w:color w:val="auto"/>
              </w:rPr>
            </w:pPr>
            <w:r>
              <w:rPr>
                <w:rFonts w:ascii="Calibri" w:cs="Calibri" w:eastAsia="Calibri" w:hAnsi="Calibri"/>
                <w:sz w:val="12"/>
                <w:szCs w:val="12"/>
                <w:color w:val="auto"/>
              </w:rPr>
              <w:t>)</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29" w:lineRule="exact"/>
              <w:rPr>
                <w:sz w:val="20"/>
                <w:szCs w:val="20"/>
                <w:color w:val="auto"/>
              </w:rPr>
            </w:pPr>
            <w:r>
              <w:rPr>
                <w:rFonts w:ascii="Calibri" w:cs="Calibri" w:eastAsia="Calibri" w:hAnsi="Calibri"/>
                <w:sz w:val="12"/>
                <w:szCs w:val="12"/>
                <w:color w:val="auto"/>
              </w:rPr>
              <w:t>475</w:t>
            </w:r>
          </w:p>
        </w:tc>
        <w:tc>
          <w:tcPr>
            <w:tcW w:w="26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29" w:lineRule="exact"/>
              <w:rPr>
                <w:sz w:val="20"/>
                <w:szCs w:val="20"/>
                <w:color w:val="auto"/>
              </w:rPr>
            </w:pPr>
            <w:r>
              <w:rPr>
                <w:rFonts w:ascii="Calibri" w:cs="Calibri" w:eastAsia="Calibri" w:hAnsi="Calibri"/>
                <w:sz w:val="12"/>
                <w:szCs w:val="12"/>
                <w:color w:val="auto"/>
              </w:rPr>
              <w:t>(364</w:t>
            </w:r>
          </w:p>
        </w:tc>
        <w:tc>
          <w:tcPr>
            <w:tcW w:w="100" w:type="dxa"/>
            <w:vAlign w:val="bottom"/>
            <w:tcBorders>
              <w:top w:val="single" w:sz="8" w:color="CFF0FC"/>
            </w:tcBorders>
          </w:tcPr>
          <w:p>
            <w:pPr>
              <w:jc w:val="right"/>
              <w:ind w:right="13"/>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20"/>
              <w:spacing w:after="0" w:line="135" w:lineRule="exact"/>
              <w:rPr>
                <w:sz w:val="20"/>
                <w:szCs w:val="20"/>
                <w:color w:val="auto"/>
              </w:rPr>
            </w:pPr>
            <w:r>
              <w:rPr>
                <w:rFonts w:ascii="Calibri" w:cs="Calibri" w:eastAsia="Calibri" w:hAnsi="Calibri"/>
                <w:sz w:val="12"/>
                <w:szCs w:val="12"/>
                <w:color w:val="auto"/>
              </w:rPr>
              <w:t>Net increase (decrease) in cash, cash equivalents, and restricted cash</w:t>
            </w:r>
          </w:p>
        </w:tc>
        <w:tc>
          <w:tcPr>
            <w:tcW w:w="8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12,303</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(190,206</w:t>
            </w:r>
          </w:p>
        </w:tc>
        <w:tc>
          <w:tcPr>
            <w:tcW w:w="260" w:type="dxa"/>
            <w:vAlign w:val="bottom"/>
            <w:shd w:val="clear" w:color="auto" w:fill="CFF0FC"/>
          </w:tcPr>
          <w:p>
            <w:pPr>
              <w:jc w:val="right"/>
              <w:ind w:right="166"/>
              <w:spacing w:after="0"/>
              <w:rPr>
                <w:sz w:val="20"/>
                <w:szCs w:val="20"/>
                <w:color w:val="auto"/>
              </w:rPr>
            </w:pPr>
            <w:r>
              <w:rPr>
                <w:rFonts w:ascii="Calibri" w:cs="Calibri" w:eastAsia="Calibri" w:hAnsi="Calibri"/>
                <w:sz w:val="9"/>
                <w:szCs w:val="9"/>
                <w:color w:val="auto"/>
                <w:w w:val="71"/>
              </w:rPr>
              <w:t>)</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235,852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
              <w:spacing w:after="0" w:line="135" w:lineRule="exact"/>
              <w:rPr>
                <w:sz w:val="20"/>
                <w:szCs w:val="20"/>
                <w:color w:val="auto"/>
              </w:rPr>
            </w:pPr>
            <w:r>
              <w:rPr>
                <w:rFonts w:ascii="Calibri" w:cs="Calibri" w:eastAsia="Calibri" w:hAnsi="Calibri"/>
                <w:sz w:val="12"/>
                <w:szCs w:val="12"/>
                <w:color w:val="auto"/>
              </w:rPr>
              <w:t>Cash, cash equivalents, and restricted cash at beginning of period</w:t>
            </w:r>
          </w:p>
        </w:tc>
        <w:tc>
          <w:tcPr>
            <w:tcW w:w="8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293,926</w:t>
            </w:r>
          </w:p>
        </w:tc>
        <w:tc>
          <w:tcPr>
            <w:tcW w:w="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484,132</w:t>
            </w:r>
          </w:p>
        </w:tc>
        <w:tc>
          <w:tcPr>
            <w:tcW w:w="2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Calibri" w:cs="Calibri" w:eastAsia="Calibri" w:hAnsi="Calibri"/>
                <w:sz w:val="12"/>
                <w:szCs w:val="12"/>
                <w:color w:val="auto"/>
              </w:rPr>
              <w:t>248,280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FF0FC"/>
          </w:tcPr>
          <w:p>
            <w:pPr>
              <w:ind w:left="20"/>
              <w:spacing w:after="0" w:line="129" w:lineRule="exact"/>
              <w:rPr>
                <w:sz w:val="20"/>
                <w:szCs w:val="20"/>
                <w:color w:val="auto"/>
              </w:rPr>
            </w:pPr>
            <w:r>
              <w:rPr>
                <w:rFonts w:ascii="Calibri" w:cs="Calibri" w:eastAsia="Calibri" w:hAnsi="Calibri"/>
                <w:sz w:val="12"/>
                <w:szCs w:val="12"/>
                <w:color w:val="auto"/>
              </w:rPr>
              <w:t>Cash, cash equivalents, and restricted cash at end of period</w:t>
            </w:r>
          </w:p>
        </w:tc>
        <w:tc>
          <w:tcPr>
            <w:tcW w:w="820" w:type="dxa"/>
            <w:vAlign w:val="bottom"/>
            <w:shd w:val="clear" w:color="auto" w:fill="CFF0FC"/>
          </w:tcPr>
          <w:p>
            <w:pPr>
              <w:jc w:val="right"/>
              <w:ind w:right="682"/>
              <w:spacing w:after="0" w:line="129" w:lineRule="exact"/>
              <w:rPr>
                <w:sz w:val="20"/>
                <w:szCs w:val="20"/>
                <w:color w:val="auto"/>
              </w:rPr>
            </w:pPr>
            <w:r>
              <w:rPr>
                <w:rFonts w:ascii="Calibri" w:cs="Calibri" w:eastAsia="Calibri" w:hAnsi="Calibri"/>
                <w:sz w:val="12"/>
                <w:szCs w:val="12"/>
                <w:color w:val="auto"/>
                <w:w w:val="97"/>
              </w:rPr>
              <w:t>$</w:t>
            </w:r>
          </w:p>
        </w:tc>
        <w:tc>
          <w:tcPr>
            <w:tcW w:w="500" w:type="dxa"/>
            <w:vAlign w:val="bottom"/>
            <w:shd w:val="clear" w:color="auto" w:fill="CFF0FC"/>
          </w:tcPr>
          <w:p>
            <w:pPr>
              <w:jc w:val="right"/>
              <w:spacing w:after="0" w:line="129" w:lineRule="exact"/>
              <w:rPr>
                <w:sz w:val="20"/>
                <w:szCs w:val="20"/>
                <w:color w:val="auto"/>
              </w:rPr>
            </w:pPr>
            <w:r>
              <w:rPr>
                <w:rFonts w:ascii="Calibri" w:cs="Calibri" w:eastAsia="Calibri" w:hAnsi="Calibri"/>
                <w:sz w:val="12"/>
                <w:szCs w:val="12"/>
                <w:color w:val="auto"/>
              </w:rPr>
              <w:t>306,229</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82"/>
              <w:spacing w:after="0" w:line="129" w:lineRule="exact"/>
              <w:rPr>
                <w:sz w:val="20"/>
                <w:szCs w:val="20"/>
                <w:color w:val="auto"/>
              </w:rPr>
            </w:pPr>
            <w:r>
              <w:rPr>
                <w:rFonts w:ascii="Calibri" w:cs="Calibri" w:eastAsia="Calibri" w:hAnsi="Calibri"/>
                <w:sz w:val="12"/>
                <w:szCs w:val="12"/>
                <w:color w:val="auto"/>
                <w:w w:val="97"/>
              </w:rPr>
              <w:t>$</w:t>
            </w:r>
          </w:p>
        </w:tc>
        <w:tc>
          <w:tcPr>
            <w:tcW w:w="1020" w:type="dxa"/>
            <w:vAlign w:val="bottom"/>
            <w:shd w:val="clear" w:color="auto" w:fill="CFF0FC"/>
          </w:tcPr>
          <w:p>
            <w:pPr>
              <w:jc w:val="right"/>
              <w:spacing w:after="0" w:line="129" w:lineRule="exact"/>
              <w:rPr>
                <w:sz w:val="20"/>
                <w:szCs w:val="20"/>
                <w:color w:val="auto"/>
              </w:rPr>
            </w:pPr>
            <w:r>
              <w:rPr>
                <w:rFonts w:ascii="Calibri" w:cs="Calibri" w:eastAsia="Calibri" w:hAnsi="Calibri"/>
                <w:sz w:val="12"/>
                <w:szCs w:val="12"/>
                <w:color w:val="auto"/>
              </w:rPr>
              <w:t>293,926</w:t>
            </w:r>
          </w:p>
        </w:tc>
        <w:tc>
          <w:tcPr>
            <w:tcW w:w="560" w:type="dxa"/>
            <w:vAlign w:val="bottom"/>
            <w:gridSpan w:val="2"/>
            <w:shd w:val="clear" w:color="auto" w:fill="CFF0FC"/>
          </w:tcPr>
          <w:p>
            <w:pPr>
              <w:jc w:val="right"/>
              <w:ind w:right="240"/>
              <w:spacing w:after="0" w:line="129" w:lineRule="exact"/>
              <w:rPr>
                <w:sz w:val="20"/>
                <w:szCs w:val="20"/>
                <w:color w:val="auto"/>
              </w:rPr>
            </w:pPr>
            <w:r>
              <w:rPr>
                <w:rFonts w:ascii="Calibri" w:cs="Calibri" w:eastAsia="Calibri" w:hAnsi="Calibri"/>
                <w:sz w:val="12"/>
                <w:szCs w:val="12"/>
                <w:color w:val="auto"/>
              </w:rPr>
              <w:t>$</w:t>
            </w:r>
          </w:p>
        </w:tc>
        <w:tc>
          <w:tcPr>
            <w:tcW w:w="1040" w:type="dxa"/>
            <w:vAlign w:val="bottom"/>
            <w:shd w:val="clear" w:color="auto" w:fill="CFF0FC"/>
          </w:tcPr>
          <w:p>
            <w:pPr>
              <w:jc w:val="right"/>
              <w:spacing w:after="0" w:line="129" w:lineRule="exact"/>
              <w:rPr>
                <w:sz w:val="20"/>
                <w:szCs w:val="20"/>
                <w:color w:val="auto"/>
              </w:rPr>
            </w:pPr>
            <w:r>
              <w:rPr>
                <w:rFonts w:ascii="Calibri" w:cs="Calibri" w:eastAsia="Calibri" w:hAnsi="Calibri"/>
                <w:sz w:val="12"/>
                <w:szCs w:val="12"/>
                <w:color w:val="auto"/>
              </w:rPr>
              <w:t>484,132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620" w:type="dxa"/>
            <w:vAlign w:val="bottom"/>
            <w:tcBorders>
              <w:top w:val="single" w:sz="8" w:color="CFF0FC"/>
            </w:tcBorders>
          </w:tcPr>
          <w:p>
            <w:pPr>
              <w:ind w:left="20"/>
              <w:spacing w:after="0" w:line="116" w:lineRule="exact"/>
              <w:rPr>
                <w:sz w:val="20"/>
                <w:szCs w:val="20"/>
                <w:color w:val="auto"/>
              </w:rPr>
            </w:pPr>
            <w:r>
              <w:rPr>
                <w:rFonts w:ascii="Calibri" w:cs="Calibri" w:eastAsia="Calibri" w:hAnsi="Calibri"/>
                <w:sz w:val="12"/>
                <w:szCs w:val="12"/>
                <w:b w:val="1"/>
                <w:bCs w:val="1"/>
                <w:color w:val="auto"/>
              </w:rPr>
              <w:t>Supplemental disclosure of cash fow informaton:</w:t>
            </w:r>
          </w:p>
        </w:tc>
        <w:tc>
          <w:tcPr>
            <w:tcW w:w="8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20"/>
              <w:spacing w:after="0" w:line="135" w:lineRule="exact"/>
              <w:rPr>
                <w:sz w:val="20"/>
                <w:szCs w:val="20"/>
                <w:color w:val="auto"/>
              </w:rPr>
            </w:pPr>
            <w:r>
              <w:rPr>
                <w:rFonts w:ascii="Calibri" w:cs="Calibri" w:eastAsia="Calibri" w:hAnsi="Calibri"/>
                <w:sz w:val="12"/>
                <w:szCs w:val="12"/>
                <w:color w:val="auto"/>
              </w:rPr>
              <w:t>Cash paid for income taxes</w:t>
            </w:r>
          </w:p>
        </w:tc>
        <w:tc>
          <w:tcPr>
            <w:tcW w:w="820" w:type="dxa"/>
            <w:vAlign w:val="bottom"/>
            <w:shd w:val="clear" w:color="auto" w:fill="CFF0FC"/>
          </w:tcPr>
          <w:p>
            <w:pPr>
              <w:jc w:val="right"/>
              <w:ind w:right="682"/>
              <w:spacing w:after="0" w:line="135" w:lineRule="exact"/>
              <w:rPr>
                <w:sz w:val="20"/>
                <w:szCs w:val="20"/>
                <w:color w:val="auto"/>
              </w:rPr>
            </w:pPr>
            <w:r>
              <w:rPr>
                <w:rFonts w:ascii="Calibri" w:cs="Calibri" w:eastAsia="Calibri" w:hAnsi="Calibri"/>
                <w:sz w:val="12"/>
                <w:szCs w:val="12"/>
                <w:color w:val="auto"/>
                <w:w w:val="97"/>
              </w:rPr>
              <w:t>$</w:t>
            </w: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40,777</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182"/>
              <w:spacing w:after="0" w:line="135" w:lineRule="exact"/>
              <w:rPr>
                <w:sz w:val="20"/>
                <w:szCs w:val="20"/>
                <w:color w:val="auto"/>
              </w:rPr>
            </w:pPr>
            <w:r>
              <w:rPr>
                <w:rFonts w:ascii="Calibri" w:cs="Calibri" w:eastAsia="Calibri" w:hAnsi="Calibri"/>
                <w:sz w:val="12"/>
                <w:szCs w:val="12"/>
                <w:color w:val="auto"/>
                <w:w w:val="97"/>
              </w:rPr>
              <w:t>$</w:t>
            </w: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74,783</w:t>
            </w:r>
          </w:p>
        </w:tc>
        <w:tc>
          <w:tcPr>
            <w:tcW w:w="56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61,001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
              <w:spacing w:after="0" w:line="135" w:lineRule="exact"/>
              <w:rPr>
                <w:sz w:val="20"/>
                <w:szCs w:val="20"/>
                <w:color w:val="auto"/>
              </w:rPr>
            </w:pPr>
            <w:r>
              <w:rPr>
                <w:rFonts w:ascii="Calibri" w:cs="Calibri" w:eastAsia="Calibri" w:hAnsi="Calibri"/>
                <w:sz w:val="12"/>
                <w:szCs w:val="12"/>
                <w:color w:val="auto"/>
              </w:rPr>
              <w:t>Cash paid for operatng lease liabilites</w:t>
            </w:r>
          </w:p>
        </w:tc>
        <w:tc>
          <w:tcPr>
            <w:tcW w:w="820" w:type="dxa"/>
            <w:vAlign w:val="bottom"/>
          </w:tcPr>
          <w:p>
            <w:pPr>
              <w:jc w:val="right"/>
              <w:ind w:right="682"/>
              <w:spacing w:after="0" w:line="135" w:lineRule="exact"/>
              <w:rPr>
                <w:sz w:val="20"/>
                <w:szCs w:val="20"/>
                <w:color w:val="auto"/>
              </w:rPr>
            </w:pPr>
            <w:r>
              <w:rPr>
                <w:rFonts w:ascii="Calibri" w:cs="Calibri" w:eastAsia="Calibri" w:hAnsi="Calibri"/>
                <w:sz w:val="12"/>
                <w:szCs w:val="12"/>
                <w:color w:val="auto"/>
                <w:w w:val="97"/>
              </w:rPr>
              <w:t>$</w:t>
            </w: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15,400</w:t>
            </w:r>
          </w:p>
        </w:tc>
        <w:tc>
          <w:tcPr>
            <w:tcW w:w="260" w:type="dxa"/>
            <w:vAlign w:val="bottom"/>
          </w:tcPr>
          <w:p>
            <w:pPr>
              <w:spacing w:after="0"/>
              <w:rPr>
                <w:sz w:val="11"/>
                <w:szCs w:val="11"/>
                <w:color w:val="auto"/>
              </w:rPr>
            </w:pPr>
          </w:p>
        </w:tc>
        <w:tc>
          <w:tcPr>
            <w:tcW w:w="32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w w:val="97"/>
              </w:rPr>
              <w:t>$</w:t>
            </w: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19,504</w:t>
            </w:r>
          </w:p>
        </w:tc>
        <w:tc>
          <w:tcPr>
            <w:tcW w:w="56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17,548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20"/>
              <w:spacing w:after="0" w:line="135" w:lineRule="exact"/>
              <w:rPr>
                <w:sz w:val="20"/>
                <w:szCs w:val="20"/>
                <w:color w:val="auto"/>
              </w:rPr>
            </w:pPr>
            <w:r>
              <w:rPr>
                <w:rFonts w:ascii="Calibri" w:cs="Calibri" w:eastAsia="Calibri" w:hAnsi="Calibri"/>
                <w:sz w:val="12"/>
                <w:szCs w:val="12"/>
                <w:color w:val="auto"/>
              </w:rPr>
              <w:t>Cash paid for interest</w:t>
            </w:r>
          </w:p>
        </w:tc>
        <w:tc>
          <w:tcPr>
            <w:tcW w:w="820" w:type="dxa"/>
            <w:vAlign w:val="bottom"/>
            <w:shd w:val="clear" w:color="auto" w:fill="CFF0FC"/>
          </w:tcPr>
          <w:p>
            <w:pPr>
              <w:jc w:val="right"/>
              <w:ind w:right="682"/>
              <w:spacing w:after="0" w:line="135" w:lineRule="exact"/>
              <w:rPr>
                <w:sz w:val="20"/>
                <w:szCs w:val="20"/>
                <w:color w:val="auto"/>
              </w:rPr>
            </w:pPr>
            <w:r>
              <w:rPr>
                <w:rFonts w:ascii="Calibri" w:cs="Calibri" w:eastAsia="Calibri" w:hAnsi="Calibri"/>
                <w:sz w:val="12"/>
                <w:szCs w:val="12"/>
                <w:color w:val="auto"/>
                <w:w w:val="97"/>
              </w:rPr>
              <w:t>$</w:t>
            </w: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772</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182"/>
              <w:spacing w:after="0" w:line="135" w:lineRule="exact"/>
              <w:rPr>
                <w:sz w:val="20"/>
                <w:szCs w:val="20"/>
                <w:color w:val="auto"/>
              </w:rPr>
            </w:pPr>
            <w:r>
              <w:rPr>
                <w:rFonts w:ascii="Calibri" w:cs="Calibri" w:eastAsia="Calibri" w:hAnsi="Calibri"/>
                <w:sz w:val="12"/>
                <w:szCs w:val="12"/>
                <w:color w:val="auto"/>
                <w:w w:val="97"/>
              </w:rPr>
              <w:t>$</w:t>
            </w: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566</w:t>
            </w:r>
          </w:p>
        </w:tc>
        <w:tc>
          <w:tcPr>
            <w:tcW w:w="56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64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
              <w:spacing w:after="0" w:line="135" w:lineRule="exact"/>
              <w:rPr>
                <w:sz w:val="20"/>
                <w:szCs w:val="20"/>
                <w:color w:val="auto"/>
              </w:rPr>
            </w:pPr>
            <w:r>
              <w:rPr>
                <w:rFonts w:ascii="Calibri" w:cs="Calibri" w:eastAsia="Calibri" w:hAnsi="Calibri"/>
                <w:sz w:val="12"/>
                <w:szCs w:val="12"/>
                <w:b w:val="1"/>
                <w:bCs w:val="1"/>
                <w:color w:val="auto"/>
              </w:rPr>
              <w:t>Supplemental noncash disclosure of cash fow informaton:</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620" w:type="dxa"/>
            <w:vAlign w:val="bottom"/>
            <w:shd w:val="clear" w:color="auto" w:fill="CFF0FC"/>
          </w:tcPr>
          <w:p>
            <w:pPr>
              <w:ind w:left="20"/>
              <w:spacing w:after="0" w:line="120" w:lineRule="exact"/>
              <w:rPr>
                <w:sz w:val="20"/>
                <w:szCs w:val="20"/>
                <w:color w:val="auto"/>
              </w:rPr>
            </w:pPr>
            <w:r>
              <w:rPr>
                <w:rFonts w:ascii="Calibri" w:cs="Calibri" w:eastAsia="Calibri" w:hAnsi="Calibri"/>
                <w:sz w:val="12"/>
                <w:szCs w:val="12"/>
                <w:color w:val="auto"/>
              </w:rPr>
              <w:t>Unpaid purchases of property and equipment and capitalized</w:t>
            </w:r>
          </w:p>
        </w:tc>
        <w:tc>
          <w:tcPr>
            <w:tcW w:w="820" w:type="dxa"/>
            <w:vAlign w:val="bottom"/>
            <w:vMerge w:val="restart"/>
            <w:shd w:val="clear" w:color="auto" w:fill="CFF0FC"/>
          </w:tcPr>
          <w:p>
            <w:pPr>
              <w:jc w:val="right"/>
              <w:ind w:right="682"/>
              <w:spacing w:after="0"/>
              <w:rPr>
                <w:sz w:val="20"/>
                <w:szCs w:val="20"/>
                <w:color w:val="auto"/>
              </w:rPr>
            </w:pPr>
            <w:r>
              <w:rPr>
                <w:rFonts w:ascii="Calibri" w:cs="Calibri" w:eastAsia="Calibri" w:hAnsi="Calibri"/>
                <w:sz w:val="12"/>
                <w:szCs w:val="12"/>
                <w:color w:val="auto"/>
                <w:w w:val="97"/>
              </w:rPr>
              <w:t>$</w:t>
            </w:r>
          </w:p>
        </w:tc>
        <w:tc>
          <w:tcPr>
            <w:tcW w:w="500" w:type="dxa"/>
            <w:vAlign w:val="bottom"/>
            <w:vMerge w:val="restart"/>
            <w:shd w:val="clear" w:color="auto" w:fill="CFF0FC"/>
          </w:tcPr>
          <w:p>
            <w:pPr>
              <w:jc w:val="right"/>
              <w:spacing w:after="0"/>
              <w:rPr>
                <w:sz w:val="20"/>
                <w:szCs w:val="20"/>
                <w:color w:val="auto"/>
              </w:rPr>
            </w:pPr>
            <w:r>
              <w:rPr>
                <w:rFonts w:ascii="Calibri" w:cs="Calibri" w:eastAsia="Calibri" w:hAnsi="Calibri"/>
                <w:sz w:val="12"/>
                <w:szCs w:val="12"/>
                <w:color w:val="auto"/>
              </w:rPr>
              <w:t>1,503</w:t>
            </w:r>
          </w:p>
        </w:tc>
        <w:tc>
          <w:tcPr>
            <w:tcW w:w="26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ind w:right="182"/>
              <w:spacing w:after="0"/>
              <w:rPr>
                <w:sz w:val="20"/>
                <w:szCs w:val="20"/>
                <w:color w:val="auto"/>
              </w:rPr>
            </w:pPr>
            <w:r>
              <w:rPr>
                <w:rFonts w:ascii="Calibri" w:cs="Calibri" w:eastAsia="Calibri" w:hAnsi="Calibri"/>
                <w:sz w:val="12"/>
                <w:szCs w:val="12"/>
                <w:color w:val="auto"/>
                <w:w w:val="97"/>
              </w:rPr>
              <w:t>$</w:t>
            </w:r>
          </w:p>
        </w:tc>
        <w:tc>
          <w:tcPr>
            <w:tcW w:w="1020" w:type="dxa"/>
            <w:vAlign w:val="bottom"/>
            <w:vMerge w:val="restart"/>
            <w:shd w:val="clear" w:color="auto" w:fill="CFF0FC"/>
          </w:tcPr>
          <w:p>
            <w:pPr>
              <w:jc w:val="right"/>
              <w:spacing w:after="0"/>
              <w:rPr>
                <w:sz w:val="20"/>
                <w:szCs w:val="20"/>
                <w:color w:val="auto"/>
              </w:rPr>
            </w:pPr>
            <w:r>
              <w:rPr>
                <w:rFonts w:ascii="Calibri" w:cs="Calibri" w:eastAsia="Calibri" w:hAnsi="Calibri"/>
                <w:sz w:val="12"/>
                <w:szCs w:val="12"/>
                <w:color w:val="auto"/>
              </w:rPr>
              <w:t>18,149</w:t>
            </w:r>
          </w:p>
        </w:tc>
        <w:tc>
          <w:tcPr>
            <w:tcW w:w="560" w:type="dxa"/>
            <w:vAlign w:val="bottom"/>
            <w:gridSpan w:val="2"/>
            <w:vMerge w:val="restart"/>
            <w:shd w:val="clear" w:color="auto" w:fill="CFF0FC"/>
          </w:tcPr>
          <w:p>
            <w:pPr>
              <w:jc w:val="right"/>
              <w:ind w:right="240"/>
              <w:spacing w:after="0"/>
              <w:rPr>
                <w:sz w:val="20"/>
                <w:szCs w:val="20"/>
                <w:color w:val="auto"/>
              </w:rPr>
            </w:pPr>
            <w:r>
              <w:rPr>
                <w:rFonts w:ascii="Calibri" w:cs="Calibri" w:eastAsia="Calibri" w:hAnsi="Calibri"/>
                <w:sz w:val="12"/>
                <w:szCs w:val="12"/>
                <w:color w:val="auto"/>
              </w:rPr>
              <w:t>$</w:t>
            </w:r>
          </w:p>
        </w:tc>
        <w:tc>
          <w:tcPr>
            <w:tcW w:w="1040" w:type="dxa"/>
            <w:vAlign w:val="bottom"/>
            <w:vMerge w:val="restart"/>
            <w:shd w:val="clear" w:color="auto" w:fill="CFF0FC"/>
          </w:tcPr>
          <w:p>
            <w:pPr>
              <w:jc w:val="right"/>
              <w:spacing w:after="0"/>
              <w:rPr>
                <w:sz w:val="20"/>
                <w:szCs w:val="20"/>
                <w:color w:val="auto"/>
              </w:rPr>
            </w:pPr>
            <w:r>
              <w:rPr>
                <w:rFonts w:ascii="Calibri" w:cs="Calibri" w:eastAsia="Calibri" w:hAnsi="Calibri"/>
                <w:sz w:val="12"/>
                <w:szCs w:val="12"/>
                <w:color w:val="auto"/>
              </w:rPr>
              <w:t>1,927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20" w:type="dxa"/>
            <w:vAlign w:val="bottom"/>
            <w:vMerge w:val="restart"/>
            <w:shd w:val="clear" w:color="auto" w:fill="CFF0FC"/>
          </w:tcPr>
          <w:p>
            <w:pPr>
              <w:ind w:left="80"/>
              <w:spacing w:after="0" w:line="138" w:lineRule="exact"/>
              <w:rPr>
                <w:sz w:val="20"/>
                <w:szCs w:val="20"/>
                <w:color w:val="auto"/>
              </w:rPr>
            </w:pPr>
            <w:r>
              <w:rPr>
                <w:rFonts w:ascii="Calibri" w:cs="Calibri" w:eastAsia="Calibri" w:hAnsi="Calibri"/>
                <w:sz w:val="12"/>
                <w:szCs w:val="12"/>
                <w:color w:val="auto"/>
              </w:rPr>
              <w:t>hostng arrangements</w:t>
            </w:r>
          </w:p>
        </w:tc>
        <w:tc>
          <w:tcPr>
            <w:tcW w:w="820" w:type="dxa"/>
            <w:vAlign w:val="bottom"/>
            <w:vMerge w:val="continue"/>
            <w:shd w:val="clear" w:color="auto" w:fill="CFF0FC"/>
          </w:tcPr>
          <w:p>
            <w:pPr>
              <w:spacing w:after="0"/>
              <w:rPr>
                <w:sz w:val="6"/>
                <w:szCs w:val="6"/>
                <w:color w:val="auto"/>
              </w:rPr>
            </w:pPr>
          </w:p>
        </w:tc>
        <w:tc>
          <w:tcPr>
            <w:tcW w:w="50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320" w:type="dxa"/>
            <w:vAlign w:val="bottom"/>
            <w:vMerge w:val="continue"/>
            <w:shd w:val="clear" w:color="auto" w:fill="CFF0FC"/>
          </w:tcPr>
          <w:p>
            <w:pPr>
              <w:spacing w:after="0"/>
              <w:rPr>
                <w:sz w:val="6"/>
                <w:szCs w:val="6"/>
                <w:color w:val="auto"/>
              </w:rPr>
            </w:pPr>
          </w:p>
        </w:tc>
        <w:tc>
          <w:tcPr>
            <w:tcW w:w="1020" w:type="dxa"/>
            <w:vAlign w:val="bottom"/>
            <w:vMerge w:val="continue"/>
            <w:shd w:val="clear" w:color="auto" w:fill="CFF0FC"/>
          </w:tcPr>
          <w:p>
            <w:pPr>
              <w:spacing w:after="0"/>
              <w:rPr>
                <w:sz w:val="6"/>
                <w:szCs w:val="6"/>
                <w:color w:val="auto"/>
              </w:rPr>
            </w:pPr>
          </w:p>
        </w:tc>
        <w:tc>
          <w:tcPr>
            <w:tcW w:w="560" w:type="dxa"/>
            <w:vAlign w:val="bottom"/>
            <w:gridSpan w:val="2"/>
            <w:vMerge w:val="continue"/>
            <w:shd w:val="clear" w:color="auto" w:fill="CFF0FC"/>
          </w:tcPr>
          <w:p>
            <w:pPr>
              <w:spacing w:after="0"/>
              <w:rPr>
                <w:sz w:val="6"/>
                <w:szCs w:val="6"/>
                <w:color w:val="auto"/>
              </w:rPr>
            </w:pPr>
          </w:p>
        </w:tc>
        <w:tc>
          <w:tcPr>
            <w:tcW w:w="10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620" w:type="dxa"/>
            <w:vAlign w:val="bottom"/>
            <w:vMerge w:val="continue"/>
            <w:shd w:val="clear" w:color="auto" w:fill="CFF0FC"/>
          </w:tcPr>
          <w:p>
            <w:pPr>
              <w:spacing w:after="0"/>
              <w:rPr>
                <w:sz w:val="6"/>
                <w:szCs w:val="6"/>
                <w:color w:val="auto"/>
              </w:rPr>
            </w:pPr>
          </w:p>
        </w:tc>
        <w:tc>
          <w:tcPr>
            <w:tcW w:w="82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620" w:type="dxa"/>
            <w:vAlign w:val="bottom"/>
          </w:tcPr>
          <w:p>
            <w:pPr>
              <w:ind w:left="20"/>
              <w:spacing w:after="0" w:line="120" w:lineRule="exact"/>
              <w:rPr>
                <w:sz w:val="20"/>
                <w:szCs w:val="20"/>
                <w:color w:val="auto"/>
              </w:rPr>
            </w:pPr>
            <w:r>
              <w:rPr>
                <w:rFonts w:ascii="Calibri" w:cs="Calibri" w:eastAsia="Calibri" w:hAnsi="Calibri"/>
                <w:sz w:val="12"/>
                <w:szCs w:val="12"/>
                <w:color w:val="auto"/>
              </w:rPr>
              <w:t>Capitalized stock-based compensaton expense in website development and</w:t>
            </w:r>
          </w:p>
        </w:tc>
        <w:tc>
          <w:tcPr>
            <w:tcW w:w="820" w:type="dxa"/>
            <w:vAlign w:val="bottom"/>
            <w:vMerge w:val="restart"/>
          </w:tcPr>
          <w:p>
            <w:pPr>
              <w:jc w:val="right"/>
              <w:ind w:right="682"/>
              <w:spacing w:after="0"/>
              <w:rPr>
                <w:sz w:val="20"/>
                <w:szCs w:val="20"/>
                <w:color w:val="auto"/>
              </w:rPr>
            </w:pPr>
            <w:r>
              <w:rPr>
                <w:rFonts w:ascii="Calibri" w:cs="Calibri" w:eastAsia="Calibri" w:hAnsi="Calibri"/>
                <w:sz w:val="12"/>
                <w:szCs w:val="12"/>
                <w:color w:val="auto"/>
                <w:w w:val="97"/>
              </w:rPr>
              <w:t>$</w:t>
            </w:r>
          </w:p>
        </w:tc>
        <w:tc>
          <w:tcPr>
            <w:tcW w:w="500" w:type="dxa"/>
            <w:vAlign w:val="bottom"/>
            <w:vMerge w:val="restart"/>
          </w:tcPr>
          <w:p>
            <w:pPr>
              <w:jc w:val="right"/>
              <w:spacing w:after="0"/>
              <w:rPr>
                <w:sz w:val="20"/>
                <w:szCs w:val="20"/>
                <w:color w:val="auto"/>
              </w:rPr>
            </w:pPr>
            <w:r>
              <w:rPr>
                <w:rFonts w:ascii="Calibri" w:cs="Calibri" w:eastAsia="Calibri" w:hAnsi="Calibri"/>
                <w:sz w:val="12"/>
                <w:szCs w:val="12"/>
                <w:color w:val="auto"/>
              </w:rPr>
              <w:t>6,546</w:t>
            </w:r>
          </w:p>
        </w:tc>
        <w:tc>
          <w:tcPr>
            <w:tcW w:w="260" w:type="dxa"/>
            <w:vAlign w:val="bottom"/>
          </w:tcPr>
          <w:p>
            <w:pPr>
              <w:spacing w:after="0"/>
              <w:rPr>
                <w:sz w:val="10"/>
                <w:szCs w:val="10"/>
                <w:color w:val="auto"/>
              </w:rPr>
            </w:pPr>
          </w:p>
        </w:tc>
        <w:tc>
          <w:tcPr>
            <w:tcW w:w="320" w:type="dxa"/>
            <w:vAlign w:val="bottom"/>
            <w:vMerge w:val="restart"/>
          </w:tcPr>
          <w:p>
            <w:pPr>
              <w:jc w:val="right"/>
              <w:ind w:right="182"/>
              <w:spacing w:after="0"/>
              <w:rPr>
                <w:sz w:val="20"/>
                <w:szCs w:val="20"/>
                <w:color w:val="auto"/>
              </w:rPr>
            </w:pPr>
            <w:r>
              <w:rPr>
                <w:rFonts w:ascii="Calibri" w:cs="Calibri" w:eastAsia="Calibri" w:hAnsi="Calibri"/>
                <w:sz w:val="12"/>
                <w:szCs w:val="12"/>
                <w:color w:val="auto"/>
                <w:w w:val="97"/>
              </w:rPr>
              <w:t>$</w:t>
            </w:r>
          </w:p>
        </w:tc>
        <w:tc>
          <w:tcPr>
            <w:tcW w:w="1020" w:type="dxa"/>
            <w:vAlign w:val="bottom"/>
            <w:vMerge w:val="restart"/>
          </w:tcPr>
          <w:p>
            <w:pPr>
              <w:jc w:val="right"/>
              <w:spacing w:after="0"/>
              <w:rPr>
                <w:sz w:val="20"/>
                <w:szCs w:val="20"/>
                <w:color w:val="auto"/>
              </w:rPr>
            </w:pPr>
            <w:r>
              <w:rPr>
                <w:rFonts w:ascii="Calibri" w:cs="Calibri" w:eastAsia="Calibri" w:hAnsi="Calibri"/>
                <w:sz w:val="12"/>
                <w:szCs w:val="12"/>
                <w:color w:val="auto"/>
              </w:rPr>
              <w:t>5,472</w:t>
            </w:r>
          </w:p>
        </w:tc>
        <w:tc>
          <w:tcPr>
            <w:tcW w:w="560" w:type="dxa"/>
            <w:vAlign w:val="bottom"/>
            <w:gridSpan w:val="2"/>
            <w:vMerge w:val="restart"/>
          </w:tcPr>
          <w:p>
            <w:pPr>
              <w:jc w:val="right"/>
              <w:ind w:right="240"/>
              <w:spacing w:after="0"/>
              <w:rPr>
                <w:sz w:val="20"/>
                <w:szCs w:val="20"/>
                <w:color w:val="auto"/>
              </w:rPr>
            </w:pPr>
            <w:r>
              <w:rPr>
                <w:rFonts w:ascii="Calibri" w:cs="Calibri" w:eastAsia="Calibri" w:hAnsi="Calibri"/>
                <w:sz w:val="12"/>
                <w:szCs w:val="12"/>
                <w:color w:val="auto"/>
              </w:rPr>
              <w:t>$</w:t>
            </w:r>
          </w:p>
        </w:tc>
        <w:tc>
          <w:tcPr>
            <w:tcW w:w="1040" w:type="dxa"/>
            <w:vAlign w:val="bottom"/>
            <w:vMerge w:val="restart"/>
          </w:tcPr>
          <w:p>
            <w:pPr>
              <w:jc w:val="right"/>
              <w:spacing w:after="0"/>
              <w:rPr>
                <w:sz w:val="20"/>
                <w:szCs w:val="20"/>
                <w:color w:val="auto"/>
              </w:rPr>
            </w:pPr>
            <w:r>
              <w:rPr>
                <w:rFonts w:ascii="Calibri" w:cs="Calibri" w:eastAsia="Calibri" w:hAnsi="Calibri"/>
                <w:sz w:val="12"/>
                <w:szCs w:val="12"/>
                <w:color w:val="auto"/>
              </w:rPr>
              <w:t>4,468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20" w:type="dxa"/>
            <w:vAlign w:val="bottom"/>
            <w:vMerge w:val="restart"/>
          </w:tcPr>
          <w:p>
            <w:pPr>
              <w:ind w:left="80"/>
              <w:spacing w:after="0" w:line="138" w:lineRule="exact"/>
              <w:rPr>
                <w:sz w:val="20"/>
                <w:szCs w:val="20"/>
                <w:color w:val="auto"/>
              </w:rPr>
            </w:pPr>
            <w:r>
              <w:rPr>
                <w:rFonts w:ascii="Calibri" w:cs="Calibri" w:eastAsia="Calibri" w:hAnsi="Calibri"/>
                <w:sz w:val="12"/>
                <w:szCs w:val="12"/>
                <w:color w:val="auto"/>
              </w:rPr>
              <w:t>internal-use sofware costs and hostng arrangements</w:t>
            </w:r>
          </w:p>
        </w:tc>
        <w:tc>
          <w:tcPr>
            <w:tcW w:w="8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66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6620" w:type="dxa"/>
            <w:vAlign w:val="bottom"/>
            <w:shd w:val="clear" w:color="auto" w:fill="CFF0FC"/>
          </w:tcPr>
          <w:p>
            <w:pPr>
              <w:ind w:left="20"/>
              <w:spacing w:after="0" w:line="141" w:lineRule="exact"/>
              <w:rPr>
                <w:sz w:val="20"/>
                <w:szCs w:val="20"/>
                <w:color w:val="auto"/>
              </w:rPr>
            </w:pPr>
            <w:r>
              <w:rPr>
                <w:rFonts w:ascii="Calibri" w:cs="Calibri" w:eastAsia="Calibri" w:hAnsi="Calibri"/>
                <w:sz w:val="12"/>
                <w:szCs w:val="12"/>
                <w:color w:val="auto"/>
              </w:rPr>
              <w:t>Unpaid withholding taxes on net share setlement of restricted stock units</w:t>
            </w:r>
          </w:p>
        </w:tc>
        <w:tc>
          <w:tcPr>
            <w:tcW w:w="820" w:type="dxa"/>
            <w:vAlign w:val="bottom"/>
            <w:shd w:val="clear" w:color="auto" w:fill="CFF0FC"/>
          </w:tcPr>
          <w:p>
            <w:pPr>
              <w:jc w:val="right"/>
              <w:ind w:right="682"/>
              <w:spacing w:after="0" w:line="141" w:lineRule="exact"/>
              <w:rPr>
                <w:sz w:val="20"/>
                <w:szCs w:val="20"/>
                <w:color w:val="auto"/>
              </w:rPr>
            </w:pPr>
            <w:r>
              <w:rPr>
                <w:rFonts w:ascii="Calibri" w:cs="Calibri" w:eastAsia="Calibri" w:hAnsi="Calibri"/>
                <w:sz w:val="12"/>
                <w:szCs w:val="12"/>
                <w:color w:val="auto"/>
                <w:w w:val="97"/>
              </w:rPr>
              <w:t>$</w:t>
            </w:r>
          </w:p>
        </w:tc>
        <w:tc>
          <w:tcPr>
            <w:tcW w:w="500" w:type="dxa"/>
            <w:vAlign w:val="bottom"/>
            <w:shd w:val="clear" w:color="auto" w:fill="CFF0FC"/>
          </w:tcPr>
          <w:p>
            <w:pPr>
              <w:jc w:val="right"/>
              <w:spacing w:after="0" w:line="141" w:lineRule="exact"/>
              <w:rPr>
                <w:sz w:val="20"/>
                <w:szCs w:val="20"/>
                <w:color w:val="auto"/>
              </w:rPr>
            </w:pPr>
            <w:r>
              <w:rPr>
                <w:rFonts w:ascii="Calibri" w:cs="Calibri" w:eastAsia="Calibri" w:hAnsi="Calibri"/>
                <w:sz w:val="12"/>
                <w:szCs w:val="12"/>
                <w:color w:val="auto"/>
              </w:rPr>
              <w:t>123</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2"/>
              <w:spacing w:after="0" w:line="141" w:lineRule="exact"/>
              <w:rPr>
                <w:sz w:val="20"/>
                <w:szCs w:val="20"/>
                <w:color w:val="auto"/>
              </w:rPr>
            </w:pPr>
            <w:r>
              <w:rPr>
                <w:rFonts w:ascii="Calibri" w:cs="Calibri" w:eastAsia="Calibri" w:hAnsi="Calibri"/>
                <w:sz w:val="12"/>
                <w:szCs w:val="12"/>
                <w:color w:val="auto"/>
                <w:w w:val="97"/>
              </w:rPr>
              <w:t>$</w:t>
            </w:r>
          </w:p>
        </w:tc>
        <w:tc>
          <w:tcPr>
            <w:tcW w:w="1020" w:type="dxa"/>
            <w:vAlign w:val="bottom"/>
            <w:shd w:val="clear" w:color="auto" w:fill="CFF0FC"/>
          </w:tcPr>
          <w:p>
            <w:pPr>
              <w:jc w:val="right"/>
              <w:spacing w:after="0" w:line="141" w:lineRule="exact"/>
              <w:rPr>
                <w:sz w:val="20"/>
                <w:szCs w:val="20"/>
                <w:color w:val="auto"/>
              </w:rPr>
            </w:pPr>
            <w:r>
              <w:rPr>
                <w:rFonts w:ascii="Calibri" w:cs="Calibri" w:eastAsia="Calibri" w:hAnsi="Calibri"/>
                <w:sz w:val="12"/>
                <w:szCs w:val="12"/>
                <w:color w:val="auto"/>
              </w:rPr>
              <w:t>137</w:t>
            </w:r>
          </w:p>
        </w:tc>
        <w:tc>
          <w:tcPr>
            <w:tcW w:w="560" w:type="dxa"/>
            <w:vAlign w:val="bottom"/>
            <w:gridSpan w:val="2"/>
            <w:shd w:val="clear" w:color="auto" w:fill="CFF0FC"/>
          </w:tcPr>
          <w:p>
            <w:pPr>
              <w:jc w:val="right"/>
              <w:ind w:right="240"/>
              <w:spacing w:after="0" w:line="141" w:lineRule="exact"/>
              <w:rPr>
                <w:sz w:val="20"/>
                <w:szCs w:val="20"/>
                <w:color w:val="auto"/>
              </w:rPr>
            </w:pPr>
            <w:r>
              <w:rPr>
                <w:rFonts w:ascii="Calibri" w:cs="Calibri" w:eastAsia="Calibri" w:hAnsi="Calibri"/>
                <w:sz w:val="12"/>
                <w:szCs w:val="12"/>
                <w:color w:val="auto"/>
              </w:rPr>
              <w:t>$</w:t>
            </w:r>
          </w:p>
        </w:tc>
        <w:tc>
          <w:tcPr>
            <w:tcW w:w="1040" w:type="dxa"/>
            <w:vAlign w:val="bottom"/>
            <w:shd w:val="clear" w:color="auto" w:fill="CFF0FC"/>
          </w:tcPr>
          <w:p>
            <w:pPr>
              <w:jc w:val="right"/>
              <w:spacing w:after="0" w:line="141" w:lineRule="exact"/>
              <w:rPr>
                <w:sz w:val="20"/>
                <w:szCs w:val="20"/>
                <w:color w:val="auto"/>
              </w:rPr>
            </w:pPr>
            <w:r>
              <w:rPr>
                <w:rFonts w:ascii="Calibri" w:cs="Calibri" w:eastAsia="Calibri" w:hAnsi="Calibri"/>
                <w:sz w:val="12"/>
                <w:szCs w:val="12"/>
                <w:color w:val="auto"/>
              </w:rPr>
              <w:t>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
              <w:spacing w:after="0" w:line="135" w:lineRule="exact"/>
              <w:rPr>
                <w:sz w:val="20"/>
                <w:szCs w:val="20"/>
                <w:color w:val="auto"/>
              </w:rPr>
            </w:pPr>
            <w:r>
              <w:rPr>
                <w:rFonts w:ascii="Calibri" w:cs="Calibri" w:eastAsia="Calibri" w:hAnsi="Calibri"/>
                <w:sz w:val="12"/>
                <w:szCs w:val="12"/>
                <w:color w:val="auto"/>
              </w:rPr>
              <w:t>Unpaid repurchases of common stock</w:t>
            </w:r>
          </w:p>
        </w:tc>
        <w:tc>
          <w:tcPr>
            <w:tcW w:w="820" w:type="dxa"/>
            <w:vAlign w:val="bottom"/>
          </w:tcPr>
          <w:p>
            <w:pPr>
              <w:jc w:val="right"/>
              <w:ind w:right="682"/>
              <w:spacing w:after="0" w:line="135" w:lineRule="exact"/>
              <w:rPr>
                <w:sz w:val="20"/>
                <w:szCs w:val="20"/>
                <w:color w:val="auto"/>
              </w:rPr>
            </w:pPr>
            <w:r>
              <w:rPr>
                <w:rFonts w:ascii="Calibri" w:cs="Calibri" w:eastAsia="Calibri" w:hAnsi="Calibri"/>
                <w:sz w:val="12"/>
                <w:szCs w:val="12"/>
                <w:color w:val="auto"/>
                <w:w w:val="97"/>
              </w:rPr>
              <w:t>$</w:t>
            </w: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tcPr>
          <w:p>
            <w:pPr>
              <w:spacing w:after="0"/>
              <w:rPr>
                <w:sz w:val="11"/>
                <w:szCs w:val="11"/>
                <w:color w:val="auto"/>
              </w:rPr>
            </w:pPr>
          </w:p>
        </w:tc>
        <w:tc>
          <w:tcPr>
            <w:tcW w:w="32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w w:val="97"/>
              </w:rPr>
              <w:t>$</w:t>
            </w: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w:t>
            </w:r>
          </w:p>
        </w:tc>
        <w:tc>
          <w:tcPr>
            <w:tcW w:w="56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4,289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20"/>
              <w:spacing w:after="0" w:line="135" w:lineRule="exact"/>
              <w:rPr>
                <w:sz w:val="20"/>
                <w:szCs w:val="20"/>
                <w:color w:val="auto"/>
              </w:rPr>
            </w:pPr>
            <w:r>
              <w:rPr>
                <w:rFonts w:ascii="Calibri" w:cs="Calibri" w:eastAsia="Calibri" w:hAnsi="Calibri"/>
                <w:sz w:val="12"/>
                <w:szCs w:val="12"/>
                <w:color w:val="auto"/>
              </w:rPr>
              <w:t>Unpaid excise tax on repurchases of common stock</w:t>
            </w:r>
          </w:p>
        </w:tc>
        <w:tc>
          <w:tcPr>
            <w:tcW w:w="820" w:type="dxa"/>
            <w:vAlign w:val="bottom"/>
            <w:shd w:val="clear" w:color="auto" w:fill="CFF0FC"/>
          </w:tcPr>
          <w:p>
            <w:pPr>
              <w:jc w:val="right"/>
              <w:ind w:right="682"/>
              <w:spacing w:after="0" w:line="135" w:lineRule="exact"/>
              <w:rPr>
                <w:sz w:val="20"/>
                <w:szCs w:val="20"/>
                <w:color w:val="auto"/>
              </w:rPr>
            </w:pPr>
            <w:r>
              <w:rPr>
                <w:rFonts w:ascii="Calibri" w:cs="Calibri" w:eastAsia="Calibri" w:hAnsi="Calibri"/>
                <w:sz w:val="12"/>
                <w:szCs w:val="12"/>
                <w:color w:val="auto"/>
                <w:w w:val="97"/>
              </w:rPr>
              <w:t>$</w:t>
            </w: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680</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182"/>
              <w:spacing w:after="0" w:line="135" w:lineRule="exact"/>
              <w:rPr>
                <w:sz w:val="20"/>
                <w:szCs w:val="20"/>
                <w:color w:val="auto"/>
              </w:rPr>
            </w:pPr>
            <w:r>
              <w:rPr>
                <w:rFonts w:ascii="Calibri" w:cs="Calibri" w:eastAsia="Calibri" w:hAnsi="Calibri"/>
                <w:sz w:val="12"/>
                <w:szCs w:val="12"/>
                <w:color w:val="auto"/>
                <w:w w:val="97"/>
              </w:rPr>
              <w:t>$</w:t>
            </w: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1,584</w:t>
            </w:r>
          </w:p>
        </w:tc>
        <w:tc>
          <w:tcPr>
            <w:tcW w:w="56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4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tcPr>
          <w:p>
            <w:pPr>
              <w:ind w:left="20"/>
              <w:spacing w:after="0" w:line="135" w:lineRule="exact"/>
              <w:rPr>
                <w:sz w:val="20"/>
                <w:szCs w:val="20"/>
                <w:color w:val="auto"/>
              </w:rPr>
            </w:pPr>
            <w:r>
              <w:rPr>
                <w:rFonts w:ascii="Calibri" w:cs="Calibri" w:eastAsia="Calibri" w:hAnsi="Calibri"/>
                <w:sz w:val="12"/>
                <w:szCs w:val="12"/>
                <w:color w:val="auto"/>
              </w:rPr>
              <w:t>Obtaining a right-of-use asset in exchange for an operatng lease liability</w:t>
            </w:r>
          </w:p>
        </w:tc>
        <w:tc>
          <w:tcPr>
            <w:tcW w:w="820" w:type="dxa"/>
            <w:vAlign w:val="bottom"/>
          </w:tcPr>
          <w:p>
            <w:pPr>
              <w:jc w:val="right"/>
              <w:ind w:right="682"/>
              <w:spacing w:after="0" w:line="135" w:lineRule="exact"/>
              <w:rPr>
                <w:sz w:val="20"/>
                <w:szCs w:val="20"/>
                <w:color w:val="auto"/>
              </w:rPr>
            </w:pPr>
            <w:r>
              <w:rPr>
                <w:rFonts w:ascii="Calibri" w:cs="Calibri" w:eastAsia="Calibri" w:hAnsi="Calibri"/>
                <w:sz w:val="12"/>
                <w:szCs w:val="12"/>
                <w:color w:val="auto"/>
                <w:w w:val="97"/>
              </w:rPr>
              <w:t>$</w:t>
            </w:r>
          </w:p>
        </w:tc>
        <w:tc>
          <w:tcPr>
            <w:tcW w:w="500" w:type="dxa"/>
            <w:vAlign w:val="bottom"/>
          </w:tcPr>
          <w:p>
            <w:pPr>
              <w:jc w:val="right"/>
              <w:spacing w:after="0" w:line="135" w:lineRule="exact"/>
              <w:rPr>
                <w:sz w:val="20"/>
                <w:szCs w:val="20"/>
                <w:color w:val="auto"/>
              </w:rPr>
            </w:pPr>
            <w:r>
              <w:rPr>
                <w:rFonts w:ascii="Calibri" w:cs="Calibri" w:eastAsia="Calibri" w:hAnsi="Calibri"/>
                <w:sz w:val="12"/>
                <w:szCs w:val="12"/>
                <w:color w:val="auto"/>
              </w:rPr>
              <w:t>(5,029</w:t>
            </w:r>
          </w:p>
        </w:tc>
        <w:tc>
          <w:tcPr>
            <w:tcW w:w="260" w:type="dxa"/>
            <w:vAlign w:val="bottom"/>
          </w:tcPr>
          <w:p>
            <w:pPr>
              <w:jc w:val="right"/>
              <w:ind w:right="142"/>
              <w:spacing w:after="0" w:line="135" w:lineRule="exact"/>
              <w:rPr>
                <w:sz w:val="20"/>
                <w:szCs w:val="20"/>
                <w:color w:val="auto"/>
              </w:rPr>
            </w:pPr>
            <w:r>
              <w:rPr>
                <w:rFonts w:ascii="Calibri" w:cs="Calibri" w:eastAsia="Calibri" w:hAnsi="Calibri"/>
                <w:sz w:val="12"/>
                <w:szCs w:val="12"/>
                <w:color w:val="auto"/>
              </w:rPr>
              <w:t>)</w:t>
            </w:r>
          </w:p>
        </w:tc>
        <w:tc>
          <w:tcPr>
            <w:tcW w:w="320" w:type="dxa"/>
            <w:vAlign w:val="bottom"/>
          </w:tcPr>
          <w:p>
            <w:pPr>
              <w:jc w:val="right"/>
              <w:ind w:right="182"/>
              <w:spacing w:after="0" w:line="135" w:lineRule="exact"/>
              <w:rPr>
                <w:sz w:val="20"/>
                <w:szCs w:val="20"/>
                <w:color w:val="auto"/>
              </w:rPr>
            </w:pPr>
            <w:r>
              <w:rPr>
                <w:rFonts w:ascii="Calibri" w:cs="Calibri" w:eastAsia="Calibri" w:hAnsi="Calibri"/>
                <w:sz w:val="12"/>
                <w:szCs w:val="12"/>
                <w:color w:val="auto"/>
                <w:w w:val="97"/>
              </w:rPr>
              <w:t>$</w:t>
            </w:r>
          </w:p>
        </w:tc>
        <w:tc>
          <w:tcPr>
            <w:tcW w:w="1020" w:type="dxa"/>
            <w:vAlign w:val="bottom"/>
          </w:tcPr>
          <w:p>
            <w:pPr>
              <w:jc w:val="right"/>
              <w:spacing w:after="0" w:line="135" w:lineRule="exact"/>
              <w:rPr>
                <w:sz w:val="20"/>
                <w:szCs w:val="20"/>
                <w:color w:val="auto"/>
              </w:rPr>
            </w:pPr>
            <w:r>
              <w:rPr>
                <w:rFonts w:ascii="Calibri" w:cs="Calibri" w:eastAsia="Calibri" w:hAnsi="Calibri"/>
                <w:sz w:val="12"/>
                <w:szCs w:val="12"/>
                <w:color w:val="auto"/>
              </w:rPr>
              <w:t>149,185</w:t>
            </w:r>
          </w:p>
        </w:tc>
        <w:tc>
          <w:tcPr>
            <w:tcW w:w="560" w:type="dxa"/>
            <w:vAlign w:val="bottom"/>
            <w:gridSpan w:val="2"/>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040" w:type="dxa"/>
            <w:vAlign w:val="bottom"/>
          </w:tcPr>
          <w:p>
            <w:pPr>
              <w:jc w:val="right"/>
              <w:spacing w:after="0" w:line="135" w:lineRule="exact"/>
              <w:rPr>
                <w:sz w:val="20"/>
                <w:szCs w:val="20"/>
                <w:color w:val="auto"/>
              </w:rPr>
            </w:pPr>
            <w:r>
              <w:rPr>
                <w:rFonts w:ascii="Calibri" w:cs="Calibri" w:eastAsia="Calibri" w:hAnsi="Calibri"/>
                <w:sz w:val="12"/>
                <w:szCs w:val="12"/>
                <w:color w:val="auto"/>
              </w:rPr>
              <w:t>9,845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20" w:type="dxa"/>
            <w:vAlign w:val="bottom"/>
            <w:shd w:val="clear" w:color="auto" w:fill="CFF0FC"/>
          </w:tcPr>
          <w:p>
            <w:pPr>
              <w:ind w:left="20"/>
              <w:spacing w:after="0" w:line="135" w:lineRule="exact"/>
              <w:rPr>
                <w:sz w:val="20"/>
                <w:szCs w:val="20"/>
                <w:color w:val="auto"/>
              </w:rPr>
            </w:pPr>
            <w:r>
              <w:rPr>
                <w:rFonts w:ascii="Calibri" w:cs="Calibri" w:eastAsia="Calibri" w:hAnsi="Calibri"/>
                <w:sz w:val="12"/>
                <w:szCs w:val="12"/>
                <w:color w:val="auto"/>
              </w:rPr>
              <w:t>Accreton of redeemable noncontrolling interest to redempton value</w:t>
            </w:r>
          </w:p>
        </w:tc>
        <w:tc>
          <w:tcPr>
            <w:tcW w:w="820" w:type="dxa"/>
            <w:vAlign w:val="bottom"/>
            <w:shd w:val="clear" w:color="auto" w:fill="CFF0FC"/>
          </w:tcPr>
          <w:p>
            <w:pPr>
              <w:jc w:val="right"/>
              <w:ind w:right="682"/>
              <w:spacing w:after="0" w:line="135" w:lineRule="exact"/>
              <w:rPr>
                <w:sz w:val="20"/>
                <w:szCs w:val="20"/>
                <w:color w:val="auto"/>
              </w:rPr>
            </w:pPr>
            <w:r>
              <w:rPr>
                <w:rFonts w:ascii="Calibri" w:cs="Calibri" w:eastAsia="Calibri" w:hAnsi="Calibri"/>
                <w:sz w:val="12"/>
                <w:szCs w:val="12"/>
                <w:color w:val="auto"/>
                <w:w w:val="97"/>
              </w:rPr>
              <w:t>$</w:t>
            </w:r>
          </w:p>
        </w:tc>
        <w:tc>
          <w:tcPr>
            <w:tcW w:w="50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182"/>
              <w:spacing w:after="0" w:line="135" w:lineRule="exact"/>
              <w:rPr>
                <w:sz w:val="20"/>
                <w:szCs w:val="20"/>
                <w:color w:val="auto"/>
              </w:rPr>
            </w:pPr>
            <w:r>
              <w:rPr>
                <w:rFonts w:ascii="Calibri" w:cs="Calibri" w:eastAsia="Calibri" w:hAnsi="Calibri"/>
                <w:sz w:val="12"/>
                <w:szCs w:val="12"/>
                <w:color w:val="auto"/>
                <w:w w:val="97"/>
              </w:rPr>
              <w:t>$</w:t>
            </w:r>
          </w:p>
        </w:tc>
        <w:tc>
          <w:tcPr>
            <w:tcW w:w="1020" w:type="dxa"/>
            <w:vAlign w:val="bottom"/>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560" w:type="dxa"/>
            <w:vAlign w:val="bottom"/>
            <w:gridSpan w:val="2"/>
            <w:shd w:val="clear" w:color="auto" w:fill="CFF0FC"/>
          </w:tcPr>
          <w:p>
            <w:pPr>
              <w:jc w:val="right"/>
              <w:ind w:right="240"/>
              <w:spacing w:after="0" w:line="135" w:lineRule="exact"/>
              <w:rPr>
                <w:sz w:val="20"/>
                <w:szCs w:val="20"/>
                <w:color w:val="auto"/>
              </w:rPr>
            </w:pPr>
            <w:r>
              <w:rPr>
                <w:rFonts w:ascii="Calibri" w:cs="Calibri" w:eastAsia="Calibri" w:hAnsi="Calibri"/>
                <w:sz w:val="12"/>
                <w:szCs w:val="12"/>
                <w:color w:val="auto"/>
              </w:rPr>
              <w:t>$</w:t>
            </w:r>
          </w:p>
        </w:tc>
        <w:tc>
          <w:tcPr>
            <w:tcW w:w="1140" w:type="dxa"/>
            <w:vAlign w:val="bottom"/>
            <w:gridSpan w:val="2"/>
            <w:shd w:val="clear" w:color="auto" w:fill="CFF0FC"/>
          </w:tcPr>
          <w:p>
            <w:pPr>
              <w:jc w:val="right"/>
              <w:ind w:right="13"/>
              <w:spacing w:after="0" w:line="135" w:lineRule="exact"/>
              <w:rPr>
                <w:sz w:val="20"/>
                <w:szCs w:val="20"/>
                <w:color w:val="auto"/>
              </w:rPr>
            </w:pPr>
            <w:r>
              <w:rPr>
                <w:rFonts w:ascii="Calibri" w:cs="Calibri" w:eastAsia="Calibri" w:hAnsi="Calibri"/>
                <w:sz w:val="12"/>
                <w:szCs w:val="12"/>
                <w:color w:val="auto"/>
              </w:rPr>
              <w:t>(109,398 )</w:t>
            </w:r>
          </w:p>
        </w:tc>
        <w:tc>
          <w:tcPr>
            <w:tcW w:w="0" w:type="dxa"/>
            <w:vAlign w:val="bottom"/>
          </w:tcPr>
          <w:p>
            <w:pPr>
              <w:spacing w:after="0"/>
              <w:rPr>
                <w:sz w:val="1"/>
                <w:szCs w:val="1"/>
                <w:color w:val="auto"/>
              </w:rPr>
            </w:pPr>
          </w:p>
        </w:tc>
      </w:tr>
      <w:tr>
        <w:trPr>
          <w:trHeight w:val="138"/>
        </w:trPr>
        <w:tc>
          <w:tcPr>
            <w:tcW w:w="6620" w:type="dxa"/>
            <w:vAlign w:val="bottom"/>
          </w:tcPr>
          <w:p>
            <w:pPr>
              <w:ind w:left="20"/>
              <w:spacing w:after="0" w:line="138" w:lineRule="exact"/>
              <w:rPr>
                <w:sz w:val="20"/>
                <w:szCs w:val="20"/>
                <w:color w:val="auto"/>
              </w:rPr>
            </w:pPr>
            <w:r>
              <w:rPr>
                <w:rFonts w:ascii="Calibri" w:cs="Calibri" w:eastAsia="Calibri" w:hAnsi="Calibri"/>
                <w:sz w:val="12"/>
                <w:szCs w:val="12"/>
                <w:color w:val="auto"/>
              </w:rPr>
              <w:t>Accrued tax distributons to redeemable noncontrolling interest holders</w:t>
            </w:r>
          </w:p>
        </w:tc>
        <w:tc>
          <w:tcPr>
            <w:tcW w:w="820" w:type="dxa"/>
            <w:vAlign w:val="bottom"/>
          </w:tcPr>
          <w:p>
            <w:pPr>
              <w:jc w:val="right"/>
              <w:ind w:right="682"/>
              <w:spacing w:after="0" w:line="138" w:lineRule="exact"/>
              <w:rPr>
                <w:sz w:val="20"/>
                <w:szCs w:val="20"/>
                <w:color w:val="auto"/>
              </w:rPr>
            </w:pPr>
            <w:r>
              <w:rPr>
                <w:rFonts w:ascii="Calibri" w:cs="Calibri" w:eastAsia="Calibri" w:hAnsi="Calibri"/>
                <w:sz w:val="12"/>
                <w:szCs w:val="12"/>
                <w:color w:val="auto"/>
                <w:w w:val="97"/>
              </w:rPr>
              <w:t>$</w:t>
            </w:r>
          </w:p>
        </w:tc>
        <w:tc>
          <w:tcPr>
            <w:tcW w:w="500" w:type="dxa"/>
            <w:vAlign w:val="bottom"/>
          </w:tcPr>
          <w:p>
            <w:pPr>
              <w:jc w:val="right"/>
              <w:spacing w:after="0" w:line="138" w:lineRule="exact"/>
              <w:rPr>
                <w:sz w:val="20"/>
                <w:szCs w:val="20"/>
                <w:color w:val="auto"/>
              </w:rPr>
            </w:pPr>
            <w:r>
              <w:rPr>
                <w:rFonts w:ascii="Calibri" w:cs="Calibri" w:eastAsia="Calibri" w:hAnsi="Calibri"/>
                <w:sz w:val="12"/>
                <w:szCs w:val="12"/>
                <w:color w:val="auto"/>
              </w:rPr>
              <w:t>—</w:t>
            </w:r>
          </w:p>
        </w:tc>
        <w:tc>
          <w:tcPr>
            <w:tcW w:w="260" w:type="dxa"/>
            <w:vAlign w:val="bottom"/>
          </w:tcPr>
          <w:p>
            <w:pPr>
              <w:spacing w:after="0"/>
              <w:rPr>
                <w:sz w:val="11"/>
                <w:szCs w:val="11"/>
                <w:color w:val="auto"/>
              </w:rPr>
            </w:pPr>
          </w:p>
        </w:tc>
        <w:tc>
          <w:tcPr>
            <w:tcW w:w="320" w:type="dxa"/>
            <w:vAlign w:val="bottom"/>
          </w:tcPr>
          <w:p>
            <w:pPr>
              <w:jc w:val="right"/>
              <w:ind w:right="182"/>
              <w:spacing w:after="0" w:line="138" w:lineRule="exact"/>
              <w:rPr>
                <w:sz w:val="20"/>
                <w:szCs w:val="20"/>
                <w:color w:val="auto"/>
              </w:rPr>
            </w:pPr>
            <w:r>
              <w:rPr>
                <w:rFonts w:ascii="Calibri" w:cs="Calibri" w:eastAsia="Calibri" w:hAnsi="Calibri"/>
                <w:sz w:val="12"/>
                <w:szCs w:val="12"/>
                <w:color w:val="auto"/>
                <w:w w:val="97"/>
              </w:rPr>
              <w:t>$</w:t>
            </w:r>
          </w:p>
        </w:tc>
        <w:tc>
          <w:tcPr>
            <w:tcW w:w="1020" w:type="dxa"/>
            <w:vAlign w:val="bottom"/>
          </w:tcPr>
          <w:p>
            <w:pPr>
              <w:jc w:val="right"/>
              <w:spacing w:after="0" w:line="138" w:lineRule="exact"/>
              <w:rPr>
                <w:sz w:val="20"/>
                <w:szCs w:val="20"/>
                <w:color w:val="auto"/>
              </w:rPr>
            </w:pPr>
            <w:r>
              <w:rPr>
                <w:rFonts w:ascii="Calibri" w:cs="Calibri" w:eastAsia="Calibri" w:hAnsi="Calibri"/>
                <w:sz w:val="12"/>
                <w:szCs w:val="12"/>
                <w:color w:val="auto"/>
              </w:rPr>
              <w:t>—</w:t>
            </w:r>
          </w:p>
        </w:tc>
        <w:tc>
          <w:tcPr>
            <w:tcW w:w="560" w:type="dxa"/>
            <w:vAlign w:val="bottom"/>
            <w:gridSpan w:val="2"/>
          </w:tcPr>
          <w:p>
            <w:pPr>
              <w:jc w:val="right"/>
              <w:ind w:right="240"/>
              <w:spacing w:after="0" w:line="138" w:lineRule="exact"/>
              <w:rPr>
                <w:sz w:val="20"/>
                <w:szCs w:val="20"/>
                <w:color w:val="auto"/>
              </w:rPr>
            </w:pPr>
            <w:r>
              <w:rPr>
                <w:rFonts w:ascii="Calibri" w:cs="Calibri" w:eastAsia="Calibri" w:hAnsi="Calibri"/>
                <w:sz w:val="12"/>
                <w:szCs w:val="12"/>
                <w:color w:val="auto"/>
              </w:rPr>
              <w:t>$</w:t>
            </w:r>
          </w:p>
        </w:tc>
        <w:tc>
          <w:tcPr>
            <w:tcW w:w="1040" w:type="dxa"/>
            <w:vAlign w:val="bottom"/>
          </w:tcPr>
          <w:p>
            <w:pPr>
              <w:jc w:val="right"/>
              <w:spacing w:after="0" w:line="138" w:lineRule="exact"/>
              <w:rPr>
                <w:sz w:val="20"/>
                <w:szCs w:val="20"/>
                <w:color w:val="auto"/>
              </w:rPr>
            </w:pPr>
            <w:r>
              <w:rPr>
                <w:rFonts w:ascii="Calibri" w:cs="Calibri" w:eastAsia="Calibri" w:hAnsi="Calibri"/>
                <w:sz w:val="12"/>
                <w:szCs w:val="12"/>
                <w:color w:val="auto"/>
              </w:rPr>
              <w:t>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-3421380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-3421380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-3421380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-2727325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-2727325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-2727325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-1672590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-1672590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-1672590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-1312545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-1295400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-1312545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-1295400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-1312545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Calibri" w:cs="Calibri" w:eastAsia="Calibri" w:hAnsi="Calibri"/>
          <w:sz w:val="18"/>
          <w:szCs w:val="18"/>
          <w:color w:val="00002D"/>
        </w:rPr>
        <w:t>The accompanying notes are an integral part of these consolidated fnancial statements.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7" w:name="page78"/>
    <w:bookmarkEnd w:id="7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00002D"/>
        </w:rPr>
        <w:t>CarGurus, Inc.</w:t>
      </w:r>
    </w:p>
    <w:p>
      <w:pPr>
        <w:jc w:val="center"/>
        <w:spacing w:after="0" w:line="237" w:lineRule="auto"/>
        <w:rPr>
          <w:sz w:val="20"/>
          <w:szCs w:val="20"/>
          <w:color w:val="auto"/>
        </w:rPr>
      </w:pPr>
      <w:r>
        <w:rPr>
          <w:rFonts w:ascii="Calibri" w:cs="Calibri" w:eastAsia="Calibri" w:hAnsi="Calibri"/>
          <w:sz w:val="29"/>
          <w:szCs w:val="29"/>
          <w:b w:val="1"/>
          <w:bCs w:val="1"/>
          <w:color w:val="00002D"/>
        </w:rPr>
        <w:t>Notes to Consolidated Financial Statements</w:t>
      </w:r>
    </w:p>
    <w:p>
      <w:pPr>
        <w:jc w:val="center"/>
        <w:spacing w:after="0" w:line="238" w:lineRule="auto"/>
        <w:rPr>
          <w:sz w:val="20"/>
          <w:szCs w:val="20"/>
          <w:color w:val="auto"/>
        </w:rPr>
      </w:pPr>
      <w:r>
        <w:rPr>
          <w:rFonts w:ascii="Calibri" w:cs="Calibri" w:eastAsia="Calibri" w:hAnsi="Calibri"/>
          <w:sz w:val="29"/>
          <w:szCs w:val="29"/>
          <w:b w:val="1"/>
          <w:bCs w:val="1"/>
          <w:color w:val="00002D"/>
        </w:rPr>
        <w:t>(dollars in thousands, except share and per share data, unless otherwise noted)</w:t>
      </w:r>
    </w:p>
    <w:p>
      <w:pPr>
        <w:spacing w:after="0" w:line="23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1. Organizaton and Business Descripton</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CarGurus, Inc, (the “Company”) is a multnatonal, online automotve platorm for buying and selling vehicles that is building upon its industry-leading listngs marketplace with both digital retail solutons and the CarOfer, LLC (“CarOfer”) online wholesale platorm. The CarGurus platorm gives consumers the confdence to purchase and/or sell a vehicle either online or in person, and it gives dealerships the power to accurately price, efectvely market, instantly acquire, and quickly sell vehicles, all with a natonwide reach. The Company uses proprietary technology, search algorithms, and data analytcs to bring trust, transparency, and compettve pricing to the automotve shopping experience.</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operates principally in the United States (the “U.S.”). In the U.S., it also operates as independent brands the Autolist online marketplace and the CarOfer online wholesale platorm. In additon to the U.S., the Company operates online marketplaces under the CarGurus brand in Canada and the United Kingdom (the “U.K.”). In the U.K., it also operates as an independent brand the PistonHeads online marketplace.</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has subsidiaries in the U.S., Canada, Ireland, and the U.K. and it has two reportable segments, U.S. Marketplace and Digital Wholesale. See Note 14 of these consolidated fnancial statements for further segment reportng and geographic informaton.</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is subject to a number of risks and uncertaintes common to companies in its and similar industries and stages of development including, but not limited to, rapid technological changes, competton from substtute products and services from larger companies, management of internatonal actvites, protecton of proprietary rights, patent litgaton, and dependence on key individuals.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2. Summary of Signifcant Accountng Policies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Basis of Presentaton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consolidated fnancial statements have been prepared in conformity with accountng principles generally accepted in the United States of America (“GAAP”). Any reference in these notes to applicable guidance is meant to refer to GAAP as found in the Accountng Standards Codifcaton (“ASC”) and Accountng Standards Update (“ASU”) of the Financial Accountng Standards Board (“FASB”).</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Principles of Consolidaton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accompanying consolidated fnancial statements include the accounts of the Company and its subsidiaries. All intercompany balances and transactons have been eliminated in consolidaton.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Subsequent Event Consideratons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considers events or transactons that occur afer the balance sheet date but prior to the issuance of the consolidated fnancial statements to provide additonal evidence for certain estmates or to identfy maters that require additonal disclosure. The Company has evaluated all subsequent events and determined that there are no material recognized or unrecognized subsequent events requiring disclosure.</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Use of Estmates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preparaton of the consolidated fnancial statements in conformity with GAAP requires management to make estmates and assumptons that afect the reported amounts of assets and liabilites and the disclosure of contngent assets and liabilites at the date of the fnancial statements, and the reported amounts of revenue and expense during the reportng period.</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8" w:name="page79"/>
    <w:bookmarkEnd w:id="7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Although the Company regularly assesses these estmates, actual results could difer materially from these estmates. The Company bases its estmates on historical experience and various other assumptons that it believes to be reasonable under the circumstances. Actual results may difer from management’s estmates if these results difer from historical experience, or other assumptons do not turn out to be substantally accurate, even if such assumptons are reasonable when made. Changes in estmates are recognized in the period in which they become known.</w:t>
      </w:r>
    </w:p>
    <w:p>
      <w:pPr>
        <w:spacing w:after="0" w:line="171"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Critcal estmates relied upon in preparing the consolidated fnancial statements include the determinaton of sales allowance and variable consideraton in the Company’s revenue recogniton, the impairment and useful lives of long-lived assets, the capitalizaton and useful lives of product, technology, and development costs for website development, internal-use sofware, and hostng arrangements, and the valuaton and recoverability of intangible assets and goodwill. Accordingly, the Company considers these to be its critcal accountng estmates and believes that of the Company’s signifcant accountng policies, these involve the greatest degree of judgment and complexity.</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Concentraton of Credit Risk</w:t>
      </w:r>
    </w:p>
    <w:p>
      <w:pPr>
        <w:spacing w:after="0" w:line="217"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The Company has no signifcant of-balance sheet risk, such as foreign exchange contracts, opton contracts, or other foreign hedging arrangements. Financial instruments that potentally expose the Company to concentratons of credit risk consist primarily of cash, cash equivalents, trade accounts receivable, and other receivables.</w:t>
      </w:r>
    </w:p>
    <w:p>
      <w:pPr>
        <w:spacing w:after="0" w:line="164" w:lineRule="exact"/>
        <w:rPr>
          <w:sz w:val="20"/>
          <w:szCs w:val="20"/>
          <w:color w:val="auto"/>
        </w:rPr>
      </w:pPr>
    </w:p>
    <w:p>
      <w:pPr>
        <w:jc w:val="both"/>
        <w:spacing w:after="0" w:line="368" w:lineRule="auto"/>
        <w:rPr>
          <w:sz w:val="20"/>
          <w:szCs w:val="20"/>
          <w:color w:val="auto"/>
        </w:rPr>
      </w:pPr>
      <w:r>
        <w:rPr>
          <w:rFonts w:ascii="MS PGothic" w:cs="MS PGothic" w:eastAsia="MS PGothic" w:hAnsi="MS PGothic"/>
          <w:sz w:val="17"/>
          <w:szCs w:val="17"/>
          <w:color w:val="00002D"/>
        </w:rPr>
        <w:t>The Company maintains its cash and cash equivalents, principally with accredited fnancial insttutons of high credit standing. Although the Company deposits its cash and cash equivalents with multple fnancial insttutons, its deposits with each such fnancial insttuton exceed governmental insured limits.</w:t>
      </w:r>
    </w:p>
    <w:p>
      <w:pPr>
        <w:spacing w:after="0" w:line="127"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The Company routnely assesses the creditworthiness of its customers and does not require collateral. The Company generally has not experienced any material losses related to receivables from individual customers or groups of customers.</w:t>
      </w:r>
    </w:p>
    <w:p>
      <w:pPr>
        <w:spacing w:after="0" w:line="147" w:lineRule="exact"/>
        <w:rPr>
          <w:sz w:val="20"/>
          <w:szCs w:val="20"/>
          <w:color w:val="auto"/>
        </w:rPr>
      </w:pPr>
    </w:p>
    <w:p>
      <w:pPr>
        <w:jc w:val="both"/>
        <w:spacing w:after="0" w:line="317" w:lineRule="auto"/>
        <w:rPr>
          <w:sz w:val="20"/>
          <w:szCs w:val="20"/>
          <w:color w:val="auto"/>
        </w:rPr>
      </w:pPr>
      <w:r>
        <w:rPr>
          <w:rFonts w:ascii="MS PGothic" w:cs="MS PGothic" w:eastAsia="MS PGothic" w:hAnsi="MS PGothic"/>
          <w:sz w:val="17"/>
          <w:szCs w:val="17"/>
          <w:color w:val="00002D"/>
        </w:rPr>
        <w:t>The Company had no material losses related to marketplace receivables as it was dispersed across a large number of customers. The Company had no material losses related to wholesale and product receivables as the third-party transacton processor does not release the ttle to the vehicle untl successfully collectng funds from the buying dealer. Titling is handled by the Company’s third-party transacton processor and ttles are held in escrow untl it collects funds from the buying dealer (i.e., ttle is legally transferred from the selling party to the buying party upon signing of bill of sale, but ttle is held in escrow by the third-party transacton processor untl payment is received). Due to these factors, no additonal credit risk beyond amounts provided for collecton losses was believed by management to be probable in the Company’s accounts receivable and other receivables.</w:t>
      </w:r>
    </w:p>
    <w:p>
      <w:pPr>
        <w:spacing w:after="0" w:line="165"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As of December 31, 2024 and December 31, 2023, no customer accounted for more than 10% of net accounts receivable and other receivables. All of accounts receivable was dispersed among more than 1,000 customers. Therefore, there is no signifcant credit risk with respect to accounts receivable because credit risk is dispersed due to the large number of customers.</w:t>
      </w:r>
    </w:p>
    <w:p>
      <w:pPr>
        <w:spacing w:after="0" w:line="164"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For the years ended December 31, 2024, 2023, and 2022, no customer accounted for more than 10% of total revenue.</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Signifcant Accountng Policies</w:t>
      </w:r>
    </w:p>
    <w:p>
      <w:pPr>
        <w:spacing w:after="0" w:line="217"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The consolidated fnancial statements refect the applicaton of certain signifcant accountng policies as described below and elsewhere in the notes of these consolidated fnancial statements.</w:t>
      </w:r>
    </w:p>
    <w:p>
      <w:pPr>
        <w:spacing w:after="0" w:line="147"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Cash, Cash Equivalents, and Investments</w:t>
      </w:r>
    </w:p>
    <w:p>
      <w:pPr>
        <w:spacing w:after="0" w:line="252"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As of December 31, 2024 and 2023, cash and cash equivalents primarily consisted of cash on deposit with banks, amounts held in interest‑bearing money market accounts, and mutual funds.</w:t>
      </w:r>
    </w:p>
    <w:p>
      <w:pPr>
        <w:spacing w:after="0" w:line="147"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Cash equivalents are carried at cost, which approximates their fair market value.</w:t>
      </w:r>
    </w:p>
    <w:p>
      <w:pPr>
        <w:spacing w:after="0" w:line="252"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As of December 31, 2024, the Company did not have any short-term investments in equity securites. As of December 31, 2023, the Company held short-term investments in equity securites.</w:t>
      </w:r>
    </w:p>
    <w:p>
      <w:pPr>
        <w:spacing w:after="0" w:line="147"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9" w:name="page80"/>
    <w:bookmarkEnd w:id="7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The Company’s investment policy, which was approved by the Audit Commitee of the Company’s Board of Directors (the “Board”), permits investments in fxed income securites, including U.S. government and agency securites, non‑U.S. government securites, money market instruments, commercial paper, certfcates of deposit, corporate bonds, and asset‑backed securites.</w:t>
      </w:r>
    </w:p>
    <w:p>
      <w:pPr>
        <w:spacing w:after="0" w:line="164" w:lineRule="exact"/>
        <w:rPr>
          <w:sz w:val="20"/>
          <w:szCs w:val="20"/>
          <w:color w:val="auto"/>
        </w:rPr>
      </w:pPr>
    </w:p>
    <w:p>
      <w:pPr>
        <w:jc w:val="both"/>
        <w:spacing w:after="0" w:line="326" w:lineRule="auto"/>
        <w:rPr>
          <w:sz w:val="20"/>
          <w:szCs w:val="20"/>
          <w:color w:val="auto"/>
        </w:rPr>
      </w:pPr>
      <w:r>
        <w:rPr>
          <w:rFonts w:ascii="MS PGothic" w:cs="MS PGothic" w:eastAsia="MS PGothic" w:hAnsi="MS PGothic"/>
          <w:sz w:val="17"/>
          <w:szCs w:val="17"/>
          <w:color w:val="00002D"/>
        </w:rPr>
        <w:t>The Company considers all highly liquid investments with an original maturity of 90 days or less at the date of purchase to be cash equivalents. Investments not classifed as cash equivalents with maturites less than one year from the balance sheet date are classifed as short‑term investments, while investments with maturites in excess of one year from the balance sheet date are classifed as long‑term investments. Management determines the appropriate classifcaton of investments at the tme of purchase, and re‑evaluates such determinaton at each balance sheet date.</w:t>
      </w:r>
    </w:p>
    <w:p>
      <w:pPr>
        <w:spacing w:after="0" w:line="156" w:lineRule="exact"/>
        <w:rPr>
          <w:sz w:val="20"/>
          <w:szCs w:val="20"/>
          <w:color w:val="auto"/>
        </w:rPr>
      </w:pPr>
    </w:p>
    <w:p>
      <w:pPr>
        <w:jc w:val="both"/>
        <w:spacing w:after="0" w:line="320" w:lineRule="auto"/>
        <w:rPr>
          <w:sz w:val="20"/>
          <w:szCs w:val="20"/>
          <w:color w:val="auto"/>
        </w:rPr>
      </w:pPr>
      <w:r>
        <w:rPr>
          <w:rFonts w:ascii="MS PGothic" w:cs="MS PGothic" w:eastAsia="MS PGothic" w:hAnsi="MS PGothic"/>
          <w:sz w:val="17"/>
          <w:szCs w:val="17"/>
          <w:color w:val="00002D"/>
        </w:rPr>
        <w:t>Investments in equity securites with readily determinable fair values are recognized at fair value based on quoted market prices within investments in the consolidated balance sheets. Investments in held‑to‑maturity debt securites are recognized at amortzed cost within investments in the consolidated balance sheets. The Company adjusts the cost of investments in held-to-maturity debt securites for amortzaton of premiums and accreton of discounts to maturity, if any. Investments in trading and available-for-sale debt securites are recognized at fair value within investments in the consolidated balance sheets. Purchases of equity securites and debt securites are recognized within investng actvites in the consolidated statements of cash fows.</w:t>
      </w:r>
    </w:p>
    <w:p>
      <w:pPr>
        <w:spacing w:after="0" w:line="163"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Dividend income from equity securites is recognized within interest income in the consolidated income statements. Reinvested proceeds from dividend income are recognized within purchases of investments in investng actvites in the consolidated statements of cash fows.</w:t>
      </w:r>
    </w:p>
    <w:p>
      <w:pPr>
        <w:spacing w:after="0" w:line="147"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The revaluaton of equity securites and debt securites results in an unrealized gain or loss. Unrealized gains or losses on equity securites and trading debt securites are recognized within other (expense) income, net in the consolidated income statements and adjusted for in operatng actvites in the consolidated statements of cash fows. Unrealized gains or losses on available-for-sale debt securites are recognized within other comprehensive income in the consolidated statements of comprehensive income. Interest on held-to-maturity debt securites is recognized within interest income in the consolidated income statements.</w:t>
      </w:r>
    </w:p>
    <w:p>
      <w:pPr>
        <w:spacing w:after="0" w:line="175"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Proceeds from sale of equity securites and debt securites are recognized within investng actvites in the consolidated statements of cash fows. Realized gains and losses on sale of equity securites and debt securites are recognized within other (expense) income, net in the consolidated income statements, adjusted for in operatng actvites in the consolidated statements of cash fows, and recognized within proceeds from sale of equity securites and debt securites in investng actvites in the consolidated statements of cash fows.</w:t>
      </w:r>
    </w:p>
    <w:p>
      <w:pPr>
        <w:spacing w:after="0" w:line="171"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color w:val="00002D"/>
        </w:rPr>
        <w:t>Debt securites are reviewed for other‑than‑temporary impairment whenever the fair value of an investment is less than the amortzed cost and evidence indicates that an investment’s carrying amount is not recoverable within a reasonable period of tme. Other‑than‑temporary impairments of debt securites are recognized within other (expense) income, net in the consolidated income statements if the Company has experienced a credit loss or if it is more likely than not that the Company will be required to sell the investment before recovery of the amortzed cost basis. Evidence considered in this assessment includes reasons for the impairment, compliance with the Company’s investment policy, the severity and duraton of the impairment, and changes in value subsequent to the end of the period.</w:t>
      </w:r>
    </w:p>
    <w:p>
      <w:pPr>
        <w:spacing w:after="0" w:line="176"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Restricted Cash</w:t>
      </w:r>
    </w:p>
    <w:p>
      <w:pPr>
        <w:spacing w:after="0" w:line="252"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As of December 31, 2024 and 2023, restricted cash was related to pass-through payments from dealers related to the Company’s Digital Wholesale business. Restricted cash is classifed as a current asset on the consolidated balance sheets if it is expected to be used or released within one year. Restricted cash is classifed as a non-current asset on the consolidated balance sheets if it is expected to be used or released beyond one year.</w:t>
      </w:r>
    </w:p>
    <w:p>
      <w:pPr>
        <w:spacing w:after="0" w:line="164"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Accounts Receivable and Allowance for Doubtul Accounts</w:t>
      </w:r>
    </w:p>
    <w:p>
      <w:pPr>
        <w:spacing w:after="0" w:line="252" w:lineRule="exact"/>
        <w:rPr>
          <w:sz w:val="20"/>
          <w:szCs w:val="20"/>
          <w:color w:val="auto"/>
        </w:rPr>
      </w:pPr>
    </w:p>
    <w:p>
      <w:pPr>
        <w:jc w:val="both"/>
        <w:ind w:right="20"/>
        <w:spacing w:after="0" w:line="334" w:lineRule="auto"/>
        <w:rPr>
          <w:sz w:val="20"/>
          <w:szCs w:val="20"/>
          <w:color w:val="auto"/>
        </w:rPr>
      </w:pPr>
      <w:r>
        <w:rPr>
          <w:rFonts w:ascii="MS PGothic" w:cs="MS PGothic" w:eastAsia="MS PGothic" w:hAnsi="MS PGothic"/>
          <w:sz w:val="18"/>
          <w:szCs w:val="18"/>
          <w:color w:val="00002D"/>
        </w:rPr>
        <w:t>Accounts receivable is recorded based on the amount due from the customer and a third-party transacton processor. Accounts receivable do not bear interest.</w:t>
      </w:r>
    </w:p>
    <w:p>
      <w:pPr>
        <w:spacing w:after="0" w:line="147"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0" w:name="page81"/>
    <w:bookmarkEnd w:id="8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95" w:lineRule="auto"/>
        <w:rPr>
          <w:sz w:val="20"/>
          <w:szCs w:val="20"/>
          <w:color w:val="auto"/>
        </w:rPr>
      </w:pPr>
      <w:r>
        <w:rPr>
          <w:rFonts w:ascii="MS PGothic" w:cs="MS PGothic" w:eastAsia="MS PGothic" w:hAnsi="MS PGothic"/>
          <w:sz w:val="18"/>
          <w:szCs w:val="18"/>
          <w:color w:val="00002D"/>
        </w:rPr>
        <w:t>The Company is exposed to credit losses primarily through its trade accounts receivable, which includes receivables in transit, net of payables due, from a third-party transacton processor. The third-party transacton processor collects customer payments on the Company’s behalf and remits them to the Company. Customer payments received by the third-party transacton processor, but not remited to the Company as of period end, are deemed to be receivables in transit, net of payables due. Additonally, the third-party transacton processor provides payments in advance for certain selling dealers. If the third-party transacton processor does not receive buying dealer payments associated with the transacton paid in advance, the Company would guarantee losses incurred by the third-party transacton processor and the balance would be deducted from future remitances to the Company. To date, losses associated with these guarantees have not been material.</w:t>
      </w:r>
    </w:p>
    <w:p>
      <w:pPr>
        <w:spacing w:after="0" w:line="179"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7"/>
          <w:szCs w:val="17"/>
          <w:color w:val="00002D"/>
        </w:rPr>
        <w:t>The Company ofsets trade accounts receivables in transit, net of payables due, from the third-party transacton processor with payments received in advance from the third-party transacton processor as it has the right of ofset. At any point in tme, the Company could have amounts due from the third-party transacton processor for funds the third-party transacton processor has collected from buying dealers and has not yet remited to the Company (i.e., receivables in transit, net of payables due), as well as amounts paid by the third-party transacton processor to the Company in advance of collectng payments from buying dealers (i.e., payments received in advance). Therefore, as the Company has the right to ofset, the Company can either have a net receivable balance due from the third-party transacton processor which is recognized within accounts receivable, net in the consolidated balance sheets if the advance payments are less than the receivable positon from the third-party transacton processor as of the balance sheet date, or the Company can have a net liability which is recognized within accrued expenses, accrued income taxes, and other current liabilites in the consolidated balance sheets if the advance payments exceed the receivable positon from the third-party transacton processor as of the balance sheet date. The change in payments received in advance from the third-party transacton processor is presented as cash fows from fnancing actvites in the consolidated statements of cash fows.</w:t>
      </w:r>
    </w:p>
    <w:p>
      <w:pPr>
        <w:spacing w:after="0" w:line="173"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As of December 31, 2024, trade accounts receivable from receivables in transit, net of payables due, from the third-party transacton processor was $472, ofset by payments received in advance of $1,193, which resulted in a net payable of $721 recognized within accrued expenses, accrued income taxes, and other current liabilites in the consolidated balance sheets. As of December 31, 2023, trade accounts receivable from receivables in transit, net of payables due, from the third-party transacton processor was $2,868, ofset by payments received in advance of $2,015, which resulted in a net receivable of $853 recognized within accounts receivable, net in the consolidated balance sheets.</w:t>
      </w:r>
    </w:p>
    <w:p>
      <w:pPr>
        <w:spacing w:after="0" w:line="175" w:lineRule="exact"/>
        <w:rPr>
          <w:sz w:val="20"/>
          <w:szCs w:val="20"/>
          <w:color w:val="auto"/>
        </w:rPr>
      </w:pPr>
    </w:p>
    <w:p>
      <w:pPr>
        <w:jc w:val="both"/>
        <w:spacing w:after="0" w:line="320" w:lineRule="auto"/>
        <w:rPr>
          <w:sz w:val="20"/>
          <w:szCs w:val="20"/>
          <w:color w:val="auto"/>
        </w:rPr>
      </w:pPr>
      <w:r>
        <w:rPr>
          <w:rFonts w:ascii="MS PGothic" w:cs="MS PGothic" w:eastAsia="MS PGothic" w:hAnsi="MS PGothic"/>
          <w:sz w:val="17"/>
          <w:szCs w:val="17"/>
          <w:color w:val="00002D"/>
        </w:rPr>
        <w:t>The Company also ofsets gross trade accounts receivable with an allowance for doubtul accounts. The allowance for doubtul accounts is the Company’s best estmate of the amount of probable credit losses in the Company’s existng accounts receivable and is based upon historical loss trends, the number of days that billings are past due, an evaluaton of the potental risk of loss associated with specifc accounts, current economic trends and conditons, and reasonable and supportable forecasts of economic conditons. If circumstances relatng to specifc customers change, or unantcipated changes occur in the general business environment, partcularly as it afects auto dealers, the Company’s estmates of the recoverability of receivables could be further adjusted.</w:t>
      </w:r>
    </w:p>
    <w:p>
      <w:pPr>
        <w:spacing w:after="0" w:line="163" w:lineRule="exact"/>
        <w:rPr>
          <w:sz w:val="20"/>
          <w:szCs w:val="20"/>
          <w:color w:val="auto"/>
        </w:rPr>
      </w:pPr>
    </w:p>
    <w:p>
      <w:pPr>
        <w:jc w:val="both"/>
        <w:spacing w:after="0" w:line="336" w:lineRule="auto"/>
        <w:rPr>
          <w:sz w:val="20"/>
          <w:szCs w:val="20"/>
          <w:color w:val="auto"/>
        </w:rPr>
      </w:pPr>
      <w:r>
        <w:rPr>
          <w:rFonts w:ascii="MS PGothic" w:cs="MS PGothic" w:eastAsia="MS PGothic" w:hAnsi="MS PGothic"/>
          <w:sz w:val="17"/>
          <w:szCs w:val="17"/>
          <w:color w:val="00002D"/>
        </w:rPr>
        <w:t>Provisions for allowances for doubtul accounts are recognized within general and administratve expense in the consolidated income statements. Amounts are charged against the allowance afer all means of collecton have been exhausted, the potental for recovery is considered remote, and when it is determined that expected credit losses may occur. The Company does not have any of‑balance sheet credit exposure related to its customers.</w:t>
      </w:r>
    </w:p>
    <w:p>
      <w:pPr>
        <w:spacing w:after="0" w:line="150"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As of December 31, 2024 and 2023, changes in the Company’s allowance for doubtul accounts was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Balance at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460"/>
              <w:spacing w:after="0"/>
              <w:rPr>
                <w:sz w:val="20"/>
                <w:szCs w:val="20"/>
                <w:color w:val="auto"/>
              </w:rPr>
            </w:pPr>
            <w:r>
              <w:rPr>
                <w:rFonts w:ascii="Calibri" w:cs="Calibri" w:eastAsia="Calibri" w:hAnsi="Calibri"/>
                <w:sz w:val="14"/>
                <w:szCs w:val="14"/>
                <w:b w:val="1"/>
                <w:bCs w:val="1"/>
                <w:color w:val="auto"/>
              </w:rPr>
              <w:t>Write–ofs,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Beginning of</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460"/>
              <w:spacing w:after="0"/>
              <w:rPr>
                <w:sz w:val="20"/>
                <w:szCs w:val="20"/>
                <w:color w:val="auto"/>
              </w:rPr>
            </w:pPr>
            <w:r>
              <w:rPr>
                <w:rFonts w:ascii="Calibri" w:cs="Calibri" w:eastAsia="Calibri" w:hAnsi="Calibri"/>
                <w:sz w:val="14"/>
                <w:szCs w:val="14"/>
                <w:b w:val="1"/>
                <w:bCs w:val="1"/>
                <w:color w:val="auto"/>
              </w:rPr>
              <w:t>net of</w:t>
            </w:r>
          </w:p>
        </w:tc>
        <w:tc>
          <w:tcPr>
            <w:tcW w:w="104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Balance at</w:t>
            </w:r>
          </w:p>
        </w:tc>
      </w:tr>
      <w:tr>
        <w:trPr>
          <w:trHeight w:val="189"/>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1"/>
              <w:spacing w:after="0"/>
              <w:rPr>
                <w:sz w:val="20"/>
                <w:szCs w:val="20"/>
                <w:color w:val="auto"/>
              </w:rPr>
            </w:pPr>
            <w:r>
              <w:rPr>
                <w:rFonts w:ascii="Calibri" w:cs="Calibri" w:eastAsia="Calibri" w:hAnsi="Calibri"/>
                <w:sz w:val="14"/>
                <w:szCs w:val="14"/>
                <w:b w:val="1"/>
                <w:bCs w:val="1"/>
                <w:color w:val="auto"/>
                <w:w w:val="99"/>
              </w:rPr>
              <w:t>Period</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6"/>
              <w:spacing w:after="0"/>
              <w:rPr>
                <w:sz w:val="20"/>
                <w:szCs w:val="20"/>
                <w:color w:val="auto"/>
              </w:rPr>
            </w:pPr>
            <w:r>
              <w:rPr>
                <w:rFonts w:ascii="Calibri" w:cs="Calibri" w:eastAsia="Calibri" w:hAnsi="Calibri"/>
                <w:sz w:val="14"/>
                <w:szCs w:val="14"/>
                <w:b w:val="1"/>
                <w:bCs w:val="1"/>
                <w:color w:val="auto"/>
              </w:rPr>
              <w:t>Provision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1"/>
              <w:spacing w:after="0"/>
              <w:rPr>
                <w:sz w:val="20"/>
                <w:szCs w:val="20"/>
                <w:color w:val="auto"/>
              </w:rPr>
            </w:pPr>
            <w:r>
              <w:rPr>
                <w:rFonts w:ascii="Calibri" w:cs="Calibri" w:eastAsia="Calibri" w:hAnsi="Calibri"/>
                <w:sz w:val="14"/>
                <w:szCs w:val="14"/>
                <w:b w:val="1"/>
                <w:bCs w:val="1"/>
                <w:color w:val="auto"/>
              </w:rPr>
              <w:t>recoveries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Calibri" w:cs="Calibri" w:eastAsia="Calibri" w:hAnsi="Calibri"/>
                <w:sz w:val="14"/>
                <w:szCs w:val="14"/>
                <w:b w:val="1"/>
                <w:bCs w:val="1"/>
                <w:color w:val="auto"/>
              </w:rPr>
              <w:t>End of Period</w:t>
            </w:r>
          </w:p>
        </w:tc>
        <w:tc>
          <w:tcPr>
            <w:tcW w:w="100" w:type="dxa"/>
            <w:vAlign w:val="bottom"/>
          </w:tcPr>
          <w:p>
            <w:pPr>
              <w:spacing w:after="0"/>
              <w:rPr>
                <w:sz w:val="16"/>
                <w:szCs w:val="16"/>
                <w:color w:val="auto"/>
              </w:rPr>
            </w:pPr>
          </w:p>
        </w:tc>
      </w:tr>
      <w:tr>
        <w:trPr>
          <w:trHeight w:val="216"/>
        </w:trPr>
        <w:tc>
          <w:tcPr>
            <w:tcW w:w="5200" w:type="dxa"/>
            <w:vAlign w:val="bottom"/>
            <w:shd w:val="clear" w:color="auto" w:fill="CFF0FC"/>
          </w:tcPr>
          <w:p>
            <w:pPr>
              <w:spacing w:after="0"/>
              <w:rPr>
                <w:sz w:val="20"/>
                <w:szCs w:val="20"/>
                <w:color w:val="auto"/>
              </w:rPr>
            </w:pPr>
            <w:r>
              <w:rPr>
                <w:rFonts w:ascii="MS PGothic" w:cs="MS PGothic" w:eastAsia="MS PGothic" w:hAnsi="MS PGothic"/>
                <w:sz w:val="18"/>
                <w:szCs w:val="18"/>
                <w:color w:val="auto"/>
              </w:rPr>
              <w:t>Year ended December 31, 2024</w:t>
            </w:r>
          </w:p>
        </w:tc>
        <w:tc>
          <w:tcPr>
            <w:tcW w:w="12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610</w:t>
            </w:r>
          </w:p>
        </w:tc>
        <w:tc>
          <w:tcPr>
            <w:tcW w:w="380" w:type="dxa"/>
            <w:vAlign w:val="bottom"/>
            <w:gridSpan w:val="2"/>
            <w:shd w:val="clear" w:color="auto" w:fill="CFF0FC"/>
          </w:tcPr>
          <w:p>
            <w:pPr>
              <w:jc w:val="right"/>
              <w:ind w:right="60"/>
              <w:spacing w:after="0"/>
              <w:rPr>
                <w:sz w:val="20"/>
                <w:szCs w:val="20"/>
                <w:color w:val="auto"/>
              </w:rPr>
            </w:pPr>
            <w:r>
              <w:rPr>
                <w:rFonts w:ascii="MS PGothic" w:cs="MS PGothic" w:eastAsia="MS PGothic" w:hAnsi="MS PGothic"/>
                <w:sz w:val="18"/>
                <w:szCs w:val="18"/>
                <w:color w:val="auto"/>
              </w:rPr>
              <w:t>$</w:t>
            </w:r>
          </w:p>
        </w:tc>
        <w:tc>
          <w:tcPr>
            <w:tcW w:w="86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2,051</w:t>
            </w:r>
          </w:p>
        </w:tc>
        <w:tc>
          <w:tcPr>
            <w:tcW w:w="360" w:type="dxa"/>
            <w:vAlign w:val="bottom"/>
            <w:gridSpan w:val="2"/>
            <w:shd w:val="clear" w:color="auto" w:fill="CFF0FC"/>
          </w:tcPr>
          <w:p>
            <w:pPr>
              <w:jc w:val="right"/>
              <w:ind w:right="40"/>
              <w:spacing w:after="0"/>
              <w:rPr>
                <w:sz w:val="20"/>
                <w:szCs w:val="20"/>
                <w:color w:val="auto"/>
              </w:rPr>
            </w:pPr>
            <w:r>
              <w:rPr>
                <w:rFonts w:ascii="MS PGothic" w:cs="MS PGothic" w:eastAsia="MS PGothic" w:hAnsi="MS PGothic"/>
                <w:sz w:val="18"/>
                <w:szCs w:val="18"/>
                <w:color w:val="auto"/>
              </w:rPr>
              <w:t>$</w:t>
            </w:r>
          </w:p>
        </w:tc>
        <w:tc>
          <w:tcPr>
            <w:tcW w:w="1220" w:type="dxa"/>
            <w:vAlign w:val="bottom"/>
            <w:gridSpan w:val="3"/>
            <w:shd w:val="clear" w:color="auto" w:fill="CFF0FC"/>
          </w:tcPr>
          <w:p>
            <w:pPr>
              <w:ind w:left="420"/>
              <w:spacing w:after="0"/>
              <w:rPr>
                <w:sz w:val="20"/>
                <w:szCs w:val="20"/>
                <w:color w:val="auto"/>
              </w:rPr>
            </w:pPr>
            <w:r>
              <w:rPr>
                <w:rFonts w:ascii="MS PGothic" w:cs="MS PGothic" w:eastAsia="MS PGothic" w:hAnsi="MS PGothic"/>
                <w:sz w:val="18"/>
                <w:szCs w:val="18"/>
                <w:color w:val="auto"/>
              </w:rPr>
              <w:t>(1,873 )  $</w:t>
            </w:r>
          </w:p>
        </w:tc>
        <w:tc>
          <w:tcPr>
            <w:tcW w:w="94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788</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spacing w:after="0"/>
              <w:rPr>
                <w:sz w:val="20"/>
                <w:szCs w:val="20"/>
                <w:color w:val="auto"/>
              </w:rPr>
            </w:pPr>
            <w:r>
              <w:rPr>
                <w:rFonts w:ascii="MS PGothic" w:cs="MS PGothic" w:eastAsia="MS PGothic" w:hAnsi="MS PGothic"/>
                <w:sz w:val="18"/>
                <w:szCs w:val="18"/>
                <w:color w:val="auto"/>
              </w:rPr>
              <w:t>Year ended December 31, 2023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MS PGothic" w:cs="MS PGothic" w:eastAsia="MS PGothic" w:hAnsi="MS PGothic"/>
                <w:sz w:val="18"/>
                <w:szCs w:val="18"/>
                <w:color w:val="auto"/>
              </w:rPr>
              <w:t>1,809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MS PGothic" w:cs="MS PGothic" w:eastAsia="MS PGothic" w:hAnsi="MS PGothic"/>
                <w:sz w:val="18"/>
                <w:szCs w:val="18"/>
                <w:color w:val="auto"/>
              </w:rPr>
              <w:t>378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MS PGothic" w:cs="MS PGothic" w:eastAsia="MS PGothic" w:hAnsi="MS PGothic"/>
                <w:sz w:val="18"/>
                <w:szCs w:val="18"/>
                <w:color w:val="auto"/>
              </w:rPr>
              <w:t>(1,577 )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MS PGothic" w:cs="MS PGothic" w:eastAsia="MS PGothic" w:hAnsi="MS PGothic"/>
                <w:sz w:val="18"/>
                <w:szCs w:val="18"/>
                <w:color w:val="auto"/>
              </w:rPr>
              <w:t>610</w:t>
            </w:r>
          </w:p>
        </w:tc>
        <w:tc>
          <w:tcPr>
            <w:tcW w:w="100" w:type="dxa"/>
            <w:vAlign w:val="bottom"/>
          </w:tcPr>
          <w:p>
            <w:pPr>
              <w:spacing w:after="0"/>
              <w:rPr>
                <w:sz w:val="18"/>
                <w:szCs w:val="18"/>
                <w:color w:val="auto"/>
              </w:rPr>
            </w:pPr>
          </w:p>
        </w:tc>
      </w:tr>
    </w:tbl>
    <w:p>
      <w:pPr>
        <w:spacing w:after="0" w:line="195"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Unbilled accounts receivable generally relate to services rendered in the current period, but not invoiced untl the subsequent period.</w:t>
      </w:r>
    </w:p>
    <w:p>
      <w:pPr>
        <w:spacing w:after="0" w:line="252" w:lineRule="exact"/>
        <w:rPr>
          <w:sz w:val="20"/>
          <w:szCs w:val="20"/>
          <w:color w:val="auto"/>
        </w:rPr>
      </w:pPr>
    </w:p>
    <w:p>
      <w:pPr>
        <w:jc w:val="both"/>
        <w:spacing w:after="0" w:line="280" w:lineRule="auto"/>
        <w:rPr>
          <w:sz w:val="20"/>
          <w:szCs w:val="20"/>
          <w:color w:val="auto"/>
        </w:rPr>
      </w:pPr>
      <w:r>
        <w:rPr>
          <w:rFonts w:ascii="MS PGothic" w:cs="MS PGothic" w:eastAsia="MS PGothic" w:hAnsi="MS PGothic"/>
          <w:sz w:val="18"/>
          <w:szCs w:val="18"/>
          <w:color w:val="00002D"/>
        </w:rPr>
        <w:t xml:space="preserve">As of December 31, 2024 and 2023, $13,213 and $9,581, respectvely, was included in accounts receivable, net representng unbilled accounts receivable relatng primarily to both advertsing customers and dealers invoiced in the period subsequent to services rendered and revenue recogniton adjustments for Company ofered discounts given to dealers in accordance with ASC Topic 606, </w:t>
      </w:r>
      <w:r>
        <w:rPr>
          <w:rFonts w:ascii="Calibri" w:cs="Calibri" w:eastAsia="Calibri" w:hAnsi="Calibri"/>
          <w:sz w:val="18"/>
          <w:szCs w:val="18"/>
          <w:i w:val="1"/>
          <w:iCs w:val="1"/>
          <w:color w:val="00002D"/>
        </w:rPr>
        <w:t>Revenue from Contracts with Customers</w:t>
      </w:r>
      <w:r>
        <w:rPr>
          <w:rFonts w:ascii="MS PGothic" w:cs="MS PGothic" w:eastAsia="MS PGothic" w:hAnsi="MS PGothic"/>
          <w:sz w:val="18"/>
          <w:szCs w:val="18"/>
          <w:color w:val="00002D"/>
        </w:rPr>
        <w:t xml:space="preserve"> (“ASC 606”).</w:t>
      </w:r>
    </w:p>
    <w:p>
      <w:pPr>
        <w:spacing w:after="0" w:line="188"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1" w:name="page82"/>
    <w:bookmarkEnd w:id="8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Property and Equipment</w:t>
      </w:r>
    </w:p>
    <w:p>
      <w:pPr>
        <w:spacing w:after="0" w:line="252"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Property and equipment are stated at cost less accumulated depreciaton and amortzaton using the straight‑line method over the estmated useful lives of the assets. Leasehold improvements and right-of-use assets are amortzed over the lease term, or the estmated useful life of the related asset, if shorter. The estmated useful lives of the Company’s property and equipment were as follows: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580"/>
        <w:spacing w:after="0"/>
        <w:rPr>
          <w:sz w:val="20"/>
          <w:szCs w:val="20"/>
          <w:color w:val="auto"/>
        </w:rPr>
      </w:pPr>
      <w:r>
        <w:rPr>
          <w:rFonts w:ascii="MS PGothic" w:cs="MS PGothic" w:eastAsia="MS PGothic" w:hAnsi="MS PGothic"/>
          <w:sz w:val="17"/>
          <w:szCs w:val="17"/>
          <w:color w:val="auto"/>
        </w:rPr>
        <w:t>Server and computer equipment</w:t>
      </w:r>
    </w:p>
    <w:p>
      <w:pPr>
        <w:spacing w:after="0" w:line="46" w:lineRule="exact"/>
        <w:rPr>
          <w:sz w:val="20"/>
          <w:szCs w:val="20"/>
          <w:color w:val="auto"/>
        </w:rPr>
      </w:pPr>
    </w:p>
    <w:p>
      <w:pPr>
        <w:ind w:left="580"/>
        <w:spacing w:after="0"/>
        <w:rPr>
          <w:sz w:val="20"/>
          <w:szCs w:val="20"/>
          <w:color w:val="auto"/>
        </w:rPr>
      </w:pPr>
      <w:r>
        <w:rPr>
          <w:rFonts w:ascii="MS PGothic" w:cs="MS PGothic" w:eastAsia="MS PGothic" w:hAnsi="MS PGothic"/>
          <w:sz w:val="17"/>
          <w:szCs w:val="17"/>
          <w:color w:val="auto"/>
        </w:rPr>
        <w:t>Capitalized internal-use sofware</w:t>
      </w:r>
    </w:p>
    <w:p>
      <w:pPr>
        <w:spacing w:after="0" w:line="46" w:lineRule="exact"/>
        <w:rPr>
          <w:sz w:val="20"/>
          <w:szCs w:val="20"/>
          <w:color w:val="auto"/>
        </w:rPr>
      </w:pPr>
    </w:p>
    <w:p>
      <w:pPr>
        <w:ind w:left="580"/>
        <w:spacing w:after="0"/>
        <w:rPr>
          <w:sz w:val="20"/>
          <w:szCs w:val="20"/>
          <w:color w:val="auto"/>
        </w:rPr>
      </w:pPr>
      <w:r>
        <w:rPr>
          <w:rFonts w:ascii="MS PGothic" w:cs="MS PGothic" w:eastAsia="MS PGothic" w:hAnsi="MS PGothic"/>
          <w:sz w:val="17"/>
          <w:szCs w:val="17"/>
          <w:color w:val="auto"/>
        </w:rPr>
        <w:t>Capitalized website development</w:t>
      </w:r>
    </w:p>
    <w:p>
      <w:pPr>
        <w:spacing w:after="0" w:line="46" w:lineRule="exact"/>
        <w:rPr>
          <w:sz w:val="20"/>
          <w:szCs w:val="20"/>
          <w:color w:val="auto"/>
        </w:rPr>
      </w:pPr>
    </w:p>
    <w:p>
      <w:pPr>
        <w:ind w:left="580"/>
        <w:spacing w:after="0"/>
        <w:rPr>
          <w:sz w:val="20"/>
          <w:szCs w:val="20"/>
          <w:color w:val="auto"/>
        </w:rPr>
      </w:pPr>
      <w:r>
        <w:rPr>
          <w:rFonts w:ascii="MS PGothic" w:cs="MS PGothic" w:eastAsia="MS PGothic" w:hAnsi="MS PGothic"/>
          <w:sz w:val="18"/>
          <w:szCs w:val="18"/>
          <w:color w:val="auto"/>
        </w:rPr>
        <w:t>Furniture and fxtures</w:t>
      </w:r>
    </w:p>
    <w:p>
      <w:pPr>
        <w:spacing w:after="0" w:line="36" w:lineRule="exact"/>
        <w:rPr>
          <w:sz w:val="20"/>
          <w:szCs w:val="20"/>
          <w:color w:val="auto"/>
        </w:rPr>
      </w:pPr>
    </w:p>
    <w:p>
      <w:pPr>
        <w:ind w:left="580"/>
        <w:spacing w:after="0"/>
        <w:rPr>
          <w:sz w:val="20"/>
          <w:szCs w:val="20"/>
          <w:color w:val="auto"/>
        </w:rPr>
      </w:pPr>
      <w:r>
        <w:rPr>
          <w:rFonts w:ascii="MS PGothic" w:cs="MS PGothic" w:eastAsia="MS PGothic" w:hAnsi="MS PGothic"/>
          <w:sz w:val="18"/>
          <w:szCs w:val="18"/>
          <w:color w:val="auto"/>
        </w:rPr>
        <w:t>Right-of-use assets</w:t>
      </w:r>
    </w:p>
    <w:p>
      <w:pPr>
        <w:spacing w:after="0" w:line="36" w:lineRule="exact"/>
        <w:rPr>
          <w:sz w:val="20"/>
          <w:szCs w:val="20"/>
          <w:color w:val="auto"/>
        </w:rPr>
      </w:pPr>
    </w:p>
    <w:p>
      <w:pPr>
        <w:ind w:left="580"/>
        <w:spacing w:after="0"/>
        <w:rPr>
          <w:sz w:val="20"/>
          <w:szCs w:val="20"/>
          <w:color w:val="auto"/>
        </w:rPr>
      </w:pPr>
      <w:r>
        <w:rPr>
          <w:rFonts w:ascii="MS PGothic" w:cs="MS PGothic" w:eastAsia="MS PGothic" w:hAnsi="MS PGothic"/>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880"/>
        <w:spacing w:after="0"/>
        <w:rPr>
          <w:sz w:val="20"/>
          <w:szCs w:val="20"/>
          <w:color w:val="auto"/>
        </w:rPr>
      </w:pPr>
      <w:r>
        <w:rPr>
          <w:rFonts w:ascii="Calibri" w:cs="Calibri" w:eastAsia="Calibri" w:hAnsi="Calibri"/>
          <w:sz w:val="14"/>
          <w:szCs w:val="14"/>
          <w:b w:val="1"/>
          <w:bCs w:val="1"/>
          <w:color w:val="auto"/>
        </w:rPr>
        <w:t>Estmated Useful Life</w:t>
      </w:r>
    </w:p>
    <w:p>
      <w:pPr>
        <w:spacing w:after="0" w:line="5" w:lineRule="exact"/>
        <w:rPr>
          <w:sz w:val="20"/>
          <w:szCs w:val="20"/>
          <w:color w:val="auto"/>
        </w:rPr>
      </w:pPr>
    </w:p>
    <w:p>
      <w:pPr>
        <w:jc w:val="center"/>
        <w:ind w:right="880"/>
        <w:spacing w:after="0"/>
        <w:rPr>
          <w:sz w:val="20"/>
          <w:szCs w:val="20"/>
          <w:color w:val="auto"/>
        </w:rPr>
      </w:pPr>
      <w:r>
        <w:rPr>
          <w:rFonts w:ascii="Calibri" w:cs="Calibri" w:eastAsia="Calibri" w:hAnsi="Calibri"/>
          <w:sz w:val="14"/>
          <w:szCs w:val="14"/>
          <w:b w:val="1"/>
          <w:bCs w:val="1"/>
          <w:color w:val="auto"/>
        </w:rPr>
        <w:t>(In Years)</w:t>
      </w:r>
    </w:p>
    <w:p>
      <w:pPr>
        <w:spacing w:after="0" w:line="11" w:lineRule="exact"/>
        <w:rPr>
          <w:sz w:val="20"/>
          <w:szCs w:val="20"/>
          <w:color w:val="auto"/>
        </w:rPr>
      </w:pPr>
    </w:p>
    <w:p>
      <w:pPr>
        <w:jc w:val="center"/>
        <w:ind w:right="880"/>
        <w:spacing w:after="0"/>
        <w:rPr>
          <w:sz w:val="20"/>
          <w:szCs w:val="20"/>
          <w:color w:val="auto"/>
        </w:rPr>
      </w:pPr>
      <w:r>
        <w:rPr>
          <w:rFonts w:ascii="MS PGothic" w:cs="MS PGothic" w:eastAsia="MS PGothic" w:hAnsi="MS PGothic"/>
          <w:sz w:val="18"/>
          <w:szCs w:val="18"/>
          <w:color w:val="auto"/>
        </w:rPr>
        <w:t>3 to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-107950</wp:posOffset>
            </wp:positionV>
            <wp:extent cx="6412230" cy="145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6" w:lineRule="exact"/>
        <w:rPr>
          <w:sz w:val="20"/>
          <w:szCs w:val="20"/>
          <w:color w:val="auto"/>
        </w:rPr>
      </w:pPr>
    </w:p>
    <w:p>
      <w:pPr>
        <w:jc w:val="center"/>
        <w:ind w:right="880"/>
        <w:spacing w:after="0"/>
        <w:rPr>
          <w:sz w:val="20"/>
          <w:szCs w:val="20"/>
          <w:color w:val="auto"/>
        </w:rPr>
      </w:pPr>
      <w:r>
        <w:rPr>
          <w:rFonts w:ascii="MS PGothic" w:cs="MS PGothic" w:eastAsia="MS PGothic" w:hAnsi="MS PGothic"/>
          <w:sz w:val="18"/>
          <w:szCs w:val="18"/>
          <w:color w:val="auto"/>
        </w:rPr>
        <w:t>3</w:t>
      </w:r>
    </w:p>
    <w:p>
      <w:pPr>
        <w:spacing w:after="0" w:line="36" w:lineRule="exact"/>
        <w:rPr>
          <w:sz w:val="20"/>
          <w:szCs w:val="20"/>
          <w:color w:val="auto"/>
        </w:rPr>
      </w:pPr>
    </w:p>
    <w:p>
      <w:pPr>
        <w:jc w:val="center"/>
        <w:ind w:right="880"/>
        <w:spacing w:after="0"/>
        <w:rPr>
          <w:sz w:val="20"/>
          <w:szCs w:val="20"/>
          <w:color w:val="auto"/>
        </w:rPr>
      </w:pPr>
      <w:r>
        <w:rPr>
          <w:rFonts w:ascii="MS PGothic" w:cs="MS PGothic" w:eastAsia="MS PGothic" w:hAnsi="MS PGothic"/>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-99695</wp:posOffset>
            </wp:positionV>
            <wp:extent cx="641223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6" w:lineRule="exact"/>
        <w:rPr>
          <w:sz w:val="20"/>
          <w:szCs w:val="20"/>
          <w:color w:val="auto"/>
        </w:rPr>
      </w:pPr>
    </w:p>
    <w:p>
      <w:pPr>
        <w:jc w:val="center"/>
        <w:ind w:right="880"/>
        <w:spacing w:after="0"/>
        <w:rPr>
          <w:sz w:val="20"/>
          <w:szCs w:val="20"/>
          <w:color w:val="auto"/>
        </w:rPr>
      </w:pPr>
      <w:r>
        <w:rPr>
          <w:rFonts w:ascii="MS PGothic" w:cs="MS PGothic" w:eastAsia="MS PGothic" w:hAnsi="MS PGothic"/>
          <w:sz w:val="18"/>
          <w:szCs w:val="18"/>
          <w:color w:val="auto"/>
        </w:rPr>
        <w:t>3 to 5</w:t>
      </w:r>
    </w:p>
    <w:p>
      <w:pPr>
        <w:spacing w:after="0" w:line="36" w:lineRule="exact"/>
        <w:rPr>
          <w:sz w:val="20"/>
          <w:szCs w:val="20"/>
          <w:color w:val="auto"/>
        </w:rPr>
      </w:pPr>
    </w:p>
    <w:p>
      <w:pPr>
        <w:spacing w:after="0"/>
        <w:rPr>
          <w:sz w:val="20"/>
          <w:szCs w:val="20"/>
          <w:color w:val="auto"/>
        </w:rPr>
      </w:pPr>
      <w:r>
        <w:rPr>
          <w:rFonts w:ascii="MS PGothic" w:cs="MS PGothic" w:eastAsia="MS PGothic" w:hAnsi="MS PGothic"/>
          <w:sz w:val="16"/>
          <w:szCs w:val="16"/>
          <w:color w:val="auto"/>
        </w:rPr>
        <w:t>Lease term, or asset life if shorter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-86995</wp:posOffset>
            </wp:positionV>
            <wp:extent cx="641223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MS PGothic" w:cs="MS PGothic" w:eastAsia="MS PGothic" w:hAnsi="MS PGothic"/>
          <w:sz w:val="16"/>
          <w:szCs w:val="16"/>
          <w:color w:val="auto"/>
        </w:rPr>
        <w:t>Lease term, or asset life if shorter</w:t>
      </w:r>
    </w:p>
    <w:p>
      <w:pPr>
        <w:spacing w:after="0" w:line="220" w:lineRule="exact"/>
        <w:rPr>
          <w:sz w:val="20"/>
          <w:szCs w:val="20"/>
          <w:color w:val="auto"/>
        </w:rPr>
      </w:pPr>
    </w:p>
    <w:p>
      <w:pPr>
        <w:sectPr>
          <w:pgSz w:w="11900" w:h="16838" w:orient="portrait"/>
          <w:cols w:equalWidth="0" w:num="2">
            <w:col w:w="7260" w:space="720"/>
            <w:col w:w="3260"/>
          </w:cols>
          <w:pgMar w:left="320" w:top="112" w:right="339" w:bottom="1440" w:gutter="0" w:footer="0" w:header="0"/>
          <w:type w:val="continuous"/>
        </w:sectPr>
      </w:pPr>
    </w:p>
    <w:p>
      <w:pPr>
        <w:spacing w:after="0" w:line="52"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Expenditures for repairs and maintenance are charged to expense as incurred, whereas major beterments are capitalized as additons to property and equipment.</w:t>
      </w:r>
    </w:p>
    <w:p>
      <w:pPr>
        <w:spacing w:after="0" w:line="147"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Impairment of Long‑Lived Assets</w:t>
      </w:r>
    </w:p>
    <w:p>
      <w:pPr>
        <w:spacing w:after="0" w:line="252" w:lineRule="exact"/>
        <w:rPr>
          <w:sz w:val="20"/>
          <w:szCs w:val="20"/>
          <w:color w:val="auto"/>
        </w:rPr>
      </w:pPr>
    </w:p>
    <w:p>
      <w:pPr>
        <w:jc w:val="both"/>
        <w:spacing w:after="0" w:line="315" w:lineRule="auto"/>
        <w:rPr>
          <w:sz w:val="20"/>
          <w:szCs w:val="20"/>
          <w:color w:val="auto"/>
        </w:rPr>
      </w:pPr>
      <w:r>
        <w:rPr>
          <w:rFonts w:ascii="MS PGothic" w:cs="MS PGothic" w:eastAsia="MS PGothic" w:hAnsi="MS PGothic"/>
          <w:sz w:val="17"/>
          <w:szCs w:val="17"/>
          <w:color w:val="00002D"/>
        </w:rPr>
        <w:t>The Company evaluates the recoverability of long‑lived assets for impairment at least annually and whenever events or changes in circumstances indicate that the carrying value of an asset may not be recoverable. During this review, the Company re-evaluates the signifcant assumptons used in determining the original cost and estmated lives of long-lived assets. Although the assumptons may vary from asset to asset, they generally include operatng results, changes in the use of the asset, cash fows, and other indicators of value. Management then determines whether the remaining useful life contnues to be appropriate, or whether there has been an impairment of long-lived assets. To test for impairment, recoverability of these assets is frst measured by comparing the carrying amount of the asset to the future undiscounted cash fows the asset is expected to generate. If the asset is determined to not be recoverable, the amount of any impairment is measured as the diference between the carrying value and the fair value of the impaired asset.</w:t>
      </w:r>
    </w:p>
    <w:p>
      <w:pPr>
        <w:spacing w:after="0" w:line="166"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Capitalized Website Development and Capitalized Internal-Use Sofware Costs</w:t>
      </w:r>
    </w:p>
    <w:p>
      <w:pPr>
        <w:spacing w:after="0" w:line="252" w:lineRule="exact"/>
        <w:rPr>
          <w:sz w:val="20"/>
          <w:szCs w:val="20"/>
          <w:color w:val="auto"/>
        </w:rPr>
      </w:pPr>
    </w:p>
    <w:p>
      <w:pPr>
        <w:jc w:val="both"/>
        <w:spacing w:after="0" w:line="291" w:lineRule="auto"/>
        <w:rPr>
          <w:sz w:val="20"/>
          <w:szCs w:val="20"/>
          <w:color w:val="auto"/>
        </w:rPr>
      </w:pPr>
      <w:r>
        <w:rPr>
          <w:rFonts w:ascii="MS PGothic" w:cs="MS PGothic" w:eastAsia="MS PGothic" w:hAnsi="MS PGothic"/>
          <w:sz w:val="18"/>
          <w:szCs w:val="18"/>
          <w:color w:val="00002D"/>
        </w:rPr>
        <w:t>The Company capitalizes certain costs associated with the development of its websites and internal‑use sofware afer the preliminary project stage is complete and untl the website development or sofware is ready for its intended use. Research and development costs incurred during the preliminary project stage or costs incurred for data conversion actvites, training, maintenance, and general and administratve, or overhead costs are expensed as incurred. Capitalizaton begins when the preliminary project stage is complete, management authorizes and commits to the funding of the project with the required authority, it is probable the project will be completed, the website development or sofware will be used to perform the functons intended, and certain functonal and quality standards have been met. Qualifed costs incurred during the operatng stage of its website development or sofware relatng to upgrades and enhancements are capitalized to the extent it is probable that they will result in added functonality, while costs that cannot be separated between maintenance of, and minor upgrades and enhancements to, websites and internal‑use sofware are expensed as incurred. The Company determines the amount of website development and internal-use sofware costs to be capitalized based on the amount of tme spent by its developers on projects in the operatng stage of development. There is judgment involved in estmatng the tme allocated to a partcular project in the operatng stage. A signifcant change in the tme spent on each project could have a material impact on the amount capitalized and related amortzaton expense in subsequent periods. Capitalized website development and capitalized internal-use sofware costs are recognized within property and equipment, net in the consolidated balance sheets.</w:t>
      </w:r>
    </w:p>
    <w:p>
      <w:pPr>
        <w:spacing w:after="0" w:line="187"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color w:val="00002D"/>
        </w:rPr>
        <w:t>Capitalized website development and capitalized internal-use sofware costs are amortzed on a straight‑line basis over their estmated useful life of three years beginning with the tme when the product is ready for its intended use. Amortzaton expenses related to capitalized website development costs are recognized within cost of revenue in the consolidated income statements. Amortzaton expenses related to capitalized internal-use sofware costs are recognized within the operatng expense capton for depreciaton and amortzaton in the consolidated income statements. The Company evaluates the useful lives of these assets when each asset is ready for its intended use, and at least annually thereafer to ensure three years remains appropriate. The Company also tests for impairment</w:t>
      </w:r>
    </w:p>
    <w:p>
      <w:pPr>
        <w:spacing w:after="0" w:line="175"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at least annually and whenever events or changes in circumstances occur that could impact the recoverability of these assets. Impairment is evaluated as discussed in the “Impairment of Long-Lived Assets” secton above.</w:t>
      </w:r>
    </w:p>
    <w:p>
      <w:pPr>
        <w:spacing w:after="0" w:line="147"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During the year ended December 31, 2024, capitalized website development costs were $23,853 ofset by impairments and disposals of $24,134, for a net decrease of $281. During the year ended December 31, 2023, capitalized website development costs were $20,973, ofset by impairments of $184, for a net increase of $20,789. See Note 6 of these consolidated fnancial statements for further details on the impairments.</w:t>
      </w:r>
    </w:p>
    <w:p>
      <w:pPr>
        <w:spacing w:after="0" w:line="164"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During the years ended December 31, 2024 and 2023, capitalized internal-use sofware costs were $7,781 and $4,850, respectvely.</w:t>
      </w:r>
    </w:p>
    <w:p>
      <w:pPr>
        <w:spacing w:after="0" w:line="252"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For the years ended December 31, 2024, 2023, and 2022, amortzaton expense associated with capitalized website development costs was $12,088, $11,537, and $7,637, respectvely. For the years ended December 31, 2024, 2023, and 2022, amortzaton expense associated with capitalized internal-use sofware costs was $3,941, $3,384, and $1,286, respectvely.</w:t>
      </w:r>
    </w:p>
    <w:p>
      <w:pPr>
        <w:spacing w:after="0" w:line="164"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Capitalized Hostng Arrangements</w:t>
      </w:r>
    </w:p>
    <w:p>
      <w:pPr>
        <w:spacing w:after="0" w:line="252"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The Company’s hostng arrangements consist of cloud-based hostng platorms. The Company determines the amount of hostng arrangement implementaton costs to be capitalized based on the amount of tme spent by its developers on projects in the operatng stage of development. There is judgment involved in estmatng the tme allocated to a partcular project in the operatng stage. A signifcant change in the tme spent on each project could have a material impact on the amount capitalized and related amortzaton expense in subsequent periods.</w:t>
      </w:r>
    </w:p>
    <w:p>
      <w:pPr>
        <w:spacing w:after="0" w:line="171"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Capitalized implementaton costs for hostng arrangements costs are recognized within prepaid expenses, prepaid income taxes, and other current assets and within other non-current assets, as applicable, in the consolidated balance sheets.</w:t>
      </w:r>
    </w:p>
    <w:p>
      <w:pPr>
        <w:spacing w:after="0" w:line="147" w:lineRule="exact"/>
        <w:rPr>
          <w:sz w:val="20"/>
          <w:szCs w:val="20"/>
          <w:color w:val="auto"/>
        </w:rPr>
      </w:pPr>
    </w:p>
    <w:p>
      <w:pPr>
        <w:jc w:val="both"/>
        <w:spacing w:after="0" w:line="315" w:lineRule="auto"/>
        <w:rPr>
          <w:sz w:val="20"/>
          <w:szCs w:val="20"/>
          <w:color w:val="auto"/>
        </w:rPr>
      </w:pPr>
      <w:r>
        <w:rPr>
          <w:rFonts w:ascii="MS PGothic" w:cs="MS PGothic" w:eastAsia="MS PGothic" w:hAnsi="MS PGothic"/>
          <w:sz w:val="17"/>
          <w:szCs w:val="17"/>
          <w:color w:val="00002D"/>
        </w:rPr>
        <w:t>Capitalized implementaton costs for hostng arrangements are amortzed on a straight‑line basis over an estmated useful life of the term of the hostng arrangement, taking into consideraton several other factors such as, but not limited to, optons to extend the hostng arrangement or optons to terminate the hostng arrangement, beginning with the tme when the sofware is ready for intended use. Amortzaton expenses related to hostng arrangement costs are recognized within the same line item in the consolidated income statements as the expense for fees for the associated hostng arrangement. The Company evaluates the useful lives of these assets when each asset is ready for its intended use, and at least annually thereafer to ensure the selected useful life remains appropriate. The Company also tests for impairment at least annually and whenever events or changes in circumstances occur that could impact the recoverability of these assets. Impairment is evaluated as discussed in the “Impairment of Long-Lived Assets” secton above.</w:t>
      </w:r>
    </w:p>
    <w:p>
      <w:pPr>
        <w:spacing w:after="0" w:line="166"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During the years ended December 31, 2024, 2023, and 2022, the Company launched separate initatves designed to enhance its hostng arrangements related to its enterprise applicatons. During the years ended December 31, 2024 and 2023, capitalized implementaton costs were $627 and $1,739, respectvely, and recognized within other non-current assets and within prepaid expenses, prepaid income taxes, and other current assets, respectvely, in the consolidated balance sheets. See Note 6 of these consolidated fnancial statements for details on impairments.</w:t>
      </w:r>
    </w:p>
    <w:p>
      <w:pPr>
        <w:spacing w:after="0" w:line="171"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For the years ended December 31, 2024, 2023, and 2022, amortzaton expense associated with hostng arrangements was $2,341, $1,962, and $2,117, respectvely, and recognized within operatng expense and cost of revenue in the consolidated income statements.</w:t>
      </w:r>
    </w:p>
    <w:p>
      <w:pPr>
        <w:spacing w:after="0" w:line="147"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Business Combinatons</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Valuaton of Acquired Assets and Liabilites</w:t>
      </w:r>
    </w:p>
    <w:p>
      <w:pPr>
        <w:spacing w:after="0" w:line="217" w:lineRule="exact"/>
        <w:rPr>
          <w:sz w:val="20"/>
          <w:szCs w:val="20"/>
          <w:color w:val="auto"/>
        </w:rPr>
      </w:pPr>
    </w:p>
    <w:p>
      <w:pPr>
        <w:jc w:val="both"/>
        <w:spacing w:after="0" w:line="336" w:lineRule="auto"/>
        <w:rPr>
          <w:sz w:val="20"/>
          <w:szCs w:val="20"/>
          <w:color w:val="auto"/>
        </w:rPr>
      </w:pPr>
      <w:r>
        <w:rPr>
          <w:rFonts w:ascii="MS PGothic" w:cs="MS PGothic" w:eastAsia="MS PGothic" w:hAnsi="MS PGothic"/>
          <w:sz w:val="17"/>
          <w:szCs w:val="17"/>
          <w:color w:val="00002D"/>
        </w:rPr>
        <w:t>The Company measures all consideraton transferred in a business combinaton at its acquisiton-date fair value. Consideraton transferred is determined by the acquisiton-date fair value of assets transferred and liabilites assumed, including contngent consideraton obligatons, as applicable. The Company measures goodwill as the excess of the consideraton transferred over the net of the acquisiton-date amounts of assets acquired less liabilites assumed.</w:t>
      </w:r>
    </w:p>
    <w:p>
      <w:pPr>
        <w:spacing w:after="0" w:line="150"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3" w:name="page84"/>
    <w:bookmarkEnd w:id="8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makes signifcant assumptons and estmates in determining the fair value of the acquired assets and liabilites as of the acquisiton date, especially the valuaton of intangible assets and certain tax positons. The Company records estmates as of the acquisiton date and reassess the estmates at each reportng period up to one year afer the acquisiton date. Changes in estmates made prior to fnalizaton of purchase accountng are recognized within goodwill.</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Intangible Assets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Intangible assets are recognized at their estmated fair value at the date of acquisiton. Fair value is determined based on inputs and assumptons such as discount rates, rates of return on assets, and long-term sales growth rates.</w:t>
      </w:r>
    </w:p>
    <w:p>
      <w:pPr>
        <w:spacing w:after="0" w:line="218"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00002D"/>
        </w:rPr>
        <w:t>The Company amortzes intangible assets over their estmated useful lives on a straight-line basis. Useful lives are established based on analysis of all pertnent factors such as: the expected use of the asset, expected useful lives of related assets, provisions that may limit the useful life, historical experience with similar arrangements, efects of economic factors, demand, competton, obsolescence, and maintenance required to maintain the future cash fows. Amortzaton is recognized over the relevant estmated useful lives ranging from three to eleven years. Amortzaton expenses related to intangible assets are recognized within the operatng expense capton for depreciaton and amortzaton and cost of revenue in the consolidated income statements.</w:t>
      </w:r>
    </w:p>
    <w:p>
      <w:pPr>
        <w:spacing w:after="0" w:line="2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evaluates the useful lives of these assets as of the acquisiton date and at least annually thereafer to ensure the selected useful life remains appropriate. If the estmate of an intangible asset’s remaining useful life is changed, the Company amortzes the remaining carrying value of the intangible asset prospectvely over the revised remaining useful life.</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monitors its long-lived assets for impairment indicators on an ongoing basis in accordance with GAAP, and tests for impairment at least annually and whenever events or changes in circumstances occur that could impact the recoverability of these assets. Impairment is evaluated as discussed in the “Impairment of Long-Lived Assets” secton above.</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Goodwill</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Goodwill is recognized when consideraton paid in a purchase acquisiton exceeds the fair value of the net assets acquired. Goodwill is not amortzed, but rather is tested for impairment annually or more frequently if facts and circumstances warrant a review. Conditons that could trigger a more frequent impairment assessment include, but are not limited to, a signifcant adverse change in certain agreements, signifcant underperformance relatve to historical or projected future operatng results, an economic downturn afectng automotve marketplaces, increased competton, a signifcant reducton in the Company’s stock price for a sustained period, or a reducton of its market capitalizaton relatve to net book value.</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evaluates impairment either when required following a triggering event or annually on October 1 by comparing the estmated fair value of each reportng unit to its carrying value. For the fscal year 2024 the Company determined that it had three reportng units with goodwill: U.S. Marketplace, CarOfer, and U.K. Marketplace. The Company elects to bypass the optonal qualitatve test for impairment and proceed to Step 1, which is a quanttatve impairment test. For the U.S. Marketplace and U.K. Marketplace reportng units, the Company estmates fair value using a market approach, based on market multples derived from public companies that it identfes as peers. For the U.S. Marketplace and U.K. Marketplace reportng units, the Company estmates forecasted revenue for the fscal year and estmates revenue market multples using publicly available informaton for each of its peers. For the CarOfer reportng unit, the Company estmates fair value using an income approach, based on a discounted cash fow method. The assumptons used to estmate the fair value using a discounted cash fow method include revenue and EBITDA forecasts, the weighted average cost of capital and discount rate, debt-free net working capital forecasts, and long-term growth rate. The Company reconciles the aggregate fair values of all reportng units to the Company’s market capitalizaton following a triggering event or annually as of October 1, 2024, for reasonableness.</w:t>
      </w: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color w:val="3465B0"/>
        </w:rPr>
        <w:t>Redeemable Noncontrolling Interest</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connecton with the Company’s acquisiton of a 51% interest in CarOfer on January 14, 2021, the Company became a party with the noncontrolling equity holders of CarOfer to the 2021 CarOfer Operatng Agreement (as defned in “Stock-Based Compensaton” below), which, among other maters, sets forth certain put and call rights described in “Stock-Based Compensaton” below. The 2021 CarOfer Operatng Agreement provided the Company with the right to purchase, and the noncontrolling equity holders with the right to sell to the Company, the noncontrolling CarOfer equity holders’ equity interests in CarOfer at a contractually defned formulaic purchase price, which was based on a multple of earnings.</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4" w:name="page85"/>
    <w:bookmarkEnd w:id="8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Subsequent to the Company’s acquisiton of the 51% interest on January 14, 2021, the redeemable noncontrolling interest was measured at the greater of the amount that would be paid if setlement occurred as of the balance sheet date based on the contractually defned redempton value and its carrying amount adjusted for net (loss) income atributable to the noncontrolling interest and tax distributons to redeemable noncontrolling interest holders. Adjustments to the carrying value of the redeemable noncontrolling interest resultng from changes in the redempton value were recognized within retained earnings in the consolidated balance sheets.</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November 6, 2023, the Company entered into a Membership Interest Purchase Agreement (the “2023 Purchase Agreement”) with CarOfer, CarOfer Investors Holding, LLC, CarOfer Midco, LLC (“CarOfer MidCo”), each of the persons set forth on Schedule 1.1(a) to the 2023 Purchase Agreement (the “Indirect Members”), Bruce T. Thompson, an individual residing in Texas, as the sellers’ representatve, and the responsible party signatory thereto.</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Pursuant to the 2023 Purchase Agreement the Company acquired the remaining minority equity interests in CarOfer (the “2023 CarOfer Transacton”) for an aggregate consideraton of $75.0 million in cash (the “2023 Consideraton”), subject to certain adjustments set forth in the 2023 Purchase Agreement. A porton of the 2023 Consideraton was held in escrow to secure certain payment and indemnifcaton obligatons of the Indirect Members in accordance with the terms of the 2023 Purchase Agreement. The 2023 CarOfer Transacton was completed on December 1, 2023.</w:t>
      </w:r>
    </w:p>
    <w:p>
      <w:pPr>
        <w:spacing w:after="0" w:line="21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00002D"/>
        </w:rPr>
        <w:t>Following the 2023 CarOfer Transacton, CarOfer is a wholly-owned subsidiary and the Company entered into the Fourth Amended and Restated Limited Liability Company Agreement, dated December 1, 2023 (the “2023 CarOfer Operatng Agreement”), pursuant to which, among other maters, the existng put and call rights were terminated. As a result of the 2023 CarOfer Transacton, there was no redeemable noncontrolling interest as of December 31, 2023.</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color w:val="3465B0"/>
        </w:rPr>
        <w:t>Leases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 xml:space="preserve">The Company recognizes an operatng lease liability for the obligaton to make lease payments and an operatng lease right-of-use asset for the right to use the underlying assets for the lease term. The Company reviews all material contracts for embedded leases to determine if they have a right-of-use asset. The Company made an accountng policy electon to apply the practcal expedient under ASC Topic 842, </w:t>
      </w:r>
      <w:r>
        <w:rPr>
          <w:rFonts w:ascii="Calibri" w:cs="Calibri" w:eastAsia="Calibri" w:hAnsi="Calibri"/>
          <w:sz w:val="18"/>
          <w:szCs w:val="18"/>
          <w:i w:val="1"/>
          <w:iCs w:val="1"/>
          <w:color w:val="00002D"/>
        </w:rPr>
        <w:t>Leases</w:t>
      </w:r>
      <w:r>
        <w:rPr>
          <w:rFonts w:ascii="Calibri" w:cs="Calibri" w:eastAsia="Calibri" w:hAnsi="Calibri"/>
          <w:sz w:val="18"/>
          <w:szCs w:val="18"/>
          <w:color w:val="00002D"/>
        </w:rPr>
        <w:t>, to not separate lease components from non-lease components for all leases.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recognizes lease payments on a straight-line basis over the lease term. The depreciable life of assets and leasehold improvements are limited by the expected lease term, unless there is a transfer of ttle or purchase opton reasonably certain of exercise.</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Variable lease payments that depend on an index or a rate are included in the lease payments and are measured using the prevailing index or rate at the measurement date. Variable lease payments not based on an index or a rate are excluded from lease payments and are expensed as incurred.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allocates lease costs, which includes operatng lease costs, fnance lease costs, and variable lease payments, across all departments based on headcount in the respectve locaton.</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made an accountng policy electon to not recognize a lease liability or right-of-use asset on its consolidated balance sheets for leases with an inital term of 12 months or less, and instead to recognize lease payments on a straight-line basis over the lease term as expense and variable lease payments that do not depend on an index or rate as expense in the period in which the achievement of the specifed target that triggers the variable lease payments becomes probable.</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recognizes sublease income on a straight-line basis over the sublease period. The Company recognizes sublease income as an ofset to rent expense within operatng expenses in the consolidated income statements as subleasing is not a primary business actvity of the Company and is meant to ofset occupancy costs.</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5" w:name="page86"/>
    <w:bookmarkEnd w:id="8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Contngent Liabilites</w:t>
      </w:r>
    </w:p>
    <w:p>
      <w:pPr>
        <w:spacing w:after="0" w:line="252"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color w:val="00002D"/>
        </w:rPr>
        <w:t>The Company has certain contngent liabilites that arise in the ordinary course of business actvites. The Company accrues for loss contngencies when losses become probable and can be reasonably estmated. The Company recognizes contngent liabilites within accrued expenses, accrued income taxes, and other current liabilites, and other non-current liabilites in the consolidated balance sheets, as applicable, depending on if the contngency is expected to be resolved within one year or more. If the reasonable estmate of the loss is a range and no amount within the range is a beter estmate, the minimum amount of the range is recognized as a liability. The Company does not accrue for contngent losses that, in its judgment, are considered to be reasonably possible, but not probable; however, it discloses the range of such reasonably possible losses, if material.</w:t>
      </w:r>
    </w:p>
    <w:p>
      <w:pPr>
        <w:spacing w:after="0" w:line="175"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Income Taxes</w:t>
      </w:r>
    </w:p>
    <w:p>
      <w:pPr>
        <w:spacing w:after="0" w:line="252"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The Company is subject to federal and state income taxes in the U.S. and taxes in foreign jurisdictons in which it operates.</w:t>
      </w:r>
    </w:p>
    <w:p>
      <w:pPr>
        <w:spacing w:after="0" w:line="252"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The Company accounts for income taxes in accordance with the asset and liability method. Under this method, deferred tax assets and liabilites are recognized based on temporary diferences between the fnancial reportng and income tax bases of assets and liabilites using enacted tax rates in efect for the year in which the temporary diferences are expected to be recovered or setled.</w:t>
      </w:r>
    </w:p>
    <w:p>
      <w:pPr>
        <w:spacing w:after="0" w:line="164"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The asset and liability method requires a valuaton allowance against net deferred tax assets if, based upon the available evidence, it is more likely than not that some or all of the deferred tax assets will not be realized. In performing this analysis, the Company considers future taxable income and ongoing prudent and feasible tax planning strategies to assess realizability. Valuaton allowances are reassessed periodically to determine whether it is more likely than not that the tax benefts will be realized in the future and if any existng valuaton allowance should be released.</w:t>
      </w:r>
    </w:p>
    <w:p>
      <w:pPr>
        <w:spacing w:after="0" w:line="171" w:lineRule="exact"/>
        <w:rPr>
          <w:sz w:val="20"/>
          <w:szCs w:val="20"/>
          <w:color w:val="auto"/>
        </w:rPr>
      </w:pPr>
    </w:p>
    <w:p>
      <w:pPr>
        <w:jc w:val="both"/>
        <w:spacing w:after="0" w:line="314" w:lineRule="auto"/>
        <w:rPr>
          <w:sz w:val="20"/>
          <w:szCs w:val="20"/>
          <w:color w:val="auto"/>
        </w:rPr>
      </w:pPr>
      <w:r>
        <w:rPr>
          <w:rFonts w:ascii="MS PGothic" w:cs="MS PGothic" w:eastAsia="MS PGothic" w:hAnsi="MS PGothic"/>
          <w:sz w:val="17"/>
          <w:szCs w:val="17"/>
          <w:color w:val="00002D"/>
        </w:rPr>
        <w:t>The Company accounts for uncertain tax positons by prescribing a more‑likely‑than‑not threshold for fnancial statement recogniton and measurement of a tax positon taken or expected to be taken in a tax return. The Company assesses its income tax positons and recognizes an income tax beneft or expense within the provision for income taxes in the consolidated income statements based upon management’s evaluaton of the facts, circumstances, and informaton available at the reportng date. The tax positon is measured as the largest amount of beneft or expense that is greater than 50% likely to be realized upon ultmate setlement with the taxing authority during examinaton. The Company recognizes interest and penaltes, if applicable, related to uncertain tax positons as income tax expense within other (expense) income, net in the consolidated income statements. The Company recognizes liabilites related to uncertain tax positons within accrued expenses, accrued income taxes, and other current liabilites, and other non-current liabilites in the consolidated balance sheets, as applicable, depending on if the uncertainty is expected to be resolved within one year or more.</w:t>
      </w:r>
    </w:p>
    <w:p>
      <w:pPr>
        <w:spacing w:after="0" w:line="165"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color w:val="00002D"/>
        </w:rPr>
        <w:t>The Organisaton for Economic Co-operaton and Development introduced an internatonal tax framework under Pillar Two which includes a global minimum tax of 15%. Pillar Two legislaton has been enacted or substantvely enacted in certain jurisdictons where the Company operates. The Pillar Two legislaton is efectve for the Company’s fscal year beginning January 1, 2024. The Company has performed an assessment of its potental exposure to Pillar Two income taxes based on the Company’s most recent tax flings, country-by-country reportng, and fnancial statements for the consttuent enttes within the Company. Based on the assessment performed, the Company qualifes for the transitonal safe harbor in all jurisdictons in which it operates. The Company does not expect a material exposure to Pillar Two income taxes.</w:t>
      </w:r>
    </w:p>
    <w:p>
      <w:pPr>
        <w:spacing w:after="0" w:line="175"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7"/>
          <w:szCs w:val="17"/>
          <w:color w:val="00002D"/>
        </w:rPr>
        <w:t xml:space="preserve">The Tax Cuts and Jobs Act of 2017 subjects a U.S. stockholder to tax on global intangible low-taxed income (“GILTI”) earned by certain foreign subsidiaries. An entty can make an accountng policy electon, per the FASB Staf Q&amp;A, Topic 740, No. 5, </w:t>
      </w:r>
      <w:r>
        <w:rPr>
          <w:rFonts w:ascii="Calibri" w:cs="Calibri" w:eastAsia="Calibri" w:hAnsi="Calibri"/>
          <w:sz w:val="17"/>
          <w:szCs w:val="17"/>
          <w:i w:val="1"/>
          <w:iCs w:val="1"/>
          <w:color w:val="00002D"/>
        </w:rPr>
        <w:t>Accountng for Global Intangible Low-Taxed Income</w:t>
      </w:r>
      <w:r>
        <w:rPr>
          <w:rFonts w:ascii="MS PGothic" w:cs="MS PGothic" w:eastAsia="MS PGothic" w:hAnsi="MS PGothic"/>
          <w:sz w:val="17"/>
          <w:szCs w:val="17"/>
          <w:color w:val="00002D"/>
        </w:rPr>
        <w:t>, either to recognize deferred taxes for temporary basis diferences expected to reverse as GILTI in future years or to provide for the tax expense related to GILTI in the year the tax is incurred as a period expense only. The Company has elected to account for GILTI as a period cost in the year the tax is incurred.</w:t>
      </w:r>
    </w:p>
    <w:p>
      <w:pPr>
        <w:spacing w:after="0" w:line="174"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6" w:name="page87"/>
    <w:bookmarkEnd w:id="8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Infaton Reducton Act of 2022 (the “IRA”) was passed into law on August 16, 2022. The provisions of the IRA were efectve beginning with fscal year 2023, with certain exceptons. The IRA had several new provisions including a 15% corporate alternatve minimum tax for certain large corporatons that have at least an average of $1.0 billion of adjusted fnancial statement income over a consecutve three-tax-year period. The IRA also introduced a 1% excise tax imposed on certain stock repurchases by publicly traded U.S. corporatons made afer December 31, 2022. The Company has appropriately considered the impacts of the 1% excise tax on its income tax provision and cash taxes in 2024. Based on the Company’s evaluaton, the Company concludes that the IRA has not had a material impact on its income tax provision and cash taxes.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00002D"/>
        </w:rPr>
        <w:t>The Company will contnue to monitor the changes in tax laws and regulatons to evaluate their potental impact on its business.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3465B0"/>
        </w:rPr>
        <w:t>Fair Value of Financial Instruments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measures eligible assets and liabilites at fair value with changes in value recognized in earnings. Fair value treatment may be elected either upon inital recogniton of an eligible asset or liability or, for an existng asset or liability, if an event triggers a new basis of accountng. During the years ended December 31, 2024 and 2023, the Company did not elect to remeasure any of its existng fnancial assets and did not elect the fair value opton for any fnancial assets transacted.</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 xml:space="preserve">ASC Topic 820, </w:t>
      </w:r>
      <w:r>
        <w:rPr>
          <w:rFonts w:ascii="Calibri" w:cs="Calibri" w:eastAsia="Calibri" w:hAnsi="Calibri"/>
          <w:sz w:val="18"/>
          <w:szCs w:val="18"/>
          <w:i w:val="1"/>
          <w:iCs w:val="1"/>
          <w:color w:val="00002D"/>
        </w:rPr>
        <w:t>Fair Value Measurements and Disclosures</w:t>
      </w:r>
      <w:r>
        <w:rPr>
          <w:rFonts w:ascii="Calibri" w:cs="Calibri" w:eastAsia="Calibri" w:hAnsi="Calibri"/>
          <w:sz w:val="18"/>
          <w:szCs w:val="18"/>
          <w:color w:val="00002D"/>
        </w:rPr>
        <w:t xml:space="preserve"> (“ASC 820”), establishes a three-level valuaton hierarchy for instruments measured at fair value that distnguishes between assumptons based on market data (observable inputs) and the Company’s own assumptons (unobservable inputs). Observable inputs are inputs that market partcipants would use in pricing the asset or liability based on market data obtained from sources independent of the Company. Unobservable inputs are inputs that refect the Company’s assumptons about the inputs that market partcipants would use in pricing the asset or liability and are developed based on the best informaton available in the circumstances.</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ASC 820 identfes fair value as the exchange price or exit price, representng the price that would be received to sell an asset or paid to transfer a liability in an orderly transacton between market partcipants based on the highest and best use of the asset or liability. As such, fair value is a market-based measurement that should be determined based on assumptons that market partcipants would use in pricing an asset or liability. The Company uses valuaton techniques to measure fair value that maximize the use of observable inputs and minimize the use of unobservable inputs. These inputs are prioritzed as follows:</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18"/>
          <w:szCs w:val="18"/>
          <w:color w:val="00002D"/>
        </w:rPr>
        <w:t>Level 1 — Quoted unadjusted prices for identcal instruments in actve markets.</w:t>
      </w:r>
    </w:p>
    <w:p>
      <w:pPr>
        <w:spacing w:after="0" w:line="217" w:lineRule="exact"/>
        <w:rPr>
          <w:sz w:val="20"/>
          <w:szCs w:val="20"/>
          <w:color w:val="auto"/>
        </w:rPr>
      </w:pPr>
    </w:p>
    <w:p>
      <w:pPr>
        <w:ind w:left="760"/>
        <w:spacing w:after="0" w:line="235" w:lineRule="auto"/>
        <w:rPr>
          <w:sz w:val="20"/>
          <w:szCs w:val="20"/>
          <w:color w:val="auto"/>
        </w:rPr>
      </w:pPr>
      <w:r>
        <w:rPr>
          <w:rFonts w:ascii="Calibri" w:cs="Calibri" w:eastAsia="Calibri" w:hAnsi="Calibri"/>
          <w:sz w:val="18"/>
          <w:szCs w:val="18"/>
          <w:color w:val="00002D"/>
        </w:rPr>
        <w:t>Level 2 — Quoted prices for similar instruments in actve markets, quoted prices for identcal or similar instruments in markets that are not actve, and model-derived valuatons in which all observable inputs and signifcant value drivers are observable in actve markets.</w:t>
      </w:r>
    </w:p>
    <w:p>
      <w:pPr>
        <w:spacing w:after="0" w:line="218" w:lineRule="exact"/>
        <w:rPr>
          <w:sz w:val="20"/>
          <w:szCs w:val="20"/>
          <w:color w:val="auto"/>
        </w:rPr>
      </w:pPr>
    </w:p>
    <w:p>
      <w:pPr>
        <w:ind w:left="760"/>
        <w:spacing w:after="0" w:line="235" w:lineRule="auto"/>
        <w:rPr>
          <w:sz w:val="20"/>
          <w:szCs w:val="20"/>
          <w:color w:val="auto"/>
        </w:rPr>
      </w:pPr>
      <w:r>
        <w:rPr>
          <w:rFonts w:ascii="Calibri" w:cs="Calibri" w:eastAsia="Calibri" w:hAnsi="Calibri"/>
          <w:sz w:val="18"/>
          <w:szCs w:val="18"/>
          <w:color w:val="00002D"/>
        </w:rPr>
        <w:t>Level 3 — Model-derived valuatons in which one or more signifcant inputs or signifcant value drivers are unobservable, including assumptons developed by the Company.</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has evaluated the estmated fair value of fnancial instruments using available market informaton. The use of diferent market assumptons, estmaton methodologies, or both could have a signifcant efect on the estmated fair value amounts.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the carrying amounts of the Company’s fnancial instruments, which include cash and cash equivalents, accounts receivable, accounts payable, and accrued expenses approximated their fair values due to the short-term nature of these instruments. As of December 31, 2023, the carrying amounts of the Company’s fnancial instruments, which include cash and cash equivalents, short-term investments, accounts receivable, accounts payable, and accrued expenses approximated their fair values due to the short-term nature of these instruments.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3465B0"/>
        </w:rPr>
        <w:t>Debt</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may obtain access to capital via credit facilites. The amount of borrowings outstanding on credit facilites are recognized within other current liabilites or other non-current liabilites in the consolidated balance sheets, depending on the borrowing base. Costs for unutlized revolving commitments and interest for outstanding borrowings are recognized as interest expense within other (expense) income, net in the consolidated income statements. Interest payments are recognized within operatng actvites in the</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7" w:name="page88"/>
    <w:bookmarkEnd w:id="8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consolidated statements of cash fows, and repayments of principle amounts are recognized within fnancing actvites in the consolidated statements of cash fows.</w:t>
      </w:r>
    </w:p>
    <w:p>
      <w:pPr>
        <w:spacing w:after="0" w:line="147"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Deferred Financing Costs</w:t>
      </w:r>
    </w:p>
    <w:p>
      <w:pPr>
        <w:spacing w:after="0" w:line="252"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The Company capitalizes certain legal and other third-party fees that are directly associated with obtaining access to capital via credit facilites. Deferred fnancing costs incurred in connecton with obtaining access to capital are recognized within other non-current assets in the consolidated balance sheets and within fnancing actvites in the consolidated statements of cash fows. These costs are amortzed on a straight-line basis over the term of the applicable credit facility and recognized as interest expense within other (expense) income, net in the consolidated income statements and as an adjustment to consolidated net income in the consolidated statements of cash fows.</w:t>
      </w:r>
    </w:p>
    <w:p>
      <w:pPr>
        <w:spacing w:after="0" w:line="175"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Foreign Currency Translaton</w:t>
      </w:r>
    </w:p>
    <w:p>
      <w:pPr>
        <w:spacing w:after="0" w:line="252" w:lineRule="exact"/>
        <w:rPr>
          <w:sz w:val="20"/>
          <w:szCs w:val="20"/>
          <w:color w:val="auto"/>
        </w:rPr>
      </w:pPr>
    </w:p>
    <w:p>
      <w:pPr>
        <w:jc w:val="both"/>
        <w:spacing w:after="0" w:line="320" w:lineRule="auto"/>
        <w:rPr>
          <w:sz w:val="20"/>
          <w:szCs w:val="20"/>
          <w:color w:val="auto"/>
        </w:rPr>
      </w:pPr>
      <w:r>
        <w:rPr>
          <w:rFonts w:ascii="MS PGothic" w:cs="MS PGothic" w:eastAsia="MS PGothic" w:hAnsi="MS PGothic"/>
          <w:sz w:val="17"/>
          <w:szCs w:val="17"/>
          <w:color w:val="00002D"/>
        </w:rPr>
        <w:t>The reportng currency of the Company is the U.S. dollar. The functonal currency of the Company’s foreign subsidiaries is the local currency of each subsidiary. All assets and liabilites in the balance sheets of enttes whose functonal currency is a currency other than the U.S. dollar are translated into U.S. dollar equivalents at exchange rates as follows: (i) asset and liability accounts at period‑end rates; (ii) income statement accounts at weighted‑average exchange rates for the period; and (iii) stockholders’ equity accounts at historical exchange rates. The resultng translaton adjustments are excluded from consolidated net income and are recognized within accumulated other comprehensive (loss) income in the consolidated balance sheets.</w:t>
      </w:r>
    </w:p>
    <w:p>
      <w:pPr>
        <w:spacing w:after="0" w:line="163" w:lineRule="exact"/>
        <w:rPr>
          <w:sz w:val="20"/>
          <w:szCs w:val="20"/>
          <w:color w:val="auto"/>
        </w:rPr>
      </w:pPr>
    </w:p>
    <w:p>
      <w:pPr>
        <w:jc w:val="both"/>
        <w:spacing w:after="0" w:line="326" w:lineRule="auto"/>
        <w:rPr>
          <w:sz w:val="20"/>
          <w:szCs w:val="20"/>
          <w:color w:val="auto"/>
        </w:rPr>
      </w:pPr>
      <w:r>
        <w:rPr>
          <w:rFonts w:ascii="MS PGothic" w:cs="MS PGothic" w:eastAsia="MS PGothic" w:hAnsi="MS PGothic"/>
          <w:sz w:val="17"/>
          <w:szCs w:val="17"/>
          <w:color w:val="00002D"/>
        </w:rPr>
        <w:t>Foreign currency transacton gains and losses are included in consolidated net income for the period. The Company’s foreign subsidiaries have intercompany transactons that are eliminated upon consolidaton, and these transactons expose the Company to foreign currency exchange rate fuctuatons. Exchange rate fuctuatons on short‑term intercompany transactons are recognized in other (expense) income, net in the consolidated income statements. Exchange rate fuctuatons on long-term intercompany transactons are recognized within accumulated other comprehensive loss in the consolidated balance sheets.</w:t>
      </w:r>
    </w:p>
    <w:p>
      <w:pPr>
        <w:spacing w:after="0" w:line="156"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Revenue Recogniton</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Sources of Revenue</w:t>
      </w:r>
    </w:p>
    <w:p>
      <w:pPr>
        <w:spacing w:after="0" w:line="217"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7"/>
          <w:szCs w:val="17"/>
          <w:color w:val="00002D"/>
        </w:rPr>
        <w:t>The Company derives its revenue from marketplace revenue, wholesale revenue, and product revenue. Marketplace revenue is included in the U.S. Marketplace segment and Other category of segment reportng. Wholesale revenue and product revenue are included in the Digital Wholesale segment. The Company generates marketplace revenue from (i) dealer subscriptons to the Company’s Listngs packages and Real-tme Performance Marketng (“RPM”), digital advertsing suite, Digital Retail, and Sell My Car – Top Dealer Ofers, (ii) advertsing revenue from auto manufacturers and other auto‑related brand advertsers, and (iii) revenue from partnerships with fnancing services companies. The Company generates wholesale revenue primarily from (x) transacton fees earned from the purchase and sale of vehicles between dealers (“Dealer-to-Dealer transactons”), (y) transacton fees earned from the sale of vehicles to dealers that it acquires at other marketplaces, and (z) transacton fees earned from performing inspecton and transportaton services, inclusive of Dealer-to-Dealer transactons, other marketplace-to-dealer transactons, and Instant Max Cash Ofer transactons (as defned below). The Company generates product revenue primarily from (A) aggregate proceeds received from the sale of vehicles to dealers that were acquired directly from customers or Sell My Car – Instant Max Cash Ofer (“Instant Max Cash Ofer transactons”), and (B) proceeds received from the sale of vehicles that were acquired through arbitraton.</w:t>
      </w:r>
    </w:p>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Revenue Recogniton</w:t>
      </w:r>
    </w:p>
    <w:p>
      <w:pPr>
        <w:spacing w:after="0" w:line="217"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ASC 606 outlines a comprehensive fve-step revenue recogniton model based on the principle that an entty should recognize revenue to depict the transfer of promised goods or services to customers in an amount that refects the consideraton to which the entty expects to be enttled in exchange for those goods or services. To achieve this core principle, the Company applies the following fve steps:</w:t>
      </w:r>
    </w:p>
    <w:p>
      <w:pPr>
        <w:spacing w:after="0" w:line="56" w:lineRule="exact"/>
        <w:rPr>
          <w:sz w:val="20"/>
          <w:szCs w:val="20"/>
          <w:color w:val="auto"/>
        </w:rPr>
      </w:pPr>
    </w:p>
    <w:p>
      <w:pPr>
        <w:ind w:left="1020" w:hanging="503"/>
        <w:spacing w:after="0"/>
        <w:tabs>
          <w:tab w:leader="none" w:pos="1020" w:val="left"/>
        </w:tabs>
        <w:numPr>
          <w:ilvl w:val="0"/>
          <w:numId w:val="39"/>
        </w:numPr>
        <w:rPr>
          <w:rFonts w:ascii="MS PGothic" w:cs="MS PGothic" w:eastAsia="MS PGothic" w:hAnsi="MS PGothic"/>
          <w:sz w:val="18"/>
          <w:szCs w:val="18"/>
          <w:color w:val="00002D"/>
        </w:rPr>
      </w:pPr>
      <w:r>
        <w:rPr>
          <w:rFonts w:ascii="MS PGothic" w:cs="MS PGothic" w:eastAsia="MS PGothic" w:hAnsi="MS PGothic"/>
          <w:sz w:val="18"/>
          <w:szCs w:val="18"/>
          <w:color w:val="00002D"/>
        </w:rPr>
        <w:t>Identfy the contract with a customer</w:t>
      </w:r>
    </w:p>
    <w:p>
      <w:pPr>
        <w:spacing w:after="0" w:line="144" w:lineRule="exact"/>
        <w:rPr>
          <w:rFonts w:ascii="MS PGothic" w:cs="MS PGothic" w:eastAsia="MS PGothic" w:hAnsi="MS PGothic"/>
          <w:sz w:val="18"/>
          <w:szCs w:val="18"/>
          <w:color w:val="00002D"/>
        </w:rPr>
      </w:pPr>
    </w:p>
    <w:p>
      <w:pPr>
        <w:ind w:left="1020" w:hanging="503"/>
        <w:spacing w:after="0"/>
        <w:tabs>
          <w:tab w:leader="none" w:pos="1020" w:val="left"/>
        </w:tabs>
        <w:numPr>
          <w:ilvl w:val="0"/>
          <w:numId w:val="39"/>
        </w:numPr>
        <w:rPr>
          <w:rFonts w:ascii="MS PGothic" w:cs="MS PGothic" w:eastAsia="MS PGothic" w:hAnsi="MS PGothic"/>
          <w:sz w:val="18"/>
          <w:szCs w:val="18"/>
          <w:color w:val="00002D"/>
        </w:rPr>
      </w:pPr>
      <w:r>
        <w:rPr>
          <w:rFonts w:ascii="MS PGothic" w:cs="MS PGothic" w:eastAsia="MS PGothic" w:hAnsi="MS PGothic"/>
          <w:sz w:val="18"/>
          <w:szCs w:val="18"/>
          <w:color w:val="00002D"/>
        </w:rPr>
        <w:t>Identfy the performance obligatons in the contract</w:t>
      </w:r>
    </w:p>
    <w:p>
      <w:pPr>
        <w:spacing w:after="0" w:line="144" w:lineRule="exact"/>
        <w:rPr>
          <w:rFonts w:ascii="MS PGothic" w:cs="MS PGothic" w:eastAsia="MS PGothic" w:hAnsi="MS PGothic"/>
          <w:sz w:val="18"/>
          <w:szCs w:val="18"/>
          <w:color w:val="00002D"/>
        </w:rPr>
      </w:pPr>
    </w:p>
    <w:p>
      <w:pPr>
        <w:ind w:left="1020" w:hanging="503"/>
        <w:spacing w:after="0"/>
        <w:tabs>
          <w:tab w:leader="none" w:pos="1020" w:val="left"/>
        </w:tabs>
        <w:numPr>
          <w:ilvl w:val="0"/>
          <w:numId w:val="39"/>
        </w:numPr>
        <w:rPr>
          <w:rFonts w:ascii="MS PGothic" w:cs="MS PGothic" w:eastAsia="MS PGothic" w:hAnsi="MS PGothic"/>
          <w:sz w:val="18"/>
          <w:szCs w:val="18"/>
          <w:color w:val="00002D"/>
        </w:rPr>
      </w:pPr>
      <w:r>
        <w:rPr>
          <w:rFonts w:ascii="MS PGothic" w:cs="MS PGothic" w:eastAsia="MS PGothic" w:hAnsi="MS PGothic"/>
          <w:sz w:val="18"/>
          <w:szCs w:val="18"/>
          <w:color w:val="00002D"/>
        </w:rPr>
        <w:t>Determine the transacton price</w:t>
      </w:r>
    </w:p>
    <w:p>
      <w:pPr>
        <w:spacing w:after="0" w:line="252"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8" w:name="page89"/>
    <w:bookmarkEnd w:id="8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503"/>
        <w:spacing w:after="0"/>
        <w:tabs>
          <w:tab w:leader="none" w:pos="1020" w:val="left"/>
        </w:tabs>
        <w:numPr>
          <w:ilvl w:val="0"/>
          <w:numId w:val="40"/>
        </w:numPr>
        <w:rPr>
          <w:rFonts w:ascii="Calibri" w:cs="Calibri" w:eastAsia="Calibri" w:hAnsi="Calibri"/>
          <w:sz w:val="18"/>
          <w:szCs w:val="18"/>
          <w:color w:val="00002D"/>
        </w:rPr>
      </w:pPr>
      <w:r>
        <w:rPr>
          <w:rFonts w:ascii="Calibri" w:cs="Calibri" w:eastAsia="Calibri" w:hAnsi="Calibri"/>
          <w:sz w:val="18"/>
          <w:szCs w:val="18"/>
          <w:color w:val="00002D"/>
        </w:rPr>
        <w:t>Allocate the transacton price to performance obligatons in the contract</w:t>
      </w:r>
    </w:p>
    <w:p>
      <w:pPr>
        <w:spacing w:after="0" w:line="104" w:lineRule="exact"/>
        <w:rPr>
          <w:rFonts w:ascii="Calibri" w:cs="Calibri" w:eastAsia="Calibri" w:hAnsi="Calibri"/>
          <w:sz w:val="18"/>
          <w:szCs w:val="18"/>
          <w:color w:val="00002D"/>
        </w:rPr>
      </w:pPr>
    </w:p>
    <w:p>
      <w:pPr>
        <w:ind w:left="1020" w:hanging="503"/>
        <w:spacing w:after="0"/>
        <w:tabs>
          <w:tab w:leader="none" w:pos="1020" w:val="left"/>
        </w:tabs>
        <w:numPr>
          <w:ilvl w:val="0"/>
          <w:numId w:val="40"/>
        </w:numPr>
        <w:rPr>
          <w:rFonts w:ascii="Calibri" w:cs="Calibri" w:eastAsia="Calibri" w:hAnsi="Calibri"/>
          <w:sz w:val="18"/>
          <w:szCs w:val="18"/>
          <w:color w:val="00002D"/>
        </w:rPr>
      </w:pPr>
      <w:r>
        <w:rPr>
          <w:rFonts w:ascii="Calibri" w:cs="Calibri" w:eastAsia="Calibri" w:hAnsi="Calibri"/>
          <w:sz w:val="18"/>
          <w:szCs w:val="18"/>
          <w:color w:val="00002D"/>
        </w:rPr>
        <w:t>Recognize revenue when or as the Company satsfes a performance obligaton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Marketplace Revenue – Descripton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ofers multple types of marketplace Listngs packages to its dealers for its CarGurus U.S. platorm (availability varies on the Company’s other marketplaces): Restricted Listngs, which is free; and various levels of Listngs packages, which each require a paid subscripton under a monthly, quarterly, semiannual, or annual subscripton basis.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Company’s subscriptons for customers generally auto-renew on a monthly basis and are cancellable by dealers with 30 days’ advance notce prior to the commencement of the applicable renewal term. Subscripton pricing is determined based on a dealer’s inventory size, region, and the Company’s assessment of the connectons and return on investment (“ROI”) the platorm will provide them and is subject to discounts and/or fee reductons that the Company may ofer from tme to tme. The Company also ofers all dealers on the platorm access to its Dealer Dashboard, which includes a performance summary, Dealer Insights tool, and user review management platorm. Only dealers subscribing to a paid Listngs package have access to the Pricing Tool, Market Analysis tool, and Instant Market Value Scan tool.</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00002D"/>
        </w:rPr>
        <w:t>The Company also ofers paid Listngs packages for the Autolist and PistonHeads websites.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additon to displaying inventory in the Company’s marketplace and providing access to the Dealer Dashboard, the Company ofers dealers subscribing to certain of its Listngs packages other subscripton advertsing and customer acquisiton products and enhancements marketed under the Company’s RPM and digital advertsing suite. Through RPM, dealers can buy advertsing that appears in the Company’s marketplace, on other sites on the internet, and/or on high-convertng social media platorms. Such advertsements can be targeted by the user’s geography, search history, CarGurus website actvity, and a number of other targetng factors, allowing dealers to increase their visibility with in-market consumers and drive qualifed trafc for dealers.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00002D"/>
        </w:rPr>
        <w:t>The Company also ofers dealer advertsing products for the PistonHeads website.</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also ofers dealers subscribing to certain of its Listngs packages other subscripton advertsing and customer acquisiton products and enhancements such as Digital Retail, which allows shoppers to complete much of the vehicle-purchase process online through the Dealers’ Listngs page. Digital Retail is comprised of (i) the Digital Deal Platorm, which gives dealers higher quality leads through upfront consumer-provided informaton; (ii) Geo Expansion, which expands the visibility of a dealer’s inventory in the search results beyond its local market; and (iii) Hard Pull Financing, which provides loan informaton.</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also ofers dealers subscribing to certain of its Listngs packages other subscripton advertsing and customer acquisiton products and enhancements such as Top Dealer Ofers, which allows dealers to pay for leads to receive direct access to shoppers actvely looking to sell their vehicles. Dealers can acquire inventory from shoppers who are looking to sell directly through the CarGurus Sell My Car page.</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Marketplace revenue also consists of non-dealer advertsing revenue from auto manufacturers and other auto-related brand advertsers sold on a cost per thousand impressions basis (“CPM basis”). An impression is an advertsement loaded on a web page. In additon to advertsing sold on a CPM basis, the Company also has advertsing sold on a cost-per-click basis. Pricing is primarily based on advertsement size and positon on the Company’s websites and mobile applicatons. Auto manufacturers and other brand advertsers can execute advertsing campaigns that are targeted across a wide variety of parameters, including demographic groups, behavioral characteristcs, specifc auto brands, categories such as Certfed Pre-Owned, and segments such as hybrid vehicles. The Company does not provide minimum impression guarantees or other types of minimum guarantees in its contracts with customers. Advertsing is also sold indirectly through revenue sharing arrangements with advertsing exchange partners.</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color w:val="00002D"/>
        </w:rPr>
        <w:t>The Company also ofers non-dealer advertsing products for the Autolist and PistonHeads websites.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Marketplace revenue also includes revenue from partnerships with certain fnancing services companies pursuant to which the Company enables eligible consumers on the CarGurus U.S. website to pre-qualify for fnancing on cars from dealerships that ofer fnancing through such companies. The Company primarily generates revenue from these partnerships based on the number of funded loans from consumers who pre-qualify with its lending partners through its site.</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9" w:name="page90"/>
    <w:bookmarkEnd w:id="8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Marketplace Revenue – Revenue Recogniton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Listngs, Digital Retail, RPM, and Top Dealer Ofers, the Company provides a single similar service each day for a period of tme. Each tme increment (i.e., one day), rather than the underlying actvites, is distnct and substantally the same and, therefore, the performance obligaton of the Company is to provide a series of daily actvites over the contract term. Similar to the dealer listngs, the dealer advertsing is considered a promise to provide a single similar service each day. Each tme increment is distnct and substantally the same and, therefore, the performance obligaton of the Company is to provide a series of daily actvites over the contract term.</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Total consideraton for marketplace revenue is stated within the contracts. There are no contractual cash refund rights, but credits may be issued to a customer at the sole discreton of the Company. Dealer customers do not have the right to take possession of the Company’s sofware. At the portolio level, there is also variable consideraton that needs to be included in the transacton price. Variable consideraton consists of sales allowances, usage fees, and concessions that change the transacton price of the unsatsfed or partally unsatsfed performance obligaton. The Company recognizes that there are tmes when there is a customer satsfacton issue or other circumstances that will lead to a credit. Due to the known possibility of future credits, a monthly sales allowance review is performed to defer revenue at a portolio level for such future adjustments in the period of incurrence. The Company establishes sales allowances at the tme of revenue recogniton based on its history of adjustments and credits provided to its customers. In assessing the adequacy of the sales allowance, the Company evaluates its history of adjustments and credits made through the date of the issuance of the consolidated fnancial statements. Sales allowances are recognized as a reducton to revenue in the consolidated income statements.</w:t>
      </w:r>
    </w:p>
    <w:p>
      <w:pPr>
        <w:spacing w:after="0" w:line="2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Performance obligatons are satsfed over tme as the customer simultaneously receives and consumes the beneft of the service. Revenue is recognized ratably over the subscripton period beginning on the date the Company starts providing services to the customer under the contract. Revenue is presented net of any taxes collected from customers. Customers are billed in advance on the frst day of each calendar month with payment terms generally due upon receipt or 30 days from the date invoiced. Billings are recognized as accounts receivable or short-term deferred revenue when payment is received in advance of services being delivered to the customers.</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non-dealer advertsing revenue from auto manufacturers and other auto-related brand advertsers, the performance obligaton is to publish the agreed upon campaign on the Company’s websites and load the related impressions.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Advertsing contracts state the transacton price within the agreement with payment generally being based on the number of clicks or impressions delivered on the Company’s websites. Total consideraton is based on output and deemed variable consideraton constrained by an agreed upon delivery schedule and is allocated to the period in which the service was rendered. Additonally, there are generally no contractual cash refund rights. Certain contracts do contain the right for credits in situatons in which impressions are not displayed in compliance with contractual specifcatons. At an individual contract level, the Company may give a credit for a customer satsfacton issue or other circumstance. Due to the known possibility of future credits, a monthly review is performed to defer revenue at an individual contract level for such future adjustments in the period of incurrence.</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Performance obligatons for Company-sold advertsing revenue and partner-sold advertsing revenue are satsfed over tme as impressions are delivered. Revenue is recognized based on the total number of impressions delivered within the specifed period. Revenue from advertsing sold directly by the Company is recognized based on the gross amount charged to the advertser because the Company is the principal in the arrangement as it controls the ad placement and tming of the campaign, establishes the selling price, and is directly responsible for the fulfllment of the contractual terms including any remedy for issues with such fulfllment. Revenue from advertsing sold by partners is recognized based on the net amount of revenue received from the content partners because the Company is the agent in the arrangement as the advertsing partner is responsible for fulfllment, including the acceptability of the services delivered. In partner-sold advertsing arrangements, the advertsing partner has a direct contractual relatonship with the advertser. There is no contractual relatonship between the Company and the advertser for partner-sold transactons. Additonally, for aucton-based partner agreements, the Company has lattude in establishing the foor price, but the fnal price established by the exchange server is at market rates. Revenue is presented net of any taxes collected from customers. Customers are billed monthly in arrears with payment terms generally 30, 60, or 90 days from the date invoiced. Unbilled accounts receivable generally relate to services rendered in the current period, but not invoiced untl the subsequent period.</w:t>
      </w: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0" w:name="page91"/>
    <w:bookmarkEnd w:id="9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Other marketplace revenue includes revenue from contracts for which the performance obligaton is a series of distnct services with the same level of efort daily. For these contracts, primarily related to the Company’s partnerships with fnancing services companies, the Company estmates the value of the variable consideraton in determining the transacton price and allocates it to the performance obligaton. Revenue is estmated and recognized on a ratable basis over the contractual term. The Company reassesses the estmate of variable consideraton at each reportng period.</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Wholesale Revenue – Descripton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CarOfer Matrix enables buying dealers to create standing buy orders and provides instant ofers to selling dealers. Wholesale revenue includes transacton fees earned from Dealer-to-Dealer transactons, where the Company collects fees from both the buying and selling dealers. The Company also sells vehicles to dealers that it acquires at other marketplaces, where it collects a transacton fee from the buying dealers.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Wholesale revenue also includes fees earned from performing inspecton and transportaton services, where it collects fees from the buying dealer. Inspecton and transportaton service revenue is inclusive of Dealer-to-Dealer transactons, other marketplace to dealer transactons, and Instant Max Cash Ofer transactons.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Wholesale revenue also includes arbitraton in which the vehicle is rematched to a new buyer and not acquired by the Company. Arbitraton is the process by which the Company investgates and resolves claims from buying dealers.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 xml:space="preserve">Wholesale revenue also includes fees earned from certain guarantees ofered to dealers (which include 45-Day Guarantee and OferGuard products), where the Company collects fees from the buying dealer or selling dealer, as applicable. Guarantee revenue is not accounted for under ASC 606 and is accounted for under ASC Topic 460, </w:t>
      </w:r>
      <w:r>
        <w:rPr>
          <w:rFonts w:ascii="Calibri" w:cs="Calibri" w:eastAsia="Calibri" w:hAnsi="Calibri"/>
          <w:sz w:val="18"/>
          <w:szCs w:val="18"/>
          <w:i w:val="1"/>
          <w:iCs w:val="1"/>
          <w:color w:val="00002D"/>
        </w:rPr>
        <w:t>Guarantees</w:t>
      </w:r>
      <w:r>
        <w:rPr>
          <w:rFonts w:ascii="Calibri" w:cs="Calibri" w:eastAsia="Calibri" w:hAnsi="Calibri"/>
          <w:sz w:val="18"/>
          <w:szCs w:val="18"/>
          <w:color w:val="00002D"/>
        </w:rPr>
        <w:t xml:space="preserve"> (“ASC 460”), as discussed further in Note 2 of these consolidated fnancial statements.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Wholesale Revenue – Revenue Recogniton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When facilitatng Dealer-to-Dealer transactons and for vehicles sold to dealers that are acquired at other marketplaces, the Company does not control the vehicle and, therefore, acts as an agent in the transacton. Revenue earned from the fees for facilitatng these transactons is recognized at a point in tme when the vehicle is sold on a net basis.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inspecton and transportaton services, the Company leverages a network of third-party inspecton service providers and transportaton carriers. The Company controls both inspecton and transportaton services as it is primarily responsible for fulfllment and, therefore, acts as a principal in the transacton. Revenue from fees for inspecton services is recognized at the point in tme when the inspecton is performed and revenue from fees for transportaton services is recognized over tme as delivery is completed. Revenue from both inspecton and transportaton services is recognized on a gross basis. Unearned revenue related to unsatsfed performance obligatons is recognized as deferred revenue.</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Wholesale revenue also includes arbitraton in which the vehicle is rematched to a new buyer and not acquired by the Company. Arbitraton is the process by which the Company investgates and resolves claims from buying dealers. In these rematch situatons, the Company does not control the vehicle and, therefore, acts as an agent in the transacton. Revenue from a rematch transacton is recognized in line with fee revenue relatng to the facilitaton of the transacton, inspecton services, and transportaton services.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Within wholesale transactons, there are typically no contractual cash refund rights, but credits may be issued to a customer at the sole discreton of the Company and refunds may be required by law in the case of a vehicle defect. At the portolio level, there is also variable consideraton that needs to be included in the transacton price. Variable consideraton consists of sales allowances and concessions that change the transacton price of the unsatsfed or partally unsatsfed performance obligaton. The Company recognizes that there are tmes when there is a customer satsfacton issue or other circumstance that will lead to a credit or arbitraton. The Company establishes sales allowances at the tme of revenue recogniton based on its history of adjustments and credits provided to its customers. In assessing the adequacy of the sales allowance, the Company evaluates its history of adjustments and credits made through the date of the issuance of the consolidated fnancial statements. Upon recognizing a sales transacton, the Company estmates the amount of transacton price that will be reversed in a subsequent period and records a reserve for returns and cancellatons in other current liabilites and accounts receivable, net in the consolidated balance sheets. Sales allowances are recognized as a reducton to revenue in the consolidated income statements and an increase to other current liabilites or a reducton to accounts receivable, net in the consolidated balance sheets. Wholesale revenue is also ofset by concessions. Concessions are</w:t>
      </w: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1" w:name="page92"/>
    <w:bookmarkEnd w:id="9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color w:val="00002D"/>
        </w:rPr>
        <w:t>recognized as a reducton to revenue in the consolidated income statements and an increase in accounts payable in the consolidated balance sheets.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Wholesale revenue is presented net of any taxes collected from customers.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Customers are billed upon successful matching of a buyer and seller, with payment due upon receipt.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Product Revenue – Descripton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CarOfer Matrix enables consumers who are selling vehicles to be instantly presented with an ofer. Product revenue includes the aggregate proceeds received from the sale of vehicles through Instant Max Cash Ofer transactons, including vehicle sale price and transacton fees collected from the buying dealers. Product revenue also includes proceeds received from the sale of vehicles acquired through arbitraton, including vehicle sale price and transacton fees collected from buying dealers. Arbitraton is the process by which the Company investgates and resolves claims from buying dealers. The Company controls the vehicle in these transactons and, therefore, acts as the principal.</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Product – Revenue Recogniton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vehicles sold to dealers that are acquired through Instant Max Cash Ofer transactons, the Company controls the vehicle and, therefore, acts as a principal in the transacton. Revenue earned from proceeds received on the sale of vehicles through Instant Max Cash Ofer transactons, including vehicle sale price and transacton fees collected from the buying dealers, is recognized at a point in tme when the vehicle is sold on a gross basis.</w:t>
      </w:r>
    </w:p>
    <w:p>
      <w:pPr>
        <w:spacing w:after="0" w:line="21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00002D"/>
        </w:rPr>
        <w:t>In certain situatons across all transactons, during an arbitraton process the Company acquires vehicles in transactons in which it controls the vehicle and, therefore, acts as a principal in the transacton. Revenue earned from the sale of vehicles acquired through arbitraton, including vehicle sale price and transacton fees collected from buying dealers, is recognized at a point in tme on a gross basis.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Within product transactons, there are typically no contractual cash refund rights, but credits may be issued to a customer at the sole discreton of the Company and refunds may be required by law in the case of a vehicle defect. At the portolio level, there is also variable consideraton that needs to be included in the transacton price. Variable consideraton consists of sales allowances and concessions that change the transacton price of the unsatsfed or partally unsatsfed performance obligaton. The Company recognizes that there are tmes when there is a customer satsfacton issue or other circumstance that will lead to a credit or arbitraton. The Company establishes sales allowances at the tme of revenue recogniton based on its history of adjustments and credits provided to its customers. In assessing the adequacy of the sales allowance, the Company evaluates its history of adjustments and credits made through the date of the issuance of the consolidated fnancial statements. Upon recognizing a sales transacton, the Company estmates the amount of transacton price that will be reversed in a subsequent period and records a reserve for returns and cancellatons in other current liabilites and accounts receivable, net in the consolidated balance sheets. Sales allowances are recognized as a reducton to revenue, as well as a reducton to cost of revenue as applicable for returned vehicles, in the consolidated income statements and an increase to other current liabilites or a reducton to accounts receivable, as well as an increase to other current assets as applicable for returned vehicles, net in the consolidated balance sheets. Product revenue is also ofset by concessions. Concessions are recognized as a reducton to revenue in the consolidated income statements and an increase in other current liabilites in the consolidated balance sheets.</w:t>
      </w:r>
    </w:p>
    <w:p>
      <w:pPr>
        <w:spacing w:after="0" w:line="222" w:lineRule="exact"/>
        <w:rPr>
          <w:sz w:val="20"/>
          <w:szCs w:val="20"/>
          <w:color w:val="auto"/>
        </w:rPr>
      </w:pPr>
    </w:p>
    <w:p>
      <w:pPr>
        <w:spacing w:after="0"/>
        <w:rPr>
          <w:sz w:val="20"/>
          <w:szCs w:val="20"/>
          <w:color w:val="auto"/>
        </w:rPr>
      </w:pPr>
      <w:r>
        <w:rPr>
          <w:rFonts w:ascii="Calibri" w:cs="Calibri" w:eastAsia="Calibri" w:hAnsi="Calibri"/>
          <w:sz w:val="18"/>
          <w:szCs w:val="18"/>
          <w:color w:val="00002D"/>
        </w:rPr>
        <w:t>Product revenue is presented net of any taxes collected from customers.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Customers are billed upon successful matching of a buyer and seller, with payment due upon receipt.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Contracts with Multple Performance Obligatons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periodically enters into arrangements that include Listngs and/or dealer advertsing product subscriptons within marketplace revenue. These contracts include multple promises that the Company evaluates to determine if the promises are separate performance obligatons. Performance obligatons are identfed based on services to be transferred to a customer that are distnct within the context of the contractual terms. Once the performance obligatons have been identfed, the Company determines the transacton price, which includes estmatng the amount of variable consideraton to be included in the transacton price, if any. If</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2" w:name="page93"/>
    <w:bookmarkEnd w:id="9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required, the transacton price is allocated to each performance obligaton in the contract based on a relatve standalone selling price method as the performance obligaton is being satsfed. For the Company’s arrangements that include Listngs and/or dealer advertsing product subscriptons, the performance obligatons were satsfed over a consistent period of tme and, therefore, the allocatons did not impact the revenue recognized.</w:t>
      </w:r>
    </w:p>
    <w:p>
      <w:pPr>
        <w:spacing w:after="0" w:line="164"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For wholesale and product arrangements that include multple performance obligatons, the Company allocates revenue based on fair value. Vehicle and inspecton revenues are recognized at a point in tme and transportaton revenue is recognized over tme.</w:t>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Costs to Obtain a Contract</w:t>
      </w:r>
    </w:p>
    <w:p>
      <w:pPr>
        <w:spacing w:after="0" w:line="217" w:lineRule="exact"/>
        <w:rPr>
          <w:sz w:val="20"/>
          <w:szCs w:val="20"/>
          <w:color w:val="auto"/>
        </w:rPr>
      </w:pPr>
    </w:p>
    <w:p>
      <w:pPr>
        <w:jc w:val="both"/>
        <w:spacing w:after="0" w:line="294" w:lineRule="auto"/>
        <w:rPr>
          <w:sz w:val="20"/>
          <w:szCs w:val="20"/>
          <w:color w:val="auto"/>
        </w:rPr>
      </w:pPr>
      <w:r>
        <w:rPr>
          <w:rFonts w:ascii="MS PGothic" w:cs="MS PGothic" w:eastAsia="MS PGothic" w:hAnsi="MS PGothic"/>
          <w:sz w:val="18"/>
          <w:szCs w:val="18"/>
          <w:color w:val="00002D"/>
        </w:rPr>
        <w:t>Commissions paid to sales representatves and payroll taxes are considered costs to obtain a contract. Under ASC 606, the costs to obtain a contract require capitalizaton and amortzaton of those costs over the period of beneft. Although the guidance specifes the accountng for an individual contract with a customer, as a practcal expedient, the Company has opted to apply the guidance to a portolio of contracts with similar characteristcs. The Company has opted to apply another practcal expedient to immediately expense the incremental cost of obtaining a contract when the underlying related asset would have been amortzed over one year or less. As such, the Company applied this practcal expedient to advertsing contracts and wholesale and product transactons as the term is one year or less and these contracts do not renew automatcally. The practcal expedient is not applicable to marketplace subscripton contracts as the period of beneft including renewals is antcipated to be greater than one year. The assets are periodically assessed for impairment.</w:t>
      </w:r>
    </w:p>
    <w:p>
      <w:pPr>
        <w:spacing w:after="0" w:line="180"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For marketplace subscripton customers, the commissions paid on contracts with new customers, in additon to any commission amount related to incremental sales, are capitalized and amortzed over the estmated beneft period of the customer relatonship taking into account factors such as peer estmates of technology lives and customer lives as well as the Company’s own historical data. Commissions paid that are not directly related to obtaining a new contract are expensed as incurred.</w:t>
      </w:r>
    </w:p>
    <w:p>
      <w:pPr>
        <w:spacing w:after="0" w:line="171"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Additonally, the Company allocates employer payroll tax expense to the commission expense in proporton to the overall payroll taxes paid during the respectve period. As such, capitalized payroll taxes are amortzed in the same manner as the underlying capitalized commissions.</w:t>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Deferred Revenue</w:t>
      </w:r>
    </w:p>
    <w:p>
      <w:pPr>
        <w:spacing w:after="0" w:line="217"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Deferred revenue primarily consists of payments received in advance of revenue recogniton from the Company’s marketplace revenue and is recognized as the revenue recogniton criteria are met. The Company generally invoices its customers monthly. Accordingly, the deferred revenue balances do not represent the total contract value of annual or multyear subscripton agreements. Deferred revenue that is expected to be recognized during the succeeding 12‑month period is recognized as current deferred revenue and the remaining porton is recognized as noncurrent in the consolidated balance sheets. All deferred revenue was recognized as current for all periods presented.</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Marketplace Cost of Revenue</w:t>
      </w:r>
    </w:p>
    <w:p>
      <w:pPr>
        <w:spacing w:after="0" w:line="217"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color w:val="00002D"/>
        </w:rPr>
        <w:t>Marketplace cost of revenue includes expenses related to supportng and hostng marketplace service oferings. These expenses include personnel and related expenses for the Company’s customer support team, including salaries, benefts, incentve compensaton, and stock-based compensaton; third-party service provider expenses such as advertsing, data, and hostng expenses; amortzaton of developed technology; amortzaton of capitalized website development; amortzaton and impairment of capitalized hostng arrangements; and allocated overhead expenses. The Company allocates overhead expenses, such as rent and facility expenses, sofware expense, and employee beneft expense, to all departments based on headcount. As such, general overhead expenses are refected in cost of revenue and each operatng expense category.</w:t>
      </w:r>
    </w:p>
    <w:p>
      <w:pPr>
        <w:spacing w:after="0" w:line="17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Wholesale Cost of Revenue</w:t>
      </w:r>
    </w:p>
    <w:p>
      <w:pPr>
        <w:spacing w:after="0" w:line="217"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Wholesale cost of revenue includes expenses related to supportng and hostng Digital Wholesale service oferings, including Dealer-to-Dealer transactons and vehicles sold to dealers acquired at other marketplaces on the CarOfer Matrix. These expenses include vehicle transportaton and inspecton expenses; net losses on vehicles related to guarantees ofered to dealers through Dealer-to-Dealer transactons; personnel and related expenses for employees directly involved in the fulfllment and support of transactons, including salaries, benefts, incentve compensaton, and stock-based compensaton; third-party service provider expenses;</w:t>
      </w:r>
    </w:p>
    <w:p>
      <w:pPr>
        <w:spacing w:after="0" w:line="175"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3" w:name="page94"/>
    <w:bookmarkEnd w:id="9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amortzaton of developed technology; amortzaton and impairment of capitalized website development; and allocated overhead expenses. The Company allocates overhead expenses, such as rent and facility expenses, sofware expense, and employee beneft expense, to all departments based on headcount. As such, general overhead expenses are refected in cost of revenue and each operatng expense category.</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Product Cost of Revenue</w:t>
      </w:r>
    </w:p>
    <w:p>
      <w:pPr>
        <w:spacing w:after="0" w:line="217"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Product cost of revenue includes expenses related to vehicles sold to dealers through Instant Max Cash Ofer transactons and vehicles sold to dealers acquired through arbitraton. These expenses include the cost of the vehicle and transportaton expenses.</w:t>
      </w:r>
    </w:p>
    <w:p>
      <w:pPr>
        <w:spacing w:after="0" w:line="147"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Guarantees and Indemnifcaton Obligatons</w:t>
      </w:r>
    </w:p>
    <w:p>
      <w:pPr>
        <w:spacing w:after="0" w:line="252" w:lineRule="exact"/>
        <w:rPr>
          <w:sz w:val="20"/>
          <w:szCs w:val="20"/>
          <w:color w:val="auto"/>
        </w:rPr>
      </w:pPr>
    </w:p>
    <w:p>
      <w:pPr>
        <w:jc w:val="both"/>
        <w:ind w:right="20"/>
        <w:spacing w:after="0" w:line="334" w:lineRule="auto"/>
        <w:rPr>
          <w:sz w:val="20"/>
          <w:szCs w:val="20"/>
          <w:color w:val="auto"/>
        </w:rPr>
      </w:pPr>
      <w:r>
        <w:rPr>
          <w:rFonts w:ascii="MS PGothic" w:cs="MS PGothic" w:eastAsia="MS PGothic" w:hAnsi="MS PGothic"/>
          <w:sz w:val="18"/>
          <w:szCs w:val="18"/>
          <w:color w:val="00002D"/>
        </w:rPr>
        <w:t>In the ordinary course of business, the Company enters into agreements with its customers, partners, and service providers that include commercial provisions with respect to licensing, infringement, guarantees, indemnifcaton, and other common provisions.</w:t>
      </w:r>
    </w:p>
    <w:p>
      <w:pPr>
        <w:spacing w:after="0" w:line="147"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The Company provides certain guarantees to dealers through products such as its 45-Day Guarantee and OferGuard service oferings on the CarOfer platorm, which are accounted for under ASC 460.</w:t>
      </w:r>
    </w:p>
    <w:p>
      <w:pPr>
        <w:spacing w:after="0" w:line="147"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45-Day Guarantee is an arrangement through which a selling dealer lists a car on the CarOfer platorm, and the Company provides an ofer to purchase the vehicle listed at a specifed price at any tme over a 45-day period. This provides the seller with a put opton, where they have the right, but not the obligaton, to require the Company to purchase the vehicle during this window. OferGuard is an arrangement through which a buying dealer purchases a car on the CarOfer platorm, and the Company provides an ofer to purchase the vehicle at a specifed price between days 1 and 3, and days 42 and 45 if the dealer is not able to sell the vehicle afer 42 days.</w:t>
      </w:r>
    </w:p>
    <w:p>
      <w:pPr>
        <w:spacing w:after="0" w:line="175" w:lineRule="exact"/>
        <w:rPr>
          <w:sz w:val="20"/>
          <w:szCs w:val="20"/>
          <w:color w:val="auto"/>
        </w:rPr>
      </w:pPr>
    </w:p>
    <w:p>
      <w:pPr>
        <w:jc w:val="both"/>
        <w:spacing w:after="0" w:line="295" w:lineRule="auto"/>
        <w:rPr>
          <w:sz w:val="20"/>
          <w:szCs w:val="20"/>
          <w:color w:val="auto"/>
        </w:rPr>
      </w:pPr>
      <w:r>
        <w:rPr>
          <w:rFonts w:ascii="MS PGothic" w:cs="MS PGothic" w:eastAsia="MS PGothic" w:hAnsi="MS PGothic"/>
          <w:sz w:val="18"/>
          <w:szCs w:val="18"/>
          <w:color w:val="00002D"/>
        </w:rPr>
        <w:t>A guarantee liability is initally measured using the amount of consideraton received from the dealer for the purchase of the guarantee. The inital liability is released, and guarantee income is recognized, upon the earliest of the following: the vehicle sells during the guarantee period, the seller exercises its put opton during the guarantee period, or the opton expires unexercised at the end of the guarantee period. Guarantee income is recognized within wholesale revenue in the consolidated income statements. When it is probable and reasonably estmable that the Company will incur a loss on a vehicle that it is required to purchase, a liability and a corresponding charge to wholesale cost of revenue is recognized for the amount of the loss in the consolidated balance sheets and the consolidated income statements. Gains and losses resultng from the dealers exercise of guarantees are recognized within wholesale cost of revenue, as appropriate, in the consolidated income statements.</w:t>
      </w:r>
    </w:p>
    <w:p>
      <w:pPr>
        <w:spacing w:after="0" w:line="179"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Stock‑Based Compensaton</w:t>
      </w:r>
    </w:p>
    <w:p>
      <w:pPr>
        <w:spacing w:after="0" w:line="252" w:lineRule="exact"/>
        <w:rPr>
          <w:sz w:val="20"/>
          <w:szCs w:val="20"/>
          <w:color w:val="auto"/>
        </w:rPr>
      </w:pPr>
    </w:p>
    <w:p>
      <w:pPr>
        <w:spacing w:after="0"/>
        <w:rPr>
          <w:sz w:val="20"/>
          <w:szCs w:val="20"/>
          <w:color w:val="auto"/>
        </w:rPr>
      </w:pPr>
      <w:r>
        <w:rPr>
          <w:rFonts w:ascii="MS PGothic" w:cs="MS PGothic" w:eastAsia="MS PGothic" w:hAnsi="MS PGothic"/>
          <w:sz w:val="17"/>
          <w:szCs w:val="17"/>
          <w:color w:val="00002D"/>
        </w:rPr>
        <w:t>For stock‑based awards granted under the Company’s stock‑based compensaton plans, the fair value of each award is determined on the date of grant.</w:t>
      </w:r>
    </w:p>
    <w:p>
      <w:pPr>
        <w:spacing w:after="0" w:line="262"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For restricted stock units (“RSUs”) granted subject to service-based vestng conditons, the fair value is determined on the date of grant using the closing price of the Company’s Class A common stock, par value $0.001 per share (the “Class A common stock”), as reported on the Nasdaq Global Select Market. RSUs granted subject to service-based vestng conditons generally vest over a four-year requisite service period.</w:t>
      </w:r>
    </w:p>
    <w:p>
      <w:pPr>
        <w:spacing w:after="0" w:line="164"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color w:val="00002D"/>
        </w:rPr>
        <w:t>For RSUs granted subject to market-based vestng conditons, the fair value is determined on the date of grant using the Monte Carlo simulaton latce model. The determinaton of the fair value using this model is afected by the Company’s stock price performance relatve to the companies listed on the S&amp;P 500, and a number of assumptons including volatlity, correlaton coefcient, risk-free interest rate, and expected dividends. RSUs previously granted subject to market-based vestng conditons vest upon achievement of specifed levels of market conditons. During the year ended December 31, 2022, the Company modifed its market-based performance awards to contain only service-based vestng conditons in line with the Company’s other RSU awards. As a result, there were no market-based RSUs outstanding as of December 31, 2024, December 31, 2023, or December 31, 2022.</w:t>
      </w:r>
    </w:p>
    <w:p>
      <w:pPr>
        <w:spacing w:after="0" w:line="175"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For stock optons granted, the fair value is determined on the date of grant using the Black‑Scholes opton‑pricing model. The determinaton of the fair value is afected by the Company’s stock price and a number of assumptons including expected dividend yield, expected volatlity, risk-free interest rate, and expected term. For expected volatlity, the Company uses a blended volatlity to</w:t>
      </w:r>
    </w:p>
    <w:p>
      <w:pPr>
        <w:spacing w:after="0" w:line="164"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4" w:name="page95"/>
    <w:bookmarkEnd w:id="9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combine the historical volatlity of trading with the volatlity for a peer group of companies as the Company does not have historical stock prices for a period that is at least equal to the expected term. Stock optons granted generally have a term of ten years from the date of grant and generally vest over a four-year requisite service period. There were no stock optons granted during the years ended December 31, 2024 and December 31, 2023.</w:t>
      </w:r>
    </w:p>
    <w:p>
      <w:pPr>
        <w:spacing w:after="0" w:line="219" w:lineRule="exact"/>
        <w:rPr>
          <w:sz w:val="20"/>
          <w:szCs w:val="20"/>
          <w:color w:val="auto"/>
        </w:rPr>
      </w:pPr>
    </w:p>
    <w:p>
      <w:pPr>
        <w:spacing w:after="0"/>
        <w:rPr>
          <w:sz w:val="20"/>
          <w:szCs w:val="20"/>
          <w:color w:val="auto"/>
        </w:rPr>
      </w:pPr>
      <w:r>
        <w:rPr>
          <w:rFonts w:ascii="Calibri" w:cs="Calibri" w:eastAsia="Calibri" w:hAnsi="Calibri"/>
          <w:sz w:val="17"/>
          <w:szCs w:val="17"/>
          <w:color w:val="00002D"/>
        </w:rPr>
        <w:t>The weighted average assumptons utlized to determine the fair value of stock optons granted during the year ended December 31, 2022, were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60" w:type="dxa"/>
            <w:vAlign w:val="bottom"/>
            <w:gridSpan w:val="2"/>
          </w:tcPr>
          <w:p>
            <w:pPr>
              <w:jc w:val="right"/>
              <w:ind w:right="240"/>
              <w:spacing w:after="0"/>
              <w:rPr>
                <w:sz w:val="20"/>
                <w:szCs w:val="20"/>
                <w:color w:val="auto"/>
              </w:rPr>
            </w:pPr>
            <w:r>
              <w:rPr>
                <w:rFonts w:ascii="Calibri" w:cs="Calibri" w:eastAsia="Calibri" w:hAnsi="Calibri"/>
                <w:sz w:val="14"/>
                <w:szCs w:val="14"/>
                <w:b w:val="1"/>
                <w:bCs w:val="1"/>
                <w:color w:val="auto"/>
              </w:rPr>
              <w:t>Year Ended December 31,</w:t>
            </w:r>
          </w:p>
        </w:tc>
      </w:tr>
      <w:tr>
        <w:trPr>
          <w:trHeight w:val="173"/>
        </w:trPr>
        <w:tc>
          <w:tcPr>
            <w:tcW w:w="8240" w:type="dxa"/>
            <w:vAlign w:val="bottom"/>
          </w:tcPr>
          <w:p>
            <w:pPr>
              <w:spacing w:after="0"/>
              <w:rPr>
                <w:sz w:val="15"/>
                <w:szCs w:val="15"/>
                <w:color w:val="auto"/>
              </w:rPr>
            </w:pPr>
          </w:p>
        </w:tc>
        <w:tc>
          <w:tcPr>
            <w:tcW w:w="1700" w:type="dxa"/>
            <w:vAlign w:val="bottom"/>
            <w:tcBorders>
              <w:top w:val="single" w:sz="8" w:color="auto"/>
              <w:bottom w:val="single" w:sz="8" w:color="auto"/>
            </w:tcBorders>
          </w:tcPr>
          <w:p>
            <w:pPr>
              <w:jc w:val="right"/>
              <w:ind w:right="636"/>
              <w:spacing w:after="0"/>
              <w:rPr>
                <w:sz w:val="20"/>
                <w:szCs w:val="20"/>
                <w:color w:val="auto"/>
              </w:rPr>
            </w:pPr>
            <w:r>
              <w:rPr>
                <w:rFonts w:ascii="Calibri" w:cs="Calibri" w:eastAsia="Calibri" w:hAnsi="Calibri"/>
                <w:sz w:val="14"/>
                <w:szCs w:val="14"/>
                <w:b w:val="1"/>
                <w:bCs w:val="1"/>
                <w:color w:val="auto"/>
              </w:rPr>
              <w:t>2022</w:t>
            </w:r>
          </w:p>
        </w:tc>
        <w:tc>
          <w:tcPr>
            <w:tcW w:w="160" w:type="dxa"/>
            <w:vAlign w:val="bottom"/>
          </w:tcPr>
          <w:p>
            <w:pPr>
              <w:spacing w:after="0"/>
              <w:rPr>
                <w:sz w:val="15"/>
                <w:szCs w:val="15"/>
                <w:color w:val="auto"/>
              </w:rPr>
            </w:pPr>
          </w:p>
        </w:tc>
      </w:tr>
      <w:tr>
        <w:trPr>
          <w:trHeight w:val="212"/>
        </w:trPr>
        <w:tc>
          <w:tcPr>
            <w:tcW w:w="824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Expected dividend yield</w:t>
            </w:r>
          </w:p>
        </w:tc>
        <w:tc>
          <w:tcPr>
            <w:tcW w:w="1860" w:type="dxa"/>
            <w:vAlign w:val="bottom"/>
            <w:gridSpan w:val="2"/>
            <w:shd w:val="clear" w:color="auto" w:fill="CFF0FC"/>
          </w:tcPr>
          <w:p>
            <w:pPr>
              <w:jc w:val="right"/>
              <w:ind w:right="200"/>
              <w:spacing w:after="0" w:line="212" w:lineRule="exact"/>
              <w:rPr>
                <w:sz w:val="20"/>
                <w:szCs w:val="20"/>
                <w:color w:val="auto"/>
              </w:rPr>
            </w:pPr>
            <w:r>
              <w:rPr>
                <w:rFonts w:ascii="Calibri" w:cs="Calibri" w:eastAsia="Calibri" w:hAnsi="Calibri"/>
                <w:sz w:val="18"/>
                <w:szCs w:val="18"/>
                <w:color w:val="auto"/>
              </w:rPr>
              <w:t>—</w:t>
            </w:r>
          </w:p>
        </w:tc>
      </w:tr>
      <w:tr>
        <w:trPr>
          <w:trHeight w:val="215"/>
        </w:trPr>
        <w:tc>
          <w:tcPr>
            <w:tcW w:w="8240" w:type="dxa"/>
            <w:vAlign w:val="bottom"/>
          </w:tcPr>
          <w:p>
            <w:pPr>
              <w:spacing w:after="0" w:line="215" w:lineRule="exact"/>
              <w:rPr>
                <w:sz w:val="20"/>
                <w:szCs w:val="20"/>
                <w:color w:val="auto"/>
              </w:rPr>
            </w:pPr>
            <w:r>
              <w:rPr>
                <w:rFonts w:ascii="Calibri" w:cs="Calibri" w:eastAsia="Calibri" w:hAnsi="Calibri"/>
                <w:sz w:val="18"/>
                <w:szCs w:val="18"/>
                <w:color w:val="auto"/>
              </w:rPr>
              <w:t>Expected volatlity</w:t>
            </w:r>
          </w:p>
        </w:tc>
        <w:tc>
          <w:tcPr>
            <w:tcW w:w="18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48.03 %</w:t>
            </w:r>
          </w:p>
        </w:tc>
      </w:tr>
      <w:tr>
        <w:trPr>
          <w:trHeight w:val="217"/>
        </w:trPr>
        <w:tc>
          <w:tcPr>
            <w:tcW w:w="824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Risk–free interest rate</w:t>
            </w:r>
          </w:p>
        </w:tc>
        <w:tc>
          <w:tcPr>
            <w:tcW w:w="186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1.47 %</w:t>
            </w:r>
          </w:p>
        </w:tc>
      </w:tr>
      <w:tr>
        <w:trPr>
          <w:trHeight w:val="215"/>
        </w:trPr>
        <w:tc>
          <w:tcPr>
            <w:tcW w:w="8240" w:type="dxa"/>
            <w:vAlign w:val="bottom"/>
          </w:tcPr>
          <w:p>
            <w:pPr>
              <w:spacing w:after="0" w:line="215" w:lineRule="exact"/>
              <w:rPr>
                <w:sz w:val="20"/>
                <w:szCs w:val="20"/>
                <w:color w:val="auto"/>
              </w:rPr>
            </w:pPr>
            <w:r>
              <w:rPr>
                <w:rFonts w:ascii="Calibri" w:cs="Calibri" w:eastAsia="Calibri" w:hAnsi="Calibri"/>
                <w:sz w:val="18"/>
                <w:szCs w:val="18"/>
                <w:color w:val="auto"/>
              </w:rPr>
              <w:t>Expected term (in years)</w:t>
            </w:r>
          </w:p>
        </w:tc>
        <w:tc>
          <w:tcPr>
            <w:tcW w:w="1700" w:type="dxa"/>
            <w:vAlign w:val="bottom"/>
          </w:tcPr>
          <w:p>
            <w:pPr>
              <w:jc w:val="right"/>
              <w:spacing w:after="0" w:line="215" w:lineRule="exact"/>
              <w:rPr>
                <w:sz w:val="20"/>
                <w:szCs w:val="20"/>
                <w:color w:val="auto"/>
              </w:rPr>
            </w:pPr>
            <w:r>
              <w:rPr>
                <w:rFonts w:ascii="Calibri" w:cs="Calibri" w:eastAsia="Calibri" w:hAnsi="Calibri"/>
                <w:sz w:val="18"/>
                <w:szCs w:val="18"/>
                <w:color w:val="auto"/>
              </w:rPr>
              <w:t>6.11</w:t>
            </w:r>
          </w:p>
        </w:tc>
        <w:tc>
          <w:tcPr>
            <w:tcW w:w="160" w:type="dxa"/>
            <w:vAlign w:val="bottom"/>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color w:val="00002D"/>
        </w:rPr>
        <w:t>The Company issues shares of Class A common stock upon the vestng of RSUs and the exercise of stock optons out of its shares available for issuance.</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00002D"/>
        </w:rPr>
        <w:t>During the year ended December 31, 2023, prior to the redempton of all awards in connecton with the 2023 CarOfer Transacton, the Company would issue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00002D"/>
        </w:rPr>
        <w:t>CO Incentve Units and Subject Units (as each term is defned below) out of CarOfer’s units available for issuance.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The Company accounts for forfeitures when they occur.</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recognizes stock-based compensaton expense on a straight-line basis over the requisite service period, with the amount of compensaton expense recognized at any date at least equaling the porton of the grant-date fair value of the award that is vested at that date.</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tax efect of diferences between tax deductons related to stock compensaton and the corresponding fnancial statement expense compensaton are recognized as an income tax beneft or expense within the provision for income taxes in the consolidated income statements. The permanent diferences, including excess tax benefts and expenses, are recognized within accrued expenses, accrued income taxes, and other current liabilites in the consolidated balance sheets and classifed as an operatng actvity in the consolidated statements of cash fows. The temporary diferences are recognized within deferred tax assets in the consolidated balance sheets and classifed as deferred taxes in the consolidated statements of cash fows.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CarOfer</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January 14, 2021, the Company acquired a 51% interest in CarOfer (the “2021 CarOfer Transacton”) pursuant to the terms of a Membership Interest Purchase Agreement (the “2021 Purchase Agreement”) dated as of December 9, 2020 (the “2021 Agreement Date”), as amended, by and among the Company, CarOfer, CarOfer Investors Holding, LLC (“TopCo”), each of the Members of TopCo (each a “Member” and collectvely, the “Members”), and Bruce T. Thompson, an individual who resided in Texas.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Upon consummaton of the transactons contemplated by the 2021 Purchase Agreement (the “2021 Closing”), the Company acquired a 51% interest in CarOfer for an aggregate consideraton of $173,155 (the “2021 Total Consideraton”), such 2021 Total Consideraton consistng of (a) shares of Class A common stock in the aggregate amount of $103,645 (the “2021 Stock Consideraton”) and (b) $69,510 in cash (the “2021 Cash Consideraton”). The number of shares of Class A common stock issued following the 2021 Closing in connecton with the 2021 Stock Consideraton was 3,115,282, which was calculated by reference to a value of $22.51 per share, which equals the volume-weighted average closing price per share of Class A common stock on the Nasdaq Global Select Market for the 28 consecutve trading days ending on the third Business Day (as defned in the 2021 Purchase Agreement) preceding the 2021 Agreement Date. Pursuant to the 2021 Purchase Agreement, the remaining equity in CarOfer (the “Remaining Equity”) was retained by the then-current equity holders of CarOfer and subject to certain call and put arrangements discussed below.</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Pursuant to the 2021 Purchase Agreement, the Company established a retenton pool in an aggregate amount of $8,000 in the form of RSUs to be issued pursuant to the Company’s standard form of RSU agreement under the Company’s Omnibus Incentve Compensaton Plan (the “2017 Plan”), (i) $6,000 of which was granted to certain CarOfer employees following the 2021 Closing in accordance with the terms of the 2021 Purchase Agreement and (ii) $2,000 of which was available for issuance to future CarOfer</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5" w:name="page96"/>
    <w:bookmarkEnd w:id="9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employees in accordance with the terms of the 2021 Purchase Agreement. RSUs issued from the retenton pool would have been subject to vestng based on rendering of future services.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additon, the Company, TopCo, each Member, and CarOfer MidCo, LLC entered into the Second Amended and Restated Limited Liability Company Agreement, dated as of December 9, 2020 (the “2020 CarOfer Operatng Agreement”), pursuant to which, among other maters, the Company secured the right to appoint a majority of the members of the Board of Managers of CarOfer, other rights customary for a transacton of this nature, and the put and call rights described below. On November 23, 2021, the 2020 CarOfer Operatng Agreement was amended and restated for administratve purposes, including principally to recapitalize certain of the membership units thereunder without changing overall consideraton payable by the Company thereunder (the “2021 CarOfer Operatng Agreement”).</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the second half of 2022, the Company had a call right (the “2022 Call Right”), exercisable in its sole discreton, to acquire a porton of the Remaining Equity representng up to 25% of the fully diluted capitalizaton of CarOfer (such acquired Remaining Equity, the “2022 Acquired Remaining Equity”) at an implied CarOfer value (the “2022 Call Right Value”) of seven tmes CarOfer’s trailing twelve months gross proft as of June 30, 2022 (calculated in accordance with the defned terms and subject to the adjustments set forth in the 2021 CarOfer Operatng Agreement). During the year ended December 31, 2022, the Company determined not to exercise the 2022 Call Right.</w:t>
      </w:r>
    </w:p>
    <w:p>
      <w:pPr>
        <w:spacing w:after="0" w:line="220"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00002D"/>
        </w:rPr>
        <w:t>Prior to the 2023 CarOfer Transacton, in the second half of 2024, (a) the Company had a call right (the “2024 Call Right”), exercisable in its sole discreton, to acquire all, and not less than all, of the Remaining Equity that it had not yet acquired pursuant to the 2022 Call Right and the 2021 Closing, at the greater of</w:t>
      </w:r>
    </w:p>
    <w:p>
      <w:pPr>
        <w:spacing w:after="0" w:line="1" w:lineRule="exact"/>
        <w:rPr>
          <w:sz w:val="20"/>
          <w:szCs w:val="20"/>
          <w:color w:val="auto"/>
        </w:rPr>
      </w:pPr>
    </w:p>
    <w:p>
      <w:pPr>
        <w:jc w:val="both"/>
        <w:ind w:firstLine="8"/>
        <w:spacing w:after="0" w:line="251" w:lineRule="auto"/>
        <w:tabs>
          <w:tab w:leader="none" w:pos="186" w:val="left"/>
        </w:tabs>
        <w:numPr>
          <w:ilvl w:val="0"/>
          <w:numId w:val="41"/>
        </w:numPr>
        <w:rPr>
          <w:rFonts w:ascii="Calibri" w:cs="Calibri" w:eastAsia="Calibri" w:hAnsi="Calibri"/>
          <w:sz w:val="17"/>
          <w:szCs w:val="17"/>
          <w:color w:val="00002D"/>
        </w:rPr>
      </w:pPr>
      <w:r>
        <w:rPr>
          <w:rFonts w:ascii="Calibri" w:cs="Calibri" w:eastAsia="Calibri" w:hAnsi="Calibri"/>
          <w:sz w:val="17"/>
          <w:szCs w:val="17"/>
          <w:color w:val="00002D"/>
        </w:rPr>
        <w:t>(x) $100.0 million, and (y) the 2022 Call Right Value, whichever was less, and (ii) an implied CarOfer value of 12 tmes CarOfer’s trailing 12 months EBITDA as of June 30, 2024 (in each case calculated in accordance with the defned terms and subject to the adjustments set forth in the 2021 CarOfer Operatng Agreement), and (b) the representatve of the holders of the Remaining Equity had a put right (the “2024 Put Right”), exercisable in his, her or their sole discreton, to have the holders of the Remaining Equity sell to the Company, all, and not less than all, of the Remaining Equity at an implied CarOfer value of 12 tmes CarOfer’s trailing 12 months EBITDA as of June 30, 2024 (calculated in accordance with the defned terms and subject to the adjustments set forth in the 2021 CarOfer Operatng Agreement). In connecton with the 2023 CarOfer Transacton, the 2024 Call Right and the 2024 Put Right were terminated.</w:t>
      </w:r>
    </w:p>
    <w:p>
      <w:pPr>
        <w:spacing w:after="0" w:line="2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connecton with the 2021 CarOfer Transacton, the then-outstanding unvested incentve units (“CO Incentve Units”) of CarOfer and unvested Class CO CarOfer units (the “Subject Units”) remained outstanding and would have vested over the requisite service periods as discussed below.</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Grants of the CO Incentve Units were subject to the CarOfer 2020 Equity Incentve Plan, adopted efectve November 24, 2020 (the “2020 CO Plan”), the applicable award agreement, and the 2021 CarOfer Operatng Agreement. Following the 2021 CarOfer Transacton, remaining unvested CO Incentve Units vest over a period of three years, with one-third having vested on each of January 14, 2022, and January 14, 2023, and one-third vestng on January 14, 2024, provided that a grantee’s contnuous service to CarOfer has not terminated on the applicable vestng date. As a result of the 2023 CarOfer Transacton, the vestng on January 14, 2024, was accelerated and the CO Incentve Units were accelerated and redeemed.</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additon to the 2020 CO Plan, on December 9, 2020, CarOfer entered into a Vestng Agreement (the “Vestng Agreement”) regarding the vestng of Subject Units benefcially owned by Bruce Thompson, the founder and CEO of CarOfer, and certain afliated persons (collectvely, the “T5 Holders”) in connecton with the Company’s then-antcipated acquisiton of a 51% interest in CarOfer. Pursuant to the Vestng Agreement, 432,592 Subject Units benefcially owned by the T5 Holders vest in three approximately equal installments, with one-third having vested on each of January 14, 2022, and January 14, 2023, and one third vestng on January 14, 2024, subject to the terms of the Vestng Agreement. As a result of the 2023 CarOfer Transacton, the vestng on January 14, 2024, was accelerated and the Subject Units were accelerated and redeemed.</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connecton with the 2021 Closing, CarOfer reserved 228,571 incentve units (the “2021 Incentve Units”) for purposes of establishing an employee incentve equity plan. Thereafer, CarOfer formed CarOfer Incentve Equity, LLC (“CIE”), a Delaware manager-managed limited liability company managed by the Company, and established the CIE 2021 Equity Incentve Plan (the “2021 CO Plan”). The 2021 CO Plan and related documentaton, including the applicable award agreement, a vestng agreement between CarOfer and CIE, and the 2021 CarOfer Operatng Agreement, provided for an incentve equity grant structure whereby 2021 Incentve Units would be granted to CIE and 2021 CO Plan grantees would receive an associated equity interest in CIE (the “CIE Interest”), with back-to-back vestng between the 2021 Incentve Units and the associated CIE Interest. Subject to any modifcatons</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6" w:name="page97"/>
    <w:bookmarkEnd w:id="9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that may have been approved by the CarOfer Board of Managers in its discreton, grants under the 2021 CO Plan would vest over a period of three years from the grant date, one-third each on the frst, second, and third anniversaries of the applicable grant date, provided that a grantee’s contnuous service to CarOfer had not terminated on the applicable anniversary of the grant date. Upon terminaton of a grantee’s contnuous service to CarOfer, all of such grantee’s unvested 2021 Incentve Units were forfeited. As of December 31, 2022, there were no grants of 2021 Incentve Units under the 2021 CO Plan.</w:t>
      </w:r>
    </w:p>
    <w:p>
      <w:pPr>
        <w:spacing w:after="0" w:line="219"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00002D"/>
        </w:rPr>
        <w:t>CO Incentve Units, Subject Units, and 2021 Incentve Units were liability-classifed awards because the awards could be put to the Company at a formula price such that the holders did not bear the risks and rewards associated with equity ownership. For liability-classifed awards, the fair value was determined on the date of issuance using a Least Square Monte Carlo simulaton model. Liability-classifed awards were remeasured to fair value each period untl setlement. Untl March 31, 2022, the Least Square Monte Carlo simulaton model was used for remeasurement. During the three months ended June 30, 2022, the Company refned its model for determining the fair value of liability-classifed awards as a result of obtaining gross proft actuals through the trailing twelve-months ended June 30, 2022, measurement period for the frst call opton. From March 31, 2022, the fair value was typically determined using a Monte Carlo simulaton model. During the year ended December 31, 2022, the Company determined not to exercise the 2022 Call Right. The valuaton of these liability-classifed awards was previously derived from the 2024 Call Right and the 2024 Put Right. The determinaton of the fair value was afected by CarOfer’s equity value, EBITDA, and Excess Parent Capital (as defned in the 2021 CarOfer Operatng Agreement) that drove the exercise price of future call/put rights, as well as a number of assumptons including market price of risk, volatlity, correlaton, and risk-free interest rate. As a result of the EBITDA and Excess Parent Capital projectons for CarOfer as of December 31, 2022, a Monte Carlo simulaton model was not required as of December 31, 2022.</w:t>
      </w: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December 1, 2023, the Company completed the 2023 CarOfer Transacton. Pursuant to the 2023 Purchase Agreement, the Company acquired the remaining minority equity interests in CarOfer for the 2023 Consideraton, consistng of an aggregate consideraton of $75.0 million in cash, subject to certain adjustments set forth in the 2023 Purchase Agreement. A porton of the 2023 Consideraton was held in escrow to secure certain payment and indemnifcaton obligatons of the Indirect Members in accordance with the terms of the 2023 Purchase Agreement.</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Upon completon of the 2023 CarOfer Transacton, the Company recorded an approximately $50 million stock-based compensaton charge, which consisted of payments for CO Incentve Units and Subject Units, and payments made to holders of noncontrolling interest (“Noncontrolling Interest Units”), resultng from the modifcaton of the 2021 Purchase Agreement. As a result of the 2023 CarOfer Transacton, the liability-classifed awards were accelerated and redeemed as of December 31, 2023. The completon of the 2023 CarOfer Transacton additonally relieved the redeemable noncontrolling interests on its consolidated balance sheets, reducing the remaining redeemable noncontrolling interest on its consolidated balance sheets to zero and recording excess cash paid to these unit holders as a deemed dividend of $5,838. See Note 11 of these consolidated fnancial statements for further disclosure on impact of the modifcatons that resulted from the 2023 CarOfer Transacton.</w:t>
      </w:r>
    </w:p>
    <w:p>
      <w:pPr>
        <w:spacing w:after="0" w:line="2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Following the 2023 CarOfer Transacton, CarOfer is a wholly-owned subsidiary and the Company entered into the 2023 CarOfer Operatng Agreement, pursuant to which, among other maters, the existng put and call rights were terminated.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Common Stock Share Repurchases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Repurchases of the Company’s Class A common stock that are retred are recognized as a reducton to common stock at par value and the remainder is recognized as a reducton to additonal paid-in capital in the consolidated balance sheets. If additonal paid-in capital is reduced to zero, repurchases of the Company’s Class A common stock in excess of the par value are recognized as a reducton to retained earnings in the consolidated balance sheets.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If there is a diference between the trade date and the setlement date for shares repurchased as of period end, a liability is recognized within accrued expenses, accrued income taxes, and other current liabilites in the consolidated balance sheets.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a result of the IRA, efectve on January 1, 2023, the Company is required to pay a 1% excise tax on certain stock repurchases. Based on the Company’s evaluaton, the Company has concluded that the IRA has not had a material impact on its income tax provision and cash taxes. The excise tax is considered a direct and incremental cost of the share repurchase and is recognized as a reducton to additonal paid-in capital in the consolidated balance sheets. Other direct and incremental costs, such as commissions and legal expenses, are recognized as a reducton to additonal paid-in capital in the consolidated balance sheets.</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7" w:name="page98"/>
    <w:bookmarkEnd w:id="9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Advertsing Costs</w:t>
      </w:r>
    </w:p>
    <w:p>
      <w:pPr>
        <w:spacing w:after="0" w:line="252"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Advertsing costs are expensed as incurred and recognized within sales and marketng expense in the consolidated income statements. For the years ended December 31, 2024, 2023, and 2022, advertsing expense was $160,668, $138,782, and $156,128, respectvely.</w:t>
      </w:r>
    </w:p>
    <w:p>
      <w:pPr>
        <w:spacing w:after="0" w:line="147"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Comprehensive Income</w:t>
      </w:r>
    </w:p>
    <w:p>
      <w:pPr>
        <w:spacing w:after="0" w:line="252"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Comprehensive income is defned as the change in stockholders’ equity of a business enterprise during a period from transactons and other events and circumstances from non‑owner sources. Comprehensive income consists of consolidated net income and other comprehensive income, which includes certain changes in equity that are excluded from consolidated net income, such as foreign currency translaton adjustments. Accumulated other comprehensive (loss) is presented separately in the consolidated balance sheets.</w:t>
      </w:r>
    </w:p>
    <w:p>
      <w:pPr>
        <w:spacing w:after="0" w:line="171"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Recent Accountng Pronouncements Adopted</w:t>
      </w:r>
    </w:p>
    <w:p>
      <w:pPr>
        <w:spacing w:after="0" w:line="252" w:lineRule="exact"/>
        <w:rPr>
          <w:sz w:val="20"/>
          <w:szCs w:val="20"/>
          <w:color w:val="auto"/>
        </w:rPr>
      </w:pPr>
    </w:p>
    <w:p>
      <w:pPr>
        <w:jc w:val="both"/>
        <w:spacing w:after="0" w:line="279" w:lineRule="auto"/>
        <w:rPr>
          <w:sz w:val="20"/>
          <w:szCs w:val="20"/>
          <w:color w:val="auto"/>
        </w:rPr>
      </w:pPr>
      <w:r>
        <w:rPr>
          <w:rFonts w:ascii="MS PGothic" w:cs="MS PGothic" w:eastAsia="MS PGothic" w:hAnsi="MS PGothic"/>
          <w:sz w:val="18"/>
          <w:szCs w:val="18"/>
          <w:color w:val="00002D"/>
        </w:rPr>
        <w:t xml:space="preserve">In November 2023 the FASB issued ASU 2023-07, </w:t>
      </w:r>
      <w:r>
        <w:rPr>
          <w:rFonts w:ascii="Calibri" w:cs="Calibri" w:eastAsia="Calibri" w:hAnsi="Calibri"/>
          <w:sz w:val="18"/>
          <w:szCs w:val="18"/>
          <w:i w:val="1"/>
          <w:iCs w:val="1"/>
          <w:color w:val="00002D"/>
        </w:rPr>
        <w:t>Segment Reportng (Topic 280): Improvements to Reportable Segment Disclosures</w:t>
      </w:r>
      <w:r>
        <w:rPr>
          <w:rFonts w:ascii="MS PGothic" w:cs="MS PGothic" w:eastAsia="MS PGothic" w:hAnsi="MS PGothic"/>
          <w:sz w:val="18"/>
          <w:szCs w:val="18"/>
          <w:color w:val="00002D"/>
        </w:rPr>
        <w:t xml:space="preserve"> (“ASU 2023-07”). ASU 2023-07 is intended to enhance disclosures for signifcant segment expenses for all public enttes required to report segment informaton in accordance with ASC Topic 280, </w:t>
      </w:r>
      <w:r>
        <w:rPr>
          <w:rFonts w:ascii="Calibri" w:cs="Calibri" w:eastAsia="Calibri" w:hAnsi="Calibri"/>
          <w:sz w:val="18"/>
          <w:szCs w:val="18"/>
          <w:i w:val="1"/>
          <w:iCs w:val="1"/>
          <w:color w:val="00002D"/>
        </w:rPr>
        <w:t>Segment Reportng</w:t>
      </w:r>
      <w:r>
        <w:rPr>
          <w:rFonts w:ascii="MS PGothic" w:cs="MS PGothic" w:eastAsia="MS PGothic" w:hAnsi="MS PGothic"/>
          <w:sz w:val="18"/>
          <w:szCs w:val="18"/>
          <w:color w:val="00002D"/>
        </w:rPr>
        <w:t xml:space="preserve"> (“ASC 280”). ASC 280 requires a public entty to report for each reportable segment a measure of segment proft or loss that its chief operatng decision maker (“CODM”) uses to assess segment performance and to make decisions about resource allocatons. ASU 2023-07 is intended to improve fnancial reportng by requiring disclosure of incremental segment informaton on an annual and interim basis for all public enttes to enable investors to develop more useful fnancial analyses. ASU 2023-07 is efectve for the fscal years beginning afer December 15, 2023, and interim periods within fscal years beginning afer December 15, 2024. Early adopton is permited. A public entty should apply ASU 2023-07 retrospectvely to all prior periods presented in the consolidated fnancial statements. The Company adopted ASU 2023-07 on December 31, 2024, and applied the amendments retrospectvely to all prior periods presented in the consolidated fnancial statements. See Note 14 of these consolidated statements for the impact of the adopton.</w:t>
      </w:r>
    </w:p>
    <w:p>
      <w:pPr>
        <w:spacing w:after="0" w:line="191" w:lineRule="exact"/>
        <w:rPr>
          <w:sz w:val="20"/>
          <w:szCs w:val="20"/>
          <w:color w:val="auto"/>
        </w:rPr>
      </w:pPr>
    </w:p>
    <w:p>
      <w:pPr>
        <w:spacing w:after="0"/>
        <w:rPr>
          <w:sz w:val="20"/>
          <w:szCs w:val="20"/>
          <w:color w:val="auto"/>
        </w:rPr>
      </w:pPr>
      <w:r>
        <w:rPr>
          <w:rFonts w:ascii="MS PGothic" w:cs="MS PGothic" w:eastAsia="MS PGothic" w:hAnsi="MS PGothic"/>
          <w:sz w:val="18"/>
          <w:szCs w:val="18"/>
          <w:color w:val="3465B0"/>
        </w:rPr>
        <w:t>Recent Accountng Pronouncements Not Yet Adopted</w:t>
      </w:r>
    </w:p>
    <w:p>
      <w:pPr>
        <w:spacing w:after="0" w:line="252"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00002D"/>
        </w:rPr>
        <w:t>From tme to tme, new accountng pronouncements are issued by the FASB or other standard-setng bodies and adopted by the Company on or prior to the specifed efectve date. Unless otherwise disclosed below, the Company believes that the impact of recently issued standards that are not yet efectve will not have a material impact on its fnancial positon or results of operatons upon adopton. As of December 31, 2024, there are no new accountng pronouncements that the Company is considering adoptng, other than those described below.</w:t>
      </w:r>
    </w:p>
    <w:p>
      <w:pPr>
        <w:spacing w:after="0" w:line="171" w:lineRule="exact"/>
        <w:rPr>
          <w:sz w:val="20"/>
          <w:szCs w:val="20"/>
          <w:color w:val="auto"/>
        </w:rPr>
      </w:pPr>
    </w:p>
    <w:p>
      <w:pPr>
        <w:jc w:val="both"/>
        <w:spacing w:after="0" w:line="266" w:lineRule="auto"/>
        <w:rPr>
          <w:sz w:val="20"/>
          <w:szCs w:val="20"/>
          <w:color w:val="auto"/>
        </w:rPr>
      </w:pPr>
      <w:r>
        <w:rPr>
          <w:rFonts w:ascii="MS PGothic" w:cs="MS PGothic" w:eastAsia="MS PGothic" w:hAnsi="MS PGothic"/>
          <w:sz w:val="18"/>
          <w:szCs w:val="18"/>
          <w:color w:val="00002D"/>
        </w:rPr>
        <w:t xml:space="preserve">In November 2024 the FASB issued ASU 2024-03, </w:t>
      </w:r>
      <w:r>
        <w:rPr>
          <w:rFonts w:ascii="Calibri" w:cs="Calibri" w:eastAsia="Calibri" w:hAnsi="Calibri"/>
          <w:sz w:val="18"/>
          <w:szCs w:val="18"/>
          <w:i w:val="1"/>
          <w:iCs w:val="1"/>
          <w:color w:val="00002D"/>
        </w:rPr>
        <w:t>Income Statement-Reportng Comprehensive Income-Expense Disaggregaton Disclosures (Subtopic 220-40):</w:t>
      </w:r>
      <w:r>
        <w:rPr>
          <w:rFonts w:ascii="MS PGothic" w:cs="MS PGothic" w:eastAsia="MS PGothic" w:hAnsi="MS PGothic"/>
          <w:sz w:val="18"/>
          <w:szCs w:val="18"/>
          <w:color w:val="00002D"/>
        </w:rPr>
        <w:t xml:space="preserve"> </w:t>
      </w:r>
      <w:r>
        <w:rPr>
          <w:rFonts w:ascii="Calibri" w:cs="Calibri" w:eastAsia="Calibri" w:hAnsi="Calibri"/>
          <w:sz w:val="18"/>
          <w:szCs w:val="18"/>
          <w:i w:val="1"/>
          <w:iCs w:val="1"/>
          <w:color w:val="00002D"/>
        </w:rPr>
        <w:t xml:space="preserve">Disaggregaton of Income Statement Expenses </w:t>
      </w:r>
      <w:r>
        <w:rPr>
          <w:rFonts w:ascii="MS PGothic" w:cs="MS PGothic" w:eastAsia="MS PGothic" w:hAnsi="MS PGothic"/>
          <w:sz w:val="18"/>
          <w:szCs w:val="18"/>
          <w:color w:val="00002D"/>
        </w:rPr>
        <w:t>(“ASU 2024-03”). ASU 2024-03 is intended to provide more detailed expense informaton and requires</w:t>
      </w:r>
      <w:r>
        <w:rPr>
          <w:rFonts w:ascii="Calibri" w:cs="Calibri" w:eastAsia="Calibri" w:hAnsi="Calibri"/>
          <w:sz w:val="18"/>
          <w:szCs w:val="18"/>
          <w:i w:val="1"/>
          <w:iCs w:val="1"/>
          <w:color w:val="00002D"/>
        </w:rPr>
        <w:t xml:space="preserve"> </w:t>
      </w:r>
      <w:r>
        <w:rPr>
          <w:rFonts w:ascii="MS PGothic" w:cs="MS PGothic" w:eastAsia="MS PGothic" w:hAnsi="MS PGothic"/>
          <w:sz w:val="18"/>
          <w:szCs w:val="18"/>
          <w:color w:val="00002D"/>
        </w:rPr>
        <w:t>additonal disaggregated disclosures in the notes to the fnancial statements for categories of expenses that are included on the face of the income statement. ASU 2024-03 is efectve for the fscal years beginning afer December 15, 2026, and interim periods within fscal years beginning afer December 15, 2027. Early adopton is permited. ASU 2024-03 may be applied either prospectvely to fnancial statements issued for periods afer the efectve date of ASU 2024-03 or retrospectvely to all prior periods presented in the consolidated fnancial statements. The Company is currently evaluatng the impact of ASU 2024-03 on its future consolidated fnancial statements and related disclosures.</w:t>
      </w:r>
    </w:p>
    <w:p>
      <w:pPr>
        <w:spacing w:after="0" w:line="199" w:lineRule="exact"/>
        <w:rPr>
          <w:sz w:val="20"/>
          <w:szCs w:val="20"/>
          <w:color w:val="auto"/>
        </w:rPr>
      </w:pPr>
    </w:p>
    <w:p>
      <w:pPr>
        <w:jc w:val="both"/>
        <w:spacing w:after="0" w:line="283" w:lineRule="auto"/>
        <w:rPr>
          <w:sz w:val="20"/>
          <w:szCs w:val="20"/>
          <w:color w:val="auto"/>
        </w:rPr>
      </w:pPr>
      <w:r>
        <w:rPr>
          <w:rFonts w:ascii="MS PGothic" w:cs="MS PGothic" w:eastAsia="MS PGothic" w:hAnsi="MS PGothic"/>
          <w:sz w:val="18"/>
          <w:szCs w:val="18"/>
          <w:color w:val="00002D"/>
        </w:rPr>
        <w:t xml:space="preserve">In December 2023 the FASB issued ASU 2023-09, </w:t>
      </w:r>
      <w:r>
        <w:rPr>
          <w:rFonts w:ascii="Calibri" w:cs="Calibri" w:eastAsia="Calibri" w:hAnsi="Calibri"/>
          <w:sz w:val="18"/>
          <w:szCs w:val="18"/>
          <w:i w:val="1"/>
          <w:iCs w:val="1"/>
          <w:color w:val="00002D"/>
        </w:rPr>
        <w:t>Income Taxes (Topic 740): Improvements to Income Tax Disclosures</w:t>
      </w:r>
      <w:r>
        <w:rPr>
          <w:rFonts w:ascii="MS PGothic" w:cs="MS PGothic" w:eastAsia="MS PGothic" w:hAnsi="MS PGothic"/>
          <w:sz w:val="18"/>
          <w:szCs w:val="18"/>
          <w:color w:val="00002D"/>
        </w:rPr>
        <w:t xml:space="preserve"> (“ASU 2023-09”)</w:t>
      </w:r>
      <w:r>
        <w:rPr>
          <w:rFonts w:ascii="Calibri" w:cs="Calibri" w:eastAsia="Calibri" w:hAnsi="Calibri"/>
          <w:sz w:val="18"/>
          <w:szCs w:val="18"/>
          <w:i w:val="1"/>
          <w:iCs w:val="1"/>
          <w:color w:val="00002D"/>
        </w:rPr>
        <w:t>.</w:t>
      </w:r>
      <w:r>
        <w:rPr>
          <w:rFonts w:ascii="MS PGothic" w:cs="MS PGothic" w:eastAsia="MS PGothic" w:hAnsi="MS PGothic"/>
          <w:sz w:val="18"/>
          <w:szCs w:val="18"/>
          <w:color w:val="00002D"/>
        </w:rPr>
        <w:t xml:space="preserve"> ASU 2023-09 is intended to enhance the transparency and decision usefulness of income tax disclosures. ASU 2023-09 addresses investor requests for enhanced income tax informaton primarily through changes to the rate reconciliaton and income taxes paid informaton. Early adopton is permited. A public entty should apply ASU 2023-09 prospectvely to all annual periods beginning afer December 15, 2024. The Company is currently evaluatng the impact of ASU 2023-09 on its future consolidated fnancial statements and related disclosures.</w:t>
      </w:r>
    </w:p>
    <w:p>
      <w:pPr>
        <w:spacing w:after="0" w:line="188"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8" w:name="page99"/>
    <w:bookmarkEnd w:id="9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3. Revenue Recogniton</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2023, and 2022, revenue from contracts with customers by services and products was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80"/>
              <w:spacing w:after="0"/>
              <w:rPr>
                <w:sz w:val="20"/>
                <w:szCs w:val="20"/>
                <w:color w:val="auto"/>
              </w:rPr>
            </w:pPr>
            <w:r>
              <w:rPr>
                <w:rFonts w:ascii="Calibri" w:cs="Calibri" w:eastAsia="Calibri" w:hAnsi="Calibri"/>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r>
      <w:tr>
        <w:trPr>
          <w:trHeight w:val="212"/>
        </w:trPr>
        <w:tc>
          <w:tcPr>
            <w:tcW w:w="5900" w:type="dxa"/>
            <w:vAlign w:val="bottom"/>
            <w:shd w:val="clear" w:color="auto" w:fill="CFF0FC"/>
          </w:tcPr>
          <w:p>
            <w:pPr>
              <w:ind w:left="40"/>
              <w:spacing w:after="0" w:line="212" w:lineRule="exact"/>
              <w:rPr>
                <w:sz w:val="20"/>
                <w:szCs w:val="20"/>
                <w:color w:val="auto"/>
              </w:rPr>
            </w:pPr>
            <w:r>
              <w:rPr>
                <w:rFonts w:ascii="Calibri" w:cs="Calibri" w:eastAsia="Calibri" w:hAnsi="Calibri"/>
                <w:sz w:val="18"/>
                <w:szCs w:val="18"/>
                <w:color w:val="auto"/>
              </w:rPr>
              <w:t>Marketplace</w:t>
            </w:r>
          </w:p>
        </w:tc>
        <w:tc>
          <w:tcPr>
            <w:tcW w:w="280" w:type="dxa"/>
            <w:vAlign w:val="bottom"/>
            <w:shd w:val="clear" w:color="auto" w:fill="CFF0FC"/>
          </w:tcPr>
          <w:p>
            <w:pPr>
              <w:jc w:val="right"/>
              <w:ind w:right="70"/>
              <w:spacing w:after="0" w:line="212"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796,599</w:t>
            </w:r>
          </w:p>
        </w:tc>
        <w:tc>
          <w:tcPr>
            <w:tcW w:w="520" w:type="dxa"/>
            <w:vAlign w:val="bottom"/>
            <w:gridSpan w:val="2"/>
            <w:shd w:val="clear" w:color="auto" w:fill="CFF0FC"/>
          </w:tcPr>
          <w:p>
            <w:pPr>
              <w:jc w:val="right"/>
              <w:ind w:right="160"/>
              <w:spacing w:after="0" w:line="212"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698,236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2"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658,771</w:t>
            </w: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ind w:left="40"/>
              <w:spacing w:after="0" w:line="215" w:lineRule="exact"/>
              <w:rPr>
                <w:sz w:val="20"/>
                <w:szCs w:val="20"/>
                <w:color w:val="auto"/>
              </w:rPr>
            </w:pPr>
            <w:r>
              <w:rPr>
                <w:rFonts w:ascii="Calibri" w:cs="Calibri" w:eastAsia="Calibri" w:hAnsi="Calibri"/>
                <w:sz w:val="18"/>
                <w:szCs w:val="18"/>
                <w:color w:val="auto"/>
              </w:rPr>
              <w:t>Dealer-to-Dealer</w:t>
            </w: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59,763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109,802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320,119</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ind w:left="40"/>
              <w:spacing w:after="0" w:line="216" w:lineRule="exact"/>
              <w:rPr>
                <w:sz w:val="20"/>
                <w:szCs w:val="20"/>
                <w:color w:val="auto"/>
              </w:rPr>
            </w:pPr>
            <w:r>
              <w:rPr>
                <w:rFonts w:ascii="Calibri" w:cs="Calibri" w:eastAsia="Calibri" w:hAnsi="Calibri"/>
                <w:sz w:val="18"/>
                <w:szCs w:val="18"/>
                <w:color w:val="auto"/>
              </w:rPr>
              <w:t>Sell My Car - Instant Max Cash Ofer</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38,022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106,204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676,145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220"/>
              <w:spacing w:after="0" w:line="210" w:lineRule="exact"/>
              <w:rPr>
                <w:sz w:val="20"/>
                <w:szCs w:val="20"/>
                <w:color w:val="auto"/>
              </w:rPr>
            </w:pPr>
            <w:r>
              <w:rPr>
                <w:rFonts w:ascii="Calibri" w:cs="Calibri" w:eastAsia="Calibri" w:hAnsi="Calibri"/>
                <w:sz w:val="18"/>
                <w:szCs w:val="18"/>
                <w:color w:val="auto"/>
              </w:rPr>
              <w:t>Total</w:t>
            </w:r>
          </w:p>
        </w:tc>
        <w:tc>
          <w:tcPr>
            <w:tcW w:w="280" w:type="dxa"/>
            <w:vAlign w:val="bottom"/>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894,384</w:t>
            </w:r>
          </w:p>
        </w:tc>
        <w:tc>
          <w:tcPr>
            <w:tcW w:w="52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914,242</w:t>
            </w:r>
          </w:p>
        </w:tc>
        <w:tc>
          <w:tcPr>
            <w:tcW w:w="240" w:type="dxa"/>
            <w:vAlign w:val="bottom"/>
          </w:tcPr>
          <w:p>
            <w:pPr>
              <w:spacing w:after="0"/>
              <w:rPr>
                <w:sz w:val="18"/>
                <w:szCs w:val="18"/>
                <w:color w:val="auto"/>
              </w:rPr>
            </w:pPr>
          </w:p>
        </w:tc>
        <w:tc>
          <w:tcPr>
            <w:tcW w:w="280" w:type="dxa"/>
            <w:vAlign w:val="bottom"/>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1,655,035</w:t>
            </w: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-170815</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00002D"/>
        </w:rPr>
        <w:t>The Company provides disaggregaton of revenue by services and products, by income statement presentaton, by segment, and by geographic region.</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Revenue by services and products is disaggregated by (i) marketplace services, (ii) Dealer-to-Dealer services and products, and (iii) Instant Max Cash Ofer services and products, as disclosed above.</w:t>
      </w:r>
    </w:p>
    <w:p>
      <w:pPr>
        <w:spacing w:after="0" w:line="218"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00002D"/>
        </w:rPr>
        <w:t>Revenue by income statement presentaton is disaggregated by (i) marketplace, (ii) wholesale, and (iii) product revenue sources, as disclosed in the consolidated income statements. Marketplace services are included within marketplace revenue in the consolidated income statements. Dealer-to-Dealer and Instant Max Cash Ofer services and products are included within both wholesale revenue and product revenue in the consolidated income statements.</w:t>
      </w:r>
    </w:p>
    <w:p>
      <w:pPr>
        <w:spacing w:after="0" w:line="20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Revenue by segment is disaggregated by (i) U.S. Marketplace and (ii) Digital Wholesale segments, as disclosed in Note 14 of these consolidated fnancial statements. Marketplace services are included in the U.S. Marketplace segment and in the Other category of segment reportng. Dealer-to-Dealer and Instant Max Cash Ofer services and products are included in the Digital Wholesale segment.</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Revenue by geographic region is disaggregated by (i) U.S. and (ii) Internatonal regions, as disclosed in Note 14 of these consolidated fnancial statements. Marketplace services are provided in the U.S. and Internatonal regions. Dealer-to-Dealer and Instant Max Cash Ofer services and products are provided in the U.S. region.</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believes these categories best depict how the nature, amount, tming, and uncertainty of revenue and cash fows are afected by economic factors.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ASC 606 requires that the Company disclose the aggregate amount of transacton price that is allocated to performance obligatons that have not yet been satsfed as of the relevant year end.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contracts with an original expected duraton greater than one year, the aggregate amount of the transacton price allocated to the performance obligatons that were unsatsfed as of December 31, 2024, was approximately $63.7 million, which the Company expects to recognize over the next 12 months.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contracts with an original expected duraton of one year or less, the Company has applied the practcal expedient available under ASC 606 to not disclose the amount of transacton price allocated to unsatsfed performance obligatons as of December 31, 2024. For performance obligatons not satsfed as of December 31, 2024, and to which this expedient applies, the nature of the performance obligatons, the variable consideraton, and any consideraton from contracts with customers not included in the transacton price is consistent with performance obligatons satsfed as of December 31, 2024.</w:t>
      </w:r>
    </w:p>
    <w:p>
      <w:pPr>
        <w:spacing w:after="0" w:line="21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00002D"/>
        </w:rPr>
        <w:t>As of December 31, 2024 and 2023, assets associated with costs to obtain a contract were $25,719 and $24,093, respectvely. For the years ended December 31, 2024, 2023, and 2022, amortzaton expense associated with costs to obtain a contract was $13,975, $11,817, and $11,067, respectvely.</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years ended December 31, 2024, 2023, and 2022, revenue recognized from amounts included in deferred revenue at the beginning of the period was $21,322, $12,249, and $12,784, respectvely.</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9" w:name="page100"/>
    <w:bookmarkEnd w:id="9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4. Fair Value of Financial Instruments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and 2023, assets measured at fair value on a recurring basis consisted of the following:</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380"/>
              <w:spacing w:after="0"/>
              <w:rPr>
                <w:sz w:val="20"/>
                <w:szCs w:val="20"/>
                <w:color w:val="auto"/>
              </w:rPr>
            </w:pPr>
            <w:r>
              <w:rPr>
                <w:rFonts w:ascii="Calibri" w:cs="Calibri" w:eastAsia="Calibri" w:hAnsi="Calibri"/>
                <w:sz w:val="14"/>
                <w:szCs w:val="14"/>
                <w:b w:val="1"/>
                <w:bCs w:val="1"/>
                <w:color w:val="auto"/>
              </w:rPr>
              <w:t>As of December 31, 2024</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3"/>
              <w:spacing w:after="0" w:line="161" w:lineRule="exact"/>
              <w:rPr>
                <w:sz w:val="20"/>
                <w:szCs w:val="20"/>
                <w:color w:val="auto"/>
              </w:rPr>
            </w:pPr>
            <w:r>
              <w:rPr>
                <w:rFonts w:ascii="Calibri" w:cs="Calibri" w:eastAsia="Calibri" w:hAnsi="Calibri"/>
                <w:sz w:val="14"/>
                <w:szCs w:val="14"/>
                <w:b w:val="1"/>
                <w:bCs w:val="1"/>
                <w:color w:val="auto"/>
              </w:rPr>
              <w:t>Quoted Prices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in Actve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Signifcant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3"/>
              <w:spacing w:after="0"/>
              <w:rPr>
                <w:sz w:val="20"/>
                <w:szCs w:val="20"/>
                <w:color w:val="auto"/>
              </w:rPr>
            </w:pPr>
            <w:r>
              <w:rPr>
                <w:rFonts w:ascii="Calibri" w:cs="Calibri" w:eastAsia="Calibri" w:hAnsi="Calibri"/>
                <w:sz w:val="14"/>
                <w:szCs w:val="14"/>
                <w:b w:val="1"/>
                <w:bCs w:val="1"/>
                <w:color w:val="auto"/>
                <w:w w:val="99"/>
              </w:rPr>
              <w:t>Markets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Other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1"/>
              <w:spacing w:after="0"/>
              <w:rPr>
                <w:sz w:val="20"/>
                <w:szCs w:val="20"/>
                <w:color w:val="auto"/>
              </w:rPr>
            </w:pPr>
            <w:r>
              <w:rPr>
                <w:rFonts w:ascii="Calibri" w:cs="Calibri" w:eastAsia="Calibri" w:hAnsi="Calibri"/>
                <w:sz w:val="14"/>
                <w:szCs w:val="14"/>
                <w:b w:val="1"/>
                <w:bCs w:val="1"/>
                <w:color w:val="auto"/>
              </w:rPr>
              <w:t>Signifcant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for Identcal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83"/>
              <w:spacing w:after="0"/>
              <w:rPr>
                <w:sz w:val="20"/>
                <w:szCs w:val="20"/>
                <w:color w:val="auto"/>
              </w:rPr>
            </w:pPr>
            <w:r>
              <w:rPr>
                <w:rFonts w:ascii="Calibri" w:cs="Calibri" w:eastAsia="Calibri" w:hAnsi="Calibri"/>
                <w:sz w:val="14"/>
                <w:szCs w:val="14"/>
                <w:b w:val="1"/>
                <w:bCs w:val="1"/>
                <w:color w:val="auto"/>
              </w:rPr>
              <w:t>Observable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Unobservable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Assets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Inputs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1"/>
              <w:spacing w:after="0"/>
              <w:rPr>
                <w:sz w:val="20"/>
                <w:szCs w:val="20"/>
                <w:color w:val="auto"/>
              </w:rPr>
            </w:pPr>
            <w:r>
              <w:rPr>
                <w:rFonts w:ascii="Calibri" w:cs="Calibri" w:eastAsia="Calibri" w:hAnsi="Calibri"/>
                <w:sz w:val="14"/>
                <w:szCs w:val="14"/>
                <w:b w:val="1"/>
                <w:bCs w:val="1"/>
                <w:color w:val="auto"/>
              </w:rPr>
              <w:t>Inputs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(Level 1 Inputs)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83"/>
              <w:spacing w:after="0"/>
              <w:rPr>
                <w:sz w:val="20"/>
                <w:szCs w:val="20"/>
                <w:color w:val="auto"/>
              </w:rPr>
            </w:pPr>
            <w:r>
              <w:rPr>
                <w:rFonts w:ascii="Calibri" w:cs="Calibri" w:eastAsia="Calibri" w:hAnsi="Calibri"/>
                <w:sz w:val="14"/>
                <w:szCs w:val="14"/>
                <w:b w:val="1"/>
                <w:bCs w:val="1"/>
                <w:color w:val="auto"/>
              </w:rPr>
              <w:t>(Level 2 Inputs)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(Level 3 Inputs)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Calibri" w:cs="Calibri" w:eastAsia="Calibri" w:hAnsi="Calibri"/>
                <w:sz w:val="14"/>
                <w:szCs w:val="14"/>
                <w:b w:val="1"/>
                <w:bCs w:val="1"/>
                <w:color w:val="auto"/>
              </w:rPr>
              <w:t>Total</w:t>
            </w:r>
          </w:p>
        </w:tc>
      </w:tr>
      <w:tr>
        <w:trPr>
          <w:trHeight w:val="216"/>
        </w:trPr>
        <w:tc>
          <w:tcPr>
            <w:tcW w:w="45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Cash equivalents:</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80"/>
              <w:spacing w:after="0" w:line="215" w:lineRule="exact"/>
              <w:rPr>
                <w:sz w:val="20"/>
                <w:szCs w:val="20"/>
                <w:color w:val="auto"/>
              </w:rPr>
            </w:pPr>
            <w:r>
              <w:rPr>
                <w:rFonts w:ascii="Calibri" w:cs="Calibri" w:eastAsia="Calibri" w:hAnsi="Calibri"/>
                <w:sz w:val="18"/>
                <w:szCs w:val="18"/>
                <w:color w:val="auto"/>
              </w:rPr>
              <w:t>Mutual funds</w:t>
            </w: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165,074</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ind w:left="9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tcPr>
          <w:p>
            <w:pPr>
              <w:ind w:left="920"/>
              <w:spacing w:after="0" w:line="215" w:lineRule="exact"/>
              <w:rPr>
                <w:sz w:val="20"/>
                <w:szCs w:val="20"/>
                <w:color w:val="auto"/>
              </w:rPr>
            </w:pPr>
            <w:r>
              <w:rPr>
                <w:rFonts w:ascii="Calibri" w:cs="Calibri" w:eastAsia="Calibri" w:hAnsi="Calibri"/>
                <w:sz w:val="18"/>
                <w:szCs w:val="18"/>
                <w:color w:val="auto"/>
                <w:w w:val="97"/>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165,074</w:t>
            </w:r>
          </w:p>
        </w:tc>
        <w:tc>
          <w:tcPr>
            <w:tcW w:w="100" w:type="dxa"/>
            <w:vAlign w:val="bottom"/>
          </w:tcPr>
          <w:p>
            <w:pPr>
              <w:spacing w:after="0"/>
              <w:rPr>
                <w:sz w:val="18"/>
                <w:szCs w:val="18"/>
                <w:color w:val="auto"/>
              </w:rPr>
            </w:pPr>
          </w:p>
        </w:tc>
      </w:tr>
      <w:tr>
        <w:trPr>
          <w:trHeight w:val="249"/>
        </w:trPr>
        <w:tc>
          <w:tcPr>
            <w:tcW w:w="458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Total</w:t>
            </w:r>
          </w:p>
        </w:tc>
        <w:tc>
          <w:tcPr>
            <w:tcW w:w="1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165,074</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FF0FC"/>
          </w:tcPr>
          <w:p>
            <w:pPr>
              <w:ind w:left="920"/>
              <w:spacing w:after="0" w:line="209"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FF0FC"/>
          </w:tcPr>
          <w:p>
            <w:pPr>
              <w:ind w:left="920"/>
              <w:spacing w:after="0" w:line="209" w:lineRule="exact"/>
              <w:rPr>
                <w:sz w:val="20"/>
                <w:szCs w:val="20"/>
                <w:color w:val="auto"/>
              </w:rPr>
            </w:pPr>
            <w:r>
              <w:rPr>
                <w:rFonts w:ascii="Calibri" w:cs="Calibri" w:eastAsia="Calibri" w:hAnsi="Calibri"/>
                <w:sz w:val="18"/>
                <w:szCs w:val="18"/>
                <w:color w:val="auto"/>
                <w:w w:val="97"/>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165,074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20"/>
        </w:trPr>
        <w:tc>
          <w:tcPr>
            <w:tcW w:w="4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380"/>
              <w:spacing w:after="0"/>
              <w:rPr>
                <w:sz w:val="20"/>
                <w:szCs w:val="20"/>
                <w:color w:val="auto"/>
              </w:rPr>
            </w:pPr>
            <w:r>
              <w:rPr>
                <w:rFonts w:ascii="Calibri" w:cs="Calibri" w:eastAsia="Calibri" w:hAnsi="Calibri"/>
                <w:sz w:val="14"/>
                <w:szCs w:val="14"/>
                <w:b w:val="1"/>
                <w:bCs w:val="1"/>
                <w:color w:val="auto"/>
              </w:rPr>
              <w:t>As of December 31, 2023</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3"/>
              <w:spacing w:after="0" w:line="161" w:lineRule="exact"/>
              <w:rPr>
                <w:sz w:val="20"/>
                <w:szCs w:val="20"/>
                <w:color w:val="auto"/>
              </w:rPr>
            </w:pPr>
            <w:r>
              <w:rPr>
                <w:rFonts w:ascii="Calibri" w:cs="Calibri" w:eastAsia="Calibri" w:hAnsi="Calibri"/>
                <w:sz w:val="14"/>
                <w:szCs w:val="14"/>
                <w:b w:val="1"/>
                <w:bCs w:val="1"/>
                <w:color w:val="auto"/>
              </w:rPr>
              <w:t>Quoted Prices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in Actve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Signifcant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3"/>
              <w:spacing w:after="0"/>
              <w:rPr>
                <w:sz w:val="20"/>
                <w:szCs w:val="20"/>
                <w:color w:val="auto"/>
              </w:rPr>
            </w:pPr>
            <w:r>
              <w:rPr>
                <w:rFonts w:ascii="Calibri" w:cs="Calibri" w:eastAsia="Calibri" w:hAnsi="Calibri"/>
                <w:sz w:val="14"/>
                <w:szCs w:val="14"/>
                <w:b w:val="1"/>
                <w:bCs w:val="1"/>
                <w:color w:val="auto"/>
                <w:w w:val="99"/>
              </w:rPr>
              <w:t>Markets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Other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1"/>
              <w:spacing w:after="0"/>
              <w:rPr>
                <w:sz w:val="20"/>
                <w:szCs w:val="20"/>
                <w:color w:val="auto"/>
              </w:rPr>
            </w:pPr>
            <w:r>
              <w:rPr>
                <w:rFonts w:ascii="Calibri" w:cs="Calibri" w:eastAsia="Calibri" w:hAnsi="Calibri"/>
                <w:sz w:val="14"/>
                <w:szCs w:val="14"/>
                <w:b w:val="1"/>
                <w:bCs w:val="1"/>
                <w:color w:val="auto"/>
              </w:rPr>
              <w:t>Signifcant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for Identcal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83"/>
              <w:spacing w:after="0"/>
              <w:rPr>
                <w:sz w:val="20"/>
                <w:szCs w:val="20"/>
                <w:color w:val="auto"/>
              </w:rPr>
            </w:pPr>
            <w:r>
              <w:rPr>
                <w:rFonts w:ascii="Calibri" w:cs="Calibri" w:eastAsia="Calibri" w:hAnsi="Calibri"/>
                <w:sz w:val="14"/>
                <w:szCs w:val="14"/>
                <w:b w:val="1"/>
                <w:bCs w:val="1"/>
                <w:color w:val="auto"/>
              </w:rPr>
              <w:t>Observable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Unobservable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Assets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Inputs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41"/>
              <w:spacing w:after="0"/>
              <w:rPr>
                <w:sz w:val="20"/>
                <w:szCs w:val="20"/>
                <w:color w:val="auto"/>
              </w:rPr>
            </w:pPr>
            <w:r>
              <w:rPr>
                <w:rFonts w:ascii="Calibri" w:cs="Calibri" w:eastAsia="Calibri" w:hAnsi="Calibri"/>
                <w:sz w:val="14"/>
                <w:szCs w:val="14"/>
                <w:b w:val="1"/>
                <w:bCs w:val="1"/>
                <w:color w:val="auto"/>
              </w:rPr>
              <w:t>Inputs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63"/>
              <w:spacing w:after="0"/>
              <w:rPr>
                <w:sz w:val="20"/>
                <w:szCs w:val="20"/>
                <w:color w:val="auto"/>
              </w:rPr>
            </w:pPr>
            <w:r>
              <w:rPr>
                <w:rFonts w:ascii="Calibri" w:cs="Calibri" w:eastAsia="Calibri" w:hAnsi="Calibri"/>
                <w:sz w:val="14"/>
                <w:szCs w:val="14"/>
                <w:b w:val="1"/>
                <w:bCs w:val="1"/>
                <w:color w:val="auto"/>
              </w:rPr>
              <w:t>(Level 1 Inputs)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83"/>
              <w:spacing w:after="0"/>
              <w:rPr>
                <w:sz w:val="20"/>
                <w:szCs w:val="20"/>
                <w:color w:val="auto"/>
              </w:rPr>
            </w:pPr>
            <w:r>
              <w:rPr>
                <w:rFonts w:ascii="Calibri" w:cs="Calibri" w:eastAsia="Calibri" w:hAnsi="Calibri"/>
                <w:sz w:val="14"/>
                <w:szCs w:val="14"/>
                <w:b w:val="1"/>
                <w:bCs w:val="1"/>
                <w:color w:val="auto"/>
              </w:rPr>
              <w:t>(Level 2 Inputs)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1"/>
              <w:spacing w:after="0"/>
              <w:rPr>
                <w:sz w:val="20"/>
                <w:szCs w:val="20"/>
                <w:color w:val="auto"/>
              </w:rPr>
            </w:pPr>
            <w:r>
              <w:rPr>
                <w:rFonts w:ascii="Calibri" w:cs="Calibri" w:eastAsia="Calibri" w:hAnsi="Calibri"/>
                <w:sz w:val="14"/>
                <w:szCs w:val="14"/>
                <w:b w:val="1"/>
                <w:bCs w:val="1"/>
                <w:color w:val="auto"/>
              </w:rPr>
              <w:t>(Level 3 Inputs)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Calibri" w:cs="Calibri" w:eastAsia="Calibri" w:hAnsi="Calibri"/>
                <w:sz w:val="14"/>
                <w:szCs w:val="14"/>
                <w:b w:val="1"/>
                <w:bCs w:val="1"/>
                <w:color w:val="auto"/>
              </w:rPr>
              <w:t>Total</w:t>
            </w:r>
          </w:p>
        </w:tc>
      </w:tr>
      <w:tr>
        <w:trPr>
          <w:trHeight w:val="216"/>
        </w:trPr>
        <w:tc>
          <w:tcPr>
            <w:tcW w:w="45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Cash equivalents:</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80"/>
              <w:spacing w:after="0" w:line="215" w:lineRule="exact"/>
              <w:rPr>
                <w:sz w:val="20"/>
                <w:szCs w:val="20"/>
                <w:color w:val="auto"/>
              </w:rPr>
            </w:pPr>
            <w:r>
              <w:rPr>
                <w:rFonts w:ascii="Calibri" w:cs="Calibri" w:eastAsia="Calibri" w:hAnsi="Calibri"/>
                <w:sz w:val="18"/>
                <w:szCs w:val="18"/>
                <w:color w:val="auto"/>
              </w:rPr>
              <w:t>Mutual funds</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73,449</w:t>
            </w:r>
          </w:p>
        </w:tc>
        <w:tc>
          <w:tcPr>
            <w:tcW w:w="3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ind w:left="92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ind w:left="920"/>
              <w:spacing w:after="0" w:line="215" w:lineRule="exact"/>
              <w:rPr>
                <w:sz w:val="20"/>
                <w:szCs w:val="20"/>
                <w:color w:val="auto"/>
              </w:rPr>
            </w:pPr>
            <w:r>
              <w:rPr>
                <w:rFonts w:ascii="Calibri" w:cs="Calibri" w:eastAsia="Calibri" w:hAnsi="Calibri"/>
                <w:sz w:val="18"/>
                <w:szCs w:val="18"/>
                <w:color w:val="auto"/>
                <w:w w:val="97"/>
              </w:rPr>
              <w:t>—</w:t>
            </w:r>
          </w:p>
        </w:tc>
        <w:tc>
          <w:tcPr>
            <w:tcW w:w="46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73,449</w:t>
            </w:r>
          </w:p>
        </w:tc>
        <w:tc>
          <w:tcPr>
            <w:tcW w:w="100" w:type="dxa"/>
            <w:vAlign w:val="bottom"/>
          </w:tcPr>
          <w:p>
            <w:pPr>
              <w:spacing w:after="0"/>
              <w:rPr>
                <w:sz w:val="18"/>
                <w:szCs w:val="18"/>
                <w:color w:val="auto"/>
              </w:rPr>
            </w:pPr>
          </w:p>
        </w:tc>
      </w:tr>
      <w:tr>
        <w:trPr>
          <w:trHeight w:val="217"/>
        </w:trPr>
        <w:tc>
          <w:tcPr>
            <w:tcW w:w="45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Short-term investments: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ind w:left="180"/>
              <w:spacing w:after="0" w:line="215" w:lineRule="exact"/>
              <w:rPr>
                <w:sz w:val="20"/>
                <w:szCs w:val="20"/>
                <w:color w:val="auto"/>
              </w:rPr>
            </w:pPr>
            <w:r>
              <w:rPr>
                <w:rFonts w:ascii="Calibri" w:cs="Calibri" w:eastAsia="Calibri" w:hAnsi="Calibri"/>
                <w:sz w:val="18"/>
                <w:szCs w:val="18"/>
                <w:color w:val="auto"/>
              </w:rPr>
              <w:t>Mutual funds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20,724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20"/>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920"/>
              <w:spacing w:after="0" w:line="215" w:lineRule="exact"/>
              <w:rPr>
                <w:sz w:val="20"/>
                <w:szCs w:val="20"/>
                <w:color w:val="auto"/>
              </w:rPr>
            </w:pPr>
            <w:r>
              <w:rPr>
                <w:rFonts w:ascii="Calibri" w:cs="Calibri" w:eastAsia="Calibri" w:hAnsi="Calibri"/>
                <w:sz w:val="18"/>
                <w:szCs w:val="18"/>
                <w:color w:val="auto"/>
                <w:w w:val="97"/>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20,724</w:t>
            </w:r>
          </w:p>
        </w:tc>
        <w:tc>
          <w:tcPr>
            <w:tcW w:w="100" w:type="dxa"/>
            <w:vAlign w:val="bottom"/>
          </w:tcPr>
          <w:p>
            <w:pPr>
              <w:spacing w:after="0"/>
              <w:rPr>
                <w:sz w:val="18"/>
                <w:szCs w:val="18"/>
                <w:color w:val="auto"/>
              </w:rPr>
            </w:pPr>
          </w:p>
        </w:tc>
      </w:tr>
      <w:tr>
        <w:trPr>
          <w:trHeight w:val="249"/>
        </w:trPr>
        <w:tc>
          <w:tcPr>
            <w:tcW w:w="458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Total</w:t>
            </w:r>
          </w:p>
        </w:tc>
        <w:tc>
          <w:tcPr>
            <w:tcW w:w="1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94,173</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shd w:val="clear" w:color="auto" w:fill="CFF0FC"/>
          </w:tcPr>
          <w:p>
            <w:pPr>
              <w:ind w:left="920"/>
              <w:spacing w:after="0" w:line="209"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FF0FC"/>
          </w:tcPr>
          <w:p>
            <w:pPr>
              <w:ind w:left="920"/>
              <w:spacing w:after="0" w:line="209" w:lineRule="exact"/>
              <w:rPr>
                <w:sz w:val="20"/>
                <w:szCs w:val="20"/>
                <w:color w:val="auto"/>
              </w:rPr>
            </w:pPr>
            <w:r>
              <w:rPr>
                <w:rFonts w:ascii="Calibri" w:cs="Calibri" w:eastAsia="Calibri" w:hAnsi="Calibri"/>
                <w:sz w:val="18"/>
                <w:szCs w:val="18"/>
                <w:color w:val="auto"/>
                <w:w w:val="97"/>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94,173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-1713865</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-1696720</wp:posOffset>
            </wp:positionV>
            <wp:extent cx="596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-1713865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-1696720</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-1713865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-1696720</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-1713865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-1696720</wp:posOffset>
            </wp:positionV>
            <wp:extent cx="603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596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596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 ended December 31, 2024, dividend income recognized within interest income in the consolidated income statements was immaterial. For the year ended December 31, 2023, dividend income recognized within interest income in the consolidated income statements was $3,075. For the year ended December 31, 2022, there was no dividend income recognized within interest income in the consolidated income statements as the Company did not have any short-term investments in equity securites during the year ended December 31, 2022.</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 ended December 31, 2024, there were no unrealized gains. For the year ended December 31, 2024, realized gains on short-term investments in equity securites were immaterial. For the year ended December 31, 2023, unrealized and realized gains on short-term investments in equity securites were immaterial. For the year ended December 31, 2022, there was no unrealized and realized gain on short-term investments in equity securites as the Company did not have any short-term investments in equity securites during the year ended December 31, 2022.</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the Company did not have any short-term investments in equity securites as all were sold during the year ended December 31, 2024.</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0" w:name="page101"/>
    <w:bookmarkEnd w:id="10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5. Property and Equipment, Net</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and 2023, property and equipment, net consisted of the following:</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6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2"/>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r>
      <w:tr>
        <w:trPr>
          <w:trHeight w:val="212"/>
        </w:trPr>
        <w:tc>
          <w:tcPr>
            <w:tcW w:w="690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Capitalized equipment</w:t>
            </w:r>
          </w:p>
        </w:tc>
        <w:tc>
          <w:tcPr>
            <w:tcW w:w="340" w:type="dxa"/>
            <w:vAlign w:val="bottom"/>
            <w:shd w:val="clear" w:color="auto" w:fill="CFF0FC"/>
          </w:tcPr>
          <w:p>
            <w:pPr>
              <w:jc w:val="right"/>
              <w:ind w:right="130"/>
              <w:spacing w:after="0" w:line="212"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7,880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line="212"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1,326</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Capitalized internal-use sofware</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20,060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12,279</w:t>
            </w:r>
          </w:p>
        </w:tc>
        <w:tc>
          <w:tcPr>
            <w:tcW w:w="100" w:type="dxa"/>
            <w:vAlign w:val="bottom"/>
          </w:tcPr>
          <w:p>
            <w:pPr>
              <w:spacing w:after="0"/>
              <w:rPr>
                <w:sz w:val="18"/>
                <w:szCs w:val="18"/>
                <w:color w:val="auto"/>
              </w:rPr>
            </w:pPr>
          </w:p>
        </w:tc>
      </w:tr>
      <w:tr>
        <w:trPr>
          <w:trHeight w:val="217"/>
        </w:trPr>
        <w:tc>
          <w:tcPr>
            <w:tcW w:w="69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Capitalized website development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56,877</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57,158</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Furniture and fxtures</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13,960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8,149</w:t>
            </w:r>
          </w:p>
        </w:tc>
        <w:tc>
          <w:tcPr>
            <w:tcW w:w="100" w:type="dxa"/>
            <w:vAlign w:val="bottom"/>
          </w:tcPr>
          <w:p>
            <w:pPr>
              <w:spacing w:after="0"/>
              <w:rPr>
                <w:sz w:val="18"/>
                <w:szCs w:val="18"/>
                <w:color w:val="auto"/>
              </w:rPr>
            </w:pPr>
          </w:p>
        </w:tc>
      </w:tr>
      <w:tr>
        <w:trPr>
          <w:trHeight w:val="217"/>
        </w:trPr>
        <w:tc>
          <w:tcPr>
            <w:tcW w:w="69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Leasehold improvements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95,691</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23,308</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Constructon in progress</w:t>
            </w:r>
          </w:p>
        </w:tc>
        <w:tc>
          <w:tcPr>
            <w:tcW w:w="340" w:type="dxa"/>
            <w:vAlign w:val="bottom"/>
          </w:tcPr>
          <w:p>
            <w:pPr>
              <w:spacing w:after="0"/>
              <w:rPr>
                <w:sz w:val="18"/>
                <w:szCs w:val="18"/>
                <w:color w:val="auto"/>
              </w:rPr>
            </w:pPr>
          </w:p>
        </w:tc>
        <w:tc>
          <w:tcPr>
            <w:tcW w:w="134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39,835</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Finance lease right-of-use assets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155</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09" w:lineRule="exact"/>
              <w:rPr>
                <w:sz w:val="20"/>
                <w:szCs w:val="20"/>
                <w:color w:val="auto"/>
              </w:rPr>
            </w:pPr>
            <w:r>
              <w:rPr>
                <w:rFonts w:ascii="Calibri" w:cs="Calibri" w:eastAsia="Calibri" w:hAnsi="Calibri"/>
                <w:sz w:val="18"/>
                <w:szCs w:val="18"/>
                <w:color w:val="auto"/>
              </w:rPr>
              <w:t>194,623</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142,343</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Less accumulated depreciaton and amortzaton</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(64,613 )</w:t>
            </w:r>
          </w:p>
        </w:tc>
        <w:tc>
          <w:tcPr>
            <w:tcW w:w="5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(58,973 )</w:t>
            </w:r>
          </w:p>
        </w:tc>
      </w:tr>
      <w:tr>
        <w:trPr>
          <w:trHeight w:val="210"/>
        </w:trPr>
        <w:tc>
          <w:tcPr>
            <w:tcW w:w="6900" w:type="dxa"/>
            <w:vAlign w:val="bottom"/>
            <w:tcBorders>
              <w:top w:val="single" w:sz="8" w:color="CFF0FC"/>
            </w:tcBorders>
          </w:tcPr>
          <w:p>
            <w:pPr>
              <w:ind w:left="100"/>
              <w:spacing w:after="0" w:line="209" w:lineRule="exact"/>
              <w:rPr>
                <w:sz w:val="20"/>
                <w:szCs w:val="20"/>
                <w:color w:val="auto"/>
              </w:rPr>
            </w:pPr>
            <w:r>
              <w:rPr>
                <w:rFonts w:ascii="Calibri" w:cs="Calibri" w:eastAsia="Calibri" w:hAnsi="Calibri"/>
                <w:sz w:val="18"/>
                <w:szCs w:val="18"/>
                <w:color w:val="auto"/>
              </w:rPr>
              <w:t>Total</w:t>
            </w:r>
          </w:p>
        </w:tc>
        <w:tc>
          <w:tcPr>
            <w:tcW w:w="340" w:type="dxa"/>
            <w:vAlign w:val="bottom"/>
            <w:tcBorders>
              <w:top w:val="single" w:sz="8" w:color="auto"/>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130,010</w:t>
            </w:r>
          </w:p>
        </w:tc>
        <w:tc>
          <w:tcPr>
            <w:tcW w:w="26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83,370</w:t>
            </w:r>
          </w:p>
        </w:tc>
        <w:tc>
          <w:tcPr>
            <w:tcW w:w="100" w:type="dxa"/>
            <w:vAlign w:val="bottom"/>
            <w:tcBorders>
              <w:top w:val="single" w:sz="8" w:color="CFF0FC"/>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-453390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During the year ended December 31, 2024, capitalized website development decreased $281. The primary drivers of the decrease were a $15,583 impairment of capitalized website development costs and a $4,901 disposal of fully depreciated assets, due to the end of the CG Buy Online pilot, which allowed consumers to purchase vehicles online, within the Digital Wholesale segment. Additonally, the decrease was driven by a $3,470 disposal of fully depreciated assets for the Company’s peer-to-peer product, which the Company is no longer ofering, within the U.S. Marketplace segment. The decrease was also due in part to a $180 impairment related to certain developed technology that the Company decided to cease investment, within the Digital Wholesale segment. For further discussion of impairments, see Note 6 of these consolidated fnancial statements. These decreases were ofset in part by $23,853 gross capitalized website development costs.</w:t>
      </w:r>
    </w:p>
    <w:p>
      <w:pPr>
        <w:spacing w:after="0" w:line="22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00002D"/>
        </w:rPr>
        <w:t>During the year ended December 31, 2024, capitalized equipment, furniture and fxtures, and leasehold improvements increased $6,554, $5,811, and $72,383, respectvely, due primarily to the buildout of 1001 Boylston Street, as well as assets being transferred out of constructon in progress and placed into service, as the Company began occupying 1001 Boylston Street. These increases were inclusive of ofsetng disposals of $374, $2,005, and $4,508, for capitalized equipment, furniture and fxtures, and leasehold improvements, respectvely, related to fully depreciated assets for leases of space which the Company no longer occupies, within the U.S. Marketplace segment. The Company additonally disposed of $480 in leasehold improvements related to the disposal of building plans for CarOfer, within the Digital Wholesale segment. The Company also impaired $219 of furniture and fxtures due to the end of the CG Buy Online pilot, within the Digital Wholesale segment. For further discussion of impairments, see Note 6 of these consolidated fnancial statements.</w:t>
      </w: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During the year ended December 31, 2024, capitalized internal-use sofware increased $7,781 due primarily to contnued net investment in the Company’s sofware projects.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During the year ended December 31, 2024, constructon in progress decreased $39,835 due to assets being transferred out of constructon in progress and placed into service in their respectve categories as the Company began occupying 1001 Boylston Street.</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years ended December 31, 2024, 2023, and 2022, depreciaton and amortzaton expense, excluding amortzaton of intangible assets, amortzaton of capitalized hostng arrangements, disposals, and impairments, was $21,705, $18,412, and $14,618, respectvely.</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1" w:name="page102"/>
    <w:bookmarkEnd w:id="10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6. Impairments of Goodwill and Other Assets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CarOfer Impairment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3465B0"/>
        </w:rPr>
        <w:t>Background</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During the three months ended June 30, 2024, the Company identfed a triggering event requiring an interim impairment test at the CarOfer reportng unit due to recent organizatonal changes and Transacton volume declines, which resulted in revisions to the Company’s fnancial projectons for the CarOfer reportng unit. The Company performed the interim impairment test as of June 30, 2024.</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Prior to testng the goodwill and other long-lived assets included in the CarOfer reportng unit for impairment, the Company frst evaluated current assets, inclusive of the cash and cash-equivalents, accounts receivable, inventory, prepaid expenses, and other current assets allocated to the CarOfer reportng unit, under applicable guidance and identfed no impairment.</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 xml:space="preserve">The Company then evaluated other long-lived assets included in the CarOfer reportng unit under ASC 360, </w:t>
      </w:r>
      <w:r>
        <w:rPr>
          <w:rFonts w:ascii="Calibri" w:cs="Calibri" w:eastAsia="Calibri" w:hAnsi="Calibri"/>
          <w:sz w:val="18"/>
          <w:szCs w:val="18"/>
          <w:i w:val="1"/>
          <w:iCs w:val="1"/>
          <w:color w:val="00002D"/>
        </w:rPr>
        <w:t>Property, Plant, and Equipment</w:t>
      </w:r>
      <w:r>
        <w:rPr>
          <w:rFonts w:ascii="Calibri" w:cs="Calibri" w:eastAsia="Calibri" w:hAnsi="Calibri"/>
          <w:sz w:val="18"/>
          <w:szCs w:val="18"/>
          <w:color w:val="00002D"/>
        </w:rPr>
        <w:t xml:space="preserve"> (“ASC 360”). Other long-lived assets were tested for impairment at the asset group level. The Company identfed the asset group as the entre CarOfer reportng unit, which represents the lowest level for which identfable cash fows are largely independent of the cash fows of other groups of assets and liabilites. As the CarOfer asset group did not pass the step one recoverability test on an undiscounted cash fow basis, the Company then compared the fair value of the asset group to its carrying value. To estmate the fair value of the asset group, the Company utlized an income-based valuaton approach by means of a discounted cash fow method, based on market partcipant assumptons. The assumptons used to estmate the fair value using a discounted cash fow method included forecasted revenue and EBITDA, long term expectatons for growth rates and operatng proft margin, expected needs for annual capital expenditure and net working capital, and a market-partcipant discount rate derived via the capital asset pricing model. The excess of the carrying value of the asset group over the fair value was frst allocated amongst the long-lived asset group (excluding goodwill), notng each individual long-lived asset within the group may not be impaired below its individual fair value.</w:t>
      </w:r>
    </w:p>
    <w:p>
      <w:pPr>
        <w:spacing w:after="0" w:line="2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discussed below, the Company recognized impairments of CarOfer right-of-use assets of $4,731 and the CarOfer brand intangible asset of $7,538 to bring the long-lived assets’ carrying value to fair value. All other long-lived assets’ carrying value were at or below fair value. Subsequent to performing the impairment assessment of its long-lived assets, the Company then assessed goodwill included in the CarOfer reportng unit, resultng in an impairment charge of $115,206, inclusive of the deferred tax impact of $28,437 due to the goodwill being tax deductble. See below for further details of each impairment charge.</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Accordingly, for the year ended December 31, 2024, the Company recognized a $127,475 impairment to the CarOfer reportng unit, reducing its carrying value to its fair value.</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Due to the partal impairment of the CarOfer reportng unit goodwill and other long-lived assets during the year ended December 31, 2024, in which the CarOfer reportng unit was reduced to its fair value, there remains a risk for future impairment charges if projected future operatng results further decline, including as a result of economic conditons or operatonal challenges, which could be material and negatvely afect its operatons.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3465B0"/>
        </w:rPr>
        <w:t>Right-of-Use Asset</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connecton with the triggering event discussed above, the Company recognized an impairment to the right-of-use asset associated with CarOfer’s Addison, Texas lease included within the CarOfer asset group as of June 30, 2024, to reduce the carrying value of the right-of-use asset to fair value.</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fair value measurement was categorized as Level 3 within the fair value hierarchy as there were signifcant unobservable inputs utlized in the valuaton technique. The Company estmated fair value using the discounted cash fow method, with key inputs including the selected market rental rates based upon similar ofce spaces, the discount rate, and other estmated replacement costs.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 ended December 31, 2024, a non-cash impairment charge of $4,731 was allocated to the right-of-use assets in the CarOfer asset group, which was recognized within impairment operatng expenses in the consolidated income statements in the Digital Wholesale segment.</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2" w:name="page103"/>
    <w:bookmarkEnd w:id="10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color w:val="3465B0"/>
        </w:rPr>
        <w:t>Other Intangible Assets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connecton with the triggering event discussed above, the Company recognized an impairment to the brand intangible asset included within the CarOfer asset group as of June 30, 2024, to reduce the carrying value of the brand intangible asset to fair value.</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fair value measurement was categorized as Level 3 within the fair value hierarchy as there were signifcant unobservable inputs utlized in the valuaton technique. The Company estmated fair value using market partcipant assumptons and the relief from royalty method, with key inputs including forecasted revenue, royalty rate, discount rate, and the useful life.</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 ended December 31, 2024, a non-cash impairment charge of $7,538 was allocated to the brand intangible asset in the CarOfer asset group, which was recognized within impairment operatng expenses in the consolidated income statements in the Digital Wholesale segment.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00002D"/>
        </w:rPr>
        <w:t>For further informaton on the Company’s intangible assets, see Note 7 of these consolidated fnancial statements.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3465B0"/>
        </w:rPr>
        <w:t>Goodwill</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determined that there were no indicators of impairment for the U.S. Marketplace or U.K. Marketplace reportng units and, therefore, an interim impairment assessment was not performed as of June 30, 2024.</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connecton with the triggering event discussed above, the Company recognized an impairment to the CarOfer reportng unit goodwill as of June 30, 2024, to reduce the carrying value of the CarOfer reportng unit goodwill to fair value.</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fair value measurement was categorized as Level 3 within the fair value hierarchy as there were signifcant unobservable inputs utlized in the valuaton technique. The Company estmated the fair value of the CarOfer reportng unit using an income-based valuaton approach by means of a discounted cash fow method. The assumptons used to estmate the fair value of the reportng unit included forecasted revenue and EBITDA, long term expectatons for growth rates and operatng proft margin, expected needs for annual capital expenditure and net working capital, and a market-partcipant discount rate derived via the capital asset pricing model.</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June 30, 2024, the carrying value for the CarOfer reportng unit (afer adjustments for other long-lived asset impairments discussed above) exceeded its fair value. For the year ended December 31, 2024, a non-cash impairment charge of $86,769 was recognized within impairment operatng expenses in the consolidated income statements in the Digital Wholesale segment. As the goodwill for the CarOfer reportng unit is tax deductble, the Company calculated the deferred tax efect of the goodwill impairment charge using the simultaneous equaton method. This resulted in additonal goodwill impairment and deferred tax assets of $28,437, for a total goodwill impairment of $115,206 recognized within impairment operatng expenses in the consolidated income statements in the Digital Wholesale segment.</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00002D"/>
        </w:rPr>
        <w:t>For further informaton on the Company’s goodwill, see Note 7 of these consolidated fnancial statements.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CG Buy Online Impairment</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During the three months ended September 30, 2024, the Company decided to end its CG Buy Online pilot in order to redirect those resources toward other investment opportunites, including contnued product innovaton and development across the business. The CG Buy Online pilot was one of the initatves that allowed consumers to purchase vehicles online. The pilot ended on October 31, 2024.</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This was identfed as a triggering event for long-lived asset impairment testng under ASC 360. Other long-lived assets were tested for impairment at the asset group level. The Company identfed the asset group as the CG Buy Online Pilot assets, which represents the lowest level for which identfable cash fows are largely independent of the cash fows of other groups of assets and liabilites. These assets were included in the CG Buy Online reportng unit. As the asset group did not pass the step one recoverability test on an undiscounted cash fow basis, the Company then compared the fair value of the asset group to its carrying value. As the Company decided to end this pilot, the estmated future cash fows and related fair value were both $0. There was no goodwill associated with the CG Buy Online reportng unit.</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3" w:name="page104"/>
    <w:bookmarkEnd w:id="10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the Company impaired $15,583 and $219 of Digital Wholesale segment capitalized website development costs and furniture and fxtures, respectvely, within property and equipment, net in the consolidated balance sheets. Additonally, the Company impaired $527 and $447 of capitalized hostng arrangements within prepaid expenses, prepaid income taxes, and other current assets, and other non-current assets, respectvely, in the consolidated balance sheets. These costs were included in the CG Buy Online reportng unit. There was an immaterial remaining balance of these assets, that amortzed untl the end of the pilot on October 31, 2024.</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 ended December 31, 2024, the Company recognized $9,750 and $7,026 of Digital Wholesale segment impairment charges, related to the CG Buy Online pilot, as wholesale cost of revenue and impairment operatng expense, respectvely, in the consolidated income statement.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Other Impairments</w:t>
      </w:r>
    </w:p>
    <w:p>
      <w:pPr>
        <w:spacing w:after="0" w:line="217"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00002D"/>
        </w:rPr>
        <w:t>For the year ended December 31, 2024, the Company wrote of $180, consistng of Digital Wholesale segment capitalized website development costs within wholesale cost of revenue in the consolidated income statements related to certain developed technology that the Company decided to cease investment.</w:t>
      </w:r>
    </w:p>
    <w:p>
      <w:pPr>
        <w:spacing w:after="0" w:line="2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 ended December 31, 2023, the Company wrote of $184, consistng of $175 of Digital Wholesale segment and $9 of U.S. Marketplace segment capitalized website development costs within wholesale and marketplace cost of revenue, respectvely, in the consolidated income statements related to certain developed technology that the Company decided to cease investment.</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 ended December 31, 2022, the Company wrote of $165 of U.S. Marketplace segment of capitalized website development costs within operatng expense in the consolidated income statements related to certain developed technology that the Company decided to cease investment.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Impairments Summary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2023 and 2022, impairments consisted of the following:</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60"/>
              <w:spacing w:after="0"/>
              <w:rPr>
                <w:sz w:val="20"/>
                <w:szCs w:val="20"/>
                <w:color w:val="auto"/>
              </w:rPr>
            </w:pPr>
            <w:r>
              <w:rPr>
                <w:rFonts w:ascii="Calibri" w:cs="Calibri" w:eastAsia="Calibri" w:hAnsi="Calibri"/>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5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r>
      <w:tr>
        <w:trPr>
          <w:trHeight w:val="212"/>
        </w:trPr>
        <w:tc>
          <w:tcPr>
            <w:tcW w:w="594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Capitalized hostng arrangements</w:t>
            </w:r>
          </w:p>
        </w:tc>
        <w:tc>
          <w:tcPr>
            <w:tcW w:w="280" w:type="dxa"/>
            <w:vAlign w:val="bottom"/>
            <w:shd w:val="clear" w:color="auto" w:fill="CFF0FC"/>
          </w:tcPr>
          <w:p>
            <w:pPr>
              <w:jc w:val="right"/>
              <w:ind w:right="90"/>
              <w:spacing w:after="0" w:line="212"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974</w:t>
            </w:r>
          </w:p>
        </w:tc>
        <w:tc>
          <w:tcPr>
            <w:tcW w:w="500" w:type="dxa"/>
            <w:vAlign w:val="bottom"/>
            <w:gridSpan w:val="2"/>
            <w:shd w:val="clear" w:color="auto" w:fill="CFF0FC"/>
          </w:tcPr>
          <w:p>
            <w:pPr>
              <w:jc w:val="right"/>
              <w:ind w:right="70"/>
              <w:spacing w:after="0" w:line="212" w:lineRule="exact"/>
              <w:rPr>
                <w:sz w:val="20"/>
                <w:szCs w:val="20"/>
                <w:color w:val="auto"/>
              </w:rPr>
            </w:pPr>
            <w:r>
              <w:rPr>
                <w:rFonts w:ascii="Calibri" w:cs="Calibri" w:eastAsia="Calibri" w:hAnsi="Calibri"/>
                <w:sz w:val="18"/>
                <w:szCs w:val="18"/>
                <w:color w:val="auto"/>
              </w:rPr>
              <w:t>$</w:t>
            </w:r>
          </w:p>
        </w:tc>
        <w:tc>
          <w:tcPr>
            <w:tcW w:w="1160" w:type="dxa"/>
            <w:vAlign w:val="bottom"/>
            <w:gridSpan w:val="2"/>
            <w:shd w:val="clear" w:color="auto" w:fill="CFF0FC"/>
          </w:tcPr>
          <w:p>
            <w:pPr>
              <w:jc w:val="right"/>
              <w:ind w:right="260"/>
              <w:spacing w:after="0" w:line="212"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jc w:val="right"/>
              <w:ind w:right="90"/>
              <w:spacing w:after="0" w:line="212"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shd w:val="clear" w:color="auto" w:fill="CFF0FC"/>
          </w:tcPr>
          <w:p>
            <w:pPr>
              <w:jc w:val="right"/>
              <w:ind w:right="120"/>
              <w:spacing w:after="0" w:line="212" w:lineRule="exact"/>
              <w:rPr>
                <w:sz w:val="20"/>
                <w:szCs w:val="20"/>
                <w:color w:val="auto"/>
              </w:rPr>
            </w:pPr>
            <w:r>
              <w:rPr>
                <w:rFonts w:ascii="Calibri" w:cs="Calibri" w:eastAsia="Calibri" w:hAnsi="Calibri"/>
                <w:sz w:val="18"/>
                <w:szCs w:val="18"/>
                <w:color w:val="auto"/>
              </w:rPr>
              <w:t>—</w:t>
            </w:r>
          </w:p>
        </w:tc>
      </w:tr>
      <w:tr>
        <w:trPr>
          <w:trHeight w:val="215"/>
        </w:trPr>
        <w:tc>
          <w:tcPr>
            <w:tcW w:w="5940" w:type="dxa"/>
            <w:vAlign w:val="bottom"/>
          </w:tcPr>
          <w:p>
            <w:pPr>
              <w:spacing w:after="0" w:line="215" w:lineRule="exact"/>
              <w:rPr>
                <w:sz w:val="20"/>
                <w:szCs w:val="20"/>
                <w:color w:val="auto"/>
              </w:rPr>
            </w:pPr>
            <w:r>
              <w:rPr>
                <w:rFonts w:ascii="Calibri" w:cs="Calibri" w:eastAsia="Calibri" w:hAnsi="Calibri"/>
                <w:sz w:val="18"/>
                <w:szCs w:val="18"/>
                <w:color w:val="auto"/>
              </w:rPr>
              <w:t>Capitalized website development</w:t>
            </w: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15,763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184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165</w:t>
            </w:r>
          </w:p>
        </w:tc>
        <w:tc>
          <w:tcPr>
            <w:tcW w:w="100" w:type="dxa"/>
            <w:vAlign w:val="bottom"/>
          </w:tcPr>
          <w:p>
            <w:pPr>
              <w:spacing w:after="0"/>
              <w:rPr>
                <w:sz w:val="18"/>
                <w:szCs w:val="18"/>
                <w:color w:val="auto"/>
              </w:rPr>
            </w:pPr>
          </w:p>
        </w:tc>
      </w:tr>
      <w:tr>
        <w:trPr>
          <w:trHeight w:val="217"/>
        </w:trPr>
        <w:tc>
          <w:tcPr>
            <w:tcW w:w="594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Furniture and fxtures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5940" w:type="dxa"/>
            <w:vAlign w:val="bottom"/>
          </w:tcPr>
          <w:p>
            <w:pPr>
              <w:spacing w:after="0" w:line="215" w:lineRule="exact"/>
              <w:rPr>
                <w:sz w:val="20"/>
                <w:szCs w:val="20"/>
                <w:color w:val="auto"/>
              </w:rPr>
            </w:pPr>
            <w:r>
              <w:rPr>
                <w:rFonts w:ascii="Calibri" w:cs="Calibri" w:eastAsia="Calibri" w:hAnsi="Calibri"/>
                <w:sz w:val="18"/>
                <w:szCs w:val="18"/>
                <w:color w:val="auto"/>
              </w:rPr>
              <w:t>Intangible assets</w:t>
            </w: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7,538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594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Goodwill</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115,206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5940" w:type="dxa"/>
            <w:vAlign w:val="bottom"/>
          </w:tcPr>
          <w:p>
            <w:pPr>
              <w:spacing w:after="0" w:line="215" w:lineRule="exact"/>
              <w:rPr>
                <w:sz w:val="20"/>
                <w:szCs w:val="20"/>
                <w:color w:val="auto"/>
              </w:rPr>
            </w:pPr>
            <w:r>
              <w:rPr>
                <w:rFonts w:ascii="Calibri" w:cs="Calibri" w:eastAsia="Calibri" w:hAnsi="Calibri"/>
                <w:sz w:val="18"/>
                <w:szCs w:val="18"/>
                <w:color w:val="auto"/>
              </w:rPr>
              <w:t>Right-of-use asset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4,731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r>
      <w:tr>
        <w:trPr>
          <w:trHeight w:val="250"/>
        </w:trPr>
        <w:tc>
          <w:tcPr>
            <w:tcW w:w="5940" w:type="dxa"/>
            <w:vAlign w:val="bottom"/>
            <w:tcBorders>
              <w:bottom w:val="single" w:sz="8" w:color="CFF0FC"/>
            </w:tcBorders>
            <w:shd w:val="clear" w:color="auto" w:fill="CFF0FC"/>
          </w:tcPr>
          <w:p>
            <w:pPr>
              <w:ind w:left="280"/>
              <w:spacing w:after="0" w:line="209" w:lineRule="exact"/>
              <w:rPr>
                <w:sz w:val="20"/>
                <w:szCs w:val="20"/>
                <w:color w:val="auto"/>
              </w:rPr>
            </w:pPr>
            <w:r>
              <w:rPr>
                <w:rFonts w:ascii="Calibri" w:cs="Calibri" w:eastAsia="Calibri" w:hAnsi="Calibri"/>
                <w:sz w:val="18"/>
                <w:szCs w:val="18"/>
                <w:color w:val="auto"/>
              </w:rPr>
              <w:t>Total</w:t>
            </w: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144,431</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184</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7. Intangible Assets and Goodwill</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Intangible Assets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and 2023, intangible assets consisted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16"/>
              <w:spacing w:after="0"/>
              <w:rPr>
                <w:sz w:val="20"/>
                <w:szCs w:val="20"/>
                <w:color w:val="auto"/>
              </w:rPr>
            </w:pPr>
            <w:r>
              <w:rPr>
                <w:rFonts w:ascii="Calibri" w:cs="Calibri" w:eastAsia="Calibri" w:hAnsi="Calibri"/>
                <w:sz w:val="14"/>
                <w:szCs w:val="14"/>
                <w:b w:val="1"/>
                <w:bCs w:val="1"/>
                <w:color w:val="auto"/>
              </w:rPr>
              <w:t>As of December 31, 2024</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Pr>
          <w:p>
            <w:pPr>
              <w:jc w:val="center"/>
              <w:spacing w:after="0" w:line="161" w:lineRule="exact"/>
              <w:rPr>
                <w:sz w:val="20"/>
                <w:szCs w:val="20"/>
                <w:color w:val="auto"/>
              </w:rPr>
            </w:pPr>
            <w:r>
              <w:rPr>
                <w:rFonts w:ascii="Calibri" w:cs="Calibri" w:eastAsia="Calibri" w:hAnsi="Calibri"/>
                <w:sz w:val="14"/>
                <w:szCs w:val="14"/>
                <w:b w:val="1"/>
                <w:bCs w:val="1"/>
                <w:color w:val="auto"/>
              </w:rPr>
              <w:t>Weighted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Average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Remaining</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79"/>
              <w:spacing w:after="0"/>
              <w:rPr>
                <w:sz w:val="20"/>
                <w:szCs w:val="20"/>
                <w:color w:val="auto"/>
              </w:rPr>
            </w:pPr>
            <w:r>
              <w:rPr>
                <w:rFonts w:ascii="Calibri" w:cs="Calibri" w:eastAsia="Calibri" w:hAnsi="Calibri"/>
                <w:sz w:val="14"/>
                <w:szCs w:val="14"/>
                <w:b w:val="1"/>
                <w:bCs w:val="1"/>
                <w:color w:val="auto"/>
              </w:rPr>
              <w:t>Gross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Useful Life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99"/>
              <w:spacing w:after="0"/>
              <w:rPr>
                <w:sz w:val="20"/>
                <w:szCs w:val="20"/>
                <w:color w:val="auto"/>
              </w:rPr>
            </w:pPr>
            <w:r>
              <w:rPr>
                <w:rFonts w:ascii="Calibri" w:cs="Calibri" w:eastAsia="Calibri" w:hAnsi="Calibri"/>
                <w:sz w:val="14"/>
                <w:szCs w:val="14"/>
                <w:b w:val="1"/>
                <w:bCs w:val="1"/>
                <w:color w:val="auto"/>
              </w:rPr>
              <w:t>Carrying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6"/>
              <w:spacing w:after="0"/>
              <w:rPr>
                <w:sz w:val="20"/>
                <w:szCs w:val="20"/>
                <w:color w:val="auto"/>
              </w:rPr>
            </w:pPr>
            <w:r>
              <w:rPr>
                <w:rFonts w:ascii="Calibri" w:cs="Calibri" w:eastAsia="Calibri" w:hAnsi="Calibri"/>
                <w:sz w:val="14"/>
                <w:szCs w:val="14"/>
                <w:b w:val="1"/>
                <w:bCs w:val="1"/>
                <w:color w:val="auto"/>
              </w:rPr>
              <w:t>Accumulated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Net Carrying</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9"/>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
              <w:spacing w:after="0"/>
              <w:rPr>
                <w:sz w:val="20"/>
                <w:szCs w:val="20"/>
                <w:color w:val="auto"/>
              </w:rPr>
            </w:pPr>
            <w:r>
              <w:rPr>
                <w:rFonts w:ascii="Calibri" w:cs="Calibri" w:eastAsia="Calibri" w:hAnsi="Calibri"/>
                <w:sz w:val="14"/>
                <w:szCs w:val="14"/>
                <w:b w:val="1"/>
                <w:bCs w:val="1"/>
                <w:color w:val="auto"/>
              </w:rPr>
              <w:t>Amortzaton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6"/>
              <w:spacing w:after="0"/>
              <w:rPr>
                <w:sz w:val="20"/>
                <w:szCs w:val="20"/>
                <w:color w:val="auto"/>
              </w:rPr>
            </w:pPr>
            <w:r>
              <w:rPr>
                <w:rFonts w:ascii="Calibri" w:cs="Calibri" w:eastAsia="Calibri" w:hAnsi="Calibri"/>
                <w:sz w:val="14"/>
                <w:szCs w:val="14"/>
                <w:b w:val="1"/>
                <w:bCs w:val="1"/>
                <w:color w:val="auto"/>
              </w:rPr>
              <w:t>Amount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Brand</w:t>
            </w:r>
          </w:p>
        </w:tc>
        <w:tc>
          <w:tcPr>
            <w:tcW w:w="29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6.1</w:t>
            </w:r>
          </w:p>
        </w:tc>
        <w:tc>
          <w:tcPr>
            <w:tcW w:w="40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24,559</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12,792</w:t>
            </w:r>
          </w:p>
        </w:tc>
        <w:tc>
          <w:tcPr>
            <w:tcW w:w="3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11,767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280" w:type="dxa"/>
            <w:vAlign w:val="bottom"/>
          </w:tcPr>
          <w:p>
            <w:pPr>
              <w:spacing w:after="0" w:line="215" w:lineRule="exact"/>
              <w:rPr>
                <w:sz w:val="20"/>
                <w:szCs w:val="20"/>
                <w:color w:val="auto"/>
              </w:rPr>
            </w:pPr>
            <w:r>
              <w:rPr>
                <w:rFonts w:ascii="Calibri" w:cs="Calibri" w:eastAsia="Calibri" w:hAnsi="Calibri"/>
                <w:sz w:val="18"/>
                <w:szCs w:val="18"/>
                <w:color w:val="auto"/>
              </w:rPr>
              <w:t>Customer relatonships</w:t>
            </w:r>
          </w:p>
        </w:tc>
        <w:tc>
          <w:tcPr>
            <w:tcW w:w="188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19,870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19,870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Developed technology</w:t>
            </w:r>
          </w:p>
        </w:tc>
        <w:tc>
          <w:tcPr>
            <w:tcW w:w="18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64,565</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64,565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280" w:type="dxa"/>
            <w:vAlign w:val="bottom"/>
          </w:tcPr>
          <w:p>
            <w:pPr>
              <w:ind w:left="180"/>
              <w:spacing w:after="0" w:line="209" w:lineRule="exact"/>
              <w:rPr>
                <w:sz w:val="20"/>
                <w:szCs w:val="20"/>
                <w:color w:val="auto"/>
              </w:rPr>
            </w:pPr>
            <w:r>
              <w:rPr>
                <w:rFonts w:ascii="Calibri" w:cs="Calibri" w:eastAsia="Calibri" w:hAnsi="Calibri"/>
                <w:sz w:val="18"/>
                <w:szCs w:val="18"/>
                <w:color w:val="auto"/>
              </w:rPr>
              <w:t>Total</w:t>
            </w:r>
          </w:p>
        </w:tc>
        <w:tc>
          <w:tcPr>
            <w:tcW w:w="1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jc w:val="right"/>
              <w:ind w:right="80"/>
              <w:spacing w:after="0" w:line="209"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108,994</w:t>
            </w:r>
          </w:p>
        </w:tc>
        <w:tc>
          <w:tcPr>
            <w:tcW w:w="32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97,227</w:t>
            </w:r>
          </w:p>
        </w:tc>
        <w:tc>
          <w:tcPr>
            <w:tcW w:w="3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11,767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940" w:type="dxa"/>
            <w:vAlign w:val="bottom"/>
            <w:gridSpan w:val="2"/>
            <w:vMerge w:val="restart"/>
          </w:tcPr>
          <w:p>
            <w:pPr>
              <w:jc w:val="right"/>
              <w:ind w:right="963"/>
              <w:spacing w:after="0"/>
              <w:rPr>
                <w:sz w:val="20"/>
                <w:szCs w:val="20"/>
                <w:color w:val="auto"/>
              </w:rPr>
            </w:pPr>
            <w:r>
              <w:rPr>
                <w:rFonts w:ascii="Calibri" w:cs="Calibri" w:eastAsia="Calibri" w:hAnsi="Calibri"/>
                <w:sz w:val="18"/>
                <w:szCs w:val="18"/>
                <w:color w:val="auto"/>
              </w:rPr>
              <w:t>102</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5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-1079500</wp:posOffset>
            </wp:positionV>
            <wp:extent cx="603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-1079500</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4" w:name="page105"/>
    <w:bookmarkEnd w:id="10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16"/>
              <w:spacing w:after="0"/>
              <w:rPr>
                <w:sz w:val="20"/>
                <w:szCs w:val="20"/>
                <w:color w:val="auto"/>
              </w:rPr>
            </w:pPr>
            <w:r>
              <w:rPr>
                <w:rFonts w:ascii="Calibri" w:cs="Calibri" w:eastAsia="Calibri" w:hAnsi="Calibri"/>
                <w:sz w:val="14"/>
                <w:szCs w:val="14"/>
                <w:b w:val="1"/>
                <w:bCs w:val="1"/>
                <w:color w:val="auto"/>
              </w:rPr>
              <w:t>As of December 31, 2023</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5160" w:type="dxa"/>
            <w:vAlign w:val="bottom"/>
          </w:tcPr>
          <w:p>
            <w:pPr>
              <w:spacing w:after="0"/>
              <w:rPr>
                <w:sz w:val="14"/>
                <w:szCs w:val="14"/>
                <w:color w:val="auto"/>
              </w:rPr>
            </w:pPr>
          </w:p>
        </w:tc>
        <w:tc>
          <w:tcPr>
            <w:tcW w:w="1060" w:type="dxa"/>
            <w:vAlign w:val="bottom"/>
          </w:tcPr>
          <w:p>
            <w:pPr>
              <w:jc w:val="center"/>
              <w:spacing w:after="0" w:line="161" w:lineRule="exact"/>
              <w:rPr>
                <w:sz w:val="20"/>
                <w:szCs w:val="20"/>
                <w:color w:val="auto"/>
              </w:rPr>
            </w:pPr>
            <w:r>
              <w:rPr>
                <w:rFonts w:ascii="Calibri" w:cs="Calibri" w:eastAsia="Calibri" w:hAnsi="Calibri"/>
                <w:sz w:val="14"/>
                <w:szCs w:val="14"/>
                <w:b w:val="1"/>
                <w:bCs w:val="1"/>
                <w:color w:val="auto"/>
              </w:rPr>
              <w:t>Weighted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Average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Remaining</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79"/>
              <w:spacing w:after="0"/>
              <w:rPr>
                <w:sz w:val="20"/>
                <w:szCs w:val="20"/>
                <w:color w:val="auto"/>
              </w:rPr>
            </w:pPr>
            <w:r>
              <w:rPr>
                <w:rFonts w:ascii="Calibri" w:cs="Calibri" w:eastAsia="Calibri" w:hAnsi="Calibri"/>
                <w:sz w:val="14"/>
                <w:szCs w:val="14"/>
                <w:b w:val="1"/>
                <w:bCs w:val="1"/>
                <w:color w:val="auto"/>
              </w:rPr>
              <w:t>Gross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Useful Life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99"/>
              <w:spacing w:after="0"/>
              <w:rPr>
                <w:sz w:val="20"/>
                <w:szCs w:val="20"/>
                <w:color w:val="auto"/>
              </w:rPr>
            </w:pPr>
            <w:r>
              <w:rPr>
                <w:rFonts w:ascii="Calibri" w:cs="Calibri" w:eastAsia="Calibri" w:hAnsi="Calibri"/>
                <w:sz w:val="14"/>
                <w:szCs w:val="14"/>
                <w:b w:val="1"/>
                <w:bCs w:val="1"/>
                <w:color w:val="auto"/>
              </w:rPr>
              <w:t>Carrying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6"/>
              <w:spacing w:after="0"/>
              <w:rPr>
                <w:sz w:val="20"/>
                <w:szCs w:val="20"/>
                <w:color w:val="auto"/>
              </w:rPr>
            </w:pPr>
            <w:r>
              <w:rPr>
                <w:rFonts w:ascii="Calibri" w:cs="Calibri" w:eastAsia="Calibri" w:hAnsi="Calibri"/>
                <w:sz w:val="14"/>
                <w:szCs w:val="14"/>
                <w:b w:val="1"/>
                <w:bCs w:val="1"/>
                <w:color w:val="auto"/>
              </w:rPr>
              <w:t>Accumulated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Net Carrying</w:t>
            </w:r>
          </w:p>
        </w:tc>
      </w:tr>
      <w:tr>
        <w:trPr>
          <w:trHeight w:val="189"/>
        </w:trPr>
        <w:tc>
          <w:tcPr>
            <w:tcW w:w="516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9"/>
              <w:spacing w:after="0"/>
              <w:rPr>
                <w:sz w:val="20"/>
                <w:szCs w:val="20"/>
                <w:color w:val="auto"/>
              </w:rPr>
            </w:pPr>
            <w:r>
              <w:rPr>
                <w:rFonts w:ascii="Calibri" w:cs="Calibri" w:eastAsia="Calibri" w:hAnsi="Calibri"/>
                <w:sz w:val="14"/>
                <w:szCs w:val="14"/>
                <w:b w:val="1"/>
                <w:bCs w:val="1"/>
                <w:color w:val="auto"/>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
              <w:spacing w:after="0"/>
              <w:rPr>
                <w:sz w:val="20"/>
                <w:szCs w:val="20"/>
                <w:color w:val="auto"/>
              </w:rPr>
            </w:pPr>
            <w:r>
              <w:rPr>
                <w:rFonts w:ascii="Calibri" w:cs="Calibri" w:eastAsia="Calibri" w:hAnsi="Calibri"/>
                <w:sz w:val="14"/>
                <w:szCs w:val="14"/>
                <w:b w:val="1"/>
                <w:bCs w:val="1"/>
                <w:color w:val="auto"/>
              </w:rPr>
              <w:t>Amortzaton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6"/>
              <w:spacing w:after="0"/>
              <w:rPr>
                <w:sz w:val="20"/>
                <w:szCs w:val="20"/>
                <w:color w:val="auto"/>
              </w:rPr>
            </w:pPr>
            <w:r>
              <w:rPr>
                <w:rFonts w:ascii="Calibri" w:cs="Calibri" w:eastAsia="Calibri" w:hAnsi="Calibri"/>
                <w:sz w:val="14"/>
                <w:szCs w:val="14"/>
                <w:b w:val="1"/>
                <w:bCs w:val="1"/>
                <w:color w:val="auto"/>
              </w:rPr>
              <w:t>Amount</w:t>
            </w:r>
          </w:p>
        </w:tc>
        <w:tc>
          <w:tcPr>
            <w:tcW w:w="100" w:type="dxa"/>
            <w:vAlign w:val="bottom"/>
          </w:tcPr>
          <w:p>
            <w:pPr>
              <w:spacing w:after="0"/>
              <w:rPr>
                <w:sz w:val="16"/>
                <w:szCs w:val="16"/>
                <w:color w:val="auto"/>
              </w:rPr>
            </w:pPr>
          </w:p>
        </w:tc>
      </w:tr>
      <w:tr>
        <w:trPr>
          <w:trHeight w:val="216"/>
        </w:trPr>
        <w:tc>
          <w:tcPr>
            <w:tcW w:w="516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Brand</w:t>
            </w:r>
          </w:p>
        </w:tc>
        <w:tc>
          <w:tcPr>
            <w:tcW w:w="10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7.4</w:t>
            </w:r>
          </w:p>
        </w:tc>
        <w:tc>
          <w:tcPr>
            <w:tcW w:w="40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32,193</w:t>
            </w:r>
          </w:p>
        </w:tc>
        <w:tc>
          <w:tcPr>
            <w:tcW w:w="3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10,262</w:t>
            </w:r>
          </w:p>
        </w:tc>
        <w:tc>
          <w:tcPr>
            <w:tcW w:w="3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21,931</w:t>
            </w: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spacing w:after="0" w:line="215" w:lineRule="exact"/>
              <w:rPr>
                <w:sz w:val="20"/>
                <w:szCs w:val="20"/>
                <w:color w:val="auto"/>
              </w:rPr>
            </w:pPr>
            <w:r>
              <w:rPr>
                <w:rFonts w:ascii="Calibri" w:cs="Calibri" w:eastAsia="Calibri" w:hAnsi="Calibri"/>
                <w:sz w:val="18"/>
                <w:szCs w:val="18"/>
                <w:color w:val="auto"/>
              </w:rPr>
              <w:t>Customer relatonships</w:t>
            </w: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19,870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19,620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250</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Developed technology</w:t>
            </w:r>
          </w:p>
        </w:tc>
        <w:tc>
          <w:tcPr>
            <w:tcW w:w="1060" w:type="dxa"/>
            <w:vAlign w:val="bottom"/>
            <w:tcBorders>
              <w:bottom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64,565</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63,690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60" w:type="dxa"/>
            <w:vAlign w:val="bottom"/>
          </w:tcPr>
          <w:p>
            <w:pPr>
              <w:ind w:left="180"/>
              <w:spacing w:after="0" w:line="209" w:lineRule="exact"/>
              <w:rPr>
                <w:sz w:val="20"/>
                <w:szCs w:val="20"/>
                <w:color w:val="auto"/>
              </w:rPr>
            </w:pPr>
            <w:r>
              <w:rPr>
                <w:rFonts w:ascii="Calibri" w:cs="Calibri" w:eastAsia="Calibri" w:hAnsi="Calibri"/>
                <w:sz w:val="18"/>
                <w:szCs w:val="18"/>
                <w:color w:val="auto"/>
              </w:rPr>
              <w:t>Total</w:t>
            </w:r>
          </w:p>
        </w:tc>
        <w:tc>
          <w:tcPr>
            <w:tcW w:w="1060" w:type="dxa"/>
            <w:vAlign w:val="bottom"/>
          </w:tcPr>
          <w:p>
            <w:pPr>
              <w:spacing w:after="0"/>
              <w:rPr>
                <w:sz w:val="18"/>
                <w:szCs w:val="18"/>
                <w:color w:val="auto"/>
              </w:rPr>
            </w:pPr>
          </w:p>
        </w:tc>
        <w:tc>
          <w:tcPr>
            <w:tcW w:w="400" w:type="dxa"/>
            <w:vAlign w:val="bottom"/>
            <w:gridSpan w:val="2"/>
          </w:tcPr>
          <w:p>
            <w:pPr>
              <w:jc w:val="right"/>
              <w:ind w:right="80"/>
              <w:spacing w:after="0" w:line="209"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116,628</w:t>
            </w:r>
          </w:p>
        </w:tc>
        <w:tc>
          <w:tcPr>
            <w:tcW w:w="32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93,572</w:t>
            </w:r>
          </w:p>
        </w:tc>
        <w:tc>
          <w:tcPr>
            <w:tcW w:w="3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23,056</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-170815</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2023, and 2022, amortzaton of intangible assets was $3,655, $30,062, and $30,716, respectvely.</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 ended December 31, 2024, the Company recognized an impairment of its intangible assets. For the years ended December 31, 2023 and 2022, the Company did not recognize an impairment of its intangible assets. For further discussion of impairments, see Note 6 of these consolidated fnancial statements.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estmated amortzaton expense of intangible assets for future periods was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Calibri" w:cs="Calibri" w:eastAsia="Calibri" w:hAnsi="Calibri"/>
                <w:sz w:val="14"/>
                <w:szCs w:val="14"/>
                <w:b w:val="1"/>
                <w:bCs w:val="1"/>
                <w:color w:val="auto"/>
              </w:rPr>
              <w:t>Amortzaton</w:t>
            </w:r>
          </w:p>
        </w:tc>
      </w:tr>
      <w:tr>
        <w:trPr>
          <w:trHeight w:val="189"/>
        </w:trPr>
        <w:tc>
          <w:tcPr>
            <w:tcW w:w="808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Year Ending December 31,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34"/>
              <w:spacing w:after="0"/>
              <w:rPr>
                <w:sz w:val="20"/>
                <w:szCs w:val="20"/>
                <w:color w:val="auto"/>
              </w:rPr>
            </w:pPr>
            <w:r>
              <w:rPr>
                <w:rFonts w:ascii="Calibri" w:cs="Calibri" w:eastAsia="Calibri" w:hAnsi="Calibri"/>
                <w:sz w:val="14"/>
                <w:szCs w:val="14"/>
                <w:b w:val="1"/>
                <w:bCs w:val="1"/>
                <w:color w:val="auto"/>
              </w:rPr>
              <w:t>Expense</w:t>
            </w:r>
          </w:p>
        </w:tc>
        <w:tc>
          <w:tcPr>
            <w:tcW w:w="100" w:type="dxa"/>
            <w:vAlign w:val="bottom"/>
          </w:tcPr>
          <w:p>
            <w:pPr>
              <w:spacing w:after="0"/>
              <w:rPr>
                <w:sz w:val="16"/>
                <w:szCs w:val="16"/>
                <w:color w:val="auto"/>
              </w:rPr>
            </w:pPr>
          </w:p>
        </w:tc>
      </w:tr>
      <w:tr>
        <w:trPr>
          <w:trHeight w:val="216"/>
        </w:trPr>
        <w:tc>
          <w:tcPr>
            <w:tcW w:w="80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2025</w:t>
            </w:r>
          </w:p>
        </w:tc>
        <w:tc>
          <w:tcPr>
            <w:tcW w:w="480" w:type="dxa"/>
            <w:vAlign w:val="bottom"/>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2,021</w:t>
            </w: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spacing w:after="0" w:line="215" w:lineRule="exact"/>
              <w:rPr>
                <w:sz w:val="20"/>
                <w:szCs w:val="20"/>
                <w:color w:val="auto"/>
              </w:rPr>
            </w:pPr>
            <w:r>
              <w:rPr>
                <w:rFonts w:ascii="Calibri" w:cs="Calibri" w:eastAsia="Calibri" w:hAnsi="Calibri"/>
                <w:sz w:val="18"/>
                <w:szCs w:val="18"/>
                <w:color w:val="auto"/>
              </w:rPr>
              <w:t>2026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2,021</w:t>
            </w:r>
          </w:p>
        </w:tc>
        <w:tc>
          <w:tcPr>
            <w:tcW w:w="100" w:type="dxa"/>
            <w:vAlign w:val="bottom"/>
          </w:tcPr>
          <w:p>
            <w:pPr>
              <w:spacing w:after="0"/>
              <w:rPr>
                <w:sz w:val="18"/>
                <w:szCs w:val="18"/>
                <w:color w:val="auto"/>
              </w:rPr>
            </w:pPr>
          </w:p>
        </w:tc>
      </w:tr>
      <w:tr>
        <w:trPr>
          <w:trHeight w:val="217"/>
        </w:trPr>
        <w:tc>
          <w:tcPr>
            <w:tcW w:w="80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2027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2,021</w:t>
            </w: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spacing w:after="0" w:line="215" w:lineRule="exact"/>
              <w:rPr>
                <w:sz w:val="20"/>
                <w:szCs w:val="20"/>
                <w:color w:val="auto"/>
              </w:rPr>
            </w:pPr>
            <w:r>
              <w:rPr>
                <w:rFonts w:ascii="Calibri" w:cs="Calibri" w:eastAsia="Calibri" w:hAnsi="Calibri"/>
                <w:sz w:val="18"/>
                <w:szCs w:val="18"/>
                <w:color w:val="auto"/>
              </w:rPr>
              <w:t>2028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2,021</w:t>
            </w:r>
          </w:p>
        </w:tc>
        <w:tc>
          <w:tcPr>
            <w:tcW w:w="100" w:type="dxa"/>
            <w:vAlign w:val="bottom"/>
          </w:tcPr>
          <w:p>
            <w:pPr>
              <w:spacing w:after="0"/>
              <w:rPr>
                <w:sz w:val="18"/>
                <w:szCs w:val="18"/>
                <w:color w:val="auto"/>
              </w:rPr>
            </w:pPr>
          </w:p>
        </w:tc>
      </w:tr>
      <w:tr>
        <w:trPr>
          <w:trHeight w:val="217"/>
        </w:trPr>
        <w:tc>
          <w:tcPr>
            <w:tcW w:w="80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2029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1,429</w:t>
            </w: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spacing w:after="0" w:line="215" w:lineRule="exact"/>
              <w:rPr>
                <w:sz w:val="20"/>
                <w:szCs w:val="20"/>
                <w:color w:val="auto"/>
              </w:rPr>
            </w:pPr>
            <w:r>
              <w:rPr>
                <w:rFonts w:ascii="Calibri" w:cs="Calibri" w:eastAsia="Calibri" w:hAnsi="Calibri"/>
                <w:sz w:val="18"/>
                <w:szCs w:val="18"/>
                <w:color w:val="auto"/>
              </w:rPr>
              <w:t>Thereafer</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2,254</w:t>
            </w:r>
          </w:p>
        </w:tc>
        <w:tc>
          <w:tcPr>
            <w:tcW w:w="100" w:type="dxa"/>
            <w:vAlign w:val="bottom"/>
          </w:tcPr>
          <w:p>
            <w:pPr>
              <w:spacing w:after="0"/>
              <w:rPr>
                <w:sz w:val="18"/>
                <w:szCs w:val="18"/>
                <w:color w:val="auto"/>
              </w:rPr>
            </w:pPr>
          </w:p>
        </w:tc>
      </w:tr>
      <w:tr>
        <w:trPr>
          <w:trHeight w:val="250"/>
        </w:trPr>
        <w:tc>
          <w:tcPr>
            <w:tcW w:w="8080" w:type="dxa"/>
            <w:vAlign w:val="bottom"/>
            <w:tcBorders>
              <w:bottom w:val="single" w:sz="8" w:color="CFF0FC"/>
            </w:tcBorders>
            <w:shd w:val="clear" w:color="auto" w:fill="CFF0FC"/>
          </w:tcPr>
          <w:p>
            <w:pPr>
              <w:ind w:left="280"/>
              <w:spacing w:after="0" w:line="209" w:lineRule="exact"/>
              <w:rPr>
                <w:sz w:val="20"/>
                <w:szCs w:val="20"/>
                <w:color w:val="auto"/>
              </w:rPr>
            </w:pPr>
            <w:r>
              <w:rPr>
                <w:rFonts w:ascii="Calibri" w:cs="Calibri" w:eastAsia="Calibri" w:hAnsi="Calibri"/>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11,767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Goodwill</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changes in the carrying value of goodwill were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15"/>
              <w:spacing w:after="0"/>
              <w:rPr>
                <w:sz w:val="20"/>
                <w:szCs w:val="20"/>
                <w:color w:val="auto"/>
              </w:rPr>
            </w:pPr>
            <w:r>
              <w:rPr>
                <w:rFonts w:ascii="Calibri" w:cs="Calibri" w:eastAsia="Calibri" w:hAnsi="Calibri"/>
                <w:sz w:val="14"/>
                <w:szCs w:val="14"/>
                <w:b w:val="1"/>
                <w:bCs w:val="1"/>
                <w:color w:val="auto"/>
              </w:rPr>
              <w:t>U.S.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Calibri" w:cs="Calibri" w:eastAsia="Calibri" w:hAnsi="Calibri"/>
                <w:sz w:val="14"/>
                <w:szCs w:val="14"/>
                <w:b w:val="1"/>
                <w:bCs w:val="1"/>
                <w:color w:val="auto"/>
              </w:rPr>
              <w:t>Digital</w:t>
            </w:r>
          </w:p>
        </w:tc>
        <w:tc>
          <w:tcPr>
            <w:tcW w:w="220" w:type="dxa"/>
            <w:vAlign w:val="bottom"/>
          </w:tcPr>
          <w:p>
            <w:pPr>
              <w:spacing w:after="0"/>
              <w:rPr>
                <w:sz w:val="14"/>
                <w:szCs w:val="14"/>
                <w:color w:val="auto"/>
              </w:rPr>
            </w:pPr>
          </w:p>
        </w:tc>
        <w:tc>
          <w:tcPr>
            <w:tcW w:w="1020" w:type="dxa"/>
            <w:vAlign w:val="bottom"/>
            <w:gridSpan w:val="2"/>
            <w:vMerge w:val="restart"/>
          </w:tcPr>
          <w:p>
            <w:pPr>
              <w:jc w:val="right"/>
              <w:ind w:right="560"/>
              <w:spacing w:after="0"/>
              <w:rPr>
                <w:sz w:val="20"/>
                <w:szCs w:val="20"/>
                <w:color w:val="auto"/>
              </w:rPr>
            </w:pPr>
            <w:r>
              <w:rPr>
                <w:rFonts w:ascii="Calibri" w:cs="Calibri" w:eastAsia="Calibri" w:hAnsi="Calibri"/>
                <w:sz w:val="14"/>
                <w:szCs w:val="14"/>
                <w:b w:val="1"/>
                <w:bCs w:val="1"/>
                <w:color w:val="auto"/>
              </w:rPr>
              <w:t>Other</w:t>
            </w:r>
          </w:p>
        </w:tc>
        <w:tc>
          <w:tcPr>
            <w:tcW w:w="240" w:type="dxa"/>
            <w:vAlign w:val="bottom"/>
          </w:tcPr>
          <w:p>
            <w:pPr>
              <w:spacing w:after="0"/>
              <w:rPr>
                <w:sz w:val="14"/>
                <w:szCs w:val="14"/>
                <w:color w:val="auto"/>
              </w:rPr>
            </w:pPr>
          </w:p>
        </w:tc>
        <w:tc>
          <w:tcPr>
            <w:tcW w:w="900" w:type="dxa"/>
            <w:vAlign w:val="bottom"/>
            <w:gridSpan w:val="2"/>
            <w:vMerge w:val="restart"/>
          </w:tcPr>
          <w:p>
            <w:pPr>
              <w:jc w:val="right"/>
              <w:ind w:right="48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81"/>
        </w:trPr>
        <w:tc>
          <w:tcPr>
            <w:tcW w:w="5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ind w:right="55"/>
              <w:spacing w:after="0"/>
              <w:rPr>
                <w:sz w:val="20"/>
                <w:szCs w:val="20"/>
                <w:color w:val="auto"/>
              </w:rPr>
            </w:pPr>
            <w:r>
              <w:rPr>
                <w:rFonts w:ascii="Calibri" w:cs="Calibri" w:eastAsia="Calibri" w:hAnsi="Calibri"/>
                <w:sz w:val="14"/>
                <w:szCs w:val="14"/>
                <w:b w:val="1"/>
                <w:bCs w:val="1"/>
                <w:color w:val="auto"/>
              </w:rPr>
              <w:t>Marketplace</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restart"/>
          </w:tcPr>
          <w:p>
            <w:pPr>
              <w:jc w:val="right"/>
              <w:ind w:right="135"/>
              <w:spacing w:after="0"/>
              <w:rPr>
                <w:sz w:val="20"/>
                <w:szCs w:val="20"/>
                <w:color w:val="auto"/>
              </w:rPr>
            </w:pPr>
            <w:r>
              <w:rPr>
                <w:rFonts w:ascii="Calibri" w:cs="Calibri" w:eastAsia="Calibri" w:hAnsi="Calibri"/>
                <w:sz w:val="14"/>
                <w:szCs w:val="14"/>
                <w:b w:val="1"/>
                <w:bCs w:val="1"/>
                <w:color w:val="auto"/>
              </w:rPr>
              <w:t>Wholesale</w:t>
            </w:r>
          </w:p>
        </w:tc>
        <w:tc>
          <w:tcPr>
            <w:tcW w:w="200" w:type="dxa"/>
            <w:vAlign w:val="bottom"/>
            <w:vMerge w:val="restart"/>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Balance as of December 31, 2023</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12,477</w:t>
            </w:r>
          </w:p>
        </w:tc>
        <w:tc>
          <w:tcPr>
            <w:tcW w:w="3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130,451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14,970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157,898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tcPr>
          <w:p>
            <w:pPr>
              <w:ind w:left="180"/>
              <w:spacing w:after="0" w:line="215" w:lineRule="exact"/>
              <w:rPr>
                <w:sz w:val="20"/>
                <w:szCs w:val="20"/>
                <w:color w:val="auto"/>
              </w:rPr>
            </w:pPr>
            <w:r>
              <w:rPr>
                <w:rFonts w:ascii="Calibri" w:cs="Calibri" w:eastAsia="Calibri" w:hAnsi="Calibri"/>
                <w:sz w:val="18"/>
                <w:szCs w:val="18"/>
                <w:color w:val="auto"/>
              </w:rPr>
              <w:t>Impairment of goodwill</w:t>
            </w:r>
          </w:p>
        </w:tc>
        <w:tc>
          <w:tcPr>
            <w:tcW w:w="1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(86,769 )</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(86,769 )</w:t>
            </w:r>
          </w:p>
        </w:tc>
        <w:tc>
          <w:tcPr>
            <w:tcW w:w="0" w:type="dxa"/>
            <w:vAlign w:val="bottom"/>
          </w:tcPr>
          <w:p>
            <w:pPr>
              <w:spacing w:after="0"/>
              <w:rPr>
                <w:sz w:val="1"/>
                <w:szCs w:val="1"/>
                <w:color w:val="auto"/>
              </w:rPr>
            </w:pPr>
          </w:p>
        </w:tc>
      </w:tr>
      <w:tr>
        <w:trPr>
          <w:trHeight w:val="170"/>
        </w:trPr>
        <w:tc>
          <w:tcPr>
            <w:tcW w:w="5260" w:type="dxa"/>
            <w:vAlign w:val="bottom"/>
          </w:tcPr>
          <w:p>
            <w:pPr>
              <w:ind w:left="180"/>
              <w:spacing w:after="0" w:line="170" w:lineRule="exact"/>
              <w:rPr>
                <w:sz w:val="20"/>
                <w:szCs w:val="20"/>
                <w:color w:val="auto"/>
              </w:rPr>
            </w:pPr>
            <w:r>
              <w:rPr>
                <w:rFonts w:ascii="Calibri" w:cs="Calibri" w:eastAsia="Calibri" w:hAnsi="Calibri"/>
                <w:sz w:val="18"/>
                <w:szCs w:val="18"/>
                <w:color w:val="auto"/>
              </w:rPr>
              <w:t>Deferred tax asset recognized from impairment of goodwill</w:t>
            </w:r>
          </w:p>
        </w:tc>
        <w:tc>
          <w:tcPr>
            <w:tcW w:w="12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line="170" w:lineRule="exact"/>
              <w:rPr>
                <w:sz w:val="20"/>
                <w:szCs w:val="20"/>
                <w:color w:val="auto"/>
              </w:rPr>
            </w:pPr>
            <w:r>
              <w:rPr>
                <w:rFonts w:ascii="Calibri" w:cs="Calibri" w:eastAsia="Calibri" w:hAnsi="Calibri"/>
                <w:sz w:val="18"/>
                <w:szCs w:val="18"/>
                <w:color w:val="auto"/>
              </w:rPr>
              <w:t>(28,437 )</w:t>
            </w:r>
          </w:p>
        </w:tc>
        <w:tc>
          <w:tcPr>
            <w:tcW w:w="220" w:type="dxa"/>
            <w:vAlign w:val="bottom"/>
          </w:tcPr>
          <w:p>
            <w:pPr>
              <w:spacing w:after="0"/>
              <w:rPr>
                <w:sz w:val="14"/>
                <w:szCs w:val="14"/>
                <w:color w:val="auto"/>
              </w:rPr>
            </w:pPr>
          </w:p>
        </w:tc>
        <w:tc>
          <w:tcPr>
            <w:tcW w:w="1020" w:type="dxa"/>
            <w:vAlign w:val="bottom"/>
            <w:gridSpan w:val="2"/>
          </w:tcPr>
          <w:p>
            <w:pPr>
              <w:jc w:val="right"/>
              <w:ind w:right="220"/>
              <w:spacing w:after="0" w:line="170"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40"/>
              <w:spacing w:after="0" w:line="170" w:lineRule="exact"/>
              <w:rPr>
                <w:sz w:val="20"/>
                <w:szCs w:val="20"/>
                <w:color w:val="auto"/>
              </w:rPr>
            </w:pPr>
            <w:r>
              <w:rPr>
                <w:rFonts w:ascii="Calibri" w:cs="Calibri" w:eastAsia="Calibri" w:hAnsi="Calibri"/>
                <w:sz w:val="18"/>
                <w:szCs w:val="18"/>
                <w:color w:val="auto"/>
              </w:rPr>
              <w:t>(28,437 )</w:t>
            </w:r>
          </w:p>
        </w:tc>
        <w:tc>
          <w:tcPr>
            <w:tcW w:w="0" w:type="dxa"/>
            <w:vAlign w:val="bottom"/>
          </w:tcPr>
          <w:p>
            <w:pPr>
              <w:spacing w:after="0"/>
              <w:rPr>
                <w:sz w:val="1"/>
                <w:szCs w:val="1"/>
                <w:color w:val="auto"/>
              </w:rPr>
            </w:pPr>
          </w:p>
        </w:tc>
      </w:tr>
      <w:tr>
        <w:trPr>
          <w:trHeight w:val="263"/>
        </w:trPr>
        <w:tc>
          <w:tcPr>
            <w:tcW w:w="5260" w:type="dxa"/>
            <w:vAlign w:val="bottom"/>
          </w:tcPr>
          <w:p>
            <w:pPr>
              <w:ind w:left="180"/>
              <w:spacing w:after="0" w:line="263" w:lineRule="exact"/>
              <w:rPr>
                <w:sz w:val="20"/>
                <w:szCs w:val="20"/>
                <w:color w:val="auto"/>
              </w:rPr>
            </w:pPr>
            <w:r>
              <w:rPr>
                <w:rFonts w:ascii="Calibri" w:cs="Calibri" w:eastAsia="Calibri" w:hAnsi="Calibri"/>
                <w:sz w:val="18"/>
                <w:szCs w:val="18"/>
                <w:color w:val="auto"/>
              </w:rPr>
              <w:t xml:space="preserve">Other </w:t>
            </w:r>
            <w:r>
              <w:rPr>
                <w:rFonts w:ascii="Calibri" w:cs="Calibri" w:eastAsia="Calibri" w:hAnsi="Calibri"/>
                <w:sz w:val="24"/>
                <w:szCs w:val="24"/>
                <w:color w:val="auto"/>
                <w:vertAlign w:val="superscript"/>
              </w:rPr>
              <w:t>(1)</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4,323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18"/>
                <w:szCs w:val="18"/>
                <w:color w:val="auto"/>
              </w:rPr>
              <w:t>4,323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Foreign currency translaton adjustment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(848 )</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(848 )</w:t>
            </w:r>
          </w:p>
        </w:tc>
        <w:tc>
          <w:tcPr>
            <w:tcW w:w="0" w:type="dxa"/>
            <w:vAlign w:val="bottom"/>
          </w:tcPr>
          <w:p>
            <w:pPr>
              <w:spacing w:after="0"/>
              <w:rPr>
                <w:sz w:val="1"/>
                <w:szCs w:val="1"/>
                <w:color w:val="auto"/>
              </w:rPr>
            </w:pPr>
          </w:p>
        </w:tc>
      </w:tr>
      <w:tr>
        <w:trPr>
          <w:trHeight w:val="210"/>
        </w:trPr>
        <w:tc>
          <w:tcPr>
            <w:tcW w:w="5260" w:type="dxa"/>
            <w:vAlign w:val="bottom"/>
            <w:tcBorders>
              <w:top w:val="single" w:sz="8" w:color="CFF0FC"/>
            </w:tcBorders>
          </w:tcPr>
          <w:p>
            <w:pPr>
              <w:spacing w:after="0" w:line="209" w:lineRule="exact"/>
              <w:rPr>
                <w:sz w:val="20"/>
                <w:szCs w:val="20"/>
                <w:color w:val="auto"/>
              </w:rPr>
            </w:pPr>
            <w:r>
              <w:rPr>
                <w:rFonts w:ascii="Calibri" w:cs="Calibri" w:eastAsia="Calibri" w:hAnsi="Calibri"/>
                <w:sz w:val="18"/>
                <w:szCs w:val="18"/>
                <w:color w:val="auto"/>
              </w:rPr>
              <w:t>Balance as of December 31, 2024</w:t>
            </w:r>
          </w:p>
        </w:tc>
        <w:tc>
          <w:tcPr>
            <w:tcW w:w="1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12,477</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8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19,568</w:t>
            </w: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14,122</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46,167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-582295</wp:posOffset>
            </wp:positionV>
            <wp:extent cx="6412230"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60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03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03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left="1020" w:right="20" w:hanging="503"/>
        <w:spacing w:after="0" w:line="245" w:lineRule="auto"/>
        <w:tabs>
          <w:tab w:leader="none" w:pos="1020" w:val="left"/>
        </w:tabs>
        <w:numPr>
          <w:ilvl w:val="0"/>
          <w:numId w:val="42"/>
        </w:numPr>
        <w:rPr>
          <w:rFonts w:ascii="Calibri" w:cs="Calibri" w:eastAsia="Calibri" w:hAnsi="Calibri"/>
          <w:sz w:val="14"/>
          <w:szCs w:val="14"/>
          <w:color w:val="00002D"/>
        </w:rPr>
      </w:pPr>
      <w:r>
        <w:rPr>
          <w:rFonts w:ascii="Calibri" w:cs="Calibri" w:eastAsia="Calibri" w:hAnsi="Calibri"/>
          <w:sz w:val="14"/>
          <w:szCs w:val="14"/>
          <w:color w:val="00002D"/>
        </w:rPr>
        <w:t>As of December 31, 2024, the Company recognized an immaterial adjustment to goodwill and additonal paid-in-capital associated with the acquisitons of its equity interests in CarOfer.</w:t>
      </w:r>
    </w:p>
    <w:p>
      <w:pPr>
        <w:spacing w:after="0" w:line="2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As of December 31, 2024, accumulated impairment losses of goodwill recognized in the Digital Wholesale segment were $115,206. As of December 31, 2023, there were no accumulated impairment losses of goodwill.</w:t>
      </w:r>
    </w:p>
    <w:p>
      <w:pPr>
        <w:spacing w:after="0" w:line="21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00002D"/>
        </w:rPr>
        <w:t>During the three months ended June 30, 2024, the Company identfed a triggering event requiring an interim impairment test at the CarOfer reportng unit and recognized an impairment of goodwill. For further discussion of impairments, see Note 6 of these consolidated fnancial statements.</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5" w:name="page106"/>
    <w:bookmarkEnd w:id="10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did not identfy an additonal impairment during the annual impairment test over all reportng units as of October 1, 2024. There was excess of fair value over the carrying value for the CarOfer reportng unit in the Digital Wholesale segment as of October 1, 2024. If projected future operatng results decline, including as a result of economic conditons or operatonal challenges, the Company may need to record an impairment charge to reduce its goodwill at CarOfer, which could be material and negatvely afect the Company’s operatons.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2023 and 2022, the Company did not identfy any impairment of its goodwill.</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8. Accrued Expenses, Accrued Income Taxes, and Other Current Liabilites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and 2023, accrued expenses, accrued income taxes, and other current liabilites consisted of the following:</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Calibri" w:cs="Calibri" w:eastAsia="Calibri" w:hAnsi="Calibri"/>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69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4"/>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r>
      <w:tr>
        <w:trPr>
          <w:trHeight w:val="212"/>
        </w:trPr>
        <w:tc>
          <w:tcPr>
            <w:tcW w:w="690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Accrued bonus</w:t>
            </w:r>
          </w:p>
        </w:tc>
        <w:tc>
          <w:tcPr>
            <w:tcW w:w="880" w:type="dxa"/>
            <w:vAlign w:val="bottom"/>
            <w:shd w:val="clear" w:color="auto" w:fill="CFF0FC"/>
          </w:tcPr>
          <w:p>
            <w:pPr>
              <w:jc w:val="right"/>
              <w:ind w:right="676"/>
              <w:spacing w:after="0" w:line="212" w:lineRule="exact"/>
              <w:rPr>
                <w:sz w:val="20"/>
                <w:szCs w:val="20"/>
                <w:color w:val="auto"/>
              </w:rPr>
            </w:pPr>
            <w:r>
              <w:rPr>
                <w:rFonts w:ascii="Calibri" w:cs="Calibri" w:eastAsia="Calibri" w:hAnsi="Calibri"/>
                <w:sz w:val="18"/>
                <w:szCs w:val="18"/>
                <w:color w:val="auto"/>
              </w:rPr>
              <w:t>$</w:t>
            </w:r>
          </w:p>
        </w:tc>
        <w:tc>
          <w:tcPr>
            <w:tcW w:w="54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w w:val="99"/>
              </w:rPr>
              <w:t>17,377</w:t>
            </w:r>
          </w:p>
        </w:tc>
        <w:tc>
          <w:tcPr>
            <w:tcW w:w="760" w:type="dxa"/>
            <w:vAlign w:val="bottom"/>
            <w:gridSpan w:val="2"/>
            <w:shd w:val="clear" w:color="auto" w:fill="CFF0FC"/>
          </w:tcPr>
          <w:p>
            <w:pPr>
              <w:jc w:val="right"/>
              <w:ind w:right="400"/>
              <w:spacing w:after="0" w:line="212"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15,247</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line="215" w:lineRule="exact"/>
              <w:rPr>
                <w:sz w:val="20"/>
                <w:szCs w:val="20"/>
                <w:color w:val="auto"/>
              </w:rPr>
            </w:pPr>
            <w:r>
              <w:rPr>
                <w:rFonts w:ascii="Calibri" w:cs="Calibri" w:eastAsia="Calibri" w:hAnsi="Calibri"/>
                <w:sz w:val="18"/>
                <w:szCs w:val="18"/>
                <w:color w:val="auto"/>
              </w:rPr>
              <w:t>Accrued commissions</w:t>
            </w:r>
          </w:p>
        </w:tc>
        <w:tc>
          <w:tcPr>
            <w:tcW w:w="88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4,818</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4,142</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Other accrued expenses, accrued income taxes, and other current liabilites</w:t>
            </w: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9"/>
              </w:rPr>
              <w:t>13,780</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14,329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ind w:left="280"/>
              <w:spacing w:after="0" w:line="209" w:lineRule="exact"/>
              <w:rPr>
                <w:sz w:val="20"/>
                <w:szCs w:val="20"/>
                <w:color w:val="auto"/>
              </w:rPr>
            </w:pPr>
            <w:r>
              <w:rPr>
                <w:rFonts w:ascii="Calibri" w:cs="Calibri" w:eastAsia="Calibri" w:hAnsi="Calibri"/>
                <w:sz w:val="18"/>
                <w:szCs w:val="18"/>
                <w:color w:val="auto"/>
              </w:rPr>
              <w:t>Total</w:t>
            </w:r>
          </w:p>
        </w:tc>
        <w:tc>
          <w:tcPr>
            <w:tcW w:w="880" w:type="dxa"/>
            <w:vAlign w:val="bottom"/>
          </w:tcPr>
          <w:p>
            <w:pPr>
              <w:jc w:val="right"/>
              <w:ind w:right="676"/>
              <w:spacing w:after="0" w:line="209"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09" w:lineRule="exact"/>
              <w:rPr>
                <w:sz w:val="20"/>
                <w:szCs w:val="20"/>
                <w:color w:val="auto"/>
              </w:rPr>
            </w:pPr>
            <w:r>
              <w:rPr>
                <w:rFonts w:ascii="Calibri" w:cs="Calibri" w:eastAsia="Calibri" w:hAnsi="Calibri"/>
                <w:sz w:val="18"/>
                <w:szCs w:val="18"/>
                <w:color w:val="auto"/>
                <w:w w:val="99"/>
              </w:rPr>
              <w:t>35,975</w:t>
            </w:r>
          </w:p>
        </w:tc>
        <w:tc>
          <w:tcPr>
            <w:tcW w:w="760" w:type="dxa"/>
            <w:vAlign w:val="bottom"/>
            <w:gridSpan w:val="2"/>
          </w:tcPr>
          <w:p>
            <w:pPr>
              <w:jc w:val="right"/>
              <w:ind w:right="4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33,718</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00002D"/>
        </w:rPr>
        <w:t>The increase of $2,130 in accrued bonus was due to higher bonus payout metric atainment.</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9. Debt</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and 2023, the Company had no long-term debt outstanding.</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Revolving Credit Facility</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September 26, 2022, the Company entered into a Credit Agreement with PNC Bank, Natonal Associaton, as administratve agent and collateral agent and an L/C Issuer (as defned in the Credit Agreement), and the other lenders, L/C Issuers, and partes thereto from tme to tme (the “Credit Agreement”). The Credit Agreement consists of a revolving credit facility (the “2022 Revolver”), which allows the Company to borrow up to $400.0 million, $50.0 million of which may be comprised of a leter of credit sub-facility (the “2022 Revolver Sub-facility”). The borrowing capacity under the Credit Agreement may be increased in accordance with the terms and subject to the adjustments as set forth in the Credit Agreement. Specifcally, the borrowing capacity may be increased by an amount up to the greater of $250.0 million or 100% of Four Quarter Consolidated EBITDA (as defned in the Credit Agreement) if certain criteria are met and subject to certain restrictons. Any such increase requires lender approval. Proceeds of any borrowings may be used for general corporate purposes. The 2022 Revolver is scheduled to mature on September 26, 2027.</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applicable interest rate is, at the Company’s opton, based on a number of diferent benchmark rates and applicable spreads, based on the rato of the outstanding principal amount of the Company’s secured indebtedness to the trailing four quarters of consolidated EBITDA (as determined under the Credit Agreement, the “Consolidated Secured Net Leverage Rato”). The Credit Agreement also requires the Company to pay a commitment fee to the lenders with respect of the unutlized revolving commitments at a rate ranging from 0.125% to 0.175% per annum based on the Consolidated Secured Net Leverage Rato, as determined on a quarterly basis.</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2022 Revolver is secured by a frst priority lien on substantally all tangible and intangible property of the Company, as well as any future guarantors, and pledges of the equity of certain wholly-owned subsidiaries, in each case subject to certain exceptons, limitatons, and exclusions from the collateral. The Credit Agreement includes customary events of default and requires the Company to comply with customary afrmatve and negatve covenants, including a fnancial covenant requiring that the Company not exceed certain Consolidated Secured Net Leverage Rato ranges at the end of each fscal quarter. The Company was in compliance with all covenants as of December 31, 2024.</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6" w:name="page107"/>
    <w:bookmarkEnd w:id="10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there were no borrowings and $9,907 in leters of credit outstanding under the 2022 Revolver associated with the Company’s leases, which reduced the borrowing capacity under the 2022 Revolver to $390,093. As of December 31, 2023, there were no borrowings and $9,627 in leters of credit outstanding under the 2022 Revolver associated with the Company’s leases, which reduced the borrowing capacity under the 2022 Revolver to $390,373.</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and 2023, deferred fnancing costs were $1,412 and $1,927, respectvely, recognized within other non-current assets in the consolidated balance sheets.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years ended December 31, 2024, 2023, and 2022, amortzaton expense associated with deferred fnancing costs was $515, $515, and $136, respectvely, recognized within other (expense) income, net in the consolidated income statements.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2023, and 2022, commitment fees under the 2022 Revolver were immaterial.</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10. Commitments and Contngencies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Contractual Obligatons and Commitments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all of the Company’s property and equipment and capitalized hostng arrangements have been purchased with cash with the excepton of unpaid amounts as disclosed in the consolidated statements of cash fows.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Leases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Company’s material lease obligatons consist of various leases for ofce space in: Boston, Massachusets; Cambridge, Massachusets; Addison, Texas; and Dublin, Ireland.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has non-cancellable lease terms through 2039 for its various commenced operatng leases, certain of which include the opton to extend the lease term up to two additonal periods of fve years. These optons are not recognized within the right-of-use asset and lease liability. Additonally, certain leases provide for annual rent increases through the terms of the leases, leasehold improvement incentves, and variable payments related to operatng expenses, taxes, utlites, insurance, and maintenance expenses. Certain leases also contain non-lease components in the contract. Non-lease components relate to operatng expenses, parking, utlites, and maintenance expenses.</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has non-cancellable lease terms through 2025 for its various operatng subleases, for which the Company acts as the lessor. Additonally, certain subleases provide for annual rent increases through the terms of the leases and variable payments related to operatng expenses, taxes, parking, and utlites. Certain subleases also contain both lease and non-lease components in the contract. Non-lease components relate to operatng expenses, parking, utlites, and maintenance expenses.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and 2023, the Company’s fnancing lease obligatons, which consisted of a lease for furniture and ofce equipment, were immaterial.</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there were no material changes in the Company’s leases from those disclosed in our Annual Report on Form 10-K for the fscal year ended December 31, 2023, other than those described below.</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3465B0"/>
        </w:rPr>
        <w:t>Changes to Material Leases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Addison, Texas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During the year ended December 31, 2024, the Company identfed an impairment of the right-of-use asset associated with its Addison, Texas, lease. For further informaton on impairments, see Note 6 of these consolidated fnancial statements.</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7" w:name="page108"/>
    <w:bookmarkEnd w:id="10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00002D"/>
        </w:rPr>
        <w:t>1001 Boylston Street</w:t>
      </w:r>
    </w:p>
    <w:p>
      <w:pPr>
        <w:spacing w:after="0" w:line="217"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00002D"/>
        </w:rPr>
        <w:t>On September 20, 2024, the Company began occupying 1001 Boylston Street and all assets capitalized through that date were placed into service. As of December 31, 2024, the Company completed its buildout and all remaining assets associated with the 1001 Boylston Street lease were placed into service.</w:t>
      </w:r>
    </w:p>
    <w:p>
      <w:pPr>
        <w:spacing w:after="0" w:line="2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April 12, 2024 and May 3, 2024, the Company entered into various change orders regarding the 1001 Boylston Street lease and related buildout. The change orders modify the responsibilites outlined in the 1001 Boylston Street lease and reallocate the responsibility of certain buildout costs from the landlord to the Company. The costs related to this work are reimbursable by the landlord, efectvely increasing the tenant improvement allowance from the 1001 Boylston Street lease by $456. The Company accounted for these change orders as a remeasurement of the 1001 Boylston Street lease, using an incremental borrowing rate as of the modifcaton date. The lease remeasurement resulted in a decrease in the lease liability and right-of-use asset on the consolidated balance sheets of $1,493. There was not a material impact on the consolidated income statements or future minimum lease payments.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March 19, 2024, the Company entered into a leter agreement regarding the 1001 Boylston Street lease (the "2024 Leter Agreement"). The 2024 Leter Agreement memorializes the Substantal Completon Date, Commencement Date, Fixed Rent Commencement Date (as each term is defned in the 1001 Boylston Street lease), and the rental credits and holdover compensaton owed to the Company per the 1001 Boylston Street lease. The 2024 Leter Agreement also modifes the parking privileges and payments, which commenced on June 1, 2024, and provides reimbursement from the landlord to the Company for additonal unexpected costs incurred. The Company accounted for the 2024 Leter Agreement as a remeasurement of the 1001 Boylston Street lease, using an incremental borrowing rate as of the modifcaton date. The lease remeasurement resulted in a decrease in the lease liability and right-of-use asset on the consolidated balance sheets of $3,536. There was not a material impact on the consolidated income statements or future minimum lease payments.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color w:val="3465B0"/>
        </w:rPr>
        <w:t>Lease Expenses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years ended December 31, 2024, 2023, and 2022, the Company recognized $33,498, $34,218, and $16,732, respectvely, of lease costs, which includes operatng lease costs, fnance lease costs, and variable lease payments. For the year ended December 31, 2024, the Company recognized $6,699 of variable lease payments. For the years ended December 31, 2023 and 2022, variable lease payments were immaterial.</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2023, and 2022, the Company recognized $2,011, $1,897, and $1,809, respectvely, of sublease income.</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and 2023, the weighted average remaining lease term was 12.8 years and 13.1 years, respectvely, and the weighted average discount rate was 6.2% and 5.7%, respectvely. As the Company’s leases do not provide an implicit rate, the Company uses an estmated incremental borrowing rate based on the informaton available at lease commencement in determining the present value of lease payments. The Company estmated the incremental borrowing rate based on the rate of interest the Company would have to pay to borrow a similar amount on a collateralized basis over a similar term. The Company has no historical debt transactons and a collateralized rate is estmated based on a group of peer companies. The Company used the incremental borrowing rate on January 1, 2019, for leases that commenced prior to that date.</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8" w:name="page109"/>
    <w:bookmarkEnd w:id="10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color w:val="3465B0"/>
        </w:rPr>
        <w:t>Lease Commitments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future minimum lease payments for all leases were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Operatng</w:t>
            </w:r>
          </w:p>
        </w:tc>
      </w:tr>
      <w:tr>
        <w:trPr>
          <w:trHeight w:val="176"/>
        </w:trPr>
        <w:tc>
          <w:tcPr>
            <w:tcW w:w="8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Calibri" w:cs="Calibri" w:eastAsia="Calibri" w:hAnsi="Calibri"/>
                <w:sz w:val="14"/>
                <w:szCs w:val="14"/>
                <w:b w:val="1"/>
                <w:bCs w:val="1"/>
                <w:color w:val="auto"/>
              </w:rPr>
              <w:t>Lease</w:t>
            </w:r>
          </w:p>
        </w:tc>
      </w:tr>
      <w:tr>
        <w:trPr>
          <w:trHeight w:val="189"/>
        </w:trPr>
        <w:tc>
          <w:tcPr>
            <w:tcW w:w="808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Year Ending December 31,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5"/>
              <w:spacing w:after="0"/>
              <w:rPr>
                <w:sz w:val="20"/>
                <w:szCs w:val="20"/>
                <w:color w:val="auto"/>
              </w:rPr>
            </w:pPr>
            <w:r>
              <w:rPr>
                <w:rFonts w:ascii="Calibri" w:cs="Calibri" w:eastAsia="Calibri" w:hAnsi="Calibri"/>
                <w:sz w:val="14"/>
                <w:szCs w:val="14"/>
                <w:b w:val="1"/>
                <w:bCs w:val="1"/>
                <w:color w:val="auto"/>
              </w:rPr>
              <w:t>Commitments</w:t>
            </w:r>
          </w:p>
        </w:tc>
        <w:tc>
          <w:tcPr>
            <w:tcW w:w="100" w:type="dxa"/>
            <w:vAlign w:val="bottom"/>
          </w:tcPr>
          <w:p>
            <w:pPr>
              <w:spacing w:after="0"/>
              <w:rPr>
                <w:sz w:val="16"/>
                <w:szCs w:val="16"/>
                <w:color w:val="auto"/>
              </w:rPr>
            </w:pPr>
          </w:p>
        </w:tc>
      </w:tr>
      <w:tr>
        <w:trPr>
          <w:trHeight w:val="216"/>
        </w:trPr>
        <w:tc>
          <w:tcPr>
            <w:tcW w:w="80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2025</w:t>
            </w:r>
          </w:p>
        </w:tc>
        <w:tc>
          <w:tcPr>
            <w:tcW w:w="480" w:type="dxa"/>
            <w:vAlign w:val="bottom"/>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13,468</w:t>
            </w: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spacing w:after="0" w:line="215" w:lineRule="exact"/>
              <w:rPr>
                <w:sz w:val="20"/>
                <w:szCs w:val="20"/>
                <w:color w:val="auto"/>
              </w:rPr>
            </w:pPr>
            <w:r>
              <w:rPr>
                <w:rFonts w:ascii="Calibri" w:cs="Calibri" w:eastAsia="Calibri" w:hAnsi="Calibri"/>
                <w:sz w:val="18"/>
                <w:szCs w:val="18"/>
                <w:color w:val="auto"/>
              </w:rPr>
              <w:t>2026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22,314</w:t>
            </w:r>
          </w:p>
        </w:tc>
        <w:tc>
          <w:tcPr>
            <w:tcW w:w="100" w:type="dxa"/>
            <w:vAlign w:val="bottom"/>
          </w:tcPr>
          <w:p>
            <w:pPr>
              <w:spacing w:after="0"/>
              <w:rPr>
                <w:sz w:val="18"/>
                <w:szCs w:val="18"/>
                <w:color w:val="auto"/>
              </w:rPr>
            </w:pPr>
          </w:p>
        </w:tc>
      </w:tr>
      <w:tr>
        <w:trPr>
          <w:trHeight w:val="217"/>
        </w:trPr>
        <w:tc>
          <w:tcPr>
            <w:tcW w:w="80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2027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22,722</w:t>
            </w: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spacing w:after="0" w:line="215" w:lineRule="exact"/>
              <w:rPr>
                <w:sz w:val="20"/>
                <w:szCs w:val="20"/>
                <w:color w:val="auto"/>
              </w:rPr>
            </w:pPr>
            <w:r>
              <w:rPr>
                <w:rFonts w:ascii="Calibri" w:cs="Calibri" w:eastAsia="Calibri" w:hAnsi="Calibri"/>
                <w:sz w:val="18"/>
                <w:szCs w:val="18"/>
                <w:color w:val="auto"/>
              </w:rPr>
              <w:t>2028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23,142</w:t>
            </w:r>
          </w:p>
        </w:tc>
        <w:tc>
          <w:tcPr>
            <w:tcW w:w="100" w:type="dxa"/>
            <w:vAlign w:val="bottom"/>
          </w:tcPr>
          <w:p>
            <w:pPr>
              <w:spacing w:after="0"/>
              <w:rPr>
                <w:sz w:val="18"/>
                <w:szCs w:val="18"/>
                <w:color w:val="auto"/>
              </w:rPr>
            </w:pPr>
          </w:p>
        </w:tc>
      </w:tr>
      <w:tr>
        <w:trPr>
          <w:trHeight w:val="217"/>
        </w:trPr>
        <w:tc>
          <w:tcPr>
            <w:tcW w:w="808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2029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23,564</w:t>
            </w: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spacing w:after="0" w:line="215" w:lineRule="exact"/>
              <w:rPr>
                <w:sz w:val="20"/>
                <w:szCs w:val="20"/>
                <w:color w:val="auto"/>
              </w:rPr>
            </w:pPr>
            <w:r>
              <w:rPr>
                <w:rFonts w:ascii="Calibri" w:cs="Calibri" w:eastAsia="Calibri" w:hAnsi="Calibri"/>
                <w:sz w:val="18"/>
                <w:szCs w:val="18"/>
                <w:color w:val="auto"/>
              </w:rPr>
              <w:t>Thereafer</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184,326</w:t>
            </w:r>
          </w:p>
        </w:tc>
        <w:tc>
          <w:tcPr>
            <w:tcW w:w="100" w:type="dxa"/>
            <w:vAlign w:val="bottom"/>
          </w:tcPr>
          <w:p>
            <w:pPr>
              <w:spacing w:after="0"/>
              <w:rPr>
                <w:sz w:val="18"/>
                <w:szCs w:val="18"/>
                <w:color w:val="auto"/>
              </w:rPr>
            </w:pPr>
          </w:p>
        </w:tc>
      </w:tr>
      <w:tr>
        <w:trPr>
          <w:trHeight w:val="210"/>
        </w:trPr>
        <w:tc>
          <w:tcPr>
            <w:tcW w:w="8080" w:type="dxa"/>
            <w:vAlign w:val="bottom"/>
            <w:shd w:val="clear" w:color="auto" w:fill="CFF0FC"/>
          </w:tcPr>
          <w:p>
            <w:pPr>
              <w:ind w:left="280"/>
              <w:spacing w:after="0" w:line="210" w:lineRule="exact"/>
              <w:rPr>
                <w:sz w:val="20"/>
                <w:szCs w:val="20"/>
                <w:color w:val="auto"/>
              </w:rPr>
            </w:pPr>
            <w:r>
              <w:rPr>
                <w:rFonts w:ascii="Calibri" w:cs="Calibri" w:eastAsia="Calibri" w:hAnsi="Calibri"/>
                <w:sz w:val="18"/>
                <w:szCs w:val="18"/>
                <w:color w:val="auto"/>
              </w:rPr>
              <w:t>Total lease payments</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289,536</w:t>
            </w: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spacing w:after="0" w:line="215" w:lineRule="exact"/>
              <w:rPr>
                <w:sz w:val="20"/>
                <w:szCs w:val="20"/>
                <w:color w:val="auto"/>
              </w:rPr>
            </w:pPr>
            <w:r>
              <w:rPr>
                <w:rFonts w:ascii="Calibri" w:cs="Calibri" w:eastAsia="Calibri" w:hAnsi="Calibri"/>
                <w:sz w:val="18"/>
                <w:szCs w:val="18"/>
                <w:color w:val="auto"/>
              </w:rPr>
              <w:t>Less imputed interest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(96,792 )</w:t>
            </w:r>
          </w:p>
        </w:tc>
      </w:tr>
      <w:tr>
        <w:trPr>
          <w:trHeight w:val="249"/>
        </w:trPr>
        <w:tc>
          <w:tcPr>
            <w:tcW w:w="8080" w:type="dxa"/>
            <w:vAlign w:val="bottom"/>
            <w:tcBorders>
              <w:bottom w:val="single" w:sz="8" w:color="CFF0FC"/>
            </w:tcBorders>
            <w:shd w:val="clear" w:color="auto" w:fill="CFF0FC"/>
          </w:tcPr>
          <w:p>
            <w:pPr>
              <w:ind w:left="280"/>
              <w:spacing w:after="0" w:line="209" w:lineRule="exact"/>
              <w:rPr>
                <w:sz w:val="20"/>
                <w:szCs w:val="20"/>
                <w:color w:val="auto"/>
              </w:rPr>
            </w:pPr>
            <w:r>
              <w:rPr>
                <w:rFonts w:ascii="Calibri" w:cs="Calibri" w:eastAsia="Calibri" w:hAnsi="Calibri"/>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14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192,744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table above does not include optons to extend lease terms that are not reasonably certain of being exercised or leases signed but not yet commenced as of December 31, 2024. As of December 31, 2024, there were no leases signed but not commenced.</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future minimum sublease income payments for the year ending December 31, 2025, were $1,418. There are no future minimum sublease payments thereafer.</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Leters of Credit</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and 2023, $9,907 and $9,627, respectvely, in leters of credit associated with the Company’s leases were included under the 2022 Revolver Sub-facility.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Restricted Cash</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and 2023, restricted cash was $2,036 and $2,563, respectvely, and related to pass-through payments from dealers related to the Company’s Digital Wholesale business. As of both December 31, 2024 and 2023, all restricted cash was classifed as a current asset, as disclosed in the consolidated balance sheets.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Tax Contngencies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are subject to taxaton in the U.S. and certain other jurisdictons in which we operate, which could include sales and use tax, value added tax, excise tax, gross receipts tax, and property tax. State, local, and foreign jurisdictons have difering rules and regulatons governing sales, use, value added, and other taxes. These rules and regulatons are complex and subject to varying interpretatons that may change over tme due to new court interpretatons and newly enacted rules and regulatons. As a result, we could face the possibility of tax assessments and audits, and our liability for these taxes and associated penaltes could exceed our original estmates, which could be material.</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Legal Maters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From tme to tme,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estmated. Judgment is required to determine both the probability of having incurred a liability and the estmated amount of the liability. The Company is not presently subject to any pending or threatened litgaton that it believes, if determined adversely to the Company, individually or taken together, would reasonably be expected to have a material adverse efect on its business or fnancial results. However, litgaton is inherently unpredictable and the future outcome of legal proceedings and other contngencies may be unexpected or difer from the Company’s estmated liabilites, which could have a material adverse efect on the Company’s future fnancial results.</w:t>
      </w: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9" w:name="page110"/>
    <w:bookmarkEnd w:id="10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Guarantees and Indemnifcaton Obligatons</w:t>
      </w:r>
    </w:p>
    <w:p>
      <w:pPr>
        <w:spacing w:after="0" w:line="21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00002D"/>
        </w:rPr>
        <w:t>In the ordinary course of business, the Company enters into agreements with its customers, partners, and service providers that include commercial provisions with respect to licensing, infringement, guarantees, indemnifcaton, and other common provisions.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provides certain guarantees to dealers through products such as its 45-Day Guarantee and OferGuard service oferings on the CarOfer platorm, which are accounted for under ASC 460.</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45-Day Guarantee is an arrangement through which a selling dealer lists a car on the CarOfer platorm, and the Company provides an ofer to purchase the vehicle listed at a specifed price at any tme over a 45-day period. This provides the seller with a put opton, where they have the right, but not the obligaton, to require the Company to purchase the vehicle during this window. OferGuard is an arrangement through which a buying dealer purchases a car on the CarOfer platorm, and the Company provides an ofer to purchase the vehicle at a specifed price between days 1 and 3, and days 42 and 45 if the dealer is not able to sell the vehicle afer 42 days.</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years ended December 31, 2024, 2023, and 2022, income for guarantees purchased by dealers was $570, $1,890, and $10,026, respectvely. For the years ended December 31, 2024 and 2023, the net gains or losses recognized within cost of revenue in the consolidated income statements resultng from dealers’ exercise of guarantees was immaterial. For the year ended December 31, 2022, the losses, net of gains recognized within cost of revenue in the consolidated income statements resultng from dealers’ exercise of guarantees was $4,568.</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the maximum potental amount of future payments that the Company could be required to make under these guarantees was $1,843. Of the maximum potental amount of future payments, the losses that were probable were not material. As such, as of December 31, 2024, the Company had no material contngent loss liabilites.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2023, the Company had no material contngent loss liabilites.</w:t>
      </w:r>
    </w:p>
    <w:p>
      <w:pPr>
        <w:spacing w:after="0" w:line="224" w:lineRule="exact"/>
        <w:rPr>
          <w:sz w:val="20"/>
          <w:szCs w:val="20"/>
          <w:color w:val="auto"/>
        </w:rPr>
      </w:pPr>
    </w:p>
    <w:p>
      <w:pPr>
        <w:spacing w:after="0"/>
        <w:rPr>
          <w:sz w:val="20"/>
          <w:szCs w:val="20"/>
          <w:color w:val="auto"/>
        </w:rPr>
      </w:pPr>
      <w:r>
        <w:rPr>
          <w:rFonts w:ascii="MS PGothic" w:cs="MS PGothic" w:eastAsia="MS PGothic" w:hAnsi="MS PGothic"/>
          <w:sz w:val="22"/>
          <w:szCs w:val="22"/>
          <w:b w:val="1"/>
          <w:bCs w:val="1"/>
          <w:color w:val="3465B0"/>
        </w:rPr>
        <w:t>11. Stock‑based Compensaton</w:t>
      </w:r>
    </w:p>
    <w:p>
      <w:pPr>
        <w:spacing w:after="0" w:line="25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CarGurus Equity Incentve Plans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Company’s Amended and Restated 2006 Equity Incentve Plan (the “2006 Plan”) provided for the issuance of non-qualifed stock optons, restricted stock, and stock awards to the Company’s employees, ofcers, directors, and consultants. The 2006 Plan authorized up to an aggregate of 3,444,668 shares of the Company’s Class B common stock for such issuances. In conjuncton with the efectveness of the Company’s 2015 Equity Incentve Plan (the “2015 Plan”), the Board voted that no further stock optons or other equity-based awards may be granted under the 2006 Plan.</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In 2015 the Board adopted the 2015 Plan, which became efectve on June 26, 2015. The 2015 Plan provided for the issuance of stock-based incentves to employees, consultants, and non-employee directors. As of the efectve date of the 2015 Plan, up to 603,436 shares of common stock were authorized for issuance under the 2015 Plan. The 2015 Plan was amended and restated efectve August 6, 2015, to permit the grantng of RSUs under the 2015 Plan, to remove Class B common stock from the pool of shares available for issuance under the 2015 Plan, and to make certain other desired changes. The 2015 Plan was further amended and restated at October 15, 2015, to add a ten-year term and to make certain other desired changes.</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2015 Plan was further amended and restated efectve August 22, 2016, to merge the 2006 Plan into the 2015 Plan, to increase the number of shares of Class A common stock that may be issued under the 2015 Plan, and to lengthen the term of the 2015 Plan to expire on August 21, 2026. In additon, pursuant to this amendment and restatement of the 2015 Plan, prior to giving efect to the recapitalizaton that occurred on June 21, 2017, there were (i) 618,691 shares of Class A common stock, plus (ii) 802,562 shares of Class B common stock authorized under the 2015 Plan; provided, however, that (1) the number of shares of Class A common stock was increased, on a share for share basis, by the number of shares of Class B common stock that were (a) subject to outstanding optons granted under the 2006 Plan that expired, terminated, or were canceled for any reason without having been exercised, (b) surrendered in payment of the exercise price of outstanding optons granted under the 2006 Plan, or (c) withheld in satsfacton of tax withholding upon exercise of outstanding optons granted under the 2006 Plan, and the number of shares of Class B common stock reserved under the amended and restated 2015 Plan was decreased, on a corresponding share for share basis, (2) no new awards of Class B common stock could be granted under the amended and restated 2015 Plan, and (3) except with respect to outstanding optons</w:t>
      </w: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0" w:name="page111"/>
    <w:bookmarkEnd w:id="11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granted under the 2006 Plan that were exercised on or afer the date of the amendment and restatement, no Class B common stock could be issued under the 2015 Plan.</w:t>
      </w:r>
    </w:p>
    <w:p>
      <w:pPr>
        <w:spacing w:after="0" w:line="147"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color w:val="00002D"/>
        </w:rPr>
        <w:t>In connecton with the recapitalizaton that occurred on June 21, 2017, the 2015 Plan was further amended and restated to account for each outstanding common stock opton being adjusted such that each share of common stock underlying such opton became two shares of Class A common stock and four shares of Class B common stock underlying such opton, and each outstanding RSU being adjusted such that each share of common stock issuable upon setlement of such RSU became two shares of Class A common stock and four shares of Class B common stock issuable upon setlement of such RSU. Pursuant to the 2015 Plan as further amended in connecton with the recapitalizaton, there were (i) 3,181,740 shares of Class A common stock and (ii) 5,161,644 shares of Class B common stock authorized for issuance under the 2015 Plan.</w:t>
      </w:r>
    </w:p>
    <w:p>
      <w:pPr>
        <w:spacing w:after="0" w:line="175" w:lineRule="exact"/>
        <w:rPr>
          <w:sz w:val="20"/>
          <w:szCs w:val="20"/>
          <w:color w:val="auto"/>
        </w:rPr>
      </w:pPr>
    </w:p>
    <w:p>
      <w:pPr>
        <w:jc w:val="both"/>
        <w:spacing w:after="0" w:line="310" w:lineRule="auto"/>
        <w:rPr>
          <w:sz w:val="20"/>
          <w:szCs w:val="20"/>
          <w:color w:val="auto"/>
        </w:rPr>
      </w:pPr>
      <w:r>
        <w:rPr>
          <w:rFonts w:ascii="MS PGothic" w:cs="MS PGothic" w:eastAsia="MS PGothic" w:hAnsi="MS PGothic"/>
          <w:sz w:val="17"/>
          <w:szCs w:val="17"/>
          <w:color w:val="00002D"/>
        </w:rPr>
        <w:t>In connecton with the Company’s inital public ofering, in October 2017 the Board adopted, and the Company’s stockholders approved, the 2017 Plan for the purpose of grantng incentve stock optons, non-qualifed stock optons, stock awards, stock units, other share-based awards, and cash awards to employees, advisors, and consultants to the Company and its subsidiaries and non-employee members of the Board. The 2017 Plan is the successor to the 2015 Plan. The 2017 Plan authorizes the issuance or transfer of the sum of: (i) 7,800,000 shares of the Company’s Class A common stock, plus (ii) the number of shares of Class A common stock (up to 4,500,000 shares) equal to the sum of (x) the number of shares of Class A common stock and Class B common stock of the Company subject to outstanding awards under the 2015 Plan as of October 10, 2017, that terminate, expire, or are canceled, forfeited, exchanged, or surrendered on or afer October 10, 2017, without having been exercised, vested, or paid prior to October 10, 2017, including shares tendered or withheld to satsfy tax withholding obligatons with respect to outstanding grants under the 2015 Plan, plus (y) the number of shares of Class A common stock reserved for issuance under the 2015 Plan that remained available for grant under the 2015 Plan as of October 10, 2017. The aggregate number of shares of Class A common stock that may be issued or transferred under the 2017 Plan pursuant to incentve stock optons will not exceed 12,300,000 shares of Class A common stock. Any shares withheld to satsfy tax withholding obligatons return to the authorized, but unissued, pool under the 2017 Plan and can be reissued by the Company. In conjuncton with the adopton of the 2017 Plan, optons and RSUs that were outstanding at that tme under the 2015 Plan remained outstanding but no additonal grants may be made from the 2015 Plan.</w:t>
      </w:r>
    </w:p>
    <w:p>
      <w:pPr>
        <w:spacing w:after="0" w:line="169" w:lineRule="exact"/>
        <w:rPr>
          <w:sz w:val="20"/>
          <w:szCs w:val="20"/>
          <w:color w:val="auto"/>
        </w:rPr>
      </w:pPr>
    </w:p>
    <w:p>
      <w:pPr>
        <w:jc w:val="both"/>
        <w:spacing w:after="0" w:line="293" w:lineRule="auto"/>
        <w:rPr>
          <w:sz w:val="20"/>
          <w:szCs w:val="20"/>
          <w:color w:val="auto"/>
        </w:rPr>
      </w:pPr>
      <w:r>
        <w:rPr>
          <w:rFonts w:ascii="MS PGothic" w:cs="MS PGothic" w:eastAsia="MS PGothic" w:hAnsi="MS PGothic"/>
          <w:sz w:val="18"/>
          <w:szCs w:val="18"/>
          <w:color w:val="00002D"/>
        </w:rPr>
        <w:t>Unless determined otherwise by the Compensaton Commitee of the Board, as of the frst trading day of January of each calendar year during the term of the 2017 Plan (excluding any extensions), eligible beginning with calendar year 2019, an additonal number of shares of Class A common stock will be added to the number of shares of Class A common stock authorized to be issued or transferred under the 2017 Plan and the number of shares authorized to be issued or transferred pursuant to incentve stock optons, equal to 4% of the total number of shares of Class A common stock outstanding on the last trading day in December of the immediately preceding calendar year, or 6,000,000 shares, whichever is less, or such lesser amount as determined by the Board (the “Evergreen Increase”). The Compensaton Commitee of the Board determined to not efectuate the Evergreen Increase that was otherwise scheduled to have occurred on each of January 2, 2019, January 2, 2020, January 4, 2021, and January 2, 2025. On January 3, 2022, January 3, 2023, and January 2, 2024, an additonal 4,070,921, 4,065,466, and 3,687,010 shares of Class A Common Stock, respectvely, was authorized to be issued or transferred under the 2017 Plan pursuant to the Evergreen Increase.</w:t>
      </w:r>
    </w:p>
    <w:p>
      <w:pPr>
        <w:spacing w:after="0" w:line="182"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As of December 31, 2024, 8,582,014 shares of Class A common stock were available for issuance under the 2017 Plan.</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CarOfer Equity Incentve Plans</w:t>
      </w:r>
    </w:p>
    <w:p>
      <w:pPr>
        <w:spacing w:after="0" w:line="217"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color w:val="00002D"/>
        </w:rPr>
        <w:t>The 2020 CO Plan provided for the issuance of CO Incentve Units to CarOfer’s employees, ofcers, managers, and consultants. The 2020 CO Plan authorized up to an aggregate of 485,714 CO Incentve Units for such issuances, all of which were issued prior to the close of the 2021 CarOfer Transacton. As a result of the 2023 CarOfer Transacton, all CO Incentve Units were accelerated and redeemed and, thus, as of December 31, 2023, there were no CO Incentve Units unvested. During the year ended December 31, 2023, no CO Incentve Units were granted, vested, or forfeited. As of December 31, 2023, there was no unrecognized stock‑based compensaton expense related to the unvested CO Incentve Units as a result of the redempton of the awards following the 2021 CarOfer Transacton.</w:t>
      </w:r>
    </w:p>
    <w:p>
      <w:pPr>
        <w:spacing w:after="0" w:line="175"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1" w:name="page112"/>
    <w:bookmarkEnd w:id="11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00002D"/>
        </w:rPr>
        <w:t>The Vestng Agreement provided for the vestng of the Subject Units benefcially owned by the T5 Holders, which would have vested in accordance with the terms described in Note 2 of these consolidated fnancial statements. As a result of the 2023 CarOfer Transacton, all Subject Units were accelerated and redeemed and, thus, as of December 31, 2023, no Subject Units were unvested. During the year ended December 31, 2023, there were no Subject Units granted, vested, or forfeited. As of December 31, 2023, there was no unrecognized stock‑based compensaton expense related to the unvested Subject Units as a result of the redempton of the awards following the 2023 CarOfer Transacton.</w:t>
      </w:r>
    </w:p>
    <w:p>
      <w:pPr>
        <w:spacing w:after="0" w:line="175"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00002D"/>
        </w:rPr>
        <w:t>The 2021 CO Plan provided for an incentve equity grant structure whereby 2021 Incentve Units would have been granted to CIE and 2021 CO Plan grantees would have received an associated CIE Interest, with back-to-back vestng between the 2021 Incentve Units and the associated CIE Interest. The 2021 CO Plan authorized up to an aggregate of 228,571 2021 Incentve Units for such issuances.</w:t>
      </w:r>
    </w:p>
    <w:p>
      <w:pPr>
        <w:spacing w:after="0" w:line="164"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All CO Incentve Units and Subject Units were accelerated and redeemed in connecton with the 2023 CarOfer Transacton. As a result, there were no CO Incentve Units, Subject Units, or 2021 Incentve Units as of December 31, 2023.</w:t>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Stock Optons</w:t>
      </w:r>
    </w:p>
    <w:p>
      <w:pPr>
        <w:spacing w:after="0" w:line="217"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During the year ended December 31, 2024, stock opton actvity was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Weighted-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77"/>
              <w:spacing w:after="0"/>
              <w:rPr>
                <w:sz w:val="20"/>
                <w:szCs w:val="20"/>
                <w:color w:val="auto"/>
              </w:rPr>
            </w:pPr>
            <w:r>
              <w:rPr>
                <w:rFonts w:ascii="Calibri" w:cs="Calibri" w:eastAsia="Calibri" w:hAnsi="Calibri"/>
                <w:sz w:val="14"/>
                <w:szCs w:val="14"/>
                <w:b w:val="1"/>
                <w:bCs w:val="1"/>
                <w:color w:val="auto"/>
              </w:rPr>
              <w:t>Weighted-</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Average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97"/>
              <w:spacing w:after="0"/>
              <w:rPr>
                <w:sz w:val="20"/>
                <w:szCs w:val="20"/>
                <w:color w:val="auto"/>
              </w:rPr>
            </w:pPr>
            <w:r>
              <w:rPr>
                <w:rFonts w:ascii="Calibri" w:cs="Calibri" w:eastAsia="Calibri" w:hAnsi="Calibri"/>
                <w:sz w:val="14"/>
                <w:szCs w:val="14"/>
                <w:b w:val="1"/>
                <w:bCs w:val="1"/>
                <w:color w:val="auto"/>
              </w:rPr>
              <w:t>Average</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alibri" w:cs="Calibri" w:eastAsia="Calibri" w:hAnsi="Calibri"/>
                <w:sz w:val="14"/>
                <w:szCs w:val="14"/>
                <w:b w:val="1"/>
                <w:bCs w:val="1"/>
                <w:color w:val="auto"/>
              </w:rPr>
              <w:t>Remaining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Aggregate</w:t>
            </w:r>
          </w:p>
        </w:tc>
      </w:tr>
      <w:tr>
        <w:trPr>
          <w:trHeight w:val="159"/>
        </w:trPr>
        <w:tc>
          <w:tcPr>
            <w:tcW w:w="4840" w:type="dxa"/>
            <w:vAlign w:val="bottom"/>
          </w:tcPr>
          <w:p>
            <w:pPr>
              <w:spacing w:after="0"/>
              <w:rPr>
                <w:sz w:val="13"/>
                <w:szCs w:val="13"/>
                <w:color w:val="auto"/>
              </w:rPr>
            </w:pPr>
          </w:p>
        </w:tc>
        <w:tc>
          <w:tcPr>
            <w:tcW w:w="1140" w:type="dxa"/>
            <w:vAlign w:val="bottom"/>
            <w:gridSpan w:val="2"/>
          </w:tcPr>
          <w:p>
            <w:pPr>
              <w:jc w:val="right"/>
              <w:ind w:right="400"/>
              <w:spacing w:after="0" w:line="159" w:lineRule="exact"/>
              <w:rPr>
                <w:sz w:val="20"/>
                <w:szCs w:val="20"/>
                <w:color w:val="auto"/>
              </w:rPr>
            </w:pPr>
            <w:r>
              <w:rPr>
                <w:rFonts w:ascii="Calibri" w:cs="Calibri" w:eastAsia="Calibri" w:hAnsi="Calibri"/>
                <w:sz w:val="14"/>
                <w:szCs w:val="14"/>
                <w:b w:val="1"/>
                <w:bCs w:val="1"/>
                <w:color w:val="auto"/>
              </w:rPr>
              <w:t>Common</w:t>
            </w:r>
          </w:p>
        </w:tc>
        <w:tc>
          <w:tcPr>
            <w:tcW w:w="160" w:type="dxa"/>
            <w:vAlign w:val="bottom"/>
          </w:tcPr>
          <w:p>
            <w:pPr>
              <w:spacing w:after="0"/>
              <w:rPr>
                <w:sz w:val="13"/>
                <w:szCs w:val="13"/>
                <w:color w:val="auto"/>
              </w:rPr>
            </w:pPr>
          </w:p>
        </w:tc>
        <w:tc>
          <w:tcPr>
            <w:tcW w:w="1060" w:type="dxa"/>
            <w:vAlign w:val="bottom"/>
          </w:tcPr>
          <w:p>
            <w:pPr>
              <w:jc w:val="center"/>
              <w:ind w:right="77"/>
              <w:spacing w:after="0" w:line="159" w:lineRule="exact"/>
              <w:rPr>
                <w:sz w:val="20"/>
                <w:szCs w:val="20"/>
                <w:color w:val="auto"/>
              </w:rPr>
            </w:pPr>
            <w:r>
              <w:rPr>
                <w:rFonts w:ascii="Calibri" w:cs="Calibri" w:eastAsia="Calibri" w:hAnsi="Calibri"/>
                <w:sz w:val="14"/>
                <w:szCs w:val="14"/>
                <w:b w:val="1"/>
                <w:bCs w:val="1"/>
                <w:color w:val="auto"/>
              </w:rPr>
              <w:t>Exercise Price</w:t>
            </w:r>
          </w:p>
        </w:tc>
        <w:tc>
          <w:tcPr>
            <w:tcW w:w="20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Calibri" w:cs="Calibri" w:eastAsia="Calibri" w:hAnsi="Calibri"/>
                <w:sz w:val="14"/>
                <w:szCs w:val="14"/>
                <w:b w:val="1"/>
                <w:bCs w:val="1"/>
                <w:color w:val="auto"/>
              </w:rPr>
              <w:t>Contractual Life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Calibri" w:cs="Calibri" w:eastAsia="Calibri" w:hAnsi="Calibri"/>
                <w:sz w:val="14"/>
                <w:szCs w:val="14"/>
                <w:b w:val="1"/>
                <w:bCs w:val="1"/>
                <w:color w:val="auto"/>
              </w:rPr>
              <w:t>Intrinsic</w:t>
            </w:r>
          </w:p>
        </w:tc>
      </w:tr>
      <w:tr>
        <w:trPr>
          <w:trHeight w:val="212"/>
        </w:trPr>
        <w:tc>
          <w:tcPr>
            <w:tcW w:w="4840" w:type="dxa"/>
            <w:vAlign w:val="bottom"/>
          </w:tcPr>
          <w:p>
            <w:pPr>
              <w:spacing w:after="0"/>
              <w:rPr>
                <w:sz w:val="18"/>
                <w:szCs w:val="18"/>
                <w:color w:val="auto"/>
              </w:rPr>
            </w:pPr>
          </w:p>
        </w:tc>
        <w:tc>
          <w:tcPr>
            <w:tcW w:w="940" w:type="dxa"/>
            <w:vAlign w:val="bottom"/>
            <w:tcBorders>
              <w:bottom w:val="single" w:sz="8" w:color="auto"/>
            </w:tcBorders>
          </w:tcPr>
          <w:p>
            <w:pPr>
              <w:jc w:val="right"/>
              <w:ind w:right="215"/>
              <w:spacing w:after="0"/>
              <w:rPr>
                <w:sz w:val="20"/>
                <w:szCs w:val="20"/>
                <w:color w:val="auto"/>
              </w:rPr>
            </w:pPr>
            <w:r>
              <w:rPr>
                <w:rFonts w:ascii="Calibri" w:cs="Calibri" w:eastAsia="Calibri" w:hAnsi="Calibri"/>
                <w:sz w:val="14"/>
                <w:szCs w:val="14"/>
                <w:b w:val="1"/>
                <w:bCs w:val="1"/>
                <w:color w:val="auto"/>
              </w:rPr>
              <w:t>Stock</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77"/>
              <w:spacing w:after="0"/>
              <w:rPr>
                <w:sz w:val="20"/>
                <w:szCs w:val="20"/>
                <w:color w:val="auto"/>
              </w:rPr>
            </w:pPr>
            <w:r>
              <w:rPr>
                <w:rFonts w:ascii="Calibri" w:cs="Calibri" w:eastAsia="Calibri" w:hAnsi="Calibri"/>
                <w:sz w:val="14"/>
                <w:szCs w:val="14"/>
                <w:b w:val="1"/>
                <w:bCs w:val="1"/>
                <w:color w:val="auto"/>
              </w:rPr>
              <w:t>for Equity</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(In Years)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8"/>
              <w:spacing w:after="0" w:line="212" w:lineRule="exact"/>
              <w:rPr>
                <w:sz w:val="20"/>
                <w:szCs w:val="20"/>
                <w:color w:val="auto"/>
              </w:rPr>
            </w:pPr>
            <w:r>
              <w:rPr>
                <w:rFonts w:ascii="Calibri" w:cs="Calibri" w:eastAsia="Calibri" w:hAnsi="Calibri"/>
                <w:sz w:val="14"/>
                <w:szCs w:val="14"/>
                <w:b w:val="1"/>
                <w:bCs w:val="1"/>
                <w:color w:val="auto"/>
                <w:w w:val="92"/>
              </w:rPr>
              <w:t>Value</w:t>
            </w:r>
            <w:r>
              <w:rPr>
                <w:rFonts w:ascii="Calibri" w:cs="Calibri" w:eastAsia="Calibri" w:hAnsi="Calibri"/>
                <w:sz w:val="19"/>
                <w:szCs w:val="19"/>
                <w:b w:val="1"/>
                <w:bCs w:val="1"/>
                <w:color w:val="auto"/>
                <w:w w:val="92"/>
                <w:vertAlign w:val="superscript"/>
              </w:rPr>
              <w:t>(1)</w:t>
            </w:r>
          </w:p>
        </w:tc>
        <w:tc>
          <w:tcPr>
            <w:tcW w:w="100" w:type="dxa"/>
            <w:vAlign w:val="bottom"/>
          </w:tcPr>
          <w:p>
            <w:pPr>
              <w:spacing w:after="0"/>
              <w:rPr>
                <w:sz w:val="18"/>
                <w:szCs w:val="18"/>
                <w:color w:val="auto"/>
              </w:rPr>
            </w:pPr>
          </w:p>
        </w:tc>
      </w:tr>
      <w:tr>
        <w:trPr>
          <w:trHeight w:val="209"/>
        </w:trPr>
        <w:tc>
          <w:tcPr>
            <w:tcW w:w="4840" w:type="dxa"/>
            <w:vAlign w:val="bottom"/>
            <w:shd w:val="clear" w:color="auto" w:fill="CFF0FC"/>
          </w:tcPr>
          <w:p>
            <w:pPr>
              <w:spacing w:after="0"/>
              <w:rPr>
                <w:sz w:val="20"/>
                <w:szCs w:val="20"/>
                <w:color w:val="auto"/>
              </w:rPr>
            </w:pPr>
            <w:r>
              <w:rPr>
                <w:rFonts w:ascii="MS PGothic" w:cs="MS PGothic" w:eastAsia="MS PGothic" w:hAnsi="MS PGothic"/>
                <w:sz w:val="18"/>
                <w:szCs w:val="18"/>
                <w:color w:val="auto"/>
              </w:rPr>
              <w:t>Outstanding, December 31, 2023</w:t>
            </w:r>
          </w:p>
        </w:tc>
        <w:tc>
          <w:tcPr>
            <w:tcW w:w="94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776,094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w:t>
            </w:r>
          </w:p>
        </w:tc>
        <w:tc>
          <w:tcPr>
            <w:tcW w:w="106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25.17</w:t>
            </w:r>
          </w:p>
        </w:tc>
        <w:tc>
          <w:tcPr>
            <w:tcW w:w="1480" w:type="dxa"/>
            <w:vAlign w:val="bottom"/>
            <w:gridSpan w:val="2"/>
            <w:shd w:val="clear" w:color="auto" w:fill="CFF0FC"/>
          </w:tcPr>
          <w:p>
            <w:pPr>
              <w:jc w:val="right"/>
              <w:spacing w:after="0"/>
              <w:rPr>
                <w:sz w:val="20"/>
                <w:szCs w:val="20"/>
                <w:color w:val="auto"/>
              </w:rPr>
            </w:pPr>
            <w:r>
              <w:rPr>
                <w:rFonts w:ascii="MS PGothic" w:cs="MS PGothic" w:eastAsia="MS PGothic" w:hAnsi="MS PGothic"/>
                <w:sz w:val="18"/>
                <w:szCs w:val="18"/>
                <w:color w:val="auto"/>
              </w:rPr>
              <w:t>5.3</w:t>
            </w:r>
          </w:p>
        </w:tc>
        <w:tc>
          <w:tcPr>
            <w:tcW w:w="380" w:type="dxa"/>
            <w:vAlign w:val="bottom"/>
            <w:gridSpan w:val="2"/>
            <w:shd w:val="clear" w:color="auto" w:fill="CFF0FC"/>
          </w:tcPr>
          <w:p>
            <w:pPr>
              <w:jc w:val="right"/>
              <w:ind w:right="60"/>
              <w:spacing w:after="0"/>
              <w:rPr>
                <w:sz w:val="20"/>
                <w:szCs w:val="20"/>
                <w:color w:val="auto"/>
              </w:rPr>
            </w:pPr>
            <w:r>
              <w:rPr>
                <w:rFonts w:ascii="MS PGothic" w:cs="MS PGothic" w:eastAsia="MS PGothic" w:hAnsi="MS PGothic"/>
                <w:sz w:val="18"/>
                <w:szCs w:val="18"/>
                <w:color w:val="auto"/>
              </w:rPr>
              <w:t>$</w:t>
            </w:r>
          </w:p>
        </w:tc>
        <w:tc>
          <w:tcPr>
            <w:tcW w:w="94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5,442</w:t>
            </w:r>
          </w:p>
        </w:tc>
        <w:tc>
          <w:tcPr>
            <w:tcW w:w="100" w:type="dxa"/>
            <w:vAlign w:val="bottom"/>
            <w:shd w:val="clear" w:color="auto" w:fill="CFF0FC"/>
          </w:tcPr>
          <w:p>
            <w:pPr>
              <w:spacing w:after="0"/>
              <w:rPr>
                <w:sz w:val="18"/>
                <w:szCs w:val="18"/>
                <w:color w:val="auto"/>
              </w:rPr>
            </w:pPr>
          </w:p>
        </w:tc>
      </w:tr>
      <w:tr>
        <w:trPr>
          <w:trHeight w:val="215"/>
        </w:trPr>
        <w:tc>
          <w:tcPr>
            <w:tcW w:w="4840" w:type="dxa"/>
            <w:vAlign w:val="bottom"/>
          </w:tcPr>
          <w:p>
            <w:pPr>
              <w:ind w:left="180"/>
              <w:spacing w:after="0"/>
              <w:rPr>
                <w:sz w:val="20"/>
                <w:szCs w:val="20"/>
                <w:color w:val="auto"/>
              </w:rPr>
            </w:pPr>
            <w:r>
              <w:rPr>
                <w:rFonts w:ascii="MS PGothic" w:cs="MS PGothic" w:eastAsia="MS PGothic" w:hAnsi="MS PGothic"/>
                <w:sz w:val="18"/>
                <w:szCs w:val="18"/>
                <w:color w:val="auto"/>
              </w:rPr>
              <w:t>Granted</w:t>
            </w:r>
          </w:p>
        </w:tc>
        <w:tc>
          <w:tcPr>
            <w:tcW w:w="1140" w:type="dxa"/>
            <w:vAlign w:val="bottom"/>
            <w:gridSpan w:val="2"/>
          </w:tcPr>
          <w:p>
            <w:pPr>
              <w:jc w:val="right"/>
              <w:ind w:right="220"/>
              <w:spacing w:after="0"/>
              <w:rPr>
                <w:sz w:val="20"/>
                <w:szCs w:val="20"/>
                <w:color w:val="auto"/>
              </w:rPr>
            </w:pPr>
            <w:r>
              <w:rPr>
                <w:rFonts w:ascii="MS PGothic" w:cs="MS PGothic" w:eastAsia="MS PGothic" w:hAnsi="MS PGothic"/>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840" w:type="dxa"/>
            <w:vAlign w:val="bottom"/>
            <w:shd w:val="clear" w:color="auto" w:fill="CFF0FC"/>
          </w:tcPr>
          <w:p>
            <w:pPr>
              <w:ind w:left="180"/>
              <w:spacing w:after="0"/>
              <w:rPr>
                <w:sz w:val="20"/>
                <w:szCs w:val="20"/>
                <w:color w:val="auto"/>
              </w:rPr>
            </w:pPr>
            <w:r>
              <w:rPr>
                <w:rFonts w:ascii="MS PGothic" w:cs="MS PGothic" w:eastAsia="MS PGothic" w:hAnsi="MS PGothic"/>
                <w:sz w:val="18"/>
                <w:szCs w:val="18"/>
                <w:color w:val="auto"/>
              </w:rPr>
              <w:t>Exercised</w:t>
            </w:r>
          </w:p>
        </w:tc>
        <w:tc>
          <w:tcPr>
            <w:tcW w:w="1140" w:type="dxa"/>
            <w:vAlign w:val="bottom"/>
            <w:gridSpan w:val="2"/>
            <w:shd w:val="clear" w:color="auto" w:fill="CFF0FC"/>
          </w:tcPr>
          <w:p>
            <w:pPr>
              <w:jc w:val="right"/>
              <w:ind w:right="120"/>
              <w:spacing w:after="0"/>
              <w:rPr>
                <w:sz w:val="20"/>
                <w:szCs w:val="20"/>
                <w:color w:val="auto"/>
              </w:rPr>
            </w:pPr>
            <w:r>
              <w:rPr>
                <w:rFonts w:ascii="MS PGothic" w:cs="MS PGothic" w:eastAsia="MS PGothic" w:hAnsi="MS PGothic"/>
                <w:sz w:val="18"/>
                <w:szCs w:val="18"/>
                <w:color w:val="auto"/>
              </w:rPr>
              <w:t>(345,721 )</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14.24</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5,924</w:t>
            </w:r>
          </w:p>
        </w:tc>
        <w:tc>
          <w:tcPr>
            <w:tcW w:w="100" w:type="dxa"/>
            <w:vAlign w:val="bottom"/>
            <w:shd w:val="clear" w:color="auto" w:fill="CFF0FC"/>
          </w:tcPr>
          <w:p>
            <w:pPr>
              <w:spacing w:after="0"/>
              <w:rPr>
                <w:sz w:val="18"/>
                <w:szCs w:val="18"/>
                <w:color w:val="auto"/>
              </w:rPr>
            </w:pPr>
          </w:p>
        </w:tc>
      </w:tr>
      <w:tr>
        <w:trPr>
          <w:trHeight w:val="215"/>
        </w:trPr>
        <w:tc>
          <w:tcPr>
            <w:tcW w:w="4840" w:type="dxa"/>
            <w:vAlign w:val="bottom"/>
          </w:tcPr>
          <w:p>
            <w:pPr>
              <w:ind w:left="180"/>
              <w:spacing w:after="0"/>
              <w:rPr>
                <w:sz w:val="20"/>
                <w:szCs w:val="20"/>
                <w:color w:val="auto"/>
              </w:rPr>
            </w:pPr>
            <w:r>
              <w:rPr>
                <w:rFonts w:ascii="MS PGothic" w:cs="MS PGothic" w:eastAsia="MS PGothic" w:hAnsi="MS PGothic"/>
                <w:sz w:val="18"/>
                <w:szCs w:val="18"/>
                <w:color w:val="auto"/>
              </w:rPr>
              <w:t>Forfeited or Expired</w:t>
            </w:r>
          </w:p>
        </w:tc>
        <w:tc>
          <w:tcPr>
            <w:tcW w:w="1140" w:type="dxa"/>
            <w:vAlign w:val="bottom"/>
            <w:gridSpan w:val="2"/>
          </w:tcPr>
          <w:p>
            <w:pPr>
              <w:jc w:val="right"/>
              <w:ind w:right="120"/>
              <w:spacing w:after="0"/>
              <w:rPr>
                <w:sz w:val="20"/>
                <w:szCs w:val="20"/>
                <w:color w:val="auto"/>
              </w:rPr>
            </w:pPr>
            <w:r>
              <w:rPr>
                <w:rFonts w:ascii="MS PGothic" w:cs="MS PGothic" w:eastAsia="MS PGothic" w:hAnsi="MS PGothic"/>
                <w:sz w:val="18"/>
                <w:szCs w:val="18"/>
                <w:color w:val="auto"/>
              </w:rPr>
              <w:t>(33,324 )</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MS PGothic" w:cs="MS PGothic" w:eastAsia="MS PGothic" w:hAnsi="MS PGothic"/>
                <w:sz w:val="18"/>
                <w:szCs w:val="18"/>
                <w:color w:val="auto"/>
              </w:rPr>
              <w:t>35.11</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84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8"/>
                <w:szCs w:val="18"/>
                <w:color w:val="auto"/>
              </w:rPr>
              <w:t>Outstanding, December 31, 2024</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397,049</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33.85</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MS PGothic" w:cs="MS PGothic" w:eastAsia="MS PGothic" w:hAnsi="MS PGothic"/>
                <w:sz w:val="18"/>
                <w:szCs w:val="18"/>
                <w:color w:val="auto"/>
              </w:rPr>
              <w:t>5.9</w:t>
            </w:r>
          </w:p>
        </w:tc>
        <w:tc>
          <w:tcPr>
            <w:tcW w:w="3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MS PGothic" w:cs="MS PGothic" w:eastAsia="MS PGothic" w:hAnsi="MS PGothic"/>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1,123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4840" w:type="dxa"/>
            <w:vAlign w:val="bottom"/>
          </w:tcPr>
          <w:p>
            <w:pPr>
              <w:spacing w:after="0"/>
              <w:rPr>
                <w:sz w:val="20"/>
                <w:szCs w:val="20"/>
                <w:color w:val="auto"/>
              </w:rPr>
            </w:pPr>
            <w:r>
              <w:rPr>
                <w:rFonts w:ascii="MS PGothic" w:cs="MS PGothic" w:eastAsia="MS PGothic" w:hAnsi="MS PGothic"/>
                <w:sz w:val="18"/>
                <w:szCs w:val="18"/>
                <w:color w:val="auto"/>
              </w:rPr>
              <w:t>Exercisable as of December 31, 2024</w:t>
            </w:r>
          </w:p>
        </w:tc>
        <w:tc>
          <w:tcPr>
            <w:tcW w:w="940" w:type="dxa"/>
            <w:vAlign w:val="bottom"/>
            <w:tcBorders>
              <w:bottom w:val="single" w:sz="8" w:color="auto"/>
            </w:tcBorders>
          </w:tcPr>
          <w:p>
            <w:pPr>
              <w:jc w:val="right"/>
              <w:spacing w:after="0"/>
              <w:rPr>
                <w:sz w:val="20"/>
                <w:szCs w:val="20"/>
                <w:color w:val="auto"/>
              </w:rPr>
            </w:pPr>
            <w:r>
              <w:rPr>
                <w:rFonts w:ascii="MS PGothic" w:cs="MS PGothic" w:eastAsia="MS PGothic" w:hAnsi="MS PGothic"/>
                <w:sz w:val="18"/>
                <w:szCs w:val="18"/>
                <w:color w:val="auto"/>
              </w:rPr>
              <w:t>351,240</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MS PGothic" w:cs="MS PGothic" w:eastAsia="MS PGothic" w:hAnsi="MS PGothic"/>
                <w:sz w:val="18"/>
                <w:szCs w:val="18"/>
                <w:color w:val="auto"/>
              </w:rPr>
              <w:t>$</w:t>
            </w:r>
          </w:p>
        </w:tc>
        <w:tc>
          <w:tcPr>
            <w:tcW w:w="1060" w:type="dxa"/>
            <w:vAlign w:val="bottom"/>
          </w:tcPr>
          <w:p>
            <w:pPr>
              <w:jc w:val="right"/>
              <w:spacing w:after="0"/>
              <w:rPr>
                <w:sz w:val="20"/>
                <w:szCs w:val="20"/>
                <w:color w:val="auto"/>
              </w:rPr>
            </w:pPr>
            <w:r>
              <w:rPr>
                <w:rFonts w:ascii="MS PGothic" w:cs="MS PGothic" w:eastAsia="MS PGothic" w:hAnsi="MS PGothic"/>
                <w:sz w:val="18"/>
                <w:szCs w:val="18"/>
                <w:color w:val="auto"/>
              </w:rPr>
              <w:t>33.58</w:t>
            </w:r>
          </w:p>
        </w:tc>
        <w:tc>
          <w:tcPr>
            <w:tcW w:w="1480" w:type="dxa"/>
            <w:vAlign w:val="bottom"/>
            <w:gridSpan w:val="2"/>
          </w:tcPr>
          <w:p>
            <w:pPr>
              <w:jc w:val="right"/>
              <w:spacing w:after="0"/>
              <w:rPr>
                <w:sz w:val="20"/>
                <w:szCs w:val="20"/>
                <w:color w:val="auto"/>
              </w:rPr>
            </w:pPr>
            <w:r>
              <w:rPr>
                <w:rFonts w:ascii="MS PGothic" w:cs="MS PGothic" w:eastAsia="MS PGothic" w:hAnsi="MS PGothic"/>
                <w:sz w:val="18"/>
                <w:szCs w:val="18"/>
                <w:color w:val="auto"/>
              </w:rPr>
              <w:t>5.8</w:t>
            </w:r>
          </w:p>
        </w:tc>
        <w:tc>
          <w:tcPr>
            <w:tcW w:w="380" w:type="dxa"/>
            <w:vAlign w:val="bottom"/>
            <w:gridSpan w:val="2"/>
          </w:tcPr>
          <w:p>
            <w:pPr>
              <w:jc w:val="right"/>
              <w:ind w:right="60"/>
              <w:spacing w:after="0"/>
              <w:rPr>
                <w:sz w:val="20"/>
                <w:szCs w:val="20"/>
                <w:color w:val="auto"/>
              </w:rPr>
            </w:pPr>
            <w:r>
              <w:rPr>
                <w:rFonts w:ascii="MS PGothic" w:cs="MS PGothic" w:eastAsia="MS PGothic" w:hAnsi="MS PGothic"/>
                <w:sz w:val="18"/>
                <w:szCs w:val="18"/>
                <w:color w:val="auto"/>
              </w:rPr>
              <w:t>$</w:t>
            </w:r>
          </w:p>
        </w:tc>
        <w:tc>
          <w:tcPr>
            <w:tcW w:w="940" w:type="dxa"/>
            <w:vAlign w:val="bottom"/>
          </w:tcPr>
          <w:p>
            <w:pPr>
              <w:jc w:val="right"/>
              <w:spacing w:after="0"/>
              <w:rPr>
                <w:sz w:val="20"/>
                <w:szCs w:val="20"/>
                <w:color w:val="auto"/>
              </w:rPr>
            </w:pPr>
            <w:r>
              <w:rPr>
                <w:rFonts w:ascii="MS PGothic" w:cs="MS PGothic" w:eastAsia="MS PGothic" w:hAnsi="MS PGothic"/>
                <w:sz w:val="18"/>
                <w:szCs w:val="18"/>
                <w:color w:val="auto"/>
              </w:rPr>
              <w:t>1,082</w:t>
            </w:r>
          </w:p>
        </w:tc>
        <w:tc>
          <w:tcPr>
            <w:tcW w:w="10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-187960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1020" w:hanging="503"/>
        <w:spacing w:after="0" w:line="245" w:lineRule="auto"/>
        <w:tabs>
          <w:tab w:leader="none" w:pos="1020" w:val="left"/>
        </w:tabs>
        <w:numPr>
          <w:ilvl w:val="0"/>
          <w:numId w:val="43"/>
        </w:numPr>
        <w:rPr>
          <w:rFonts w:ascii="Calibri" w:cs="Calibri" w:eastAsia="Calibri" w:hAnsi="Calibri"/>
          <w:sz w:val="14"/>
          <w:szCs w:val="14"/>
          <w:color w:val="00002D"/>
        </w:rPr>
      </w:pPr>
      <w:r>
        <w:rPr>
          <w:rFonts w:ascii="Calibri" w:cs="Calibri" w:eastAsia="Calibri" w:hAnsi="Calibri"/>
          <w:sz w:val="14"/>
          <w:szCs w:val="14"/>
          <w:color w:val="00002D"/>
        </w:rPr>
        <w:t>As of December 31, 2024 and 2023, the aggregate intrinsic value was calculated based on the positve diference, if any, between the estmated fair value of common stock on December 31, 2024 and 2023, respectvely, or the date of exercise, as appropriate, and the exercise price of the underlying optons.</w:t>
      </w:r>
    </w:p>
    <w:p>
      <w:pPr>
        <w:spacing w:after="0" w:line="210" w:lineRule="exact"/>
        <w:rPr>
          <w:sz w:val="20"/>
          <w:szCs w:val="20"/>
          <w:color w:val="auto"/>
        </w:rPr>
      </w:pPr>
    </w:p>
    <w:p>
      <w:pPr>
        <w:spacing w:after="0"/>
        <w:rPr>
          <w:sz w:val="20"/>
          <w:szCs w:val="20"/>
          <w:color w:val="auto"/>
        </w:rPr>
      </w:pPr>
      <w:r>
        <w:rPr>
          <w:rFonts w:ascii="MS PGothic" w:cs="MS PGothic" w:eastAsia="MS PGothic" w:hAnsi="MS PGothic"/>
          <w:sz w:val="17"/>
          <w:szCs w:val="17"/>
          <w:color w:val="00002D"/>
        </w:rPr>
        <w:t>During the year ended December 31, 2023, there were no optons granted. During the year ended December 31, 2022, there were 30,266 optons granted.</w:t>
      </w:r>
    </w:p>
    <w:p>
      <w:pPr>
        <w:spacing w:after="0" w:line="262"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During the years ended December 31, 2023 and 2022, the aggregate intrinsic value for optons exercised was $229 and $3,774, respectvely.</w:t>
      </w:r>
    </w:p>
    <w:p>
      <w:pPr>
        <w:spacing w:after="0" w:line="252" w:lineRule="exact"/>
        <w:rPr>
          <w:sz w:val="20"/>
          <w:szCs w:val="20"/>
          <w:color w:val="auto"/>
        </w:rPr>
      </w:pPr>
    </w:p>
    <w:p>
      <w:pPr>
        <w:spacing w:after="0" w:line="334" w:lineRule="auto"/>
        <w:rPr>
          <w:sz w:val="20"/>
          <w:szCs w:val="20"/>
          <w:color w:val="auto"/>
        </w:rPr>
      </w:pPr>
      <w:r>
        <w:rPr>
          <w:rFonts w:ascii="MS PGothic" w:cs="MS PGothic" w:eastAsia="MS PGothic" w:hAnsi="MS PGothic"/>
          <w:sz w:val="18"/>
          <w:szCs w:val="18"/>
          <w:color w:val="00002D"/>
        </w:rPr>
        <w:t>As of December 31, 2024, there was $260 unrecognized stock-based compensaton expense related to unvested stock optons that is expected to be recognized over a weighted-average period of 1.0 years.</w:t>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Restricted Stock Units</w:t>
      </w:r>
    </w:p>
    <w:p>
      <w:pPr>
        <w:spacing w:after="0" w:line="217"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During the year ended December 31, 2024, RSU actvity was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97"/>
              <w:spacing w:after="0"/>
              <w:rPr>
                <w:sz w:val="20"/>
                <w:szCs w:val="20"/>
                <w:color w:val="auto"/>
              </w:rPr>
            </w:pPr>
            <w:r>
              <w:rPr>
                <w:rFonts w:ascii="Calibri" w:cs="Calibri" w:eastAsia="Calibri" w:hAnsi="Calibri"/>
                <w:sz w:val="14"/>
                <w:szCs w:val="14"/>
                <w:b w:val="1"/>
                <w:bCs w:val="1"/>
                <w:color w:val="auto"/>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Aggregate</w:t>
            </w:r>
          </w:p>
        </w:tc>
        <w:tc>
          <w:tcPr>
            <w:tcW w:w="56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60" w:type="dxa"/>
            <w:vAlign w:val="bottom"/>
            <w:gridSpan w:val="2"/>
          </w:tcPr>
          <w:p>
            <w:pPr>
              <w:jc w:val="right"/>
              <w:ind w:right="540"/>
              <w:spacing w:after="0"/>
              <w:rPr>
                <w:sz w:val="20"/>
                <w:szCs w:val="20"/>
                <w:color w:val="auto"/>
              </w:rPr>
            </w:pPr>
            <w:r>
              <w:rPr>
                <w:rFonts w:ascii="Calibri" w:cs="Calibri" w:eastAsia="Calibri" w:hAnsi="Calibri"/>
                <w:sz w:val="14"/>
                <w:szCs w:val="14"/>
                <w:b w:val="1"/>
                <w:bCs w:val="1"/>
                <w:color w:val="auto"/>
              </w:rPr>
              <w:t>Number of</w:t>
            </w:r>
          </w:p>
        </w:tc>
        <w:tc>
          <w:tcPr>
            <w:tcW w:w="120" w:type="dxa"/>
            <w:vAlign w:val="bottom"/>
          </w:tcPr>
          <w:p>
            <w:pPr>
              <w:spacing w:after="0"/>
              <w:rPr>
                <w:sz w:val="15"/>
                <w:szCs w:val="15"/>
                <w:color w:val="auto"/>
              </w:rPr>
            </w:pPr>
          </w:p>
        </w:tc>
        <w:tc>
          <w:tcPr>
            <w:tcW w:w="1080" w:type="dxa"/>
            <w:vAlign w:val="bottom"/>
          </w:tcPr>
          <w:p>
            <w:pPr>
              <w:jc w:val="center"/>
              <w:ind w:right="57"/>
              <w:spacing w:after="0"/>
              <w:rPr>
                <w:sz w:val="20"/>
                <w:szCs w:val="20"/>
                <w:color w:val="auto"/>
              </w:rPr>
            </w:pPr>
            <w:r>
              <w:rPr>
                <w:rFonts w:ascii="Calibri" w:cs="Calibri" w:eastAsia="Calibri" w:hAnsi="Calibri"/>
                <w:sz w:val="14"/>
                <w:szCs w:val="14"/>
                <w:b w:val="1"/>
                <w:bCs w:val="1"/>
                <w:color w:val="auto"/>
              </w:rPr>
              <w:t>Average Grant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Intrinsic</w:t>
            </w:r>
          </w:p>
        </w:tc>
        <w:tc>
          <w:tcPr>
            <w:tcW w:w="560" w:type="dxa"/>
            <w:vAlign w:val="bottom"/>
          </w:tcPr>
          <w:p>
            <w:pPr>
              <w:spacing w:after="0"/>
              <w:rPr>
                <w:sz w:val="15"/>
                <w:szCs w:val="15"/>
                <w:color w:val="auto"/>
              </w:rPr>
            </w:pPr>
          </w:p>
        </w:tc>
      </w:tr>
      <w:tr>
        <w:trPr>
          <w:trHeight w:val="189"/>
        </w:trPr>
        <w:tc>
          <w:tcPr>
            <w:tcW w:w="5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0" w:type="dxa"/>
            <w:vAlign w:val="bottom"/>
            <w:tcBorders>
              <w:bottom w:val="single" w:sz="8" w:color="auto"/>
            </w:tcBorders>
          </w:tcPr>
          <w:p>
            <w:pPr>
              <w:jc w:val="right"/>
              <w:ind w:right="319"/>
              <w:spacing w:after="0"/>
              <w:rPr>
                <w:sz w:val="20"/>
                <w:szCs w:val="20"/>
                <w:color w:val="auto"/>
              </w:rPr>
            </w:pPr>
            <w:r>
              <w:rPr>
                <w:rFonts w:ascii="Calibri" w:cs="Calibri" w:eastAsia="Calibri" w:hAnsi="Calibri"/>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7"/>
              <w:spacing w:after="0"/>
              <w:rPr>
                <w:sz w:val="20"/>
                <w:szCs w:val="20"/>
                <w:color w:val="auto"/>
              </w:rPr>
            </w:pPr>
            <w:r>
              <w:rPr>
                <w:rFonts w:ascii="Calibri" w:cs="Calibri" w:eastAsia="Calibri" w:hAnsi="Calibri"/>
                <w:sz w:val="14"/>
                <w:szCs w:val="14"/>
                <w:b w:val="1"/>
                <w:bCs w:val="1"/>
                <w:color w:val="auto"/>
              </w:rPr>
              <w:t>Date Fair Value</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1"/>
              <w:spacing w:after="0"/>
              <w:rPr>
                <w:sz w:val="20"/>
                <w:szCs w:val="20"/>
                <w:color w:val="auto"/>
              </w:rPr>
            </w:pPr>
            <w:r>
              <w:rPr>
                <w:rFonts w:ascii="Calibri" w:cs="Calibri" w:eastAsia="Calibri" w:hAnsi="Calibri"/>
                <w:sz w:val="14"/>
                <w:szCs w:val="14"/>
                <w:b w:val="1"/>
                <w:bCs w:val="1"/>
                <w:color w:val="auto"/>
              </w:rPr>
              <w:t>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MS PGothic" w:cs="MS PGothic" w:eastAsia="MS PGothic" w:hAnsi="MS PGothic"/>
                <w:sz w:val="18"/>
                <w:szCs w:val="18"/>
                <w:color w:val="auto"/>
              </w:rPr>
              <w:t>Unvested outstanding, December 31, 2023</w:t>
            </w:r>
          </w:p>
        </w:tc>
        <w:tc>
          <w:tcPr>
            <w:tcW w:w="3120" w:type="dxa"/>
            <w:vAlign w:val="bottom"/>
            <w:gridSpan w:val="2"/>
            <w:shd w:val="clear" w:color="auto" w:fill="CFF0FC"/>
          </w:tcPr>
          <w:p>
            <w:pPr>
              <w:jc w:val="right"/>
              <w:spacing w:after="0"/>
              <w:rPr>
                <w:sz w:val="20"/>
                <w:szCs w:val="20"/>
                <w:color w:val="auto"/>
              </w:rPr>
            </w:pPr>
            <w:r>
              <w:rPr>
                <w:rFonts w:ascii="MS PGothic" w:cs="MS PGothic" w:eastAsia="MS PGothic" w:hAnsi="MS PGothic"/>
                <w:sz w:val="18"/>
                <w:szCs w:val="18"/>
                <w:color w:val="auto"/>
              </w:rPr>
              <w:t>5,687,711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22.02</w:t>
            </w:r>
          </w:p>
        </w:tc>
        <w:tc>
          <w:tcPr>
            <w:tcW w:w="440" w:type="dxa"/>
            <w:vAlign w:val="bottom"/>
            <w:gridSpan w:val="2"/>
            <w:shd w:val="clear" w:color="auto" w:fill="CFF0FC"/>
          </w:tcPr>
          <w:p>
            <w:pPr>
              <w:jc w:val="right"/>
              <w:ind w:right="100"/>
              <w:spacing w:after="0"/>
              <w:rPr>
                <w:sz w:val="20"/>
                <w:szCs w:val="20"/>
                <w:color w:val="auto"/>
              </w:rPr>
            </w:pPr>
            <w:r>
              <w:rPr>
                <w:rFonts w:ascii="MS PGothic" w:cs="MS PGothic" w:eastAsia="MS PGothic" w:hAnsi="MS PGothic"/>
                <w:sz w:val="18"/>
                <w:szCs w:val="18"/>
                <w:color w:val="auto"/>
              </w:rPr>
              <w:t>$</w:t>
            </w:r>
          </w:p>
        </w:tc>
        <w:tc>
          <w:tcPr>
            <w:tcW w:w="100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137,415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MS PGothic" w:cs="MS PGothic" w:eastAsia="MS PGothic" w:hAnsi="MS PGothic"/>
                <w:sz w:val="18"/>
                <w:szCs w:val="18"/>
                <w:color w:val="auto"/>
              </w:rPr>
              <w:t>Granted</w:t>
            </w:r>
          </w:p>
        </w:tc>
        <w:tc>
          <w:tcPr>
            <w:tcW w:w="3120" w:type="dxa"/>
            <w:vAlign w:val="bottom"/>
            <w:gridSpan w:val="2"/>
          </w:tcPr>
          <w:p>
            <w:pPr>
              <w:jc w:val="right"/>
              <w:spacing w:after="0"/>
              <w:rPr>
                <w:sz w:val="20"/>
                <w:szCs w:val="20"/>
                <w:color w:val="auto"/>
              </w:rPr>
            </w:pPr>
            <w:r>
              <w:rPr>
                <w:rFonts w:ascii="MS PGothic" w:cs="MS PGothic" w:eastAsia="MS PGothic" w:hAnsi="MS PGothic"/>
                <w:sz w:val="18"/>
                <w:szCs w:val="18"/>
                <w:color w:val="auto"/>
              </w:rPr>
              <w:t>2,912,712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MS PGothic" w:cs="MS PGothic" w:eastAsia="MS PGothic" w:hAnsi="MS PGothic"/>
                <w:sz w:val="18"/>
                <w:szCs w:val="18"/>
                <w:color w:val="auto"/>
              </w:rPr>
              <w:t>23.98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3980" w:type="dxa"/>
            <w:vAlign w:val="bottom"/>
            <w:shd w:val="clear" w:color="auto" w:fill="CFF0FC"/>
          </w:tcPr>
          <w:p>
            <w:pPr>
              <w:ind w:left="180"/>
              <w:spacing w:after="0"/>
              <w:rPr>
                <w:sz w:val="20"/>
                <w:szCs w:val="20"/>
                <w:color w:val="auto"/>
              </w:rPr>
            </w:pPr>
            <w:r>
              <w:rPr>
                <w:rFonts w:ascii="MS PGothic" w:cs="MS PGothic" w:eastAsia="MS PGothic" w:hAnsi="MS PGothic"/>
                <w:sz w:val="18"/>
                <w:szCs w:val="18"/>
                <w:color w:val="auto"/>
              </w:rPr>
              <w:t>Vested</w:t>
            </w:r>
          </w:p>
        </w:tc>
        <w:tc>
          <w:tcPr>
            <w:tcW w:w="3380" w:type="dxa"/>
            <w:vAlign w:val="bottom"/>
            <w:gridSpan w:val="3"/>
            <w:shd w:val="clear" w:color="auto" w:fill="CFF0FC"/>
          </w:tcPr>
          <w:p>
            <w:pPr>
              <w:jc w:val="right"/>
              <w:ind w:right="180"/>
              <w:spacing w:after="0"/>
              <w:rPr>
                <w:sz w:val="20"/>
                <w:szCs w:val="20"/>
                <w:color w:val="auto"/>
              </w:rPr>
            </w:pPr>
            <w:r>
              <w:rPr>
                <w:rFonts w:ascii="MS PGothic" w:cs="MS PGothic" w:eastAsia="MS PGothic" w:hAnsi="MS PGothic"/>
                <w:sz w:val="18"/>
                <w:szCs w:val="18"/>
                <w:color w:val="auto"/>
              </w:rPr>
              <w:t>(2,793,920 )</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23.44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MS PGothic" w:cs="MS PGothic" w:eastAsia="MS PGothic" w:hAnsi="MS PGothic"/>
                <w:sz w:val="18"/>
                <w:szCs w:val="18"/>
                <w:color w:val="auto"/>
              </w:rPr>
              <w:t>Forfeited</w:t>
            </w:r>
          </w:p>
        </w:tc>
        <w:tc>
          <w:tcPr>
            <w:tcW w:w="19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MS PGothic" w:cs="MS PGothic" w:eastAsia="MS PGothic" w:hAnsi="MS PGothic"/>
                <w:sz w:val="18"/>
                <w:szCs w:val="18"/>
                <w:color w:val="auto"/>
              </w:rPr>
              <w:t>(570,325 )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MS PGothic" w:cs="MS PGothic" w:eastAsia="MS PGothic" w:hAnsi="MS PGothic"/>
                <w:sz w:val="18"/>
                <w:szCs w:val="18"/>
                <w:color w:val="auto"/>
              </w:rPr>
              <w:t>20.11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8"/>
                <w:szCs w:val="18"/>
                <w:color w:val="auto"/>
              </w:rPr>
              <w:t>Unvested outstanding, December 31, 2024</w:t>
            </w:r>
          </w:p>
        </w:tc>
        <w:tc>
          <w:tcPr>
            <w:tcW w:w="19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5,236,178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22.42</w:t>
            </w:r>
          </w:p>
        </w:tc>
        <w:tc>
          <w:tcPr>
            <w:tcW w:w="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MS PGothic" w:cs="MS PGothic" w:eastAsia="MS PGothic" w:hAnsi="MS PGothic"/>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191,877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05"/>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20" w:type="dxa"/>
            <w:vAlign w:val="bottom"/>
          </w:tcPr>
          <w:p>
            <w:pPr>
              <w:jc w:val="right"/>
              <w:ind w:right="630"/>
              <w:spacing w:after="0"/>
              <w:rPr>
                <w:sz w:val="20"/>
                <w:szCs w:val="20"/>
                <w:color w:val="auto"/>
              </w:rPr>
            </w:pPr>
            <w:r>
              <w:rPr>
                <w:rFonts w:ascii="MS PGothic" w:cs="MS PGothic" w:eastAsia="MS PGothic" w:hAnsi="MS PGothic"/>
                <w:sz w:val="18"/>
                <w:szCs w:val="18"/>
                <w:color w:val="auto"/>
              </w:rPr>
              <w:t>110</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86"/>
        </w:trPr>
        <w:tc>
          <w:tcPr>
            <w:tcW w:w="5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-933450</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-916305</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2" w:name="page113"/>
    <w:bookmarkEnd w:id="11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During the years ended December 31, 2023 and 2022, the weighted-average grant-date fair value of RSUs granted was $17.47 and $28.94 per share, respectvely.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00002D"/>
        </w:rPr>
        <w:t>During the years ended December 31, 2023 and 2022, RSUs that vested and setled totaled 2,440,510 and 1,649,294, respectvely.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During the years ended December 31, 2023 and 2022, the total fair value of RSUs vested was $65,479 and $55,136, respectvely.</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there was $99,914 of unrecognized stock-based compensaton expense related to unvested RSUs that is expected to be recognized over a weighted-average period of 2.6 years.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Stock-based Compensaton Expense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2023, and 2022, stock-based compensaton expense by award type was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80"/>
              <w:spacing w:after="0"/>
              <w:rPr>
                <w:sz w:val="20"/>
                <w:szCs w:val="20"/>
                <w:color w:val="auto"/>
              </w:rPr>
            </w:pPr>
            <w:r>
              <w:rPr>
                <w:rFonts w:ascii="Calibri" w:cs="Calibri" w:eastAsia="Calibri" w:hAnsi="Calibri"/>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r>
      <w:tr>
        <w:trPr>
          <w:trHeight w:val="212"/>
        </w:trPr>
        <w:tc>
          <w:tcPr>
            <w:tcW w:w="590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Optons</w:t>
            </w:r>
          </w:p>
        </w:tc>
        <w:tc>
          <w:tcPr>
            <w:tcW w:w="280" w:type="dxa"/>
            <w:vAlign w:val="bottom"/>
            <w:shd w:val="clear" w:color="auto" w:fill="CFF0FC"/>
          </w:tcPr>
          <w:p>
            <w:pPr>
              <w:jc w:val="right"/>
              <w:ind w:right="70"/>
              <w:spacing w:after="0" w:line="212"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2,258</w:t>
            </w:r>
          </w:p>
        </w:tc>
        <w:tc>
          <w:tcPr>
            <w:tcW w:w="520" w:type="dxa"/>
            <w:vAlign w:val="bottom"/>
            <w:gridSpan w:val="2"/>
            <w:shd w:val="clear" w:color="auto" w:fill="CFF0FC"/>
          </w:tcPr>
          <w:p>
            <w:pPr>
              <w:jc w:val="right"/>
              <w:ind w:right="70"/>
              <w:spacing w:after="0" w:line="212"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2,386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2"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2,553</w:t>
            </w: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spacing w:after="0" w:line="215" w:lineRule="exact"/>
              <w:rPr>
                <w:sz w:val="20"/>
                <w:szCs w:val="20"/>
                <w:color w:val="auto"/>
              </w:rPr>
            </w:pPr>
            <w:r>
              <w:rPr>
                <w:rFonts w:ascii="Calibri" w:cs="Calibri" w:eastAsia="Calibri" w:hAnsi="Calibri"/>
                <w:sz w:val="18"/>
                <w:szCs w:val="18"/>
                <w:color w:val="auto"/>
              </w:rPr>
              <w:t>Restricted Stock Units</w:t>
            </w: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60,234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55,527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52,224</w:t>
            </w:r>
          </w:p>
        </w:tc>
        <w:tc>
          <w:tcPr>
            <w:tcW w:w="100" w:type="dxa"/>
            <w:vAlign w:val="bottom"/>
          </w:tcPr>
          <w:p>
            <w:pPr>
              <w:spacing w:after="0"/>
              <w:rPr>
                <w:sz w:val="18"/>
                <w:szCs w:val="18"/>
                <w:color w:val="auto"/>
              </w:rPr>
            </w:pPr>
          </w:p>
        </w:tc>
      </w:tr>
      <w:tr>
        <w:trPr>
          <w:trHeight w:val="217"/>
        </w:trPr>
        <w:tc>
          <w:tcPr>
            <w:tcW w:w="59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CO Incentve Units and Subject Units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26,552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(21,095 )</w:t>
            </w:r>
          </w:p>
        </w:tc>
      </w:tr>
      <w:tr>
        <w:trPr>
          <w:trHeight w:val="215"/>
        </w:trPr>
        <w:tc>
          <w:tcPr>
            <w:tcW w:w="5900" w:type="dxa"/>
            <w:vAlign w:val="bottom"/>
          </w:tcPr>
          <w:p>
            <w:pPr>
              <w:spacing w:after="0" w:line="215" w:lineRule="exact"/>
              <w:rPr>
                <w:sz w:val="20"/>
                <w:szCs w:val="20"/>
                <w:color w:val="auto"/>
              </w:rPr>
            </w:pPr>
            <w:r>
              <w:rPr>
                <w:rFonts w:ascii="Calibri" w:cs="Calibri" w:eastAsia="Calibri" w:hAnsi="Calibri"/>
                <w:sz w:val="18"/>
                <w:szCs w:val="18"/>
                <w:color w:val="auto"/>
              </w:rPr>
              <w:t>Noncontrolling Interest Units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28,991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r>
      <w:tr>
        <w:trPr>
          <w:trHeight w:val="249"/>
        </w:trPr>
        <w:tc>
          <w:tcPr>
            <w:tcW w:w="5900" w:type="dxa"/>
            <w:vAlign w:val="bottom"/>
            <w:tcBorders>
              <w:bottom w:val="single" w:sz="8" w:color="CFF0FC"/>
            </w:tcBorders>
            <w:shd w:val="clear" w:color="auto" w:fill="CFF0FC"/>
          </w:tcPr>
          <w:p>
            <w:pPr>
              <w:ind w:left="280"/>
              <w:spacing w:after="0" w:line="209" w:lineRule="exact"/>
              <w:rPr>
                <w:sz w:val="20"/>
                <w:szCs w:val="20"/>
                <w:color w:val="auto"/>
              </w:rPr>
            </w:pPr>
            <w:r>
              <w:rPr>
                <w:rFonts w:ascii="Calibri" w:cs="Calibri" w:eastAsia="Calibri" w:hAnsi="Calibri"/>
                <w:sz w:val="18"/>
                <w:szCs w:val="18"/>
                <w:color w:val="auto"/>
              </w:rPr>
              <w:t>Total</w:t>
            </w:r>
          </w:p>
        </w:tc>
        <w:tc>
          <w:tcPr>
            <w:tcW w:w="28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62,492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113,456</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33,682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Stock-based compensaton for CO Incentve Units and Subject Units, and Noncontrolling Interest Units, which were employee-owned, decreased $26,552 and $28,991, respectvely, for the year ended December 31, 2024, compared to the year ended December 31, 2023, due to the redempton of such units in connecton with the 2023 CarOfer Transacton.</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years ended December 31, 2024, 2023, and 2022, stock-based compensaton expense by where the stock-based compensaton expense was recognized in the Company’s consolidated income statements was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Calibri" w:cs="Calibri" w:eastAsia="Calibri" w:hAnsi="Calibri"/>
                <w:sz w:val="14"/>
                <w:szCs w:val="14"/>
                <w:b w:val="1"/>
                <w:bCs w:val="1"/>
                <w:color w:val="auto"/>
              </w:rPr>
              <w:t>Year Ended December 31,</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6"/>
        </w:trPr>
        <w:tc>
          <w:tcPr>
            <w:tcW w:w="5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line="166" w:lineRule="exact"/>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line="166" w:lineRule="exact"/>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line="166"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r>
      <w:tr>
        <w:trPr>
          <w:trHeight w:val="212"/>
        </w:trPr>
        <w:tc>
          <w:tcPr>
            <w:tcW w:w="590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Cost of revenue</w:t>
            </w:r>
          </w:p>
        </w:tc>
        <w:tc>
          <w:tcPr>
            <w:tcW w:w="280" w:type="dxa"/>
            <w:vAlign w:val="bottom"/>
            <w:shd w:val="clear" w:color="auto" w:fill="CFF0FC"/>
          </w:tcPr>
          <w:p>
            <w:pPr>
              <w:jc w:val="right"/>
              <w:ind w:right="70"/>
              <w:spacing w:after="0" w:line="212"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492</w:t>
            </w:r>
          </w:p>
        </w:tc>
        <w:tc>
          <w:tcPr>
            <w:tcW w:w="520" w:type="dxa"/>
            <w:vAlign w:val="bottom"/>
            <w:gridSpan w:val="2"/>
            <w:shd w:val="clear" w:color="auto" w:fill="CFF0FC"/>
          </w:tcPr>
          <w:p>
            <w:pPr>
              <w:jc w:val="right"/>
              <w:ind w:right="70"/>
              <w:spacing w:after="0" w:line="212"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2,370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2"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475</w:t>
            </w: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spacing w:after="0" w:line="215" w:lineRule="exact"/>
              <w:rPr>
                <w:sz w:val="20"/>
                <w:szCs w:val="20"/>
                <w:color w:val="auto"/>
              </w:rPr>
            </w:pPr>
            <w:r>
              <w:rPr>
                <w:rFonts w:ascii="Calibri" w:cs="Calibri" w:eastAsia="Calibri" w:hAnsi="Calibri"/>
                <w:sz w:val="18"/>
                <w:szCs w:val="18"/>
                <w:color w:val="auto"/>
              </w:rPr>
              <w:t>Sales and marketng expense</w:t>
            </w: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12,176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13,710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7,733</w:t>
            </w:r>
          </w:p>
        </w:tc>
        <w:tc>
          <w:tcPr>
            <w:tcW w:w="100" w:type="dxa"/>
            <w:vAlign w:val="bottom"/>
          </w:tcPr>
          <w:p>
            <w:pPr>
              <w:spacing w:after="0"/>
              <w:rPr>
                <w:sz w:val="18"/>
                <w:szCs w:val="18"/>
                <w:color w:val="auto"/>
              </w:rPr>
            </w:pPr>
          </w:p>
        </w:tc>
      </w:tr>
      <w:tr>
        <w:trPr>
          <w:trHeight w:val="217"/>
        </w:trPr>
        <w:tc>
          <w:tcPr>
            <w:tcW w:w="59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Product, technology, and development expense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24,443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25,934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20,266</w:t>
            </w: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spacing w:after="0" w:line="215" w:lineRule="exact"/>
              <w:rPr>
                <w:sz w:val="20"/>
                <w:szCs w:val="20"/>
                <w:color w:val="auto"/>
              </w:rPr>
            </w:pPr>
            <w:r>
              <w:rPr>
                <w:rFonts w:ascii="Calibri" w:cs="Calibri" w:eastAsia="Calibri" w:hAnsi="Calibri"/>
                <w:sz w:val="18"/>
                <w:szCs w:val="18"/>
                <w:color w:val="auto"/>
              </w:rPr>
              <w:t>General and administratve expense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25,381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71,442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5,208</w:t>
            </w:r>
          </w:p>
        </w:tc>
        <w:tc>
          <w:tcPr>
            <w:tcW w:w="100" w:type="dxa"/>
            <w:vAlign w:val="bottom"/>
          </w:tcPr>
          <w:p>
            <w:pPr>
              <w:spacing w:after="0"/>
              <w:rPr>
                <w:sz w:val="18"/>
                <w:szCs w:val="18"/>
                <w:color w:val="auto"/>
              </w:rPr>
            </w:pPr>
          </w:p>
        </w:tc>
      </w:tr>
      <w:tr>
        <w:trPr>
          <w:trHeight w:val="250"/>
        </w:trPr>
        <w:tc>
          <w:tcPr>
            <w:tcW w:w="5900" w:type="dxa"/>
            <w:vAlign w:val="bottom"/>
            <w:tcBorders>
              <w:bottom w:val="single" w:sz="8" w:color="CFF0FC"/>
            </w:tcBorders>
            <w:shd w:val="clear" w:color="auto" w:fill="CFF0FC"/>
          </w:tcPr>
          <w:p>
            <w:pPr>
              <w:ind w:left="280"/>
              <w:spacing w:after="0" w:line="209" w:lineRule="exact"/>
              <w:rPr>
                <w:sz w:val="20"/>
                <w:szCs w:val="20"/>
                <w:color w:val="auto"/>
              </w:rPr>
            </w:pPr>
            <w:r>
              <w:rPr>
                <w:rFonts w:ascii="Calibri" w:cs="Calibri" w:eastAsia="Calibri" w:hAnsi="Calibri"/>
                <w:sz w:val="18"/>
                <w:szCs w:val="18"/>
                <w:color w:val="auto"/>
              </w:rPr>
              <w:t>Total</w:t>
            </w:r>
          </w:p>
        </w:tc>
        <w:tc>
          <w:tcPr>
            <w:tcW w:w="28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62,492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113,456</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33,682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For the years ended December 31, 2024, 2023, and 2022, stock-based compensaton expense excluded $6,546, $5,472, and $4,468, respectvely, of capitalized website development costs, capitalized internal-use sofware costs, and capitalized hostng arrangements.</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For the years ended December 31, 2024, 2023, and 2022, the income tax expense related to stock-based compensaton was $1,098, $5,500, and $4,181, respectvely, recognized in the provision for income taxes on the consolidated income statements.</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For the years ended December 31, 2024, 2023, and 2022, the income tax beneft related to stock-based compensaton expense was $5,295, $5,353, and $5,441, respectvely, recognized in deferred tax asset on the consolidated balance sheets.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2023 CarOfer Transacton</w:t>
      </w:r>
    </w:p>
    <w:p>
      <w:pPr>
        <w:spacing w:after="0" w:line="217" w:lineRule="exact"/>
        <w:rPr>
          <w:sz w:val="20"/>
          <w:szCs w:val="20"/>
          <w:color w:val="auto"/>
        </w:rPr>
      </w:pPr>
    </w:p>
    <w:p>
      <w:pPr>
        <w:spacing w:after="0"/>
        <w:rPr>
          <w:sz w:val="20"/>
          <w:szCs w:val="20"/>
          <w:color w:val="auto"/>
        </w:rPr>
      </w:pPr>
      <w:r>
        <w:rPr>
          <w:rFonts w:ascii="Calibri" w:cs="Calibri" w:eastAsia="Calibri" w:hAnsi="Calibri"/>
          <w:sz w:val="17"/>
          <w:szCs w:val="17"/>
          <w:color w:val="00002D"/>
        </w:rPr>
        <w:t>In connecton with the 2023 CarOfer Transacton, the Company redeemed all remaining CO Incentve Units, Subject Units, and Noncontrolling Interest Units.</w:t>
      </w: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3" w:name="page114"/>
    <w:bookmarkEnd w:id="11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Certain of the Noncontrolling Interest Units were employee owned. For the year ended December 31, 2023, the Company paid $28,991 for these units and accounted for this porton of the 2023 CarOfer Transacton as stock-based compensaton in its consolidated income statements. For the year ended December 31, 2023, for all other Noncontrolling Interest Units, the Company reduced the remaining redeemable noncontrolling interest on its consolidated balance sheets to zero and recorded excess cash paid to these unit holders as a deemed dividend of $5,838.</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part of the 2023 CarOfer Transacton, Subject Units and CO Incentve Units were modifed such that any remaining unvested units received accelerated vestng. For the year ended December 31, 2023, as part of the 2023 CarOfer Transacton, the Company purchased all outstanding Subject Units and CO Incentve Units and recognized approximately $20,655 of stock-based compensaton in its consolidated income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60" w:type="dxa"/>
            <w:vAlign w:val="bottom"/>
            <w:gridSpan w:val="2"/>
          </w:tcPr>
          <w:p>
            <w:pPr>
              <w:spacing w:after="0"/>
              <w:rPr>
                <w:sz w:val="20"/>
                <w:szCs w:val="20"/>
                <w:color w:val="auto"/>
              </w:rPr>
            </w:pPr>
            <w:r>
              <w:rPr>
                <w:rFonts w:ascii="Calibri" w:cs="Calibri" w:eastAsia="Calibri" w:hAnsi="Calibri"/>
                <w:sz w:val="18"/>
                <w:szCs w:val="18"/>
                <w:b w:val="1"/>
                <w:bCs w:val="1"/>
                <w:i w:val="1"/>
                <w:iCs w:val="1"/>
                <w:color w:val="00002D"/>
              </w:rPr>
              <w:t>Common Stock Reserved for Future Issuance</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8860" w:type="dxa"/>
            <w:vAlign w:val="bottom"/>
            <w:gridSpan w:val="2"/>
          </w:tcPr>
          <w:p>
            <w:pPr>
              <w:spacing w:after="0"/>
              <w:rPr>
                <w:sz w:val="20"/>
                <w:szCs w:val="20"/>
                <w:color w:val="auto"/>
              </w:rPr>
            </w:pPr>
            <w:r>
              <w:rPr>
                <w:rFonts w:ascii="Calibri" w:cs="Calibri" w:eastAsia="Calibri" w:hAnsi="Calibri"/>
                <w:sz w:val="18"/>
                <w:szCs w:val="18"/>
                <w:color w:val="00002D"/>
              </w:rPr>
              <w:t>As of December 31, 2024, the Company had reserved the following shares of Class A common stock for future issuance:</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8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82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Common stock optons outstanding</w:t>
            </w:r>
          </w:p>
        </w:tc>
        <w:tc>
          <w:tcPr>
            <w:tcW w:w="1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397,049</w:t>
            </w:r>
          </w:p>
        </w:tc>
        <w:tc>
          <w:tcPr>
            <w:tcW w:w="100" w:type="dxa"/>
            <w:vAlign w:val="bottom"/>
            <w:shd w:val="clear" w:color="auto" w:fill="CFF0FC"/>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8280" w:type="dxa"/>
            <w:vAlign w:val="bottom"/>
          </w:tcPr>
          <w:p>
            <w:pPr>
              <w:spacing w:after="0" w:line="215" w:lineRule="exact"/>
              <w:rPr>
                <w:sz w:val="20"/>
                <w:szCs w:val="20"/>
                <w:color w:val="auto"/>
              </w:rPr>
            </w:pPr>
            <w:r>
              <w:rPr>
                <w:rFonts w:ascii="Calibri" w:cs="Calibri" w:eastAsia="Calibri" w:hAnsi="Calibri"/>
                <w:sz w:val="18"/>
                <w:szCs w:val="18"/>
                <w:color w:val="auto"/>
              </w:rPr>
              <w:t>Unvested restricted stock units outstanding</w:t>
            </w:r>
          </w:p>
        </w:tc>
        <w:tc>
          <w:tcPr>
            <w:tcW w:w="1720" w:type="dxa"/>
            <w:vAlign w:val="bottom"/>
          </w:tcPr>
          <w:p>
            <w:pPr>
              <w:jc w:val="right"/>
              <w:spacing w:after="0" w:line="215" w:lineRule="exact"/>
              <w:rPr>
                <w:sz w:val="20"/>
                <w:szCs w:val="20"/>
                <w:color w:val="auto"/>
              </w:rPr>
            </w:pPr>
            <w:r>
              <w:rPr>
                <w:rFonts w:ascii="Calibri" w:cs="Calibri" w:eastAsia="Calibri" w:hAnsi="Calibri"/>
                <w:sz w:val="18"/>
                <w:szCs w:val="18"/>
                <w:color w:val="auto"/>
              </w:rPr>
              <w:t>5,236,178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28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Shares available for issuance under the 2017 Plan</w:t>
            </w:r>
          </w:p>
        </w:tc>
        <w:tc>
          <w:tcPr>
            <w:tcW w:w="17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8,582,014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8280" w:type="dxa"/>
            <w:vAlign w:val="bottom"/>
          </w:tcPr>
          <w:p>
            <w:pPr>
              <w:spacing w:after="0" w:line="209" w:lineRule="exact"/>
              <w:rPr>
                <w:sz w:val="20"/>
                <w:szCs w:val="20"/>
                <w:color w:val="auto"/>
              </w:rPr>
            </w:pPr>
            <w:r>
              <w:rPr>
                <w:rFonts w:ascii="Calibri" w:cs="Calibri" w:eastAsia="Calibri" w:hAnsi="Calibri"/>
                <w:sz w:val="18"/>
                <w:szCs w:val="18"/>
                <w:color w:val="auto"/>
              </w:rPr>
              <w:t>Total shares of authorized common stock reserved for future issuance</w:t>
            </w:r>
          </w:p>
        </w:tc>
        <w:tc>
          <w:tcPr>
            <w:tcW w:w="17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14,215,241</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00002D"/>
        </w:rPr>
        <w:t>Common Stock Share Repurchases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On November 7, 2024, the Company announced that the Board authorized a share repurchase program (the “2025 Share Repurchase Program”), pursuant to which the Company may, from tme to tme, purchase shares of its Class A common stock for an aggregate purchase price not to exceed $200.0 million. Share repurchases under the 2025 Share Repurchase Program may be made through a variety of methods, including but not limited to open market purchases, privately negotated transactons, and transactons that may be efected pursuant to one or more plans under Rule 10b5-1 and/or Rule 10b-18 of the Securites Exchange Act of 1934, as amended. The 2025 Share Repurchase Program does not obligate the Company to repurchase any minimum dollar amount or number of shares. The 2025 Share Repurchase Program has an efectve date of January 1, 2025, and an expiraton date of December 31, 2025, and prior to its expiraton may be modifed, suspended, or discontnued by the Board at any tme without prior notce. All repurchased shares under the 2025 Share Repurchase Program will be retred. The Company expects to fund share repurchases under the 2025 Share Repurchase Program through cash on hand and cash generated from operatons.</w:t>
      </w:r>
    </w:p>
    <w:p>
      <w:pPr>
        <w:spacing w:after="0" w:line="224"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00002D"/>
        </w:rPr>
        <w:t>On November 7, 2023, the Company announced that the Board authorized a share repurchase program (the “2024 Share Repurchase Program”) pursuant to which the Company could, from tme to tme, purchase shares of its Class A common stock for an aggregate purchase price not to exceed $250.0 million. The 2024 Share Repurchase Program expired on December 31, 2024. All repurchased shares of Class A common stock under the 2024 Share Repurchase Program were retred. The Company funded share repurchases under the 2024 Share Repurchase Program through cash on hand and cash generated from operatons.</w:t>
      </w:r>
    </w:p>
    <w:p>
      <w:pPr>
        <w:spacing w:after="0" w:line="208"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00002D"/>
        </w:rPr>
        <w:t>On December 8, 2022, the Company announced that the Board authorized a share repurchase program (the “2022 Share Repurchase Program”) pursuant to which the Company could, from tme to tme, purchase shares of its Class A common stock for an aggregate purchase price not to exceed $250.0 million. The 2022 Share Repurchase Program expired on December 31, 2023. All repurchased shares of Class A common stock under the 2022 Share Repurchase Program were retred. The Company funded share repurchases under the 2022 Share Repurchase Program through cash on hand and cash generated from operatons.</w:t>
      </w:r>
    </w:p>
    <w:p>
      <w:pPr>
        <w:spacing w:after="0" w:line="208"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00002D"/>
        </w:rPr>
        <w:t>During the year ended December 31, 2024, the Company repurchased and retred 6,357,302 shares for $146,117, exclusive of commissions and excise tax, at an average cost of $22.98 per share, under the 2024 Share Repurchase Program. As of December 31, 2024, the 2024 Share Repurchase Program expired.</w:t>
      </w:r>
    </w:p>
    <w:p>
      <w:pPr>
        <w:spacing w:after="0" w:line="202" w:lineRule="exact"/>
        <w:rPr>
          <w:sz w:val="20"/>
          <w:szCs w:val="20"/>
          <w:color w:val="auto"/>
        </w:rPr>
      </w:pPr>
    </w:p>
    <w:p>
      <w:pPr>
        <w:jc w:val="both"/>
        <w:ind w:right="20"/>
        <w:spacing w:after="0" w:line="258" w:lineRule="auto"/>
        <w:rPr>
          <w:sz w:val="20"/>
          <w:szCs w:val="20"/>
          <w:color w:val="auto"/>
        </w:rPr>
      </w:pPr>
      <w:r>
        <w:rPr>
          <w:rFonts w:ascii="Calibri" w:cs="Calibri" w:eastAsia="Calibri" w:hAnsi="Calibri"/>
          <w:sz w:val="17"/>
          <w:szCs w:val="17"/>
          <w:color w:val="00002D"/>
        </w:rPr>
        <w:t>During the year ended December 31, 2023, the Company repurchased and retred 11,076,755 shares for $204,127, exclusive of commissions and excise tax, at an average cost of $18.43 per share, under the 2022 Share Repurchase Program. As of December 31, 2023, the 2022 Share Repurchase Program expired.</w:t>
      </w:r>
    </w:p>
    <w:p>
      <w:pPr>
        <w:spacing w:after="0" w:line="19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4" w:name="page115"/>
    <w:bookmarkEnd w:id="11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During the year ended December 31, 2022, the Company repurchased and retred 1,350,473 shares for $18,691, at an average cost of $13.84 per share, under the 2022 Share Repurchase Program.</w:t>
      </w:r>
    </w:p>
    <w:p>
      <w:pPr>
        <w:spacing w:after="0" w:line="14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12. Earnings Per Share</w:t>
      </w:r>
    </w:p>
    <w:p>
      <w:pPr>
        <w:spacing w:after="0" w:line="221" w:lineRule="exact"/>
        <w:rPr>
          <w:sz w:val="20"/>
          <w:szCs w:val="20"/>
          <w:color w:val="auto"/>
        </w:rPr>
      </w:pPr>
    </w:p>
    <w:p>
      <w:pPr>
        <w:jc w:val="both"/>
        <w:spacing w:after="0" w:line="315" w:lineRule="auto"/>
        <w:rPr>
          <w:sz w:val="20"/>
          <w:szCs w:val="20"/>
          <w:color w:val="auto"/>
        </w:rPr>
      </w:pPr>
      <w:r>
        <w:rPr>
          <w:rFonts w:ascii="MS PGothic" w:cs="MS PGothic" w:eastAsia="MS PGothic" w:hAnsi="MS PGothic"/>
          <w:sz w:val="17"/>
          <w:szCs w:val="17"/>
          <w:color w:val="00002D"/>
        </w:rPr>
        <w:t>The Company has two classes of common stock authorized: Class A common stock and Class B common stock. The rights of the holders of Class A and Class B common stock are identcal, except with respect to votng and conversion. Each share of Class A common stock is enttled to one vote per share and each share of Class B common stock is enttled to ten votes per share. Each share of Class B common stock is convertble into one share of Class A common stock at the opton of the holder at any tme or automatcally upon certain events described in the Company’s fourth amended and restated certfcate of incorporaton, including upon either the death or voluntary terminaton of the Company’s Executve Chair. The Company allocates undistributed earnings atributable to common stock between the common stock classes on a one‑to‑one basis when computng net income per share. As a result, basic and diluted net income per share of Class A common stock and per share of Class B common stock are equivalent.</w:t>
      </w:r>
    </w:p>
    <w:p>
      <w:pPr>
        <w:spacing w:after="0" w:line="166"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00002D"/>
        </w:rPr>
        <w:t>During the year ended December 31, 2024, 1,012,428 shares of Class B common stock were converted into Class A common stock. During the years ended December 31, 2023 and 2022, no shares of Class B common stock were converted into Class A common stock.</w:t>
      </w:r>
    </w:p>
    <w:p>
      <w:pPr>
        <w:spacing w:after="0" w:line="147" w:lineRule="exact"/>
        <w:rPr>
          <w:sz w:val="20"/>
          <w:szCs w:val="20"/>
          <w:color w:val="auto"/>
        </w:rPr>
      </w:pPr>
    </w:p>
    <w:p>
      <w:pPr>
        <w:jc w:val="both"/>
        <w:spacing w:after="0" w:line="297" w:lineRule="auto"/>
        <w:rPr>
          <w:sz w:val="20"/>
          <w:szCs w:val="20"/>
          <w:color w:val="auto"/>
        </w:rPr>
      </w:pPr>
      <w:r>
        <w:rPr>
          <w:rFonts w:ascii="MS PGothic" w:cs="MS PGothic" w:eastAsia="MS PGothic" w:hAnsi="MS PGothic"/>
          <w:sz w:val="18"/>
          <w:szCs w:val="18"/>
          <w:color w:val="00002D"/>
        </w:rPr>
        <w:t>Basic net income per share (“Basic EPS”) is computed by dividing consolidated net income adjusted for net loss atributable to redeemable noncontrolling interest, deemed dividends on redempton of noncontrolling interest, and changes in the redempton value of redeemable noncontrolling interest, if applicable, by the weighted-average number of common shares outstanding during the reportng period. The Company computes the weighted-average number of common shares outstanding during the reportng period using the total number of shares of Class A common stock and Class B common stock outstanding as of the last day of the previous year plus the weighted-average of any additonal shares issued and outstanding during the reportng period, less the weighted-average of any shares repurchased during the period.</w:t>
      </w:r>
    </w:p>
    <w:p>
      <w:pPr>
        <w:spacing w:after="0" w:line="176"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7"/>
          <w:szCs w:val="17"/>
          <w:color w:val="00002D"/>
        </w:rPr>
        <w:t>Diluted net income per share (“Diluted EPS”) gives efect to all potentally dilutve securites. Diluted EPS is computed by dividing consolidated net income adjusted for net loss atributable to redeemable noncontrolling interest, deemed dividends on redempton of noncontrolling interest, and changes in the redempton value of redeemable noncontrolling interest, if applicable and dilutve, by the weighted-average number of common shares outstanding during the reportng period using (i) the number of shares of common stock used in the Basic EPS calculaton as indicated above, (ii) if dilutve, the incremental weighted-average common stock that the Company would issue upon the exercise of stock optons and the vestng of RSUs, and (iii) if dilutve, market-based performance awards based on the number of shares that would be issuable as of the end of the reportng period assuming the end of the reportng period was also the end of the contngency period. The dilutve efect of these common stock equivalents is refected in diluted earnings per share by applicaton of the treasury stock method. For the year ended December 31, 2022, the if-converted method was used to calculate the number of shares issuable upon exercise of the 2024 Put Right, inclusive of CarOfer noncontrolling interest and CO Incentve and Subject Units, that would have been issuable as of the end of the reportng period assuming the end of the reportng period was also the end of the contngency period.</w:t>
      </w:r>
    </w:p>
    <w:p>
      <w:pPr>
        <w:spacing w:after="0" w:line="173"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5" w:name="page116"/>
    <w:bookmarkEnd w:id="11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334" w:lineRule="auto"/>
        <w:rPr>
          <w:sz w:val="20"/>
          <w:szCs w:val="20"/>
          <w:color w:val="auto"/>
        </w:rPr>
      </w:pPr>
      <w:r>
        <w:rPr>
          <w:rFonts w:ascii="MS PGothic" w:cs="MS PGothic" w:eastAsia="MS PGothic" w:hAnsi="MS PGothic"/>
          <w:sz w:val="18"/>
          <w:szCs w:val="18"/>
          <w:color w:val="00002D"/>
        </w:rPr>
        <w:t>For the years ended December 31, 2024, 2023, and 2022, a reconciliaton of the numerator and denominator used in the calculaton of basic and diluted net income per share was as follows: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80" w:type="dxa"/>
            <w:vAlign w:val="bottom"/>
            <w:gridSpan w:val="6"/>
          </w:tcPr>
          <w:p>
            <w:pPr>
              <w:jc w:val="right"/>
              <w:ind w:right="70"/>
              <w:spacing w:after="0"/>
              <w:rPr>
                <w:sz w:val="20"/>
                <w:szCs w:val="20"/>
                <w:color w:val="auto"/>
              </w:rPr>
            </w:pPr>
            <w:r>
              <w:rPr>
                <w:rFonts w:ascii="Calibri" w:cs="Calibri" w:eastAsia="Calibri" w:hAnsi="Calibri"/>
                <w:sz w:val="18"/>
                <w:szCs w:val="18"/>
                <w:b w:val="1"/>
                <w:bCs w:val="1"/>
                <w:color w:val="auto"/>
              </w:rPr>
              <w:t>Year Ended December 31,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line="210" w:lineRule="exact"/>
              <w:rPr>
                <w:sz w:val="20"/>
                <w:szCs w:val="20"/>
                <w:color w:val="auto"/>
              </w:rPr>
            </w:pPr>
            <w:r>
              <w:rPr>
                <w:rFonts w:ascii="Calibri" w:cs="Calibri" w:eastAsia="Calibri" w:hAnsi="Calibri"/>
                <w:sz w:val="18"/>
                <w:szCs w:val="18"/>
                <w:b w:val="1"/>
                <w:bCs w:val="1"/>
                <w:color w:val="auto"/>
              </w:rPr>
              <w:t>Numerator:</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MS PGothic" w:cs="MS PGothic" w:eastAsia="MS PGothic" w:hAnsi="MS PGothic"/>
                <w:sz w:val="18"/>
                <w:szCs w:val="18"/>
                <w:color w:val="auto"/>
              </w:rPr>
              <w:t>Consolidated net income</w:t>
            </w:r>
          </w:p>
        </w:tc>
        <w:tc>
          <w:tcPr>
            <w:tcW w:w="220" w:type="dxa"/>
            <w:vAlign w:val="bottom"/>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right"/>
              <w:spacing w:after="0"/>
              <w:rPr>
                <w:sz w:val="20"/>
                <w:szCs w:val="20"/>
                <w:color w:val="auto"/>
              </w:rPr>
            </w:pPr>
            <w:r>
              <w:rPr>
                <w:rFonts w:ascii="MS PGothic" w:cs="MS PGothic" w:eastAsia="MS PGothic" w:hAnsi="MS PGothic"/>
                <w:sz w:val="18"/>
                <w:szCs w:val="18"/>
                <w:color w:val="auto"/>
              </w:rPr>
              <w:t>20,972</w:t>
            </w:r>
          </w:p>
        </w:tc>
        <w:tc>
          <w:tcPr>
            <w:tcW w:w="460" w:type="dxa"/>
            <w:vAlign w:val="bottom"/>
            <w:gridSpan w:val="2"/>
          </w:tcPr>
          <w:p>
            <w:pPr>
              <w:jc w:val="right"/>
              <w:ind w:right="30"/>
              <w:spacing w:after="0"/>
              <w:rPr>
                <w:sz w:val="20"/>
                <w:szCs w:val="20"/>
                <w:color w:val="auto"/>
              </w:rPr>
            </w:pPr>
            <w:r>
              <w:rPr>
                <w:rFonts w:ascii="MS PGothic" w:cs="MS PGothic" w:eastAsia="MS PGothic" w:hAnsi="MS PGothic"/>
                <w:sz w:val="18"/>
                <w:szCs w:val="18"/>
                <w:color w:val="auto"/>
              </w:rPr>
              <w:t>$</w:t>
            </w: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22,053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78,954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FF0FC"/>
          </w:tcPr>
          <w:p>
            <w:pPr>
              <w:spacing w:after="0"/>
              <w:rPr>
                <w:sz w:val="20"/>
                <w:szCs w:val="20"/>
                <w:color w:val="auto"/>
              </w:rPr>
            </w:pPr>
            <w:r>
              <w:rPr>
                <w:rFonts w:ascii="MS PGothic" w:cs="MS PGothic" w:eastAsia="MS PGothic" w:hAnsi="MS PGothic"/>
                <w:sz w:val="18"/>
                <w:szCs w:val="18"/>
                <w:color w:val="auto"/>
              </w:rPr>
              <w:t>Net loss atributable to redeemable noncontrolling interest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MS PGothic" w:cs="MS PGothic" w:eastAsia="MS PGothic" w:hAnsi="MS PGothic"/>
                <w:sz w:val="18"/>
                <w:szCs w:val="18"/>
                <w:color w:val="auto"/>
              </w:rPr>
              <w:t>(14,889 )</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MS PGothic" w:cs="MS PGothic" w:eastAsia="MS PGothic" w:hAnsi="MS PGothic"/>
                <w:sz w:val="18"/>
                <w:szCs w:val="18"/>
                <w:color w:val="auto"/>
              </w:rPr>
              <w:t>(5,433 )</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MS PGothic" w:cs="MS PGothic" w:eastAsia="MS PGothic" w:hAnsi="MS PGothic"/>
                <w:sz w:val="18"/>
                <w:szCs w:val="18"/>
                <w:color w:val="auto"/>
              </w:rPr>
              <w:t>Deemed dividend on redempton of noncontrolling interest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MS PGothic" w:cs="MS PGothic" w:eastAsia="MS PGothic" w:hAnsi="MS PGothic"/>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5,838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MS PGothic" w:cs="MS PGothic" w:eastAsia="MS PGothic" w:hAnsi="MS PGothic"/>
                <w:sz w:val="18"/>
                <w:szCs w:val="18"/>
                <w:color w:val="auto"/>
              </w:rPr>
              <w:t>Accreton of redeemable noncontrolling interest to redempton value</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MS PGothic" w:cs="MS PGothic" w:eastAsia="MS PGothic" w:hAnsi="MS PGothic"/>
                <w:sz w:val="18"/>
                <w:szCs w:val="18"/>
                <w:color w:val="auto"/>
              </w:rPr>
              <w:t>(109,398 )</w:t>
            </w: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spacing w:after="0"/>
              <w:rPr>
                <w:sz w:val="20"/>
                <w:szCs w:val="20"/>
                <w:color w:val="auto"/>
              </w:rPr>
            </w:pPr>
            <w:r>
              <w:rPr>
                <w:rFonts w:ascii="MS PGothic" w:cs="MS PGothic" w:eastAsia="MS PGothic" w:hAnsi="MS PGothic"/>
                <w:sz w:val="18"/>
                <w:szCs w:val="18"/>
                <w:color w:val="auto"/>
              </w:rPr>
              <w:t>Net income atributable to common stockholders — basic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MS PGothic" w:cs="MS PGothic" w:eastAsia="MS PGothic" w:hAnsi="MS PGothic"/>
                <w:sz w:val="18"/>
                <w:szCs w:val="18"/>
                <w:color w:val="auto"/>
              </w:rPr>
              <w:t>20,972</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MS PGothic" w:cs="MS PGothic" w:eastAsia="MS PGothic" w:hAnsi="MS PGothic"/>
                <w:sz w:val="18"/>
                <w:szCs w:val="18"/>
                <w:color w:val="auto"/>
              </w:rPr>
              <w:t>31,104</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MS PGothic" w:cs="MS PGothic" w:eastAsia="MS PGothic" w:hAnsi="MS PGothic"/>
                <w:sz w:val="18"/>
                <w:szCs w:val="18"/>
                <w:color w:val="auto"/>
              </w:rPr>
              <w:t>193,785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spacing w:after="0"/>
              <w:rPr>
                <w:sz w:val="20"/>
                <w:szCs w:val="20"/>
                <w:color w:val="auto"/>
              </w:rPr>
            </w:pPr>
            <w:r>
              <w:rPr>
                <w:rFonts w:ascii="MS PGothic" w:cs="MS PGothic" w:eastAsia="MS PGothic" w:hAnsi="MS PGothic"/>
                <w:sz w:val="18"/>
                <w:szCs w:val="18"/>
                <w:color w:val="auto"/>
              </w:rPr>
              <w:t>Net loss atributable to redeemable noncontrolling interest</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rPr>
                <w:sz w:val="20"/>
                <w:szCs w:val="20"/>
                <w:color w:val="auto"/>
              </w:rPr>
            </w:pPr>
            <w:r>
              <w:rPr>
                <w:rFonts w:ascii="MS PGothic" w:cs="MS PGothic" w:eastAsia="MS PGothic" w:hAnsi="MS PGothic"/>
                <w:sz w:val="18"/>
                <w:szCs w:val="18"/>
                <w:color w:val="auto"/>
              </w:rPr>
              <w:t>(14,889 )</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MS PGothic" w:cs="MS PGothic" w:eastAsia="MS PGothic" w:hAnsi="MS PGothic"/>
                <w:sz w:val="18"/>
                <w:szCs w:val="18"/>
                <w:color w:val="auto"/>
              </w:rPr>
              <w:t>(5,433 )</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MS PGothic" w:cs="MS PGothic" w:eastAsia="MS PGothic" w:hAnsi="MS PGothic"/>
                <w:sz w:val="18"/>
                <w:szCs w:val="18"/>
                <w:color w:val="auto"/>
              </w:rPr>
              <w:t>Deemed dividend on redempton of noncontrolling interest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MS PGothic" w:cs="MS PGothic" w:eastAsia="MS PGothic" w:hAnsi="MS PGothic"/>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5,838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MS PGothic" w:cs="MS PGothic" w:eastAsia="MS PGothic" w:hAnsi="MS PGothic"/>
                <w:sz w:val="18"/>
                <w:szCs w:val="18"/>
                <w:color w:val="auto"/>
              </w:rPr>
              <w:t>Accreton of redeemable noncontrolling interest to redempton value</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MS PGothic" w:cs="MS PGothic" w:eastAsia="MS PGothic" w:hAnsi="MS PGothic"/>
                <w:sz w:val="18"/>
                <w:szCs w:val="18"/>
                <w:color w:val="auto"/>
              </w:rPr>
              <w:t>(109,398 )</w:t>
            </w: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spacing w:after="0"/>
              <w:rPr>
                <w:sz w:val="20"/>
                <w:szCs w:val="20"/>
                <w:color w:val="auto"/>
              </w:rPr>
            </w:pPr>
            <w:r>
              <w:rPr>
                <w:rFonts w:ascii="MS PGothic" w:cs="MS PGothic" w:eastAsia="MS PGothic" w:hAnsi="MS PGothic"/>
                <w:sz w:val="18"/>
                <w:szCs w:val="18"/>
                <w:color w:val="auto"/>
              </w:rPr>
              <w:t>Net income atributable to common stockholders — diluted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MS PGothic" w:cs="MS PGothic" w:eastAsia="MS PGothic" w:hAnsi="MS PGothic"/>
                <w:sz w:val="18"/>
                <w:szCs w:val="18"/>
                <w:color w:val="auto"/>
              </w:rPr>
              <w:t>20,972</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MS PGothic" w:cs="MS PGothic" w:eastAsia="MS PGothic" w:hAnsi="MS PGothic"/>
                <w:sz w:val="18"/>
                <w:szCs w:val="18"/>
                <w:color w:val="auto"/>
              </w:rPr>
              <w:t>22,053</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MS PGothic" w:cs="MS PGothic" w:eastAsia="MS PGothic" w:hAnsi="MS PGothic"/>
                <w:sz w:val="18"/>
                <w:szCs w:val="18"/>
                <w:color w:val="auto"/>
              </w:rPr>
              <w:t>78,954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FF0FC"/>
          </w:tcPr>
          <w:p>
            <w:pPr>
              <w:spacing w:after="0" w:line="197" w:lineRule="exact"/>
              <w:rPr>
                <w:sz w:val="20"/>
                <w:szCs w:val="20"/>
                <w:color w:val="auto"/>
              </w:rPr>
            </w:pPr>
            <w:r>
              <w:rPr>
                <w:rFonts w:ascii="Calibri" w:cs="Calibri" w:eastAsia="Calibri" w:hAnsi="Calibri"/>
                <w:sz w:val="18"/>
                <w:szCs w:val="18"/>
                <w:b w:val="1"/>
                <w:bCs w:val="1"/>
                <w:color w:val="auto"/>
              </w:rPr>
              <w:t>Denominator:</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780" w:type="dxa"/>
            <w:vAlign w:val="bottom"/>
          </w:tcPr>
          <w:p>
            <w:pPr>
              <w:spacing w:after="0"/>
              <w:rPr>
                <w:sz w:val="20"/>
                <w:szCs w:val="20"/>
                <w:color w:val="auto"/>
              </w:rPr>
            </w:pPr>
            <w:r>
              <w:rPr>
                <w:rFonts w:ascii="MS PGothic" w:cs="MS PGothic" w:eastAsia="MS PGothic" w:hAnsi="MS PGothic"/>
                <w:sz w:val="18"/>
                <w:szCs w:val="18"/>
                <w:color w:val="auto"/>
              </w:rPr>
              <w:t>Weighted-average number of shares of common stock used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120"/>
              <w:spacing w:after="0"/>
              <w:rPr>
                <w:sz w:val="20"/>
                <w:szCs w:val="20"/>
                <w:color w:val="auto"/>
              </w:rPr>
            </w:pPr>
            <w:r>
              <w:rPr>
                <w:rFonts w:ascii="MS PGothic" w:cs="MS PGothic" w:eastAsia="MS PGothic" w:hAnsi="MS PGothic"/>
                <w:sz w:val="18"/>
                <w:szCs w:val="18"/>
                <w:color w:val="auto"/>
              </w:rPr>
              <w:t>in computng net income per share atributable to</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MS PGothic" w:cs="MS PGothic" w:eastAsia="MS PGothic" w:hAnsi="MS PGothic"/>
                <w:sz w:val="18"/>
                <w:szCs w:val="18"/>
                <w:color w:val="auto"/>
              </w:rPr>
              <w:t>common stockholders — basic</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MS PGothic" w:cs="MS PGothic" w:eastAsia="MS PGothic" w:hAnsi="MS PGothic"/>
                <w:sz w:val="18"/>
                <w:szCs w:val="18"/>
                <w:color w:val="auto"/>
              </w:rPr>
              <w:t>104,535,572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113,240,139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118,474,991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780" w:type="dxa"/>
            <w:vAlign w:val="bottom"/>
            <w:shd w:val="clear" w:color="auto" w:fill="CFF0FC"/>
          </w:tcPr>
          <w:p>
            <w:pPr>
              <w:ind w:left="180"/>
              <w:spacing w:after="0"/>
              <w:rPr>
                <w:sz w:val="20"/>
                <w:szCs w:val="20"/>
                <w:color w:val="auto"/>
              </w:rPr>
            </w:pPr>
            <w:r>
              <w:rPr>
                <w:rFonts w:ascii="MS PGothic" w:cs="MS PGothic" w:eastAsia="MS PGothic" w:hAnsi="MS PGothic"/>
                <w:sz w:val="18"/>
                <w:szCs w:val="18"/>
                <w:color w:val="auto"/>
              </w:rPr>
              <w:t>Dilutve efect of share equivalents resultng from stock</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80" w:type="dxa"/>
            <w:vAlign w:val="bottom"/>
            <w:tcBorders>
              <w:bottom w:val="single" w:sz="8" w:color="CFF0FC"/>
            </w:tcBorders>
            <w:shd w:val="clear" w:color="auto" w:fill="CFF0FC"/>
          </w:tcPr>
          <w:p>
            <w:pPr>
              <w:ind w:left="300"/>
              <w:spacing w:after="0"/>
              <w:rPr>
                <w:sz w:val="20"/>
                <w:szCs w:val="20"/>
                <w:color w:val="auto"/>
              </w:rPr>
            </w:pPr>
            <w:r>
              <w:rPr>
                <w:rFonts w:ascii="MS PGothic" w:cs="MS PGothic" w:eastAsia="MS PGothic" w:hAnsi="MS PGothic"/>
                <w:sz w:val="18"/>
                <w:szCs w:val="18"/>
                <w:color w:val="auto"/>
              </w:rPr>
              <w:t>optons</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134,370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225,691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275,330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780" w:type="dxa"/>
            <w:vAlign w:val="bottom"/>
          </w:tcPr>
          <w:p>
            <w:pPr>
              <w:ind w:left="180"/>
              <w:spacing w:after="0"/>
              <w:rPr>
                <w:sz w:val="20"/>
                <w:szCs w:val="20"/>
                <w:color w:val="auto"/>
              </w:rPr>
            </w:pPr>
            <w:r>
              <w:rPr>
                <w:rFonts w:ascii="MS PGothic" w:cs="MS PGothic" w:eastAsia="MS PGothic" w:hAnsi="MS PGothic"/>
                <w:sz w:val="18"/>
                <w:szCs w:val="18"/>
                <w:color w:val="auto"/>
              </w:rPr>
              <w:t>Dilutve efect of share equivalents resultng from</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300"/>
              <w:spacing w:after="0"/>
              <w:rPr>
                <w:sz w:val="20"/>
                <w:szCs w:val="20"/>
                <w:color w:val="auto"/>
              </w:rPr>
            </w:pPr>
            <w:r>
              <w:rPr>
                <w:rFonts w:ascii="MS PGothic" w:cs="MS PGothic" w:eastAsia="MS PGothic" w:hAnsi="MS PGothic"/>
                <w:sz w:val="18"/>
                <w:szCs w:val="18"/>
                <w:color w:val="auto"/>
              </w:rPr>
              <w:t>unvested restricted stock units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MS PGothic" w:cs="MS PGothic" w:eastAsia="MS PGothic" w:hAnsi="MS PGothic"/>
                <w:sz w:val="18"/>
                <w:szCs w:val="18"/>
                <w:color w:val="auto"/>
              </w:rPr>
              <w:t>1,593,944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723,004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366,258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780" w:type="dxa"/>
            <w:vAlign w:val="bottom"/>
            <w:shd w:val="clear" w:color="auto" w:fill="CFF0FC"/>
          </w:tcPr>
          <w:p>
            <w:pPr>
              <w:ind w:left="180"/>
              <w:spacing w:after="0"/>
              <w:rPr>
                <w:sz w:val="20"/>
                <w:szCs w:val="20"/>
                <w:color w:val="auto"/>
              </w:rPr>
            </w:pPr>
            <w:r>
              <w:rPr>
                <w:rFonts w:ascii="MS PGothic" w:cs="MS PGothic" w:eastAsia="MS PGothic" w:hAnsi="MS PGothic"/>
                <w:sz w:val="18"/>
                <w:szCs w:val="18"/>
                <w:color w:val="auto"/>
              </w:rPr>
              <w:t>Dilutve efect of share equivalents resultng from CO Incentve units,</w:t>
            </w:r>
          </w:p>
        </w:tc>
        <w:tc>
          <w:tcPr>
            <w:tcW w:w="22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MS PGothic" w:cs="MS PGothic" w:eastAsia="MS PGothic" w:hAnsi="MS PGothic"/>
                <w:sz w:val="18"/>
                <w:szCs w:val="18"/>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MS PGothic" w:cs="MS PGothic" w:eastAsia="MS PGothic" w:hAnsi="MS PGothic"/>
                <w:sz w:val="18"/>
                <w:szCs w:val="18"/>
                <w:color w:val="auto"/>
              </w:rPr>
              <w:t>9,034,395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780" w:type="dxa"/>
            <w:vAlign w:val="bottom"/>
            <w:shd w:val="clear" w:color="auto" w:fill="CFF0FC"/>
          </w:tcPr>
          <w:p>
            <w:pPr>
              <w:ind w:left="300"/>
              <w:spacing w:after="0"/>
              <w:rPr>
                <w:sz w:val="20"/>
                <w:szCs w:val="20"/>
                <w:color w:val="auto"/>
              </w:rPr>
            </w:pPr>
            <w:r>
              <w:rPr>
                <w:rFonts w:ascii="MS PGothic" w:cs="MS PGothic" w:eastAsia="MS PGothic" w:hAnsi="MS PGothic"/>
                <w:sz w:val="18"/>
                <w:szCs w:val="18"/>
                <w:color w:val="auto"/>
              </w:rPr>
              <w:t>Subject Units, and noncontrolling interest</w:t>
            </w:r>
          </w:p>
        </w:tc>
        <w:tc>
          <w:tcPr>
            <w:tcW w:w="22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780" w:type="dxa"/>
            <w:vAlign w:val="bottom"/>
            <w:tcBorders>
              <w:top w:val="single" w:sz="8" w:color="CFF0FC"/>
            </w:tcBorders>
          </w:tcPr>
          <w:p>
            <w:pPr>
              <w:ind w:left="180"/>
              <w:spacing w:after="0"/>
              <w:rPr>
                <w:sz w:val="20"/>
                <w:szCs w:val="20"/>
                <w:color w:val="auto"/>
              </w:rPr>
            </w:pPr>
            <w:r>
              <w:rPr>
                <w:rFonts w:ascii="MS PGothic" w:cs="MS PGothic" w:eastAsia="MS PGothic" w:hAnsi="MS PGothic"/>
                <w:sz w:val="18"/>
                <w:szCs w:val="18"/>
                <w:color w:val="auto"/>
              </w:rPr>
              <w:t>Weighted-average number of shares of common stock</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300"/>
              <w:spacing w:after="0"/>
              <w:rPr>
                <w:sz w:val="20"/>
                <w:szCs w:val="20"/>
                <w:color w:val="auto"/>
              </w:rPr>
            </w:pPr>
            <w:r>
              <w:rPr>
                <w:rFonts w:ascii="MS PGothic" w:cs="MS PGothic" w:eastAsia="MS PGothic" w:hAnsi="MS PGothic"/>
                <w:sz w:val="18"/>
                <w:szCs w:val="18"/>
                <w:color w:val="auto"/>
              </w:rPr>
              <w:t>used in computng net income per share atributable to</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00"/>
              <w:spacing w:after="0"/>
              <w:rPr>
                <w:sz w:val="20"/>
                <w:szCs w:val="20"/>
                <w:color w:val="auto"/>
              </w:rPr>
            </w:pPr>
            <w:r>
              <w:rPr>
                <w:rFonts w:ascii="MS PGothic" w:cs="MS PGothic" w:eastAsia="MS PGothic" w:hAnsi="MS PGothic"/>
                <w:sz w:val="18"/>
                <w:szCs w:val="18"/>
                <w:color w:val="auto"/>
              </w:rPr>
              <w:t>common stockholders — diluted</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MS PGothic" w:cs="MS PGothic" w:eastAsia="MS PGothic" w:hAnsi="MS PGothic"/>
                <w:sz w:val="18"/>
                <w:szCs w:val="18"/>
                <w:color w:val="auto"/>
              </w:rPr>
              <w:t>106,263,886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114,188,834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128,150,974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780" w:type="dxa"/>
            <w:vAlign w:val="bottom"/>
            <w:shd w:val="clear" w:color="auto" w:fill="CFF0FC"/>
          </w:tcPr>
          <w:p>
            <w:pPr>
              <w:spacing w:after="0"/>
              <w:rPr>
                <w:sz w:val="20"/>
                <w:szCs w:val="20"/>
                <w:color w:val="auto"/>
              </w:rPr>
            </w:pPr>
            <w:r>
              <w:rPr>
                <w:rFonts w:ascii="MS PGothic" w:cs="MS PGothic" w:eastAsia="MS PGothic" w:hAnsi="MS PGothic"/>
                <w:sz w:val="18"/>
                <w:szCs w:val="18"/>
                <w:color w:val="auto"/>
              </w:rPr>
              <w:t>Net income per share atributable to common</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80" w:type="dxa"/>
            <w:vAlign w:val="bottom"/>
            <w:tcBorders>
              <w:bottom w:val="single" w:sz="8" w:color="CFF0FC"/>
            </w:tcBorders>
            <w:shd w:val="clear" w:color="auto" w:fill="CFF0FC"/>
          </w:tcPr>
          <w:p>
            <w:pPr>
              <w:ind w:left="120"/>
              <w:spacing w:after="0"/>
              <w:rPr>
                <w:sz w:val="20"/>
                <w:szCs w:val="20"/>
                <w:color w:val="auto"/>
              </w:rPr>
            </w:pPr>
            <w:r>
              <w:rPr>
                <w:rFonts w:ascii="MS PGothic" w:cs="MS PGothic" w:eastAsia="MS PGothic" w:hAnsi="MS PGothic"/>
                <w:sz w:val="18"/>
                <w:szCs w:val="18"/>
                <w:color w:val="auto"/>
              </w:rPr>
              <w:t>stockholders:</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MS PGothic" w:cs="MS PGothic" w:eastAsia="MS PGothic" w:hAnsi="MS PGothic"/>
                <w:sz w:val="18"/>
                <w:szCs w:val="18"/>
                <w:color w:val="auto"/>
              </w:rPr>
              <w:t>Basic</w:t>
            </w:r>
          </w:p>
        </w:tc>
        <w:tc>
          <w:tcPr>
            <w:tcW w:w="220" w:type="dxa"/>
            <w:vAlign w:val="bottom"/>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right"/>
              <w:spacing w:after="0"/>
              <w:rPr>
                <w:sz w:val="20"/>
                <w:szCs w:val="20"/>
                <w:color w:val="auto"/>
              </w:rPr>
            </w:pPr>
            <w:r>
              <w:rPr>
                <w:rFonts w:ascii="MS PGothic" w:cs="MS PGothic" w:eastAsia="MS PGothic" w:hAnsi="MS PGothic"/>
                <w:sz w:val="18"/>
                <w:szCs w:val="18"/>
                <w:color w:val="auto"/>
              </w:rPr>
              <w:t>0.20</w:t>
            </w:r>
          </w:p>
        </w:tc>
        <w:tc>
          <w:tcPr>
            <w:tcW w:w="460" w:type="dxa"/>
            <w:vAlign w:val="bottom"/>
            <w:gridSpan w:val="2"/>
          </w:tcPr>
          <w:p>
            <w:pPr>
              <w:jc w:val="right"/>
              <w:ind w:right="30"/>
              <w:spacing w:after="0"/>
              <w:rPr>
                <w:sz w:val="20"/>
                <w:szCs w:val="20"/>
                <w:color w:val="auto"/>
              </w:rPr>
            </w:pPr>
            <w:r>
              <w:rPr>
                <w:rFonts w:ascii="MS PGothic" w:cs="MS PGothic" w:eastAsia="MS PGothic" w:hAnsi="MS PGothic"/>
                <w:sz w:val="18"/>
                <w:szCs w:val="18"/>
                <w:color w:val="auto"/>
              </w:rPr>
              <w:t>$</w:t>
            </w: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0.27</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20" w:type="dxa"/>
            <w:vAlign w:val="bottom"/>
          </w:tcPr>
          <w:p>
            <w:pPr>
              <w:jc w:val="right"/>
              <w:spacing w:after="0"/>
              <w:rPr>
                <w:sz w:val="20"/>
                <w:szCs w:val="20"/>
                <w:color w:val="auto"/>
              </w:rPr>
            </w:pPr>
            <w:r>
              <w:rPr>
                <w:rFonts w:ascii="MS PGothic" w:cs="MS PGothic" w:eastAsia="MS PGothic" w:hAnsi="MS PGothic"/>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8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8"/>
                <w:szCs w:val="18"/>
                <w:color w:val="auto"/>
              </w:rPr>
              <w:t>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0.20</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0.19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MS PGothic" w:cs="MS PGothic" w:eastAsia="MS PGothic" w:hAnsi="MS PGothic"/>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MS PGothic" w:cs="MS PGothic" w:eastAsia="MS PGothic" w:hAnsi="MS PGothic"/>
                <w:sz w:val="18"/>
                <w:szCs w:val="18"/>
                <w:color w:val="auto"/>
              </w:rPr>
              <w:t>0.62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-3136900</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-3136900</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-3136900</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-2553970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-2553970</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-2553970</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-1019810</wp:posOffset>
            </wp:positionV>
            <wp:extent cx="603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-1019810</wp:posOffset>
            </wp:positionV>
            <wp:extent cx="603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-1019810</wp:posOffset>
            </wp:positionV>
            <wp:extent cx="603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03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0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8" w:lineRule="exact"/>
        <w:rPr>
          <w:sz w:val="20"/>
          <w:szCs w:val="20"/>
          <w:color w:val="auto"/>
        </w:rPr>
      </w:pPr>
    </w:p>
    <w:p>
      <w:pPr>
        <w:ind w:right="20"/>
        <w:spacing w:after="0" w:line="334" w:lineRule="auto"/>
        <w:rPr>
          <w:sz w:val="20"/>
          <w:szCs w:val="20"/>
          <w:color w:val="auto"/>
        </w:rPr>
      </w:pPr>
      <w:r>
        <w:rPr>
          <w:rFonts w:ascii="MS PGothic" w:cs="MS PGothic" w:eastAsia="MS PGothic" w:hAnsi="MS PGothic"/>
          <w:sz w:val="18"/>
          <w:szCs w:val="18"/>
          <w:color w:val="00002D"/>
        </w:rPr>
        <w:t>For the years ended December 31, 2024, 2023, and 2022, potentally dilutve common stock equivalents that have been excluded from the calculaton of diluted weighted‑average shares outstanding as their efect would have been ant‑dilutve was as follows: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900" w:type="dxa"/>
            <w:vAlign w:val="bottom"/>
          </w:tcPr>
          <w:p>
            <w:pPr>
              <w:spacing w:after="0"/>
              <w:rPr>
                <w:sz w:val="19"/>
                <w:szCs w:val="19"/>
                <w:color w:val="auto"/>
              </w:rPr>
            </w:pPr>
          </w:p>
        </w:tc>
        <w:tc>
          <w:tcPr>
            <w:tcW w:w="3140" w:type="dxa"/>
            <w:vAlign w:val="bottom"/>
            <w:gridSpan w:val="5"/>
          </w:tcPr>
          <w:p>
            <w:pPr>
              <w:ind w:left="1100"/>
              <w:spacing w:after="0"/>
              <w:rPr>
                <w:sz w:val="20"/>
                <w:szCs w:val="20"/>
                <w:color w:val="auto"/>
              </w:rPr>
            </w:pPr>
            <w:r>
              <w:rPr>
                <w:rFonts w:ascii="Calibri" w:cs="Calibri" w:eastAsia="Calibri" w:hAnsi="Calibri"/>
                <w:sz w:val="18"/>
                <w:szCs w:val="18"/>
                <w:b w:val="1"/>
                <w:bCs w:val="1"/>
                <w:color w:val="auto"/>
              </w:rPr>
              <w:t>Year Ended December 31,</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9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5900" w:type="dxa"/>
            <w:vAlign w:val="bottom"/>
          </w:tcPr>
          <w:p>
            <w:pPr>
              <w:spacing w:after="0"/>
              <w:rPr>
                <w:sz w:val="18"/>
                <w:szCs w:val="18"/>
                <w:color w:val="auto"/>
              </w:rPr>
            </w:pPr>
          </w:p>
        </w:tc>
        <w:tc>
          <w:tcPr>
            <w:tcW w:w="124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2023</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00" w:type="dxa"/>
            <w:vAlign w:val="bottom"/>
            <w:shd w:val="clear" w:color="auto" w:fill="CFF0FC"/>
          </w:tcPr>
          <w:p>
            <w:pPr>
              <w:spacing w:after="0"/>
              <w:rPr>
                <w:sz w:val="20"/>
                <w:szCs w:val="20"/>
                <w:color w:val="auto"/>
              </w:rPr>
            </w:pPr>
            <w:r>
              <w:rPr>
                <w:rFonts w:ascii="MS PGothic" w:cs="MS PGothic" w:eastAsia="MS PGothic" w:hAnsi="MS PGothic"/>
                <w:sz w:val="18"/>
                <w:szCs w:val="18"/>
                <w:color w:val="auto"/>
              </w:rPr>
              <w:t>Stock optons outstanding</w:t>
            </w:r>
          </w:p>
        </w:tc>
        <w:tc>
          <w:tcPr>
            <w:tcW w:w="124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503,505</w:t>
            </w:r>
          </w:p>
        </w:tc>
        <w:tc>
          <w:tcPr>
            <w:tcW w:w="1440" w:type="dxa"/>
            <w:vAlign w:val="bottom"/>
            <w:gridSpan w:val="2"/>
            <w:shd w:val="clear" w:color="auto" w:fill="CFF0FC"/>
          </w:tcPr>
          <w:p>
            <w:pPr>
              <w:jc w:val="right"/>
              <w:spacing w:after="0"/>
              <w:rPr>
                <w:sz w:val="20"/>
                <w:szCs w:val="20"/>
                <w:color w:val="auto"/>
              </w:rPr>
            </w:pPr>
            <w:r>
              <w:rPr>
                <w:rFonts w:ascii="MS PGothic" w:cs="MS PGothic" w:eastAsia="MS PGothic" w:hAnsi="MS PGothic"/>
                <w:sz w:val="18"/>
                <w:szCs w:val="18"/>
                <w:color w:val="auto"/>
              </w:rPr>
              <w:t>551,196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MS PGothic" w:cs="MS PGothic" w:eastAsia="MS PGothic" w:hAnsi="MS PGothic"/>
                <w:sz w:val="18"/>
                <w:szCs w:val="18"/>
                <w:color w:val="auto"/>
              </w:rPr>
              <w:t>587,494</w:t>
            </w: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spacing w:after="0"/>
              <w:rPr>
                <w:sz w:val="20"/>
                <w:szCs w:val="20"/>
                <w:color w:val="auto"/>
              </w:rPr>
            </w:pPr>
            <w:r>
              <w:rPr>
                <w:rFonts w:ascii="MS PGothic" w:cs="MS PGothic" w:eastAsia="MS PGothic" w:hAnsi="MS PGothic"/>
                <w:sz w:val="18"/>
                <w:szCs w:val="18"/>
                <w:color w:val="auto"/>
              </w:rPr>
              <w:t>Restricted stock units outstanding</w:t>
            </w:r>
          </w:p>
        </w:tc>
        <w:tc>
          <w:tcPr>
            <w:tcW w:w="1240" w:type="dxa"/>
            <w:vAlign w:val="bottom"/>
          </w:tcPr>
          <w:p>
            <w:pPr>
              <w:jc w:val="right"/>
              <w:spacing w:after="0"/>
              <w:rPr>
                <w:sz w:val="20"/>
                <w:szCs w:val="20"/>
                <w:color w:val="auto"/>
              </w:rPr>
            </w:pPr>
            <w:r>
              <w:rPr>
                <w:rFonts w:ascii="MS PGothic" w:cs="MS PGothic" w:eastAsia="MS PGothic" w:hAnsi="MS PGothic"/>
                <w:sz w:val="18"/>
                <w:szCs w:val="18"/>
                <w:color w:val="auto"/>
              </w:rPr>
              <w:t>656,589</w:t>
            </w:r>
          </w:p>
        </w:tc>
        <w:tc>
          <w:tcPr>
            <w:tcW w:w="1440" w:type="dxa"/>
            <w:vAlign w:val="bottom"/>
            <w:gridSpan w:val="2"/>
          </w:tcPr>
          <w:p>
            <w:pPr>
              <w:jc w:val="right"/>
              <w:spacing w:after="0"/>
              <w:rPr>
                <w:sz w:val="20"/>
                <w:szCs w:val="20"/>
                <w:color w:val="auto"/>
              </w:rPr>
            </w:pPr>
            <w:r>
              <w:rPr>
                <w:rFonts w:ascii="MS PGothic" w:cs="MS PGothic" w:eastAsia="MS PGothic" w:hAnsi="MS PGothic"/>
                <w:sz w:val="18"/>
                <w:szCs w:val="18"/>
                <w:color w:val="auto"/>
              </w:rPr>
              <w:t>2,333,489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MS PGothic" w:cs="MS PGothic" w:eastAsia="MS PGothic" w:hAnsi="MS PGothic"/>
                <w:sz w:val="18"/>
                <w:szCs w:val="18"/>
                <w:color w:val="auto"/>
              </w:rPr>
              <w:t>2,634,463</w:t>
            </w:r>
          </w:p>
        </w:tc>
        <w:tc>
          <w:tcPr>
            <w:tcW w:w="100" w:type="dxa"/>
            <w:vAlign w:val="bottom"/>
          </w:tcPr>
          <w:p>
            <w:pPr>
              <w:spacing w:after="0"/>
              <w:rPr>
                <w:sz w:val="18"/>
                <w:szCs w:val="18"/>
                <w:color w:val="auto"/>
              </w:rPr>
            </w:pPr>
          </w:p>
        </w:tc>
      </w:tr>
    </w:tbl>
    <w:p>
      <w:pPr>
        <w:spacing w:after="0" w:line="195" w:lineRule="exact"/>
        <w:rPr>
          <w:sz w:val="20"/>
          <w:szCs w:val="20"/>
          <w:color w:val="auto"/>
        </w:rPr>
      </w:pPr>
    </w:p>
    <w:p>
      <w:pPr>
        <w:spacing w:after="0"/>
        <w:rPr>
          <w:sz w:val="20"/>
          <w:szCs w:val="20"/>
          <w:color w:val="auto"/>
        </w:rPr>
      </w:pPr>
      <w:r>
        <w:rPr>
          <w:rFonts w:ascii="MS PGothic" w:cs="MS PGothic" w:eastAsia="MS PGothic" w:hAnsi="MS PGothic"/>
          <w:sz w:val="18"/>
          <w:szCs w:val="18"/>
          <w:color w:val="00002D"/>
        </w:rPr>
        <w:t>For the years ended December 31, 2024 and 2023, there were no contngently issuable shares as a result of the 2023 CarOfer Transacton.</w:t>
      </w:r>
    </w:p>
    <w:p>
      <w:pPr>
        <w:spacing w:after="0" w:line="252" w:lineRule="exact"/>
        <w:rPr>
          <w:sz w:val="20"/>
          <w:szCs w:val="20"/>
          <w:color w:val="auto"/>
        </w:rPr>
      </w:pPr>
    </w:p>
    <w:p>
      <w:pPr>
        <w:spacing w:after="0" w:line="368" w:lineRule="auto"/>
        <w:rPr>
          <w:sz w:val="20"/>
          <w:szCs w:val="20"/>
          <w:color w:val="auto"/>
        </w:rPr>
      </w:pPr>
      <w:r>
        <w:rPr>
          <w:rFonts w:ascii="MS PGothic" w:cs="MS PGothic" w:eastAsia="MS PGothic" w:hAnsi="MS PGothic"/>
          <w:sz w:val="17"/>
          <w:szCs w:val="17"/>
          <w:color w:val="00002D"/>
        </w:rPr>
        <w:t>During the year ended December 31, 2022, the Company modifed its market-based performance awards to contain only service-based vestng conditons in line with the Company’s other RSU awards. As a result, there are no market-based RSUs outstanding as of December 31, 2024, 2023, or 2022.</w:t>
      </w:r>
    </w:p>
    <w:p>
      <w:pPr>
        <w:spacing w:after="0" w:line="127" w:lineRule="exact"/>
        <w:rPr>
          <w:sz w:val="20"/>
          <w:szCs w:val="20"/>
          <w:color w:val="auto"/>
        </w:rPr>
      </w:pPr>
    </w:p>
    <w:p>
      <w:pPr>
        <w:jc w:val="center"/>
        <w:ind w:right="-19"/>
        <w:spacing w:after="0"/>
        <w:rPr>
          <w:sz w:val="20"/>
          <w:szCs w:val="20"/>
          <w:color w:val="auto"/>
        </w:rPr>
      </w:pPr>
      <w:r>
        <w:rPr>
          <w:rFonts w:ascii="MS PGothic" w:cs="MS PGothic" w:eastAsia="MS PGothic" w:hAnsi="MS PGothic"/>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6" w:name="page117"/>
    <w:bookmarkEnd w:id="11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13. Income Taxes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2023, and 2022, the domestc and foreign components of income before income taxes were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80"/>
              <w:spacing w:after="0"/>
              <w:rPr>
                <w:sz w:val="20"/>
                <w:szCs w:val="20"/>
                <w:color w:val="auto"/>
              </w:rPr>
            </w:pPr>
            <w:r>
              <w:rPr>
                <w:rFonts w:ascii="Calibri" w:cs="Calibri" w:eastAsia="Calibri" w:hAnsi="Calibri"/>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r>
      <w:tr>
        <w:trPr>
          <w:trHeight w:val="212"/>
        </w:trPr>
        <w:tc>
          <w:tcPr>
            <w:tcW w:w="5900" w:type="dxa"/>
            <w:vAlign w:val="bottom"/>
            <w:shd w:val="clear" w:color="auto" w:fill="CFF0FC"/>
          </w:tcPr>
          <w:p>
            <w:pPr>
              <w:ind w:left="180"/>
              <w:spacing w:after="0" w:line="212" w:lineRule="exact"/>
              <w:rPr>
                <w:sz w:val="20"/>
                <w:szCs w:val="20"/>
                <w:color w:val="auto"/>
              </w:rPr>
            </w:pPr>
            <w:r>
              <w:rPr>
                <w:rFonts w:ascii="Calibri" w:cs="Calibri" w:eastAsia="Calibri" w:hAnsi="Calibri"/>
                <w:sz w:val="18"/>
                <w:szCs w:val="18"/>
                <w:color w:val="auto"/>
              </w:rPr>
              <w:t>United States</w:t>
            </w:r>
          </w:p>
        </w:tc>
        <w:tc>
          <w:tcPr>
            <w:tcW w:w="280" w:type="dxa"/>
            <w:vAlign w:val="bottom"/>
            <w:shd w:val="clear" w:color="auto" w:fill="CFF0FC"/>
          </w:tcPr>
          <w:p>
            <w:pPr>
              <w:jc w:val="right"/>
              <w:ind w:right="70"/>
              <w:spacing w:after="0" w:line="212"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21,936</w:t>
            </w:r>
          </w:p>
        </w:tc>
        <w:tc>
          <w:tcPr>
            <w:tcW w:w="520" w:type="dxa"/>
            <w:vAlign w:val="bottom"/>
            <w:gridSpan w:val="2"/>
            <w:shd w:val="clear" w:color="auto" w:fill="CFF0FC"/>
          </w:tcPr>
          <w:p>
            <w:pPr>
              <w:jc w:val="right"/>
              <w:ind w:right="70"/>
              <w:spacing w:after="0" w:line="212"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50,632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2"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110,213</w:t>
            </w: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Foreign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2,721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1,055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1,149</w:t>
            </w:r>
          </w:p>
        </w:tc>
        <w:tc>
          <w:tcPr>
            <w:tcW w:w="100" w:type="dxa"/>
            <w:vAlign w:val="bottom"/>
          </w:tcPr>
          <w:p>
            <w:pPr>
              <w:spacing w:after="0"/>
              <w:rPr>
                <w:sz w:val="18"/>
                <w:szCs w:val="18"/>
                <w:color w:val="auto"/>
              </w:rPr>
            </w:pPr>
          </w:p>
        </w:tc>
      </w:tr>
      <w:tr>
        <w:trPr>
          <w:trHeight w:val="249"/>
        </w:trPr>
        <w:tc>
          <w:tcPr>
            <w:tcW w:w="590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Income before income taxes</w:t>
            </w:r>
          </w:p>
        </w:tc>
        <w:tc>
          <w:tcPr>
            <w:tcW w:w="28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24,657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51,687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111,362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2023, and 2022, the components of the provision for income taxes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spacing w:after="0"/>
              <w:rPr>
                <w:sz w:val="20"/>
                <w:szCs w:val="20"/>
                <w:color w:val="auto"/>
              </w:rPr>
            </w:pPr>
            <w:r>
              <w:rPr>
                <w:rFonts w:ascii="Calibri" w:cs="Calibri" w:eastAsia="Calibri" w:hAnsi="Calibri"/>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5900" w:type="dxa"/>
            <w:vAlign w:val="bottom"/>
            <w:gridSpan w:val="2"/>
            <w:shd w:val="clear" w:color="auto" w:fill="CFF0FC"/>
          </w:tcPr>
          <w:p>
            <w:pPr>
              <w:spacing w:after="0" w:line="212" w:lineRule="exact"/>
              <w:rPr>
                <w:sz w:val="20"/>
                <w:szCs w:val="20"/>
                <w:color w:val="auto"/>
              </w:rPr>
            </w:pPr>
            <w:r>
              <w:rPr>
                <w:rFonts w:ascii="Calibri" w:cs="Calibri" w:eastAsia="Calibri" w:hAnsi="Calibri"/>
                <w:sz w:val="18"/>
                <w:szCs w:val="18"/>
                <w:color w:val="auto"/>
              </w:rPr>
              <w:t>Current provision:</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9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Federal</w:t>
            </w: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24,343</w:t>
            </w:r>
          </w:p>
        </w:tc>
        <w:tc>
          <w:tcPr>
            <w:tcW w:w="80" w:type="dxa"/>
            <w:vAlign w:val="bottom"/>
          </w:tcPr>
          <w:p>
            <w:pPr>
              <w:spacing w:after="0"/>
              <w:rPr>
                <w:sz w:val="18"/>
                <w:szCs w:val="18"/>
                <w:color w:val="auto"/>
              </w:rPr>
            </w:pPr>
          </w:p>
        </w:tc>
        <w:tc>
          <w:tcPr>
            <w:tcW w:w="480" w:type="dxa"/>
            <w:vAlign w:val="bottom"/>
            <w:gridSpan w:val="3"/>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52,352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43,207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State</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12,134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14,614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9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Foreign</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556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line="215" w:lineRule="exact"/>
              <w:rPr>
                <w:sz w:val="20"/>
                <w:szCs w:val="20"/>
                <w:color w:val="auto"/>
              </w:rPr>
            </w:pPr>
            <w:r>
              <w:rPr>
                <w:rFonts w:ascii="Calibri" w:cs="Calibri" w:eastAsia="Calibri" w:hAnsi="Calibri"/>
                <w:sz w:val="18"/>
                <w:szCs w:val="18"/>
                <w:color w:val="auto"/>
              </w:rPr>
              <w:t>532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37,033</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67,498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54,522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900" w:type="dxa"/>
            <w:vAlign w:val="bottom"/>
            <w:gridSpan w:val="2"/>
          </w:tcPr>
          <w:p>
            <w:pPr>
              <w:spacing w:after="0" w:line="209" w:lineRule="exact"/>
              <w:rPr>
                <w:sz w:val="20"/>
                <w:szCs w:val="20"/>
                <w:color w:val="auto"/>
              </w:rPr>
            </w:pPr>
            <w:r>
              <w:rPr>
                <w:rFonts w:ascii="Calibri" w:cs="Calibri" w:eastAsia="Calibri" w:hAnsi="Calibri"/>
                <w:sz w:val="18"/>
                <w:szCs w:val="18"/>
                <w:color w:val="auto"/>
              </w:rPr>
              <w:t>Deferred beneft: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Federal</w:t>
            </w:r>
          </w:p>
        </w:tc>
        <w:tc>
          <w:tcPr>
            <w:tcW w:w="2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(27,737 )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00"/>
              <w:spacing w:after="0" w:line="216" w:lineRule="exact"/>
              <w:rPr>
                <w:sz w:val="20"/>
                <w:szCs w:val="20"/>
                <w:color w:val="auto"/>
              </w:rPr>
            </w:pPr>
            <w:r>
              <w:rPr>
                <w:rFonts w:ascii="Calibri" w:cs="Calibri" w:eastAsia="Calibri" w:hAnsi="Calibri"/>
                <w:sz w:val="18"/>
                <w:szCs w:val="18"/>
                <w:color w:val="auto"/>
              </w:rPr>
              <w:t>(37,583 )</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(20,278 )</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9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State</w:t>
            </w:r>
          </w:p>
        </w:tc>
        <w:tc>
          <w:tcPr>
            <w:tcW w:w="240" w:type="dxa"/>
            <w:vAlign w:val="bottom"/>
          </w:tcPr>
          <w:p>
            <w:pPr>
              <w:spacing w:after="0"/>
              <w:rPr>
                <w:sz w:val="18"/>
                <w:szCs w:val="18"/>
                <w:color w:val="auto"/>
              </w:rPr>
            </w:pPr>
          </w:p>
        </w:tc>
        <w:tc>
          <w:tcPr>
            <w:tcW w:w="10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(5,600 )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100"/>
              <w:spacing w:after="0" w:line="215" w:lineRule="exact"/>
              <w:rPr>
                <w:sz w:val="20"/>
                <w:szCs w:val="20"/>
                <w:color w:val="auto"/>
              </w:rPr>
            </w:pPr>
            <w:r>
              <w:rPr>
                <w:rFonts w:ascii="Calibri" w:cs="Calibri" w:eastAsia="Calibri" w:hAnsi="Calibri"/>
                <w:sz w:val="18"/>
                <w:szCs w:val="18"/>
                <w:color w:val="auto"/>
              </w:rPr>
              <w:t>(272 )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(1,789 )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Foreign</w:t>
            </w:r>
          </w:p>
        </w:tc>
        <w:tc>
          <w:tcPr>
            <w:tcW w:w="2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00"/>
              <w:spacing w:after="0" w:line="216" w:lineRule="exact"/>
              <w:rPr>
                <w:sz w:val="20"/>
                <w:szCs w:val="20"/>
                <w:color w:val="auto"/>
              </w:rPr>
            </w:pPr>
            <w:r>
              <w:rPr>
                <w:rFonts w:ascii="Calibri" w:cs="Calibri" w:eastAsia="Calibri" w:hAnsi="Calibri"/>
                <w:sz w:val="18"/>
                <w:szCs w:val="18"/>
                <w:color w:val="auto"/>
              </w:rPr>
              <w:t>(9 )</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(47 )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spacing w:after="0" w:line="209" w:lineRule="exact"/>
              <w:rPr>
                <w:sz w:val="20"/>
                <w:szCs w:val="20"/>
                <w:color w:val="auto"/>
              </w:rPr>
            </w:pPr>
            <w:r>
              <w:rPr>
                <w:rFonts w:ascii="Calibri" w:cs="Calibri" w:eastAsia="Calibri" w:hAnsi="Calibri"/>
                <w:sz w:val="18"/>
                <w:szCs w:val="18"/>
                <w:color w:val="auto"/>
              </w:rPr>
              <w:t>(33,348 )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100"/>
              <w:spacing w:after="0" w:line="209" w:lineRule="exact"/>
              <w:rPr>
                <w:sz w:val="20"/>
                <w:szCs w:val="20"/>
                <w:color w:val="auto"/>
              </w:rPr>
            </w:pPr>
            <w:r>
              <w:rPr>
                <w:rFonts w:ascii="Calibri" w:cs="Calibri" w:eastAsia="Calibri" w:hAnsi="Calibri"/>
                <w:sz w:val="18"/>
                <w:szCs w:val="18"/>
                <w:color w:val="auto"/>
              </w:rPr>
              <w:t>(37,864 )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(22,114 )</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5900" w:type="dxa"/>
            <w:vAlign w:val="bottom"/>
            <w:tcBorders>
              <w:bottom w:val="single" w:sz="8" w:color="CFF0FC"/>
            </w:tcBorders>
            <w:gridSpan w:val="2"/>
            <w:shd w:val="clear" w:color="auto" w:fill="CFF0FC"/>
          </w:tcPr>
          <w:p>
            <w:pPr>
              <w:spacing w:after="0" w:line="209" w:lineRule="exact"/>
              <w:rPr>
                <w:sz w:val="20"/>
                <w:szCs w:val="20"/>
                <w:color w:val="auto"/>
              </w:rPr>
            </w:pPr>
            <w:r>
              <w:rPr>
                <w:rFonts w:ascii="Calibri" w:cs="Calibri" w:eastAsia="Calibri" w:hAnsi="Calibri"/>
                <w:sz w:val="18"/>
                <w:szCs w:val="18"/>
                <w:color w:val="auto"/>
              </w:rPr>
              <w:t>Income tax provision</w:t>
            </w:r>
          </w:p>
        </w:tc>
        <w:tc>
          <w:tcPr>
            <w:tcW w:w="240" w:type="dxa"/>
            <w:vAlign w:val="bottom"/>
            <w:tcBorders>
              <w:top w:val="single" w:sz="8" w:color="auto"/>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960" w:type="dxa"/>
            <w:vAlign w:val="bottom"/>
            <w:tcBorders>
              <w:top w:val="single" w:sz="8" w:color="auto"/>
              <w:bottom w:val="single" w:sz="8" w:color="auto"/>
            </w:tcBorders>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3,685</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auto"/>
            </w:tcBorders>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29,634</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auto"/>
              <w:right w:val="single" w:sz="8" w:color="CFF0FC"/>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32,408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8240" w:type="dxa"/>
            <w:vAlign w:val="bottom"/>
            <w:gridSpan w:val="10"/>
          </w:tcPr>
          <w:p>
            <w:pPr>
              <w:jc w:val="right"/>
              <w:spacing w:after="0"/>
              <w:rPr>
                <w:sz w:val="20"/>
                <w:szCs w:val="20"/>
                <w:color w:val="auto"/>
              </w:rPr>
            </w:pPr>
            <w:r>
              <w:rPr>
                <w:rFonts w:ascii="Calibri" w:cs="Calibri" w:eastAsia="Calibri" w:hAnsi="Calibri"/>
                <w:sz w:val="18"/>
                <w:szCs w:val="18"/>
                <w:color w:val="00002D"/>
                <w:w w:val="98"/>
              </w:rPr>
              <w:t>For the years ended December 31, 2024, 2023, and 2022, the components of the efectve tax rate were as follows: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9"/>
          </w:tcPr>
          <w:p>
            <w:pPr>
              <w:ind w:left="100"/>
              <w:spacing w:after="0"/>
              <w:rPr>
                <w:sz w:val="20"/>
                <w:szCs w:val="20"/>
                <w:color w:val="auto"/>
              </w:rPr>
            </w:pPr>
            <w:r>
              <w:rPr>
                <w:rFonts w:ascii="Calibri" w:cs="Calibri" w:eastAsia="Calibri" w:hAnsi="Calibri"/>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1"/>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1"/>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line="212" w:lineRule="exact"/>
              <w:rPr>
                <w:sz w:val="20"/>
                <w:szCs w:val="20"/>
                <w:color w:val="auto"/>
              </w:rPr>
            </w:pPr>
            <w:r>
              <w:rPr>
                <w:rFonts w:ascii="Calibri" w:cs="Calibri" w:eastAsia="Calibri" w:hAnsi="Calibri"/>
                <w:sz w:val="18"/>
                <w:szCs w:val="18"/>
                <w:color w:val="auto"/>
              </w:rPr>
              <w:t>U.S. federal taxes at statutory rate</w:t>
            </w:r>
          </w:p>
        </w:tc>
        <w:tc>
          <w:tcPr>
            <w:tcW w:w="2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40"/>
              <w:spacing w:after="0" w:line="212" w:lineRule="exact"/>
              <w:rPr>
                <w:sz w:val="20"/>
                <w:szCs w:val="20"/>
                <w:color w:val="auto"/>
              </w:rPr>
            </w:pPr>
            <w:r>
              <w:rPr>
                <w:rFonts w:ascii="Calibri" w:cs="Calibri" w:eastAsia="Calibri" w:hAnsi="Calibri"/>
                <w:sz w:val="18"/>
                <w:szCs w:val="18"/>
                <w:color w:val="auto"/>
              </w:rPr>
              <w:t>21.0 %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20"/>
              <w:spacing w:after="0" w:line="212" w:lineRule="exact"/>
              <w:rPr>
                <w:sz w:val="20"/>
                <w:szCs w:val="20"/>
                <w:color w:val="auto"/>
              </w:rPr>
            </w:pPr>
            <w:r>
              <w:rPr>
                <w:rFonts w:ascii="Calibri" w:cs="Calibri" w:eastAsia="Calibri" w:hAnsi="Calibri"/>
                <w:sz w:val="18"/>
                <w:szCs w:val="18"/>
                <w:color w:val="auto"/>
              </w:rPr>
              <w:t>21.0 %</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line="212" w:lineRule="exact"/>
              <w:rPr>
                <w:sz w:val="20"/>
                <w:szCs w:val="20"/>
                <w:color w:val="auto"/>
              </w:rPr>
            </w:pPr>
            <w:r>
              <w:rPr>
                <w:rFonts w:ascii="Calibri" w:cs="Calibri" w:eastAsia="Calibri" w:hAnsi="Calibri"/>
                <w:sz w:val="18"/>
                <w:szCs w:val="18"/>
                <w:color w:val="auto"/>
              </w:rPr>
              <w:t>21.0 %</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9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State taxes, net of federal beneft</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
              <w:spacing w:after="0" w:line="215" w:lineRule="exact"/>
              <w:rPr>
                <w:sz w:val="20"/>
                <w:szCs w:val="20"/>
                <w:color w:val="auto"/>
              </w:rPr>
            </w:pPr>
            <w:r>
              <w:rPr>
                <w:rFonts w:ascii="Calibri" w:cs="Calibri" w:eastAsia="Calibri" w:hAnsi="Calibri"/>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Nondeductble expenses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ind w:right="11"/>
              <w:spacing w:after="0" w:line="216" w:lineRule="exact"/>
              <w:rPr>
                <w:sz w:val="20"/>
                <w:szCs w:val="20"/>
                <w:color w:val="auto"/>
              </w:rPr>
            </w:pPr>
            <w:r>
              <w:rPr>
                <w:rFonts w:ascii="Calibri" w:cs="Calibri" w:eastAsia="Calibri" w:hAnsi="Calibri"/>
                <w:sz w:val="18"/>
                <w:szCs w:val="18"/>
                <w:color w:val="auto"/>
              </w:rPr>
              <w:t>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9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Stock compensaton</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
              <w:spacing w:after="0" w:line="215" w:lineRule="exact"/>
              <w:rPr>
                <w:sz w:val="20"/>
                <w:szCs w:val="20"/>
                <w:color w:val="auto"/>
              </w:rPr>
            </w:pPr>
            <w:r>
              <w:rPr>
                <w:rFonts w:ascii="Calibri" w:cs="Calibri" w:eastAsia="Calibri" w:hAnsi="Calibri"/>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Foreign rate diferental</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(0.2 )</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(0.1 )</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line="216" w:lineRule="exact"/>
              <w:rPr>
                <w:sz w:val="20"/>
                <w:szCs w:val="20"/>
                <w:color w:val="auto"/>
              </w:rPr>
            </w:pPr>
            <w:r>
              <w:rPr>
                <w:rFonts w:ascii="Calibri" w:cs="Calibri" w:eastAsia="Calibri" w:hAnsi="Calibri"/>
                <w:sz w:val="18"/>
                <w:szCs w:val="18"/>
                <w:color w:val="auto"/>
              </w:rPr>
              <w:t>(0.1 )</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9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Federal and state credits</w:t>
            </w:r>
          </w:p>
        </w:tc>
        <w:tc>
          <w:tcPr>
            <w:tcW w:w="240" w:type="dxa"/>
            <w:vAlign w:val="bottom"/>
          </w:tcPr>
          <w:p>
            <w:pPr>
              <w:spacing w:after="0"/>
              <w:rPr>
                <w:sz w:val="18"/>
                <w:szCs w:val="18"/>
                <w:color w:val="auto"/>
              </w:rPr>
            </w:pPr>
          </w:p>
        </w:tc>
        <w:tc>
          <w:tcPr>
            <w:tcW w:w="9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(39.4 )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(9.8 )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(5.0 )</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Disallowed ofcer compensaton</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ind w:right="11"/>
              <w:spacing w:after="0" w:line="216" w:lineRule="exact"/>
              <w:rPr>
                <w:sz w:val="20"/>
                <w:szCs w:val="20"/>
                <w:color w:val="auto"/>
              </w:rPr>
            </w:pPr>
            <w:r>
              <w:rPr>
                <w:rFonts w:ascii="Calibri" w:cs="Calibri" w:eastAsia="Calibri" w:hAnsi="Calibri"/>
                <w:sz w:val="18"/>
                <w:szCs w:val="18"/>
                <w:color w:val="auto"/>
              </w:rPr>
              <w:t>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9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Investment in partnership</w:t>
            </w:r>
          </w:p>
        </w:tc>
        <w:tc>
          <w:tcPr>
            <w:tcW w:w="240" w:type="dxa"/>
            <w:vAlign w:val="bottom"/>
          </w:tcPr>
          <w:p>
            <w:pPr>
              <w:spacing w:after="0"/>
              <w:rPr>
                <w:sz w:val="18"/>
                <w:szCs w:val="18"/>
                <w:color w:val="auto"/>
              </w:rPr>
            </w:pPr>
          </w:p>
        </w:tc>
        <w:tc>
          <w:tcPr>
            <w:tcW w:w="1040" w:type="dxa"/>
            <w:vAlign w:val="bottom"/>
            <w:gridSpan w:val="3"/>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
              <w:spacing w:after="0" w:line="215" w:lineRule="exact"/>
              <w:rPr>
                <w:sz w:val="20"/>
                <w:szCs w:val="20"/>
                <w:color w:val="auto"/>
              </w:rPr>
            </w:pPr>
            <w:r>
              <w:rPr>
                <w:rFonts w:ascii="Calibri" w:cs="Calibri" w:eastAsia="Calibri" w:hAnsi="Calibri"/>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90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Uncertain tax provision</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0.6</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ind w:right="11"/>
              <w:spacing w:after="0" w:line="216" w:lineRule="exact"/>
              <w:rPr>
                <w:sz w:val="20"/>
                <w:szCs w:val="20"/>
                <w:color w:val="auto"/>
              </w:rPr>
            </w:pPr>
            <w:r>
              <w:rPr>
                <w:rFonts w:ascii="Calibri" w:cs="Calibri" w:eastAsia="Calibri" w:hAnsi="Calibri"/>
                <w:sz w:val="18"/>
                <w:szCs w:val="18"/>
                <w:color w:val="auto"/>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9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CarOfer and Autolist M&amp;A</w:t>
            </w:r>
          </w:p>
        </w:tc>
        <w:tc>
          <w:tcPr>
            <w:tcW w:w="240" w:type="dxa"/>
            <w:vAlign w:val="bottom"/>
          </w:tcPr>
          <w:p>
            <w:pPr>
              <w:spacing w:after="0"/>
              <w:rPr>
                <w:sz w:val="18"/>
                <w:szCs w:val="18"/>
                <w:color w:val="auto"/>
              </w:rPr>
            </w:pPr>
          </w:p>
        </w:tc>
        <w:tc>
          <w:tcPr>
            <w:tcW w:w="9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(4.3 )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Other</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0.1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gridSpan w:val="2"/>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line="216" w:lineRule="exact"/>
              <w:rPr>
                <w:sz w:val="20"/>
                <w:szCs w:val="20"/>
                <w:color w:val="auto"/>
              </w:rPr>
            </w:pPr>
            <w:r>
              <w:rPr>
                <w:rFonts w:ascii="Calibri" w:cs="Calibri" w:eastAsia="Calibri" w:hAnsi="Calibri"/>
                <w:sz w:val="18"/>
                <w:szCs w:val="18"/>
                <w:color w:val="auto"/>
              </w:rPr>
              <w:t>(0.1 )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800" w:type="dxa"/>
            <w:vAlign w:val="bottom"/>
          </w:tcPr>
          <w:p>
            <w:pPr>
              <w:spacing w:after="0" w:line="209" w:lineRule="exact"/>
              <w:rPr>
                <w:sz w:val="20"/>
                <w:szCs w:val="20"/>
                <w:color w:val="auto"/>
              </w:rPr>
            </w:pPr>
            <w:r>
              <w:rPr>
                <w:rFonts w:ascii="Calibri" w:cs="Calibri" w:eastAsia="Calibri" w:hAnsi="Calibri"/>
                <w:sz w:val="18"/>
                <w:szCs w:val="18"/>
                <w:color w:val="auto"/>
              </w:rPr>
              <w:t>Consolidated efectve tax rate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40"/>
              <w:spacing w:after="0" w:line="209" w:lineRule="exact"/>
              <w:rPr>
                <w:sz w:val="20"/>
                <w:szCs w:val="20"/>
                <w:color w:val="auto"/>
              </w:rPr>
            </w:pPr>
            <w:r>
              <w:rPr>
                <w:rFonts w:ascii="Calibri" w:cs="Calibri" w:eastAsia="Calibri" w:hAnsi="Calibri"/>
                <w:sz w:val="18"/>
                <w:szCs w:val="18"/>
                <w:color w:val="auto"/>
              </w:rPr>
              <w:t>14.9 %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120"/>
              <w:spacing w:after="0" w:line="209" w:lineRule="exact"/>
              <w:rPr>
                <w:sz w:val="20"/>
                <w:szCs w:val="20"/>
                <w:color w:val="auto"/>
              </w:rPr>
            </w:pPr>
            <w:r>
              <w:rPr>
                <w:rFonts w:ascii="Calibri" w:cs="Calibri" w:eastAsia="Calibri" w:hAnsi="Calibri"/>
                <w:sz w:val="18"/>
                <w:szCs w:val="18"/>
                <w:color w:val="auto"/>
              </w:rPr>
              <w:t>49.2 %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28.7 %</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5900" w:type="dxa"/>
            <w:vAlign w:val="bottom"/>
            <w:gridSpan w:val="2"/>
            <w:shd w:val="clear" w:color="auto" w:fill="CFF0FC"/>
          </w:tcPr>
          <w:p>
            <w:pPr>
              <w:spacing w:after="0" w:line="194" w:lineRule="exact"/>
              <w:rPr>
                <w:sz w:val="20"/>
                <w:szCs w:val="20"/>
                <w:color w:val="auto"/>
              </w:rPr>
            </w:pPr>
            <w:r>
              <w:rPr>
                <w:rFonts w:ascii="Calibri" w:cs="Calibri" w:eastAsia="Calibri" w:hAnsi="Calibri"/>
                <w:sz w:val="18"/>
                <w:szCs w:val="18"/>
                <w:color w:val="auto"/>
              </w:rPr>
              <w:t>Efectve tax rate atributable to redeemable noncontrolling</w:t>
            </w:r>
          </w:p>
        </w:tc>
        <w:tc>
          <w:tcPr>
            <w:tcW w:w="24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80" w:type="dxa"/>
            <w:vAlign w:val="bottom"/>
            <w:gridSpan w:val="2"/>
            <w:vMerge w:val="restart"/>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18"/>
                <w:szCs w:val="18"/>
                <w:color w:val="auto"/>
              </w:rPr>
              <w:t>(4.7 )</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gridSpan w:val="2"/>
            <w:vMerge w:val="restart"/>
            <w:shd w:val="clear" w:color="auto" w:fill="CFF0FC"/>
          </w:tcPr>
          <w:p>
            <w:pPr>
              <w:jc w:val="right"/>
              <w:ind w:right="100"/>
              <w:spacing w:after="0"/>
              <w:rPr>
                <w:sz w:val="20"/>
                <w:szCs w:val="20"/>
                <w:color w:val="auto"/>
              </w:rPr>
            </w:pPr>
            <w:r>
              <w:rPr>
                <w:rFonts w:ascii="Calibri" w:cs="Calibri" w:eastAsia="Calibri" w:hAnsi="Calibri"/>
                <w:sz w:val="18"/>
                <w:szCs w:val="18"/>
                <w:color w:val="auto"/>
              </w:rPr>
              <w:t>(1.0 )</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5800" w:type="dxa"/>
            <w:vAlign w:val="bottom"/>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interest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18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5800" w:type="dxa"/>
            <w:vAlign w:val="bottom"/>
          </w:tcPr>
          <w:p>
            <w:pPr>
              <w:spacing w:after="0" w:line="214" w:lineRule="exact"/>
              <w:rPr>
                <w:sz w:val="20"/>
                <w:szCs w:val="20"/>
                <w:color w:val="auto"/>
              </w:rPr>
            </w:pPr>
            <w:r>
              <w:rPr>
                <w:rFonts w:ascii="Calibri" w:cs="Calibri" w:eastAsia="Calibri" w:hAnsi="Calibri"/>
                <w:sz w:val="18"/>
                <w:szCs w:val="18"/>
                <w:color w:val="auto"/>
              </w:rPr>
              <w:t>Efectve tax rate atributable to CarGurus, Inc.</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40"/>
              <w:spacing w:after="0" w:line="214" w:lineRule="exact"/>
              <w:rPr>
                <w:sz w:val="20"/>
                <w:szCs w:val="20"/>
                <w:color w:val="auto"/>
              </w:rPr>
            </w:pPr>
            <w:r>
              <w:rPr>
                <w:rFonts w:ascii="Calibri" w:cs="Calibri" w:eastAsia="Calibri" w:hAnsi="Calibri"/>
                <w:sz w:val="18"/>
                <w:szCs w:val="18"/>
                <w:color w:val="auto"/>
              </w:rPr>
              <w:t>14.9 %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120"/>
              <w:spacing w:after="0" w:line="214" w:lineRule="exact"/>
              <w:rPr>
                <w:sz w:val="20"/>
                <w:szCs w:val="20"/>
                <w:color w:val="auto"/>
              </w:rPr>
            </w:pPr>
            <w:r>
              <w:rPr>
                <w:rFonts w:ascii="Calibri" w:cs="Calibri" w:eastAsia="Calibri" w:hAnsi="Calibri"/>
                <w:sz w:val="18"/>
                <w:szCs w:val="18"/>
                <w:color w:val="auto"/>
              </w:rPr>
              <w:t>44.5 %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line="214" w:lineRule="exact"/>
              <w:rPr>
                <w:sz w:val="20"/>
                <w:szCs w:val="20"/>
                <w:color w:val="auto"/>
              </w:rPr>
            </w:pPr>
            <w:r>
              <w:rPr>
                <w:rFonts w:ascii="Calibri" w:cs="Calibri" w:eastAsia="Calibri" w:hAnsi="Calibri"/>
                <w:sz w:val="18"/>
                <w:szCs w:val="18"/>
                <w:color w:val="auto"/>
              </w:rPr>
              <w:t>27.7 %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-3616960</wp:posOffset>
            </wp:positionV>
            <wp:extent cx="603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-3616960</wp:posOffset>
            </wp:positionV>
            <wp:extent cx="603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-3616960</wp:posOffset>
            </wp:positionV>
            <wp:extent cx="603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-3060065</wp:posOffset>
            </wp:positionV>
            <wp:extent cx="603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-3060065</wp:posOffset>
            </wp:positionV>
            <wp:extent cx="603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-3060065</wp:posOffset>
            </wp:positionV>
            <wp:extent cx="603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-2767965</wp:posOffset>
            </wp:positionV>
            <wp:extent cx="603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-2750820</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-2767965</wp:posOffset>
            </wp:positionV>
            <wp:extent cx="603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-2750820</wp:posOffset>
            </wp:positionV>
            <wp:extent cx="60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-2767965</wp:posOffset>
            </wp:positionV>
            <wp:extent cx="603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-2750820</wp:posOffset>
            </wp:positionV>
            <wp:extent cx="603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-582295</wp:posOffset>
            </wp:positionV>
            <wp:extent cx="1028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-582295</wp:posOffset>
            </wp:positionV>
            <wp:extent cx="1028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-582295</wp:posOffset>
            </wp:positionV>
            <wp:extent cx="1028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1028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1028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-170815</wp:posOffset>
            </wp:positionV>
            <wp:extent cx="1028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14"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00002D"/>
        </w:rPr>
        <w:t>For the year ended December 31, 2024, the efectve tax rate atributable to CarGurus, Inc. was 14.9%, which is lower than the statutory tax rate of 21%, principally due to federal and state research and development credits and the tax benefts of CarOfer acquisiton related adjustment, partally ofset by state and local income taxes, non-deductble meals, entertainment, and transportaton expenses, and the Secton 162 (m) excess ofcer compensaton limitaton.</w:t>
      </w:r>
    </w:p>
    <w:p>
      <w:pPr>
        <w:spacing w:after="0" w:line="20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7" w:name="page118"/>
    <w:bookmarkEnd w:id="11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 ended December 31, 2023, the efectve tax rate atributable to CarGurus, Inc. was 44.5%, which is greater than the U.S. federal statutory rate primarily due to state and local income taxes inclusive of the impact from the recently passed Massachusets apportonment tax rule, shortalls on the taxable compensaton of share-based awards, the Secton 162(m) excess ofcer compensaton limitaton, and tax impact associated with the 2023 CarOfer Transacton, partally ofset by federal and state research and development tax credits.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 ended December 31, 2022, the efectve tax rate atributable to CarGurus, Inc. was 27.7%, which is greater than the U.S. federal statutory rate primarily due to state and local income taxes, the exclusion of loss from investment in partnership, shortalls on the taxable compensaton of share-based awards, and the Secton 162(m) excess ofcer compensaton limitaton, partally ofset by federal and state research and development tax credits.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and 2023, the approximate income tax efect of each type of temporary diference and carryforward was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6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2"/>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1"/>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5"/>
                <w:szCs w:val="15"/>
                <w:color w:val="auto"/>
              </w:rPr>
            </w:pPr>
          </w:p>
        </w:tc>
      </w:tr>
      <w:tr>
        <w:trPr>
          <w:trHeight w:val="212"/>
        </w:trPr>
        <w:tc>
          <w:tcPr>
            <w:tcW w:w="692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Deferred tax assets: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Net operatng loss carryforwards</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219</w:t>
            </w:r>
          </w:p>
        </w:tc>
        <w:tc>
          <w:tcPr>
            <w:tcW w:w="240" w:type="dxa"/>
            <w:vAlign w:val="bottom"/>
          </w:tcPr>
          <w:p>
            <w:pPr>
              <w:spacing w:after="0"/>
              <w:rPr>
                <w:sz w:val="18"/>
                <w:szCs w:val="18"/>
                <w:color w:val="auto"/>
              </w:rPr>
            </w:pPr>
          </w:p>
        </w:tc>
        <w:tc>
          <w:tcPr>
            <w:tcW w:w="50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304</w:t>
            </w:r>
          </w:p>
        </w:tc>
        <w:tc>
          <w:tcPr>
            <w:tcW w:w="100" w:type="dxa"/>
            <w:vAlign w:val="bottom"/>
          </w:tcPr>
          <w:p>
            <w:pPr>
              <w:spacing w:after="0"/>
              <w:rPr>
                <w:sz w:val="18"/>
                <w:szCs w:val="18"/>
                <w:color w:val="auto"/>
              </w:rPr>
            </w:pPr>
          </w:p>
        </w:tc>
      </w:tr>
      <w:tr>
        <w:trPr>
          <w:trHeight w:val="217"/>
        </w:trPr>
        <w:tc>
          <w:tcPr>
            <w:tcW w:w="692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Credit carryforwards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915</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928</w:t>
            </w:r>
          </w:p>
        </w:tc>
        <w:tc>
          <w:tcPr>
            <w:tcW w:w="100" w:type="dxa"/>
            <w:vAlign w:val="bottom"/>
            <w:shd w:val="clear" w:color="auto" w:fill="CFF0FC"/>
          </w:tcPr>
          <w:p>
            <w:pPr>
              <w:spacing w:after="0"/>
              <w:rPr>
                <w:sz w:val="18"/>
                <w:szCs w:val="18"/>
                <w:color w:val="auto"/>
              </w:rPr>
            </w:pP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Stock-based compensaton</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5,295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5,353</w:t>
            </w:r>
          </w:p>
        </w:tc>
        <w:tc>
          <w:tcPr>
            <w:tcW w:w="100" w:type="dxa"/>
            <w:vAlign w:val="bottom"/>
          </w:tcPr>
          <w:p>
            <w:pPr>
              <w:spacing w:after="0"/>
              <w:rPr>
                <w:sz w:val="18"/>
                <w:szCs w:val="18"/>
                <w:color w:val="auto"/>
              </w:rPr>
            </w:pPr>
          </w:p>
        </w:tc>
      </w:tr>
      <w:tr>
        <w:trPr>
          <w:trHeight w:val="217"/>
        </w:trPr>
        <w:tc>
          <w:tcPr>
            <w:tcW w:w="692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Lease liability</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47,322</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47,907</w:t>
            </w:r>
          </w:p>
        </w:tc>
        <w:tc>
          <w:tcPr>
            <w:tcW w:w="100" w:type="dxa"/>
            <w:vAlign w:val="bottom"/>
            <w:shd w:val="clear" w:color="auto" w:fill="CFF0FC"/>
          </w:tcPr>
          <w:p>
            <w:pPr>
              <w:spacing w:after="0"/>
              <w:rPr>
                <w:sz w:val="18"/>
                <w:szCs w:val="18"/>
                <w:color w:val="auto"/>
              </w:rPr>
            </w:pP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Accruals and reserves</w:t>
            </w:r>
          </w:p>
        </w:tc>
        <w:tc>
          <w:tcPr>
            <w:tcW w:w="3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5,857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4,642</w:t>
            </w:r>
          </w:p>
        </w:tc>
        <w:tc>
          <w:tcPr>
            <w:tcW w:w="100" w:type="dxa"/>
            <w:vAlign w:val="bottom"/>
          </w:tcPr>
          <w:p>
            <w:pPr>
              <w:spacing w:after="0"/>
              <w:rPr>
                <w:sz w:val="18"/>
                <w:szCs w:val="18"/>
                <w:color w:val="auto"/>
              </w:rPr>
            </w:pPr>
          </w:p>
        </w:tc>
      </w:tr>
      <w:tr>
        <w:trPr>
          <w:trHeight w:val="217"/>
        </w:trPr>
        <w:tc>
          <w:tcPr>
            <w:tcW w:w="692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Intangible assets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45,092</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20,294</w:t>
            </w:r>
          </w:p>
        </w:tc>
        <w:tc>
          <w:tcPr>
            <w:tcW w:w="100" w:type="dxa"/>
            <w:vAlign w:val="bottom"/>
            <w:shd w:val="clear" w:color="auto" w:fill="CFF0FC"/>
          </w:tcPr>
          <w:p>
            <w:pPr>
              <w:spacing w:after="0"/>
              <w:rPr>
                <w:sz w:val="18"/>
                <w:szCs w:val="18"/>
                <w:color w:val="auto"/>
              </w:rPr>
            </w:pP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Capitalized research and development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52,717</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45,468</w:t>
            </w:r>
          </w:p>
        </w:tc>
        <w:tc>
          <w:tcPr>
            <w:tcW w:w="100" w:type="dxa"/>
            <w:vAlign w:val="bottom"/>
          </w:tcPr>
          <w:p>
            <w:pPr>
              <w:spacing w:after="0"/>
              <w:rPr>
                <w:sz w:val="18"/>
                <w:szCs w:val="18"/>
                <w:color w:val="auto"/>
              </w:rPr>
            </w:pPr>
          </w:p>
        </w:tc>
      </w:tr>
      <w:tr>
        <w:trPr>
          <w:trHeight w:val="210"/>
        </w:trPr>
        <w:tc>
          <w:tcPr>
            <w:tcW w:w="6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157,417</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124,896</w:t>
            </w:r>
          </w:p>
        </w:tc>
        <w:tc>
          <w:tcPr>
            <w:tcW w:w="100" w:type="dxa"/>
            <w:vAlign w:val="bottom"/>
            <w:shd w:val="clear" w:color="auto" w:fill="CFF0FC"/>
          </w:tcPr>
          <w:p>
            <w:pPr>
              <w:spacing w:after="0"/>
              <w:rPr>
                <w:sz w:val="18"/>
                <w:szCs w:val="18"/>
                <w:color w:val="auto"/>
              </w:rPr>
            </w:pP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Valuaton Allowance</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(324 )</w:t>
            </w:r>
          </w:p>
        </w:tc>
        <w:tc>
          <w:tcPr>
            <w:tcW w:w="500" w:type="dxa"/>
            <w:vAlign w:val="bottom"/>
          </w:tcPr>
          <w:p>
            <w:pPr>
              <w:spacing w:after="0"/>
              <w:rPr>
                <w:sz w:val="18"/>
                <w:szCs w:val="18"/>
                <w:color w:val="auto"/>
              </w:rPr>
            </w:pPr>
          </w:p>
        </w:tc>
        <w:tc>
          <w:tcPr>
            <w:tcW w:w="10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(305 )</w:t>
            </w:r>
          </w:p>
        </w:tc>
      </w:tr>
      <w:tr>
        <w:trPr>
          <w:trHeight w:val="210"/>
        </w:trPr>
        <w:tc>
          <w:tcPr>
            <w:tcW w:w="69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157,093</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124,591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20" w:type="dxa"/>
            <w:vAlign w:val="bottom"/>
          </w:tcPr>
          <w:p>
            <w:pPr>
              <w:spacing w:after="0" w:line="209" w:lineRule="exact"/>
              <w:rPr>
                <w:sz w:val="20"/>
                <w:szCs w:val="20"/>
                <w:color w:val="auto"/>
              </w:rPr>
            </w:pPr>
            <w:r>
              <w:rPr>
                <w:rFonts w:ascii="Calibri" w:cs="Calibri" w:eastAsia="Calibri" w:hAnsi="Calibri"/>
                <w:sz w:val="18"/>
                <w:szCs w:val="18"/>
                <w:color w:val="auto"/>
              </w:rPr>
              <w:t>Deferred tax liabilites: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92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Prepaid expenses</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(2,115 )</w:t>
            </w:r>
          </w:p>
        </w:tc>
        <w:tc>
          <w:tcPr>
            <w:tcW w:w="5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(2,459 )</w:t>
            </w: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Deferred commissions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(5,867 )</w:t>
            </w:r>
          </w:p>
        </w:tc>
        <w:tc>
          <w:tcPr>
            <w:tcW w:w="500" w:type="dxa"/>
            <w:vAlign w:val="bottom"/>
          </w:tcPr>
          <w:p>
            <w:pPr>
              <w:spacing w:after="0"/>
              <w:rPr>
                <w:sz w:val="18"/>
                <w:szCs w:val="18"/>
                <w:color w:val="auto"/>
              </w:rPr>
            </w:pPr>
          </w:p>
        </w:tc>
        <w:tc>
          <w:tcPr>
            <w:tcW w:w="10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(5,531 )</w:t>
            </w:r>
          </w:p>
        </w:tc>
      </w:tr>
      <w:tr>
        <w:trPr>
          <w:trHeight w:val="217"/>
        </w:trPr>
        <w:tc>
          <w:tcPr>
            <w:tcW w:w="692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Right of use assets</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(29,755 )</w:t>
            </w:r>
          </w:p>
        </w:tc>
        <w:tc>
          <w:tcPr>
            <w:tcW w:w="5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(42,531 )</w:t>
            </w:r>
          </w:p>
        </w:tc>
      </w:tr>
      <w:tr>
        <w:trPr>
          <w:trHeight w:val="215"/>
        </w:trPr>
        <w:tc>
          <w:tcPr>
            <w:tcW w:w="6920" w:type="dxa"/>
            <w:vAlign w:val="bottom"/>
          </w:tcPr>
          <w:p>
            <w:pPr>
              <w:ind w:left="180"/>
              <w:spacing w:after="0" w:line="215" w:lineRule="exact"/>
              <w:rPr>
                <w:sz w:val="20"/>
                <w:szCs w:val="20"/>
                <w:color w:val="auto"/>
              </w:rPr>
            </w:pPr>
            <w:r>
              <w:rPr>
                <w:rFonts w:ascii="Calibri" w:cs="Calibri" w:eastAsia="Calibri" w:hAnsi="Calibri"/>
                <w:sz w:val="18"/>
                <w:szCs w:val="18"/>
                <w:color w:val="auto"/>
              </w:rPr>
              <w:t>Capital lease</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(38 )</w:t>
            </w:r>
          </w:p>
        </w:tc>
        <w:tc>
          <w:tcPr>
            <w:tcW w:w="500" w:type="dxa"/>
            <w:vAlign w:val="bottom"/>
          </w:tcPr>
          <w:p>
            <w:pPr>
              <w:spacing w:after="0"/>
              <w:rPr>
                <w:sz w:val="18"/>
                <w:szCs w:val="18"/>
                <w:color w:val="auto"/>
              </w:rPr>
            </w:pPr>
          </w:p>
        </w:tc>
        <w:tc>
          <w:tcPr>
            <w:tcW w:w="10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(72 )</w:t>
            </w:r>
          </w:p>
        </w:tc>
      </w:tr>
      <w:tr>
        <w:trPr>
          <w:trHeight w:val="216"/>
        </w:trPr>
        <w:tc>
          <w:tcPr>
            <w:tcW w:w="692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Property and equipment</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(12,672 )</w:t>
            </w:r>
          </w:p>
        </w:tc>
        <w:tc>
          <w:tcPr>
            <w:tcW w:w="5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(700 )</w:t>
            </w:r>
          </w:p>
        </w:tc>
      </w:tr>
      <w:tr>
        <w:trPr>
          <w:trHeight w:val="20"/>
        </w:trPr>
        <w:tc>
          <w:tcPr>
            <w:tcW w:w="69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80"/>
              <w:spacing w:after="0" w:line="209" w:lineRule="exact"/>
              <w:rPr>
                <w:sz w:val="20"/>
                <w:szCs w:val="20"/>
                <w:color w:val="auto"/>
              </w:rPr>
            </w:pPr>
            <w:r>
              <w:rPr>
                <w:rFonts w:ascii="Calibri" w:cs="Calibri" w:eastAsia="Calibri" w:hAnsi="Calibri"/>
                <w:sz w:val="18"/>
                <w:szCs w:val="18"/>
                <w:color w:val="auto"/>
              </w:rPr>
              <w:t>(50,447 )</w:t>
            </w:r>
          </w:p>
        </w:tc>
        <w:tc>
          <w:tcPr>
            <w:tcW w:w="500" w:type="dxa"/>
            <w:vAlign w:val="bottom"/>
          </w:tcPr>
          <w:p>
            <w:pPr>
              <w:spacing w:after="0"/>
              <w:rPr>
                <w:sz w:val="18"/>
                <w:szCs w:val="18"/>
                <w:color w:val="auto"/>
              </w:rPr>
            </w:pPr>
          </w:p>
        </w:tc>
        <w:tc>
          <w:tcPr>
            <w:tcW w:w="102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(51,293 )</w:t>
            </w:r>
          </w:p>
        </w:tc>
      </w:tr>
      <w:tr>
        <w:trPr>
          <w:trHeight w:val="250"/>
        </w:trPr>
        <w:tc>
          <w:tcPr>
            <w:tcW w:w="692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Net deferred tax assets</w:t>
            </w:r>
          </w:p>
        </w:tc>
        <w:tc>
          <w:tcPr>
            <w:tcW w:w="340" w:type="dxa"/>
            <w:vAlign w:val="bottom"/>
            <w:tcBorders>
              <w:top w:val="single" w:sz="8" w:color="auto"/>
              <w:bottom w:val="single" w:sz="8" w:color="auto"/>
            </w:tcBorders>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106,646</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73,298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-1148080</wp:posOffset>
            </wp:positionV>
            <wp:extent cx="596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-316865</wp:posOffset>
            </wp:positionV>
            <wp:extent cx="596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and 2023, valuaton allowances were immaterial. Based upon the level of historical U.S. earnings and future projectons over the period in which the net deferred tax assets are deductble, the Company believes it is more likely than not that it will realize the benefts of these deductble diferences, with the excepton of the deferred tax asset related to intangible assets in Ireland. For the years ended December 31, 2024 and 2023, the change in the valuaton allowance was $19 and $47, respectvely.</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the Company had no federal net operatng loss (“NOL”) carryforwards and had state NOL carryforwards of $3,099. The federal NOL carryforward, subject to an annual limitaton of 80% of taxable income, does not expire. The state NOL carryforwards expire at various dates through 2040. As of December 31, 2024, the Company had federal and state tax credit carryforwards of $660 and $322, respectvely, available to reduce future tax liabilites. The federal tax credit carryforward expires in 2040. The state tax credit carryforwards indefnitely as it is related to California. Utlizaton of the NOL and tax credit carryforwards may be subject to an annual limitaton due to ownership change limitatons that have occurred previously or that could occur in the future, as provided by Secton 382 of the Internal Revenue Code (“Secton 382”), as well as similar state provisions. Ownership changes may limit the amount of NOL or tax credit carryforwards that can be utlized annually to ofset future taxable income and tax, respectvely. In general, an ownership change, as defned by Secton 382, results from transactons that increase the ownership of 5% stockholders in the stock of a corporaton by more than 50% in the aggregate over a three-year period.</w:t>
      </w: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8" w:name="page119"/>
    <w:bookmarkEnd w:id="11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2023, and 2022, changes in the gross uncertain tax positon (excluding interest and penaltes) were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Calibri" w:cs="Calibri" w:eastAsia="Calibri" w:hAnsi="Calibri"/>
                <w:sz w:val="14"/>
                <w:szCs w:val="14"/>
                <w:b w:val="1"/>
                <w:bCs w:val="1"/>
                <w:color w:val="auto"/>
              </w:rPr>
              <w:t>As of December 31,</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59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r>
      <w:tr>
        <w:trPr>
          <w:trHeight w:val="212"/>
        </w:trPr>
        <w:tc>
          <w:tcPr>
            <w:tcW w:w="592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Unrecognized tax benefts at beginning of year</w:t>
            </w:r>
          </w:p>
        </w:tc>
        <w:tc>
          <w:tcPr>
            <w:tcW w:w="820" w:type="dxa"/>
            <w:vAlign w:val="bottom"/>
            <w:shd w:val="clear" w:color="auto" w:fill="CFF0FC"/>
          </w:tcPr>
          <w:p>
            <w:pPr>
              <w:jc w:val="right"/>
              <w:ind w:right="636"/>
              <w:spacing w:after="0" w:line="212" w:lineRule="exact"/>
              <w:rPr>
                <w:sz w:val="20"/>
                <w:szCs w:val="20"/>
                <w:color w:val="auto"/>
              </w:rPr>
            </w:pPr>
            <w:r>
              <w:rPr>
                <w:rFonts w:ascii="Calibri" w:cs="Calibri" w:eastAsia="Calibri" w:hAnsi="Calibri"/>
                <w:sz w:val="18"/>
                <w:szCs w:val="18"/>
                <w:color w:val="auto"/>
                <w:w w:val="87"/>
              </w:rPr>
              <w:t>$</w:t>
            </w:r>
          </w:p>
        </w:tc>
        <w:tc>
          <w:tcPr>
            <w:tcW w:w="38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812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2" w:lineRule="exact"/>
              <w:rPr>
                <w:sz w:val="20"/>
                <w:szCs w:val="20"/>
                <w:color w:val="auto"/>
              </w:rPr>
            </w:pPr>
            <w:r>
              <w:rPr>
                <w:rFonts w:ascii="Calibri" w:cs="Calibri" w:eastAsia="Calibri" w:hAnsi="Calibri"/>
                <w:sz w:val="18"/>
                <w:szCs w:val="18"/>
                <w:color w:val="auto"/>
              </w:rPr>
              <w:t>598</w:t>
            </w:r>
          </w:p>
        </w:tc>
        <w:tc>
          <w:tcPr>
            <w:tcW w:w="520" w:type="dxa"/>
            <w:vAlign w:val="bottom"/>
            <w:gridSpan w:val="2"/>
            <w:shd w:val="clear" w:color="auto" w:fill="CFF0FC"/>
          </w:tcPr>
          <w:p>
            <w:pPr>
              <w:jc w:val="right"/>
              <w:ind w:right="90"/>
              <w:spacing w:after="0" w:line="212" w:lineRule="exact"/>
              <w:rPr>
                <w:sz w:val="20"/>
                <w:szCs w:val="20"/>
                <w:color w:val="auto"/>
              </w:rPr>
            </w:pPr>
            <w:r>
              <w:rPr>
                <w:rFonts w:ascii="Calibri" w:cs="Calibri" w:eastAsia="Calibri" w:hAnsi="Calibri"/>
                <w:sz w:val="18"/>
                <w:szCs w:val="18"/>
                <w:color w:val="auto"/>
              </w:rPr>
              <w:t>$</w:t>
            </w:r>
          </w:p>
        </w:tc>
        <w:tc>
          <w:tcPr>
            <w:tcW w:w="1020" w:type="dxa"/>
            <w:vAlign w:val="bottom"/>
            <w:gridSpan w:val="2"/>
            <w:shd w:val="clear" w:color="auto" w:fill="CFF0FC"/>
          </w:tcPr>
          <w:p>
            <w:pPr>
              <w:jc w:val="right"/>
              <w:ind w:right="120"/>
              <w:spacing w:after="0" w:line="212" w:lineRule="exact"/>
              <w:rPr>
                <w:sz w:val="20"/>
                <w:szCs w:val="20"/>
                <w:color w:val="auto"/>
              </w:rPr>
            </w:pPr>
            <w:r>
              <w:rPr>
                <w:rFonts w:ascii="Calibri" w:cs="Calibri" w:eastAsia="Calibri" w:hAnsi="Calibri"/>
                <w:sz w:val="18"/>
                <w:szCs w:val="18"/>
                <w:color w:val="auto"/>
              </w:rPr>
              <w:t>—</w:t>
            </w:r>
          </w:p>
        </w:tc>
      </w:tr>
      <w:tr>
        <w:trPr>
          <w:trHeight w:val="215"/>
        </w:trPr>
        <w:tc>
          <w:tcPr>
            <w:tcW w:w="5920" w:type="dxa"/>
            <w:vAlign w:val="bottom"/>
          </w:tcPr>
          <w:p>
            <w:pPr>
              <w:spacing w:after="0" w:line="215" w:lineRule="exact"/>
              <w:rPr>
                <w:sz w:val="20"/>
                <w:szCs w:val="20"/>
                <w:color w:val="auto"/>
              </w:rPr>
            </w:pPr>
            <w:r>
              <w:rPr>
                <w:rFonts w:ascii="Calibri" w:cs="Calibri" w:eastAsia="Calibri" w:hAnsi="Calibri"/>
                <w:sz w:val="18"/>
                <w:szCs w:val="18"/>
                <w:color w:val="auto"/>
              </w:rPr>
              <w:t>Increase related to current year tax provision</w:t>
            </w:r>
          </w:p>
        </w:tc>
        <w:tc>
          <w:tcPr>
            <w:tcW w:w="820" w:type="dxa"/>
            <w:vAlign w:val="bottom"/>
          </w:tcPr>
          <w:p>
            <w:pPr>
              <w:spacing w:after="0"/>
              <w:rPr>
                <w:sz w:val="18"/>
                <w:szCs w:val="18"/>
                <w:color w:val="auto"/>
              </w:rPr>
            </w:pPr>
          </w:p>
        </w:tc>
        <w:tc>
          <w:tcPr>
            <w:tcW w:w="380" w:type="dxa"/>
            <w:vAlign w:val="bottom"/>
          </w:tcPr>
          <w:p>
            <w:pPr>
              <w:jc w:val="right"/>
              <w:spacing w:after="0" w:line="215" w:lineRule="exact"/>
              <w:rPr>
                <w:sz w:val="20"/>
                <w:szCs w:val="20"/>
                <w:color w:val="auto"/>
              </w:rPr>
            </w:pPr>
            <w:r>
              <w:rPr>
                <w:rFonts w:ascii="Calibri" w:cs="Calibri" w:eastAsia="Calibri" w:hAnsi="Calibri"/>
                <w:sz w:val="18"/>
                <w:szCs w:val="18"/>
                <w:color w:val="auto"/>
              </w:rPr>
              <w:t>104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178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198</w:t>
            </w:r>
          </w:p>
        </w:tc>
        <w:tc>
          <w:tcPr>
            <w:tcW w:w="100" w:type="dxa"/>
            <w:vAlign w:val="bottom"/>
          </w:tcPr>
          <w:p>
            <w:pPr>
              <w:spacing w:after="0"/>
              <w:rPr>
                <w:sz w:val="18"/>
                <w:szCs w:val="18"/>
                <w:color w:val="auto"/>
              </w:rPr>
            </w:pPr>
          </w:p>
        </w:tc>
      </w:tr>
      <w:tr>
        <w:trPr>
          <w:trHeight w:val="217"/>
        </w:trPr>
        <w:tc>
          <w:tcPr>
            <w:tcW w:w="59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(Decrease) increase related to prior year tax provision</w:t>
            </w:r>
          </w:p>
        </w:tc>
        <w:tc>
          <w:tcPr>
            <w:tcW w:w="8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(19 )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400</w:t>
            </w: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spacing w:after="0" w:line="215" w:lineRule="exact"/>
              <w:rPr>
                <w:sz w:val="20"/>
                <w:szCs w:val="20"/>
                <w:color w:val="auto"/>
              </w:rPr>
            </w:pPr>
            <w:r>
              <w:rPr>
                <w:rFonts w:ascii="Calibri" w:cs="Calibri" w:eastAsia="Calibri" w:hAnsi="Calibri"/>
                <w:sz w:val="18"/>
                <w:szCs w:val="18"/>
                <w:color w:val="auto"/>
              </w:rPr>
              <w:t>Decrease related to setlements with taxing authorites</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(45 )</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50"/>
        </w:trPr>
        <w:tc>
          <w:tcPr>
            <w:tcW w:w="5920" w:type="dxa"/>
            <w:vAlign w:val="bottom"/>
            <w:tcBorders>
              <w:bottom w:val="single" w:sz="8" w:color="CFF0FC"/>
            </w:tcBorders>
            <w:shd w:val="clear" w:color="auto" w:fill="CFF0FC"/>
          </w:tcPr>
          <w:p>
            <w:pPr>
              <w:spacing w:after="0" w:line="210" w:lineRule="exact"/>
              <w:rPr>
                <w:sz w:val="20"/>
                <w:szCs w:val="20"/>
                <w:color w:val="auto"/>
              </w:rPr>
            </w:pPr>
            <w:r>
              <w:rPr>
                <w:rFonts w:ascii="Calibri" w:cs="Calibri" w:eastAsia="Calibri" w:hAnsi="Calibri"/>
                <w:sz w:val="18"/>
                <w:szCs w:val="18"/>
                <w:color w:val="auto"/>
              </w:rPr>
              <w:t>Unrecognized tax benefts at end of year</w:t>
            </w:r>
          </w:p>
        </w:tc>
        <w:tc>
          <w:tcPr>
            <w:tcW w:w="820" w:type="dxa"/>
            <w:vAlign w:val="bottom"/>
            <w:tcBorders>
              <w:top w:val="single" w:sz="8" w:color="auto"/>
              <w:bottom w:val="single" w:sz="8" w:color="auto"/>
            </w:tcBorders>
            <w:shd w:val="clear" w:color="auto" w:fill="CFF0FC"/>
          </w:tcPr>
          <w:p>
            <w:pPr>
              <w:jc w:val="right"/>
              <w:ind w:right="636"/>
              <w:spacing w:after="0" w:line="210" w:lineRule="exact"/>
              <w:rPr>
                <w:sz w:val="20"/>
                <w:szCs w:val="20"/>
                <w:color w:val="auto"/>
              </w:rPr>
            </w:pPr>
            <w:r>
              <w:rPr>
                <w:rFonts w:ascii="Calibri" w:cs="Calibri" w:eastAsia="Calibri" w:hAnsi="Calibri"/>
                <w:sz w:val="18"/>
                <w:szCs w:val="18"/>
                <w:color w:val="auto"/>
                <w:w w:val="87"/>
              </w:rPr>
              <w:t>$</w:t>
            </w:r>
          </w:p>
        </w:tc>
        <w:tc>
          <w:tcPr>
            <w:tcW w:w="3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852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line="210" w:lineRule="exact"/>
              <w:rPr>
                <w:sz w:val="20"/>
                <w:szCs w:val="20"/>
                <w:color w:val="auto"/>
              </w:rPr>
            </w:pPr>
            <w:r>
              <w:rPr>
                <w:rFonts w:ascii="Calibri" w:cs="Calibri" w:eastAsia="Calibri" w:hAnsi="Calibri"/>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812</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598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-25400</wp:posOffset>
            </wp:positionV>
            <wp:extent cx="603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03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032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years ended December 31, 2024, 2023, and 2022, income tax expense and liability related to uncertain tax positons, exclusive of immaterial interest or penaltes related to uncertain tax provisions, was $852, $812, and $598, respectvely, which would favorably afect the Company’s efectve tax rate, if recognized.</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permanently reinvests the earnings, if any, of its foreign subsidiaries and, therefore, does not provide for U.S. income taxes that could result from the distributon of those earnings to the Company. As of December 31, 2024 and December 31, 2023, the amount of unrecognized deferred U.S. taxes on these earnings was immaterial.</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and its subsidiaries fle income tax returns in the U.S. federal jurisdicton, various state jurisdictons, and in various foreign jurisdictons. The Company’s tax flings remain subject to audits by applicable tax authorites for a certain length of tme following the tax year to which those flings relate. Tax years 2021 and forward generally remain open for examinaton for federal and state tax purposes. Tax years 2020 and forward generally remain open for examinaton for foreign tax purposes.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14. Segment and Geographic Informaton</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Efectve as of the fourth quarter of 2022 the Company revised its segment reportng from one reportable segment to two reportable segments, U.S. Marketplace and Digital Wholesale. The change in segment reportng was a triggering event for an evaluaton of goodwill impairment. As such, the Company evaluated for goodwill impairment on December 31, 2022, and did not identfy any impairment to its goodwill. The change in segment reportng was made to align with fnancial reportng results regularly provided to the Company’s CODM, Jason Trevisan, Chief Executve Ofcer, to assess the business. Segment informaton is presented in the same manner as the CODM reviews the Company’s operatng results in assessing performance and allocatng resources. The CODM reviews segment revenue and segment income (loss) from operatons as a proxy for the performance of the Company’s operatons. The CODM uses segment income (loss) from operatons in the annual budgetng and monthly forecastng process. The CODM considers segment income (loss) from operatons in analyses of the actual amounts against budgeted and forecasted values to evaluate the performance of each segment and to make decisions for the allocaton of capital and other resources to each segment.</w:t>
      </w:r>
    </w:p>
    <w:p>
      <w:pPr>
        <w:spacing w:after="0" w:line="2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U.S. Marketplace segment derives revenue from marketplace services from customers within the U.S. The Digital Wholesale segment primarily derives revenue from Dealer-to-Dealer and Instant Max Cash Ofer services and products which are sold on the CarOfer platorm. The Company also has two operatng segments which are individually immaterial and, therefore, aggregated into the Other category to reconcile reportable segments to the consolidated income statements. The Other category derives revenue from marketplace services from customers outside of the U.S.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Revenue and costs discretely incurred by reportable segments, including depreciaton and amortzaton, are included in the calculaton of reportable segment income (loss) from operatons. Digital Wholesale segment loss from operatons also refects certain Instant Max Cash Ofer marketng and lead generaton fees allocated from the U.S. Marketplace segment.</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Company’s signifcant segment expenses consist of cost of revenue and sales and marketng expense. The Company’s other segment items consist of product, technology, and development expense and general and administratve expense. The Company has disclosed depreciaton and amortzaton expense separately from other segment items to meet disclosure requirements.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00002D"/>
        </w:rPr>
        <w:t>Asset informaton by reportable segment is not provided to the CODM as asset informaton is assessed and reviewed on a consolidated basis.</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9" w:name="page120"/>
    <w:bookmarkEnd w:id="11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For the years ended December 31, 2024, 2023, and 2022, segment revenue, signifcant segment expenses, segment depreciaton and amortzaton, segment income (loss) from operatons, and the reconciliaton from segment income (loss) from operatons to consolidated income before income taxes were as follows: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Calibri" w:cs="Calibri" w:eastAsia="Calibri" w:hAnsi="Calibri"/>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5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2"/>
              <w:spacing w:after="0"/>
              <w:rPr>
                <w:sz w:val="20"/>
                <w:szCs w:val="20"/>
                <w:color w:val="auto"/>
              </w:rPr>
            </w:pPr>
            <w:r>
              <w:rPr>
                <w:rFonts w:ascii="Calibri" w:cs="Calibri" w:eastAsia="Calibri" w:hAnsi="Calibri"/>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U.S. Marketplace</w:t>
            </w:r>
          </w:p>
        </w:tc>
        <w:tc>
          <w:tcPr>
            <w:tcW w:w="26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Calibri" w:cs="Calibri" w:eastAsia="Calibri" w:hAnsi="Calibri"/>
                <w:sz w:val="14"/>
                <w:szCs w:val="14"/>
                <w:b w:val="1"/>
                <w:bCs w:val="1"/>
                <w:color w:val="auto"/>
              </w:rPr>
              <w:t>Digital Wholesale</w:t>
            </w:r>
          </w:p>
        </w:tc>
        <w:tc>
          <w:tcPr>
            <w:tcW w:w="280" w:type="dxa"/>
            <w:vAlign w:val="bottom"/>
          </w:tcPr>
          <w:p>
            <w:pPr>
              <w:spacing w:after="0"/>
              <w:rPr>
                <w:sz w:val="14"/>
                <w:szCs w:val="14"/>
                <w:color w:val="auto"/>
              </w:rPr>
            </w:pPr>
          </w:p>
        </w:tc>
        <w:tc>
          <w:tcPr>
            <w:tcW w:w="920" w:type="dxa"/>
            <w:vAlign w:val="bottom"/>
          </w:tcPr>
          <w:p>
            <w:pPr>
              <w:jc w:val="right"/>
              <w:ind w:right="371"/>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4"/>
                <w:szCs w:val="14"/>
                <w:color w:val="auto"/>
              </w:rPr>
            </w:pPr>
          </w:p>
        </w:tc>
      </w:tr>
      <w:tr>
        <w:trPr>
          <w:trHeight w:val="212"/>
        </w:trPr>
        <w:tc>
          <w:tcPr>
            <w:tcW w:w="590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Revenue</w:t>
            </w:r>
          </w:p>
        </w:tc>
        <w:tc>
          <w:tcPr>
            <w:tcW w:w="3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Revenue from external customers</w:t>
            </w:r>
          </w:p>
        </w:tc>
        <w:tc>
          <w:tcPr>
            <w:tcW w:w="360" w:type="dxa"/>
            <w:vAlign w:val="bottom"/>
            <w:tcBorders>
              <w:bottom w:val="single" w:sz="8" w:color="auto"/>
            </w:tcBorders>
          </w:tcPr>
          <w:p>
            <w:pPr>
              <w:jc w:val="right"/>
              <w:ind w:right="156"/>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733,688</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97,785</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831,473</w:t>
            </w:r>
          </w:p>
        </w:tc>
        <w:tc>
          <w:tcPr>
            <w:tcW w:w="100" w:type="dxa"/>
            <w:vAlign w:val="bottom"/>
          </w:tcPr>
          <w:p>
            <w:pPr>
              <w:spacing w:after="0"/>
              <w:rPr>
                <w:sz w:val="18"/>
                <w:szCs w:val="18"/>
                <w:color w:val="auto"/>
              </w:rPr>
            </w:pPr>
          </w:p>
        </w:tc>
      </w:tr>
      <w:tr>
        <w:trPr>
          <w:trHeight w:val="210"/>
        </w:trPr>
        <w:tc>
          <w:tcPr>
            <w:tcW w:w="5900" w:type="dxa"/>
            <w:vAlign w:val="bottom"/>
            <w:shd w:val="clear" w:color="auto" w:fill="CFF0FC"/>
          </w:tcPr>
          <w:p>
            <w:pPr>
              <w:ind w:left="280"/>
              <w:spacing w:after="0" w:line="210" w:lineRule="exact"/>
              <w:rPr>
                <w:sz w:val="20"/>
                <w:szCs w:val="20"/>
                <w:color w:val="auto"/>
              </w:rPr>
            </w:pPr>
            <w:r>
              <w:rPr>
                <w:rFonts w:ascii="Calibri" w:cs="Calibri" w:eastAsia="Calibri" w:hAnsi="Calibri"/>
                <w:sz w:val="18"/>
                <w:szCs w:val="18"/>
                <w:color w:val="auto"/>
              </w:rPr>
              <w:t>Total segment revenue</w:t>
            </w:r>
          </w:p>
        </w:tc>
        <w:tc>
          <w:tcPr>
            <w:tcW w:w="360" w:type="dxa"/>
            <w:vAlign w:val="bottom"/>
            <w:shd w:val="clear" w:color="auto" w:fill="CFF0FC"/>
          </w:tcPr>
          <w:p>
            <w:pPr>
              <w:jc w:val="right"/>
              <w:ind w:right="156"/>
              <w:spacing w:after="0" w:line="210"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733,688</w:t>
            </w:r>
          </w:p>
        </w:tc>
        <w:tc>
          <w:tcPr>
            <w:tcW w:w="520" w:type="dxa"/>
            <w:vAlign w:val="bottom"/>
            <w:gridSpan w:val="2"/>
            <w:shd w:val="clear" w:color="auto" w:fill="CFF0FC"/>
          </w:tcPr>
          <w:p>
            <w:pPr>
              <w:jc w:val="right"/>
              <w:ind w:right="79"/>
              <w:spacing w:after="0" w:line="210"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97,785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831,473</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Reconciliaton of Revenue</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Other revenue</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62,911</w:t>
            </w:r>
          </w:p>
        </w:tc>
        <w:tc>
          <w:tcPr>
            <w:tcW w:w="100" w:type="dxa"/>
            <w:vAlign w:val="bottom"/>
          </w:tcPr>
          <w:p>
            <w:pPr>
              <w:spacing w:after="0"/>
              <w:rPr>
                <w:sz w:val="18"/>
                <w:szCs w:val="18"/>
                <w:color w:val="auto"/>
              </w:rPr>
            </w:pPr>
          </w:p>
        </w:tc>
      </w:tr>
      <w:tr>
        <w:trPr>
          <w:trHeight w:val="250"/>
        </w:trPr>
        <w:tc>
          <w:tcPr>
            <w:tcW w:w="5900" w:type="dxa"/>
            <w:vAlign w:val="bottom"/>
            <w:tcBorders>
              <w:bottom w:val="single" w:sz="8" w:color="CFF0FC"/>
            </w:tcBorders>
            <w:shd w:val="clear" w:color="auto" w:fill="CFF0FC"/>
          </w:tcPr>
          <w:p>
            <w:pPr>
              <w:ind w:left="280"/>
              <w:spacing w:after="0" w:line="209" w:lineRule="exact"/>
              <w:rPr>
                <w:sz w:val="20"/>
                <w:szCs w:val="20"/>
                <w:color w:val="auto"/>
              </w:rPr>
            </w:pPr>
            <w:r>
              <w:rPr>
                <w:rFonts w:ascii="Calibri" w:cs="Calibri" w:eastAsia="Calibri" w:hAnsi="Calibri"/>
                <w:sz w:val="18"/>
                <w:szCs w:val="18"/>
                <w:color w:val="auto"/>
              </w:rPr>
              <w:t>Total consolidated revenue</w:t>
            </w:r>
          </w:p>
        </w:tc>
        <w:tc>
          <w:tcPr>
            <w:tcW w:w="3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894,384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66"/>
        </w:trPr>
        <w:tc>
          <w:tcPr>
            <w:tcW w:w="5900" w:type="dxa"/>
            <w:vAlign w:val="bottom"/>
          </w:tcPr>
          <w:p>
            <w:pPr>
              <w:spacing w:after="0"/>
              <w:rPr>
                <w:sz w:val="20"/>
                <w:szCs w:val="20"/>
                <w:color w:val="auto"/>
              </w:rPr>
            </w:pPr>
            <w:r>
              <w:rPr>
                <w:rFonts w:ascii="Calibri" w:cs="Calibri" w:eastAsia="Calibri" w:hAnsi="Calibri"/>
                <w:sz w:val="18"/>
                <w:szCs w:val="18"/>
                <w:color w:val="auto"/>
              </w:rPr>
              <w:t>Less: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5900" w:type="dxa"/>
            <w:vAlign w:val="bottom"/>
          </w:tcPr>
          <w:p>
            <w:pPr>
              <w:ind w:left="180"/>
              <w:spacing w:after="0" w:line="263" w:lineRule="exact"/>
              <w:rPr>
                <w:sz w:val="20"/>
                <w:szCs w:val="20"/>
                <w:color w:val="auto"/>
              </w:rPr>
            </w:pPr>
            <w:r>
              <w:rPr>
                <w:rFonts w:ascii="Calibri" w:cs="Calibri" w:eastAsia="Calibri" w:hAnsi="Calibri"/>
                <w:sz w:val="18"/>
                <w:szCs w:val="18"/>
                <w:color w:val="auto"/>
              </w:rPr>
              <w:t>Cost of revenue</w:t>
            </w:r>
            <w:r>
              <w:rPr>
                <w:rFonts w:ascii="Calibri" w:cs="Calibri" w:eastAsia="Calibri" w:hAnsi="Calibri"/>
                <w:sz w:val="24"/>
                <w:szCs w:val="24"/>
                <w:color w:val="auto"/>
                <w:vertAlign w:val="superscript"/>
              </w:rPr>
              <w:t>(1)</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50,078</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100,489</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auto"/>
              </w:rPr>
              <w:t>150,567</w:t>
            </w:r>
          </w:p>
        </w:tc>
        <w:tc>
          <w:tcPr>
            <w:tcW w:w="100" w:type="dxa"/>
            <w:vAlign w:val="bottom"/>
          </w:tcPr>
          <w:p>
            <w:pPr>
              <w:spacing w:after="0"/>
              <w:rPr>
                <w:sz w:val="22"/>
                <w:szCs w:val="22"/>
                <w:color w:val="auto"/>
              </w:rPr>
            </w:pPr>
          </w:p>
        </w:tc>
      </w:tr>
      <w:tr>
        <w:trPr>
          <w:trHeight w:val="216"/>
        </w:trPr>
        <w:tc>
          <w:tcPr>
            <w:tcW w:w="5900" w:type="dxa"/>
            <w:vAlign w:val="bottom"/>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Sales and marketng</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263,287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19,637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282,924</w:t>
            </w: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Depreciaton and amortzaton</w:t>
            </w:r>
          </w:p>
        </w:tc>
        <w:tc>
          <w:tcPr>
            <w:tcW w:w="36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8,673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3,305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11,978</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Other segment items</w:t>
            </w: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228,912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153,669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382,581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280"/>
              <w:spacing w:after="0" w:line="209" w:lineRule="exact"/>
              <w:rPr>
                <w:sz w:val="20"/>
                <w:szCs w:val="20"/>
                <w:color w:val="auto"/>
              </w:rPr>
            </w:pPr>
            <w:r>
              <w:rPr>
                <w:rFonts w:ascii="Calibri" w:cs="Calibri" w:eastAsia="Calibri" w:hAnsi="Calibri"/>
                <w:sz w:val="18"/>
                <w:szCs w:val="18"/>
                <w:color w:val="auto"/>
              </w:rPr>
              <w:t>Total segment expenses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550,950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277,100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828,050</w:t>
            </w:r>
          </w:p>
        </w:tc>
        <w:tc>
          <w:tcPr>
            <w:tcW w:w="100" w:type="dxa"/>
            <w:vAlign w:val="bottom"/>
          </w:tcPr>
          <w:p>
            <w:pPr>
              <w:spacing w:after="0"/>
              <w:rPr>
                <w:sz w:val="18"/>
                <w:szCs w:val="18"/>
                <w:color w:val="auto"/>
              </w:rPr>
            </w:pPr>
          </w:p>
        </w:tc>
      </w:tr>
      <w:tr>
        <w:trPr>
          <w:trHeight w:val="210"/>
        </w:trPr>
        <w:tc>
          <w:tcPr>
            <w:tcW w:w="5900" w:type="dxa"/>
            <w:vAlign w:val="bottom"/>
            <w:shd w:val="clear" w:color="auto" w:fill="CFF0FC"/>
          </w:tcPr>
          <w:p>
            <w:pPr>
              <w:ind w:left="360"/>
              <w:spacing w:after="0" w:line="210" w:lineRule="exact"/>
              <w:rPr>
                <w:sz w:val="20"/>
                <w:szCs w:val="20"/>
                <w:color w:val="auto"/>
              </w:rPr>
            </w:pPr>
            <w:r>
              <w:rPr>
                <w:rFonts w:ascii="Calibri" w:cs="Calibri" w:eastAsia="Calibri" w:hAnsi="Calibri"/>
                <w:sz w:val="18"/>
                <w:szCs w:val="18"/>
                <w:color w:val="auto"/>
              </w:rPr>
              <w:t>Total segment income (loss) from operatons</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182,738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color w:val="auto"/>
              </w:rPr>
              <w:t>(179,315 )</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3,423</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900" w:type="dxa"/>
            <w:vAlign w:val="bottom"/>
            <w:shd w:val="clear" w:color="auto" w:fill="CFF0FC"/>
          </w:tcPr>
          <w:p>
            <w:pPr>
              <w:spacing w:after="0" w:line="194" w:lineRule="exact"/>
              <w:rPr>
                <w:sz w:val="20"/>
                <w:szCs w:val="20"/>
                <w:color w:val="auto"/>
              </w:rPr>
            </w:pPr>
            <w:r>
              <w:rPr>
                <w:rFonts w:ascii="Calibri" w:cs="Calibri" w:eastAsia="Calibri" w:hAnsi="Calibri"/>
                <w:sz w:val="18"/>
                <w:szCs w:val="18"/>
                <w:color w:val="auto"/>
              </w:rPr>
              <w:t>Reconciliaton of segment income (loss) from operatons to income from</w:t>
            </w: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59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operatons:</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Other operatng income</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9,989</w:t>
            </w:r>
          </w:p>
        </w:tc>
        <w:tc>
          <w:tcPr>
            <w:tcW w:w="100" w:type="dxa"/>
            <w:vAlign w:val="bottom"/>
          </w:tcPr>
          <w:p>
            <w:pPr>
              <w:spacing w:after="0"/>
              <w:rPr>
                <w:sz w:val="18"/>
                <w:szCs w:val="18"/>
                <w:color w:val="auto"/>
              </w:rPr>
            </w:pPr>
          </w:p>
        </w:tc>
      </w:tr>
      <w:tr>
        <w:trPr>
          <w:trHeight w:val="210"/>
        </w:trPr>
        <w:tc>
          <w:tcPr>
            <w:tcW w:w="5900" w:type="dxa"/>
            <w:vAlign w:val="bottom"/>
            <w:shd w:val="clear" w:color="auto" w:fill="CFF0FC"/>
          </w:tcPr>
          <w:p>
            <w:pPr>
              <w:ind w:left="360"/>
              <w:spacing w:after="0" w:line="210" w:lineRule="exact"/>
              <w:rPr>
                <w:sz w:val="20"/>
                <w:szCs w:val="20"/>
                <w:color w:val="auto"/>
              </w:rPr>
            </w:pPr>
            <w:r>
              <w:rPr>
                <w:rFonts w:ascii="Calibri" w:cs="Calibri" w:eastAsia="Calibri" w:hAnsi="Calibri"/>
                <w:sz w:val="18"/>
                <w:szCs w:val="18"/>
                <w:color w:val="auto"/>
              </w:rPr>
              <w:t>Total income from operatons</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13,412</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900" w:type="dxa"/>
            <w:vAlign w:val="bottom"/>
            <w:shd w:val="clear" w:color="auto" w:fill="CFF0FC"/>
          </w:tcPr>
          <w:p>
            <w:pPr>
              <w:spacing w:after="0" w:line="194" w:lineRule="exact"/>
              <w:rPr>
                <w:sz w:val="20"/>
                <w:szCs w:val="20"/>
                <w:color w:val="auto"/>
              </w:rPr>
            </w:pPr>
            <w:r>
              <w:rPr>
                <w:rFonts w:ascii="Calibri" w:cs="Calibri" w:eastAsia="Calibri" w:hAnsi="Calibri"/>
                <w:sz w:val="18"/>
                <w:szCs w:val="18"/>
                <w:color w:val="auto"/>
              </w:rPr>
              <w:t>Reconciliaton of total income from operatons to total income before income</w:t>
            </w: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59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taxes:</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900" w:type="dxa"/>
            <w:vAlign w:val="bottom"/>
          </w:tcPr>
          <w:p>
            <w:pPr>
              <w:ind w:left="360"/>
              <w:spacing w:after="0" w:line="215" w:lineRule="exact"/>
              <w:rPr>
                <w:sz w:val="20"/>
                <w:szCs w:val="20"/>
                <w:color w:val="auto"/>
              </w:rPr>
            </w:pPr>
            <w:r>
              <w:rPr>
                <w:rFonts w:ascii="Calibri" w:cs="Calibri" w:eastAsia="Calibri" w:hAnsi="Calibri"/>
                <w:sz w:val="18"/>
                <w:szCs w:val="18"/>
                <w:color w:val="auto"/>
              </w:rPr>
              <w:t>Total other income, net</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11,245</w:t>
            </w:r>
          </w:p>
        </w:tc>
        <w:tc>
          <w:tcPr>
            <w:tcW w:w="100" w:type="dxa"/>
            <w:vAlign w:val="bottom"/>
          </w:tcPr>
          <w:p>
            <w:pPr>
              <w:spacing w:after="0"/>
              <w:rPr>
                <w:sz w:val="18"/>
                <w:szCs w:val="18"/>
                <w:color w:val="auto"/>
              </w:rPr>
            </w:pPr>
          </w:p>
        </w:tc>
      </w:tr>
      <w:tr>
        <w:trPr>
          <w:trHeight w:val="250"/>
        </w:trPr>
        <w:tc>
          <w:tcPr>
            <w:tcW w:w="5900" w:type="dxa"/>
            <w:vAlign w:val="bottom"/>
            <w:tcBorders>
              <w:bottom w:val="single" w:sz="8" w:color="CFF0FC"/>
            </w:tcBorders>
            <w:shd w:val="clear" w:color="auto" w:fill="CFF0FC"/>
          </w:tcPr>
          <w:p>
            <w:pPr>
              <w:ind w:left="540"/>
              <w:spacing w:after="0" w:line="209" w:lineRule="exact"/>
              <w:rPr>
                <w:sz w:val="20"/>
                <w:szCs w:val="20"/>
                <w:color w:val="auto"/>
              </w:rPr>
            </w:pPr>
            <w:r>
              <w:rPr>
                <w:rFonts w:ascii="Calibri" w:cs="Calibri" w:eastAsia="Calibri" w:hAnsi="Calibri"/>
                <w:sz w:val="18"/>
                <w:szCs w:val="18"/>
                <w:color w:val="auto"/>
              </w:rPr>
              <w:t>Total income before income taxes</w:t>
            </w:r>
          </w:p>
        </w:tc>
        <w:tc>
          <w:tcPr>
            <w:tcW w:w="3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24,657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-2391410</wp:posOffset>
            </wp:positionV>
            <wp:extent cx="6412230"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-2553970</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-2536825</wp:posOffset>
            </wp:positionV>
            <wp:extent cx="60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-1705610</wp:posOffset>
            </wp:positionV>
            <wp:extent cx="6032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-1705610</wp:posOffset>
            </wp:positionV>
            <wp:extent cx="603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-1705610</wp:posOffset>
            </wp:positionV>
            <wp:extent cx="603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left="1020" w:hanging="503"/>
        <w:spacing w:after="0"/>
        <w:tabs>
          <w:tab w:leader="none" w:pos="1020" w:val="left"/>
        </w:tabs>
        <w:numPr>
          <w:ilvl w:val="0"/>
          <w:numId w:val="44"/>
        </w:numPr>
        <w:rPr>
          <w:rFonts w:ascii="Calibri" w:cs="Calibri" w:eastAsia="Calibri" w:hAnsi="Calibri"/>
          <w:sz w:val="14"/>
          <w:szCs w:val="14"/>
          <w:color w:val="00002D"/>
        </w:rPr>
      </w:pPr>
      <w:r>
        <w:rPr>
          <w:rFonts w:ascii="Calibri" w:cs="Calibri" w:eastAsia="Calibri" w:hAnsi="Calibri"/>
          <w:sz w:val="14"/>
          <w:szCs w:val="14"/>
          <w:color w:val="00002D"/>
        </w:rPr>
        <w:t>For the year ended December 31, 2024, U.S. Marketplace and Digital Wholesale cost of revenue includes depreciaton and amortzaton expense of $4,244 and $8,084, respectvely</w:t>
      </w:r>
      <w:r>
        <w:rPr>
          <w:rFonts w:ascii="Calibri" w:cs="Calibri" w:eastAsia="Calibri" w:hAnsi="Calibri"/>
          <w:sz w:val="17"/>
          <w:szCs w:val="17"/>
          <w:color w:val="00002D"/>
        </w:rPr>
        <w:t>.</w:t>
      </w:r>
    </w:p>
    <w:p>
      <w:pPr>
        <w:spacing w:after="0" w:line="38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0" w:name="page121"/>
    <w:bookmarkEnd w:id="12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Calibri" w:cs="Calibri" w:eastAsia="Calibri" w:hAnsi="Calibri"/>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5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2"/>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9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U.S. Marketplace</w:t>
            </w:r>
          </w:p>
        </w:tc>
        <w:tc>
          <w:tcPr>
            <w:tcW w:w="26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Calibri" w:cs="Calibri" w:eastAsia="Calibri" w:hAnsi="Calibri"/>
                <w:sz w:val="14"/>
                <w:szCs w:val="14"/>
                <w:b w:val="1"/>
                <w:bCs w:val="1"/>
                <w:color w:val="auto"/>
              </w:rPr>
              <w:t>Digital Wholesale</w:t>
            </w:r>
          </w:p>
        </w:tc>
        <w:tc>
          <w:tcPr>
            <w:tcW w:w="280" w:type="dxa"/>
            <w:vAlign w:val="bottom"/>
          </w:tcPr>
          <w:p>
            <w:pPr>
              <w:spacing w:after="0"/>
              <w:rPr>
                <w:sz w:val="14"/>
                <w:szCs w:val="14"/>
                <w:color w:val="auto"/>
              </w:rPr>
            </w:pPr>
          </w:p>
        </w:tc>
        <w:tc>
          <w:tcPr>
            <w:tcW w:w="920" w:type="dxa"/>
            <w:vAlign w:val="bottom"/>
          </w:tcPr>
          <w:p>
            <w:pPr>
              <w:jc w:val="right"/>
              <w:ind w:right="371"/>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4"/>
                <w:szCs w:val="14"/>
                <w:color w:val="auto"/>
              </w:rPr>
            </w:pPr>
          </w:p>
        </w:tc>
      </w:tr>
      <w:tr>
        <w:trPr>
          <w:trHeight w:val="212"/>
        </w:trPr>
        <w:tc>
          <w:tcPr>
            <w:tcW w:w="590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Revenue</w:t>
            </w:r>
          </w:p>
        </w:tc>
        <w:tc>
          <w:tcPr>
            <w:tcW w:w="3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Revenue from external customers</w:t>
            </w:r>
          </w:p>
        </w:tc>
        <w:tc>
          <w:tcPr>
            <w:tcW w:w="360" w:type="dxa"/>
            <w:vAlign w:val="bottom"/>
            <w:tcBorders>
              <w:bottom w:val="single" w:sz="8" w:color="auto"/>
            </w:tcBorders>
          </w:tcPr>
          <w:p>
            <w:pPr>
              <w:jc w:val="right"/>
              <w:ind w:right="156"/>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647,284</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216,005</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863,289</w:t>
            </w:r>
          </w:p>
        </w:tc>
        <w:tc>
          <w:tcPr>
            <w:tcW w:w="100" w:type="dxa"/>
            <w:vAlign w:val="bottom"/>
          </w:tcPr>
          <w:p>
            <w:pPr>
              <w:spacing w:after="0"/>
              <w:rPr>
                <w:sz w:val="18"/>
                <w:szCs w:val="18"/>
                <w:color w:val="auto"/>
              </w:rPr>
            </w:pPr>
          </w:p>
        </w:tc>
      </w:tr>
      <w:tr>
        <w:trPr>
          <w:trHeight w:val="210"/>
        </w:trPr>
        <w:tc>
          <w:tcPr>
            <w:tcW w:w="5900" w:type="dxa"/>
            <w:vAlign w:val="bottom"/>
            <w:shd w:val="clear" w:color="auto" w:fill="CFF0FC"/>
          </w:tcPr>
          <w:p>
            <w:pPr>
              <w:ind w:left="280"/>
              <w:spacing w:after="0" w:line="210" w:lineRule="exact"/>
              <w:rPr>
                <w:sz w:val="20"/>
                <w:szCs w:val="20"/>
                <w:color w:val="auto"/>
              </w:rPr>
            </w:pPr>
            <w:r>
              <w:rPr>
                <w:rFonts w:ascii="Calibri" w:cs="Calibri" w:eastAsia="Calibri" w:hAnsi="Calibri"/>
                <w:sz w:val="18"/>
                <w:szCs w:val="18"/>
                <w:color w:val="auto"/>
              </w:rPr>
              <w:t>Total segment revenue</w:t>
            </w:r>
          </w:p>
        </w:tc>
        <w:tc>
          <w:tcPr>
            <w:tcW w:w="360" w:type="dxa"/>
            <w:vAlign w:val="bottom"/>
            <w:shd w:val="clear" w:color="auto" w:fill="CFF0FC"/>
          </w:tcPr>
          <w:p>
            <w:pPr>
              <w:jc w:val="right"/>
              <w:ind w:right="156"/>
              <w:spacing w:after="0" w:line="210"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647,284</w:t>
            </w:r>
          </w:p>
        </w:tc>
        <w:tc>
          <w:tcPr>
            <w:tcW w:w="520" w:type="dxa"/>
            <w:vAlign w:val="bottom"/>
            <w:gridSpan w:val="2"/>
            <w:shd w:val="clear" w:color="auto" w:fill="CFF0FC"/>
          </w:tcPr>
          <w:p>
            <w:pPr>
              <w:jc w:val="right"/>
              <w:ind w:right="79"/>
              <w:spacing w:after="0" w:line="210"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216,005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863,289</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Reconciliaton of Revenue</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Other revenue</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50,953</w:t>
            </w:r>
          </w:p>
        </w:tc>
        <w:tc>
          <w:tcPr>
            <w:tcW w:w="100" w:type="dxa"/>
            <w:vAlign w:val="bottom"/>
          </w:tcPr>
          <w:p>
            <w:pPr>
              <w:spacing w:after="0"/>
              <w:rPr>
                <w:sz w:val="18"/>
                <w:szCs w:val="18"/>
                <w:color w:val="auto"/>
              </w:rPr>
            </w:pPr>
          </w:p>
        </w:tc>
      </w:tr>
      <w:tr>
        <w:trPr>
          <w:trHeight w:val="250"/>
        </w:trPr>
        <w:tc>
          <w:tcPr>
            <w:tcW w:w="5900" w:type="dxa"/>
            <w:vAlign w:val="bottom"/>
            <w:tcBorders>
              <w:bottom w:val="single" w:sz="8" w:color="CFF0FC"/>
            </w:tcBorders>
            <w:shd w:val="clear" w:color="auto" w:fill="CFF0FC"/>
          </w:tcPr>
          <w:p>
            <w:pPr>
              <w:ind w:left="280"/>
              <w:spacing w:after="0" w:line="209" w:lineRule="exact"/>
              <w:rPr>
                <w:sz w:val="20"/>
                <w:szCs w:val="20"/>
                <w:color w:val="auto"/>
              </w:rPr>
            </w:pPr>
            <w:r>
              <w:rPr>
                <w:rFonts w:ascii="Calibri" w:cs="Calibri" w:eastAsia="Calibri" w:hAnsi="Calibri"/>
                <w:sz w:val="18"/>
                <w:szCs w:val="18"/>
                <w:color w:val="auto"/>
              </w:rPr>
              <w:t>Total consolidated revenue</w:t>
            </w:r>
          </w:p>
        </w:tc>
        <w:tc>
          <w:tcPr>
            <w:tcW w:w="3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914,242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66"/>
        </w:trPr>
        <w:tc>
          <w:tcPr>
            <w:tcW w:w="5900" w:type="dxa"/>
            <w:vAlign w:val="bottom"/>
          </w:tcPr>
          <w:p>
            <w:pPr>
              <w:spacing w:after="0"/>
              <w:rPr>
                <w:sz w:val="20"/>
                <w:szCs w:val="20"/>
                <w:color w:val="auto"/>
              </w:rPr>
            </w:pPr>
            <w:r>
              <w:rPr>
                <w:rFonts w:ascii="Calibri" w:cs="Calibri" w:eastAsia="Calibri" w:hAnsi="Calibri"/>
                <w:sz w:val="18"/>
                <w:szCs w:val="18"/>
                <w:color w:val="auto"/>
              </w:rPr>
              <w:t>Less: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5900" w:type="dxa"/>
            <w:vAlign w:val="bottom"/>
          </w:tcPr>
          <w:p>
            <w:pPr>
              <w:ind w:left="180"/>
              <w:spacing w:after="0" w:line="263" w:lineRule="exact"/>
              <w:rPr>
                <w:sz w:val="20"/>
                <w:szCs w:val="20"/>
                <w:color w:val="auto"/>
              </w:rPr>
            </w:pPr>
            <w:r>
              <w:rPr>
                <w:rFonts w:ascii="Calibri" w:cs="Calibri" w:eastAsia="Calibri" w:hAnsi="Calibri"/>
                <w:sz w:val="18"/>
                <w:szCs w:val="18"/>
                <w:color w:val="auto"/>
              </w:rPr>
              <w:t>Cost of revenue</w:t>
            </w:r>
            <w:r>
              <w:rPr>
                <w:rFonts w:ascii="Calibri" w:cs="Calibri" w:eastAsia="Calibri" w:hAnsi="Calibri"/>
                <w:sz w:val="24"/>
                <w:szCs w:val="24"/>
                <w:color w:val="auto"/>
                <w:vertAlign w:val="superscript"/>
              </w:rPr>
              <w:t>(1)</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auto"/>
              </w:rPr>
              <w:t>55,939</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202,768</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auto"/>
              </w:rPr>
              <w:t>258,707</w:t>
            </w:r>
          </w:p>
        </w:tc>
        <w:tc>
          <w:tcPr>
            <w:tcW w:w="100" w:type="dxa"/>
            <w:vAlign w:val="bottom"/>
          </w:tcPr>
          <w:p>
            <w:pPr>
              <w:spacing w:after="0"/>
              <w:rPr>
                <w:sz w:val="22"/>
                <w:szCs w:val="22"/>
                <w:color w:val="auto"/>
              </w:rPr>
            </w:pPr>
          </w:p>
        </w:tc>
      </w:tr>
      <w:tr>
        <w:trPr>
          <w:trHeight w:val="216"/>
        </w:trPr>
        <w:tc>
          <w:tcPr>
            <w:tcW w:w="5900" w:type="dxa"/>
            <w:vAlign w:val="bottom"/>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Sales and marketng</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235,917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29,718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265,635</w:t>
            </w: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Depreciaton and amortzaton</w:t>
            </w:r>
          </w:p>
        </w:tc>
        <w:tc>
          <w:tcPr>
            <w:tcW w:w="360" w:type="dxa"/>
            <w:vAlign w:val="bottom"/>
          </w:tcPr>
          <w:p>
            <w:pPr>
              <w:spacing w:after="0"/>
              <w:rPr>
                <w:sz w:val="18"/>
                <w:szCs w:val="18"/>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6,264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9,229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15,493</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Other segment items</w:t>
            </w: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221,440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70,673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292,113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00" w:type="dxa"/>
            <w:vAlign w:val="bottom"/>
          </w:tcPr>
          <w:p>
            <w:pPr>
              <w:ind w:left="280"/>
              <w:spacing w:after="0" w:line="209" w:lineRule="exact"/>
              <w:rPr>
                <w:sz w:val="20"/>
                <w:szCs w:val="20"/>
                <w:color w:val="auto"/>
              </w:rPr>
            </w:pPr>
            <w:r>
              <w:rPr>
                <w:rFonts w:ascii="Calibri" w:cs="Calibri" w:eastAsia="Calibri" w:hAnsi="Calibri"/>
                <w:sz w:val="18"/>
                <w:szCs w:val="18"/>
                <w:color w:val="auto"/>
              </w:rPr>
              <w:t>Total segment expenses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519,560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312,388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831,948</w:t>
            </w:r>
          </w:p>
        </w:tc>
        <w:tc>
          <w:tcPr>
            <w:tcW w:w="100" w:type="dxa"/>
            <w:vAlign w:val="bottom"/>
          </w:tcPr>
          <w:p>
            <w:pPr>
              <w:spacing w:after="0"/>
              <w:rPr>
                <w:sz w:val="18"/>
                <w:szCs w:val="18"/>
                <w:color w:val="auto"/>
              </w:rPr>
            </w:pPr>
          </w:p>
        </w:tc>
      </w:tr>
      <w:tr>
        <w:trPr>
          <w:trHeight w:val="210"/>
        </w:trPr>
        <w:tc>
          <w:tcPr>
            <w:tcW w:w="5900" w:type="dxa"/>
            <w:vAlign w:val="bottom"/>
            <w:shd w:val="clear" w:color="auto" w:fill="CFF0FC"/>
          </w:tcPr>
          <w:p>
            <w:pPr>
              <w:ind w:left="360"/>
              <w:spacing w:after="0" w:line="210" w:lineRule="exact"/>
              <w:rPr>
                <w:sz w:val="20"/>
                <w:szCs w:val="20"/>
                <w:color w:val="auto"/>
              </w:rPr>
            </w:pPr>
            <w:r>
              <w:rPr>
                <w:rFonts w:ascii="Calibri" w:cs="Calibri" w:eastAsia="Calibri" w:hAnsi="Calibri"/>
                <w:sz w:val="18"/>
                <w:szCs w:val="18"/>
                <w:color w:val="auto"/>
              </w:rPr>
              <w:t>Total segment income (loss) from operatons</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127,724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line="210" w:lineRule="exact"/>
              <w:rPr>
                <w:sz w:val="20"/>
                <w:szCs w:val="20"/>
                <w:color w:val="auto"/>
              </w:rPr>
            </w:pPr>
            <w:r>
              <w:rPr>
                <w:rFonts w:ascii="Calibri" w:cs="Calibri" w:eastAsia="Calibri" w:hAnsi="Calibri"/>
                <w:sz w:val="18"/>
                <w:szCs w:val="18"/>
                <w:color w:val="auto"/>
              </w:rPr>
              <w:t>(96,383 )</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31,341</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900" w:type="dxa"/>
            <w:vAlign w:val="bottom"/>
            <w:shd w:val="clear" w:color="auto" w:fill="CFF0FC"/>
          </w:tcPr>
          <w:p>
            <w:pPr>
              <w:spacing w:after="0" w:line="194" w:lineRule="exact"/>
              <w:rPr>
                <w:sz w:val="20"/>
                <w:szCs w:val="20"/>
                <w:color w:val="auto"/>
              </w:rPr>
            </w:pPr>
            <w:r>
              <w:rPr>
                <w:rFonts w:ascii="Calibri" w:cs="Calibri" w:eastAsia="Calibri" w:hAnsi="Calibri"/>
                <w:sz w:val="18"/>
                <w:szCs w:val="18"/>
                <w:color w:val="auto"/>
              </w:rPr>
              <w:t>Reconciliaton of segment income (loss) from operatons to income from</w:t>
            </w: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59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operatons:</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Other operatng income</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1,286</w:t>
            </w:r>
          </w:p>
        </w:tc>
        <w:tc>
          <w:tcPr>
            <w:tcW w:w="100" w:type="dxa"/>
            <w:vAlign w:val="bottom"/>
          </w:tcPr>
          <w:p>
            <w:pPr>
              <w:spacing w:after="0"/>
              <w:rPr>
                <w:sz w:val="18"/>
                <w:szCs w:val="18"/>
                <w:color w:val="auto"/>
              </w:rPr>
            </w:pPr>
          </w:p>
        </w:tc>
      </w:tr>
      <w:tr>
        <w:trPr>
          <w:trHeight w:val="209"/>
        </w:trPr>
        <w:tc>
          <w:tcPr>
            <w:tcW w:w="5900" w:type="dxa"/>
            <w:vAlign w:val="bottom"/>
            <w:tcBorders>
              <w:bottom w:val="single" w:sz="8" w:color="CFF0FC"/>
            </w:tcBorders>
            <w:shd w:val="clear" w:color="auto" w:fill="CFF0FC"/>
          </w:tcPr>
          <w:p>
            <w:pPr>
              <w:ind w:left="360"/>
              <w:spacing w:after="0" w:line="209" w:lineRule="exact"/>
              <w:rPr>
                <w:sz w:val="20"/>
                <w:szCs w:val="20"/>
                <w:color w:val="auto"/>
              </w:rPr>
            </w:pPr>
            <w:r>
              <w:rPr>
                <w:rFonts w:ascii="Calibri" w:cs="Calibri" w:eastAsia="Calibri" w:hAnsi="Calibri"/>
                <w:sz w:val="18"/>
                <w:szCs w:val="18"/>
                <w:color w:val="auto"/>
              </w:rPr>
              <w:t>Total income from operatons</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32,627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900" w:type="dxa"/>
            <w:vAlign w:val="bottom"/>
            <w:shd w:val="clear" w:color="auto" w:fill="CFF0FC"/>
          </w:tcPr>
          <w:p>
            <w:pPr>
              <w:spacing w:after="0" w:line="194" w:lineRule="exact"/>
              <w:rPr>
                <w:sz w:val="20"/>
                <w:szCs w:val="20"/>
                <w:color w:val="auto"/>
              </w:rPr>
            </w:pPr>
            <w:r>
              <w:rPr>
                <w:rFonts w:ascii="Calibri" w:cs="Calibri" w:eastAsia="Calibri" w:hAnsi="Calibri"/>
                <w:sz w:val="18"/>
                <w:szCs w:val="18"/>
                <w:color w:val="auto"/>
              </w:rPr>
              <w:t>Reconciliaton of total income from operatons to total income before income</w:t>
            </w: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59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taxes:</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900" w:type="dxa"/>
            <w:vAlign w:val="bottom"/>
          </w:tcPr>
          <w:p>
            <w:pPr>
              <w:ind w:left="360"/>
              <w:spacing w:after="0" w:line="215" w:lineRule="exact"/>
              <w:rPr>
                <w:sz w:val="20"/>
                <w:szCs w:val="20"/>
                <w:color w:val="auto"/>
              </w:rPr>
            </w:pPr>
            <w:r>
              <w:rPr>
                <w:rFonts w:ascii="Calibri" w:cs="Calibri" w:eastAsia="Calibri" w:hAnsi="Calibri"/>
                <w:sz w:val="18"/>
                <w:szCs w:val="18"/>
                <w:color w:val="auto"/>
              </w:rPr>
              <w:t>Total other income, net</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19,060</w:t>
            </w:r>
          </w:p>
        </w:tc>
        <w:tc>
          <w:tcPr>
            <w:tcW w:w="100" w:type="dxa"/>
            <w:vAlign w:val="bottom"/>
          </w:tcPr>
          <w:p>
            <w:pPr>
              <w:spacing w:after="0"/>
              <w:rPr>
                <w:sz w:val="18"/>
                <w:szCs w:val="18"/>
                <w:color w:val="auto"/>
              </w:rPr>
            </w:pPr>
          </w:p>
        </w:tc>
      </w:tr>
      <w:tr>
        <w:trPr>
          <w:trHeight w:val="249"/>
        </w:trPr>
        <w:tc>
          <w:tcPr>
            <w:tcW w:w="5900" w:type="dxa"/>
            <w:vAlign w:val="bottom"/>
            <w:tcBorders>
              <w:bottom w:val="single" w:sz="8" w:color="CFF0FC"/>
            </w:tcBorders>
            <w:shd w:val="clear" w:color="auto" w:fill="CFF0FC"/>
          </w:tcPr>
          <w:p>
            <w:pPr>
              <w:ind w:left="540"/>
              <w:spacing w:after="0" w:line="209" w:lineRule="exact"/>
              <w:rPr>
                <w:sz w:val="20"/>
                <w:szCs w:val="20"/>
                <w:color w:val="auto"/>
              </w:rPr>
            </w:pPr>
            <w:r>
              <w:rPr>
                <w:rFonts w:ascii="Calibri" w:cs="Calibri" w:eastAsia="Calibri" w:hAnsi="Calibri"/>
                <w:sz w:val="18"/>
                <w:szCs w:val="18"/>
                <w:color w:val="auto"/>
              </w:rPr>
              <w:t>Total income before income taxes</w:t>
            </w:r>
          </w:p>
        </w:tc>
        <w:tc>
          <w:tcPr>
            <w:tcW w:w="3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51,687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-2399665</wp:posOffset>
            </wp:positionV>
            <wp:extent cx="6412230" cy="1371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-2562225</wp:posOffset>
            </wp:positionV>
            <wp:extent cx="603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-2545080</wp:posOffset>
            </wp:positionV>
            <wp:extent cx="603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-1713865</wp:posOffset>
            </wp:positionV>
            <wp:extent cx="603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-1713865</wp:posOffset>
            </wp:positionV>
            <wp:extent cx="603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-1713865</wp:posOffset>
            </wp:positionV>
            <wp:extent cx="603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-728345</wp:posOffset>
            </wp:positionV>
            <wp:extent cx="603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1020" w:hanging="503"/>
        <w:spacing w:after="0" w:line="242" w:lineRule="auto"/>
        <w:tabs>
          <w:tab w:leader="none" w:pos="1020" w:val="left"/>
        </w:tabs>
        <w:numPr>
          <w:ilvl w:val="0"/>
          <w:numId w:val="45"/>
        </w:numPr>
        <w:rPr>
          <w:rFonts w:ascii="Calibri" w:cs="Calibri" w:eastAsia="Calibri" w:hAnsi="Calibri"/>
          <w:sz w:val="14"/>
          <w:szCs w:val="14"/>
          <w:color w:val="00002D"/>
        </w:rPr>
      </w:pPr>
      <w:r>
        <w:rPr>
          <w:rFonts w:ascii="Calibri" w:cs="Calibri" w:eastAsia="Calibri" w:hAnsi="Calibri"/>
          <w:sz w:val="14"/>
          <w:szCs w:val="14"/>
          <w:color w:val="00002D"/>
        </w:rPr>
        <w:t>For the year ended December 31, 2023, U.S. Marketplace and Digital Wholesale cost of revenue includes depreciaton and amortzaton expense of $5,297 and $27,036, respectvely.</w:t>
      </w:r>
    </w:p>
    <w:p>
      <w:pPr>
        <w:spacing w:after="0" w:line="38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1" w:name="page122"/>
    <w:bookmarkEnd w:id="12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gridSpan w:val="4"/>
          </w:tcPr>
          <w:p>
            <w:pPr>
              <w:jc w:val="center"/>
              <w:ind w:right="20"/>
              <w:spacing w:after="0"/>
              <w:rPr>
                <w:sz w:val="20"/>
                <w:szCs w:val="20"/>
                <w:color w:val="auto"/>
              </w:rPr>
            </w:pPr>
            <w:r>
              <w:rPr>
                <w:rFonts w:ascii="Calibri" w:cs="Calibri" w:eastAsia="Calibri" w:hAnsi="Calibri"/>
                <w:sz w:val="14"/>
                <w:szCs w:val="14"/>
                <w:b w:val="1"/>
                <w:bCs w:val="1"/>
                <w:color w:val="auto"/>
              </w:rPr>
              <w:t>Year Ended December 31,</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2"/>
        </w:trPr>
        <w:tc>
          <w:tcPr>
            <w:tcW w:w="5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4"/>
              <w:spacing w:after="0" w:line="212" w:lineRule="exact"/>
              <w:rPr>
                <w:sz w:val="20"/>
                <w:szCs w:val="20"/>
                <w:color w:val="auto"/>
              </w:rPr>
            </w:pPr>
            <w:r>
              <w:rPr>
                <w:rFonts w:ascii="Calibri" w:cs="Calibri" w:eastAsia="Calibri" w:hAnsi="Calibri"/>
                <w:sz w:val="14"/>
                <w:szCs w:val="14"/>
                <w:b w:val="1"/>
                <w:bCs w:val="1"/>
                <w:color w:val="auto"/>
                <w:w w:val="93"/>
              </w:rPr>
              <w:t>2022</w:t>
            </w:r>
            <w:r>
              <w:rPr>
                <w:rFonts w:ascii="Calibri" w:cs="Calibri" w:eastAsia="Calibri" w:hAnsi="Calibri"/>
                <w:sz w:val="19"/>
                <w:szCs w:val="19"/>
                <w:b w:val="1"/>
                <w:bCs w:val="1"/>
                <w:color w:val="auto"/>
                <w:w w:val="93"/>
                <w:vertAlign w:val="superscript"/>
              </w:rPr>
              <w:t>(1)</w:t>
            </w: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32"/>
              <w:spacing w:after="0" w:line="166" w:lineRule="exact"/>
              <w:rPr>
                <w:sz w:val="20"/>
                <w:szCs w:val="20"/>
                <w:color w:val="auto"/>
              </w:rPr>
            </w:pPr>
            <w:r>
              <w:rPr>
                <w:rFonts w:ascii="Calibri" w:cs="Calibri" w:eastAsia="Calibri" w:hAnsi="Calibri"/>
                <w:sz w:val="14"/>
                <w:szCs w:val="14"/>
                <w:b w:val="1"/>
                <w:bCs w:val="1"/>
                <w:color w:val="auto"/>
              </w:rPr>
              <w:t>U.S. Marketplace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60"/>
              <w:spacing w:after="0" w:line="166" w:lineRule="exact"/>
              <w:rPr>
                <w:sz w:val="20"/>
                <w:szCs w:val="20"/>
                <w:color w:val="auto"/>
              </w:rPr>
            </w:pPr>
            <w:r>
              <w:rPr>
                <w:rFonts w:ascii="Calibri" w:cs="Calibri" w:eastAsia="Calibri" w:hAnsi="Calibri"/>
                <w:sz w:val="14"/>
                <w:szCs w:val="14"/>
                <w:b w:val="1"/>
                <w:bCs w:val="1"/>
                <w:color w:val="auto"/>
              </w:rPr>
              <w:t>Digital Wholesale</w:t>
            </w:r>
          </w:p>
        </w:tc>
        <w:tc>
          <w:tcPr>
            <w:tcW w:w="300" w:type="dxa"/>
            <w:vAlign w:val="bottom"/>
          </w:tcPr>
          <w:p>
            <w:pPr>
              <w:spacing w:after="0"/>
              <w:rPr>
                <w:sz w:val="14"/>
                <w:szCs w:val="14"/>
                <w:color w:val="auto"/>
              </w:rPr>
            </w:pPr>
          </w:p>
        </w:tc>
        <w:tc>
          <w:tcPr>
            <w:tcW w:w="960" w:type="dxa"/>
            <w:vAlign w:val="bottom"/>
          </w:tcPr>
          <w:p>
            <w:pPr>
              <w:jc w:val="right"/>
              <w:ind w:right="391"/>
              <w:spacing w:after="0" w:line="166" w:lineRule="exact"/>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4"/>
                <w:szCs w:val="14"/>
                <w:color w:val="auto"/>
              </w:rPr>
            </w:pPr>
          </w:p>
        </w:tc>
      </w:tr>
      <w:tr>
        <w:trPr>
          <w:trHeight w:val="212"/>
        </w:trPr>
        <w:tc>
          <w:tcPr>
            <w:tcW w:w="5740" w:type="dxa"/>
            <w:vAlign w:val="bottom"/>
            <w:shd w:val="clear" w:color="auto" w:fill="CFF0FC"/>
          </w:tcPr>
          <w:p>
            <w:pPr>
              <w:spacing w:after="0" w:line="212" w:lineRule="exact"/>
              <w:rPr>
                <w:sz w:val="20"/>
                <w:szCs w:val="20"/>
                <w:color w:val="auto"/>
              </w:rPr>
            </w:pPr>
            <w:r>
              <w:rPr>
                <w:rFonts w:ascii="Calibri" w:cs="Calibri" w:eastAsia="Calibri" w:hAnsi="Calibri"/>
                <w:sz w:val="18"/>
                <w:szCs w:val="18"/>
                <w:color w:val="auto"/>
              </w:rPr>
              <w:t>Revenue</w:t>
            </w: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180"/>
              <w:spacing w:after="0" w:line="215" w:lineRule="exact"/>
              <w:rPr>
                <w:sz w:val="20"/>
                <w:szCs w:val="20"/>
                <w:color w:val="auto"/>
              </w:rPr>
            </w:pPr>
            <w:r>
              <w:rPr>
                <w:rFonts w:ascii="Calibri" w:cs="Calibri" w:eastAsia="Calibri" w:hAnsi="Calibri"/>
                <w:sz w:val="18"/>
                <w:szCs w:val="18"/>
                <w:color w:val="auto"/>
              </w:rPr>
              <w:t>Revenue from external customers</w:t>
            </w:r>
          </w:p>
        </w:tc>
        <w:tc>
          <w:tcPr>
            <w:tcW w:w="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614,136</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996,264</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1,610,400</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280"/>
              <w:spacing w:after="0" w:line="210" w:lineRule="exact"/>
              <w:rPr>
                <w:sz w:val="20"/>
                <w:szCs w:val="20"/>
                <w:color w:val="auto"/>
              </w:rPr>
            </w:pPr>
            <w:r>
              <w:rPr>
                <w:rFonts w:ascii="Calibri" w:cs="Calibri" w:eastAsia="Calibri" w:hAnsi="Calibri"/>
                <w:sz w:val="18"/>
                <w:szCs w:val="18"/>
                <w:color w:val="auto"/>
              </w:rPr>
              <w:t>Total segment revenue</w:t>
            </w:r>
          </w:p>
        </w:tc>
        <w:tc>
          <w:tcPr>
            <w:tcW w:w="1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614,136</w:t>
            </w:r>
          </w:p>
        </w:tc>
        <w:tc>
          <w:tcPr>
            <w:tcW w:w="34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996,264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9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1,610,400</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Reconciliaton of Revenue</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180"/>
              <w:spacing w:after="0" w:line="215" w:lineRule="exact"/>
              <w:rPr>
                <w:sz w:val="20"/>
                <w:szCs w:val="20"/>
                <w:color w:val="auto"/>
              </w:rPr>
            </w:pPr>
            <w:r>
              <w:rPr>
                <w:rFonts w:ascii="Calibri" w:cs="Calibri" w:eastAsia="Calibri" w:hAnsi="Calibri"/>
                <w:sz w:val="18"/>
                <w:szCs w:val="18"/>
                <w:color w:val="auto"/>
              </w:rPr>
              <w:t>Other revenue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44,635</w:t>
            </w:r>
          </w:p>
        </w:tc>
        <w:tc>
          <w:tcPr>
            <w:tcW w:w="100" w:type="dxa"/>
            <w:vAlign w:val="bottom"/>
          </w:tcPr>
          <w:p>
            <w:pPr>
              <w:spacing w:after="0"/>
              <w:rPr>
                <w:sz w:val="18"/>
                <w:szCs w:val="18"/>
                <w:color w:val="auto"/>
              </w:rPr>
            </w:pPr>
          </w:p>
        </w:tc>
      </w:tr>
      <w:tr>
        <w:trPr>
          <w:trHeight w:val="249"/>
        </w:trPr>
        <w:tc>
          <w:tcPr>
            <w:tcW w:w="5740" w:type="dxa"/>
            <w:vAlign w:val="bottom"/>
            <w:tcBorders>
              <w:bottom w:val="single" w:sz="8" w:color="CFF0FC"/>
            </w:tcBorders>
            <w:shd w:val="clear" w:color="auto" w:fill="CFF0FC"/>
          </w:tcPr>
          <w:p>
            <w:pPr>
              <w:ind w:left="280"/>
              <w:spacing w:after="0" w:line="209" w:lineRule="exact"/>
              <w:rPr>
                <w:sz w:val="20"/>
                <w:szCs w:val="20"/>
                <w:color w:val="auto"/>
              </w:rPr>
            </w:pPr>
            <w:r>
              <w:rPr>
                <w:rFonts w:ascii="Calibri" w:cs="Calibri" w:eastAsia="Calibri" w:hAnsi="Calibri"/>
                <w:sz w:val="18"/>
                <w:szCs w:val="18"/>
                <w:color w:val="auto"/>
              </w:rPr>
              <w:t>Total consolidated revenue</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1,655,035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66"/>
        </w:trPr>
        <w:tc>
          <w:tcPr>
            <w:tcW w:w="5740" w:type="dxa"/>
            <w:vAlign w:val="bottom"/>
          </w:tcPr>
          <w:p>
            <w:pPr>
              <w:spacing w:after="0"/>
              <w:rPr>
                <w:sz w:val="20"/>
                <w:szCs w:val="20"/>
                <w:color w:val="auto"/>
              </w:rPr>
            </w:pPr>
            <w:r>
              <w:rPr>
                <w:rFonts w:ascii="Calibri" w:cs="Calibri" w:eastAsia="Calibri" w:hAnsi="Calibri"/>
                <w:sz w:val="18"/>
                <w:szCs w:val="18"/>
                <w:color w:val="auto"/>
              </w:rPr>
              <w:t>Less: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5740" w:type="dxa"/>
            <w:vAlign w:val="bottom"/>
          </w:tcPr>
          <w:p>
            <w:pPr>
              <w:ind w:left="180"/>
              <w:spacing w:after="0" w:line="263" w:lineRule="exact"/>
              <w:rPr>
                <w:sz w:val="20"/>
                <w:szCs w:val="20"/>
                <w:color w:val="auto"/>
              </w:rPr>
            </w:pPr>
            <w:r>
              <w:rPr>
                <w:rFonts w:ascii="Calibri" w:cs="Calibri" w:eastAsia="Calibri" w:hAnsi="Calibri"/>
                <w:sz w:val="18"/>
                <w:szCs w:val="18"/>
                <w:color w:val="auto"/>
              </w:rPr>
              <w:t>Cost of revenue</w:t>
            </w:r>
            <w:r>
              <w:rPr>
                <w:rFonts w:ascii="Calibri" w:cs="Calibri" w:eastAsia="Calibri" w:hAnsi="Calibri"/>
                <w:sz w:val="24"/>
                <w:szCs w:val="24"/>
                <w:color w:val="auto"/>
                <w:vertAlign w:val="superscript"/>
              </w:rPr>
              <w:t>(2)</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auto"/>
              </w:rPr>
              <w:t>52,664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auto"/>
              </w:rPr>
              <w:t>941,442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994,106</w:t>
            </w:r>
          </w:p>
        </w:tc>
        <w:tc>
          <w:tcPr>
            <w:tcW w:w="100" w:type="dxa"/>
            <w:vAlign w:val="bottom"/>
          </w:tcPr>
          <w:p>
            <w:pPr>
              <w:spacing w:after="0"/>
              <w:rPr>
                <w:sz w:val="22"/>
                <w:szCs w:val="22"/>
                <w:color w:val="auto"/>
              </w:rPr>
            </w:pPr>
          </w:p>
        </w:tc>
      </w:tr>
      <w:tr>
        <w:trPr>
          <w:trHeight w:val="216"/>
        </w:trPr>
        <w:tc>
          <w:tcPr>
            <w:tcW w:w="5740" w:type="dxa"/>
            <w:vAlign w:val="bottom"/>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Sales and marketng</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234,615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59,878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294,493</w:t>
            </w:r>
          </w:p>
        </w:tc>
        <w:tc>
          <w:tcPr>
            <w:tcW w:w="100" w:type="dxa"/>
            <w:vAlign w:val="bottom"/>
            <w:shd w:val="clear" w:color="auto" w:fill="CFF0FC"/>
          </w:tcPr>
          <w:p>
            <w:pPr>
              <w:spacing w:after="0"/>
              <w:rPr>
                <w:sz w:val="18"/>
                <w:szCs w:val="18"/>
                <w:color w:val="auto"/>
              </w:rPr>
            </w:pPr>
          </w:p>
        </w:tc>
      </w:tr>
      <w:tr>
        <w:trPr>
          <w:trHeight w:val="169"/>
        </w:trPr>
        <w:tc>
          <w:tcPr>
            <w:tcW w:w="5740" w:type="dxa"/>
            <w:vAlign w:val="bottom"/>
          </w:tcPr>
          <w:p>
            <w:pPr>
              <w:ind w:left="180"/>
              <w:spacing w:after="0" w:line="169" w:lineRule="exact"/>
              <w:rPr>
                <w:sz w:val="20"/>
                <w:szCs w:val="20"/>
                <w:color w:val="auto"/>
              </w:rPr>
            </w:pPr>
            <w:r>
              <w:rPr>
                <w:rFonts w:ascii="Calibri" w:cs="Calibri" w:eastAsia="Calibri" w:hAnsi="Calibri"/>
                <w:sz w:val="18"/>
                <w:szCs w:val="18"/>
                <w:color w:val="auto"/>
              </w:rPr>
              <w:t>Depreciaton and amortzaton</w:t>
            </w:r>
          </w:p>
        </w:tc>
        <w:tc>
          <w:tcPr>
            <w:tcW w:w="10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Calibri" w:cs="Calibri" w:eastAsia="Calibri" w:hAnsi="Calibri"/>
                <w:sz w:val="18"/>
                <w:szCs w:val="18"/>
                <w:color w:val="auto"/>
              </w:rPr>
              <w:t>6,089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Calibri" w:cs="Calibri" w:eastAsia="Calibri" w:hAnsi="Calibri"/>
                <w:sz w:val="18"/>
                <w:szCs w:val="18"/>
                <w:color w:val="auto"/>
              </w:rPr>
              <w:t>9,012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Calibri" w:cs="Calibri" w:eastAsia="Calibri" w:hAnsi="Calibri"/>
                <w:sz w:val="18"/>
                <w:szCs w:val="18"/>
                <w:color w:val="auto"/>
              </w:rPr>
              <w:t>15,101</w:t>
            </w:r>
          </w:p>
        </w:tc>
        <w:tc>
          <w:tcPr>
            <w:tcW w:w="100" w:type="dxa"/>
            <w:vAlign w:val="bottom"/>
          </w:tcPr>
          <w:p>
            <w:pPr>
              <w:spacing w:after="0"/>
              <w:rPr>
                <w:sz w:val="14"/>
                <w:szCs w:val="14"/>
                <w:color w:val="auto"/>
              </w:rPr>
            </w:pPr>
          </w:p>
        </w:tc>
      </w:tr>
      <w:tr>
        <w:trPr>
          <w:trHeight w:val="263"/>
        </w:trPr>
        <w:tc>
          <w:tcPr>
            <w:tcW w:w="5740" w:type="dxa"/>
            <w:vAlign w:val="bottom"/>
          </w:tcPr>
          <w:p>
            <w:pPr>
              <w:ind w:left="180"/>
              <w:spacing w:after="0" w:line="263" w:lineRule="exact"/>
              <w:rPr>
                <w:sz w:val="20"/>
                <w:szCs w:val="20"/>
                <w:color w:val="auto"/>
              </w:rPr>
            </w:pPr>
            <w:r>
              <w:rPr>
                <w:rFonts w:ascii="Calibri" w:cs="Calibri" w:eastAsia="Calibri" w:hAnsi="Calibri"/>
                <w:sz w:val="18"/>
                <w:szCs w:val="18"/>
                <w:color w:val="auto"/>
              </w:rPr>
              <w:t>Other segment items</w:t>
            </w:r>
            <w:r>
              <w:rPr>
                <w:rFonts w:ascii="Calibri" w:cs="Calibri" w:eastAsia="Calibri" w:hAnsi="Calibri"/>
                <w:sz w:val="24"/>
                <w:szCs w:val="24"/>
                <w:color w:val="auto"/>
                <w:vertAlign w:val="superscript"/>
              </w:rPr>
              <w:t>(3)</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auto"/>
              </w:rPr>
              <w:t>192,313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(2,234 )</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190,079</w:t>
            </w:r>
          </w:p>
        </w:tc>
        <w:tc>
          <w:tcPr>
            <w:tcW w:w="100" w:type="dxa"/>
            <w:vAlign w:val="bottom"/>
          </w:tcPr>
          <w:p>
            <w:pPr>
              <w:spacing w:after="0"/>
              <w:rPr>
                <w:sz w:val="22"/>
                <w:szCs w:val="22"/>
                <w:color w:val="auto"/>
              </w:rPr>
            </w:pPr>
          </w:p>
        </w:tc>
      </w:tr>
      <w:tr>
        <w:trPr>
          <w:trHeight w:val="209"/>
        </w:trPr>
        <w:tc>
          <w:tcPr>
            <w:tcW w:w="5740" w:type="dxa"/>
            <w:vAlign w:val="bottom"/>
          </w:tcPr>
          <w:p>
            <w:pPr>
              <w:ind w:left="280"/>
              <w:spacing w:after="0" w:line="195" w:lineRule="exact"/>
              <w:rPr>
                <w:sz w:val="20"/>
                <w:szCs w:val="20"/>
                <w:color w:val="auto"/>
              </w:rPr>
            </w:pPr>
            <w:r>
              <w:rPr>
                <w:rFonts w:ascii="Calibri" w:cs="Calibri" w:eastAsia="Calibri" w:hAnsi="Calibri"/>
                <w:sz w:val="18"/>
                <w:szCs w:val="18"/>
                <w:color w:val="auto"/>
              </w:rPr>
              <w:t>Total segment expenses</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485,681</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1,008,098</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1,493,779</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360"/>
              <w:spacing w:after="0" w:line="210" w:lineRule="exact"/>
              <w:rPr>
                <w:sz w:val="20"/>
                <w:szCs w:val="20"/>
                <w:color w:val="auto"/>
              </w:rPr>
            </w:pPr>
            <w:r>
              <w:rPr>
                <w:rFonts w:ascii="Calibri" w:cs="Calibri" w:eastAsia="Calibri" w:hAnsi="Calibri"/>
                <w:sz w:val="18"/>
                <w:szCs w:val="18"/>
                <w:color w:val="auto"/>
              </w:rPr>
              <w:t>Total segment income (loss) from operatons</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128,455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line="210" w:lineRule="exact"/>
              <w:rPr>
                <w:sz w:val="20"/>
                <w:szCs w:val="20"/>
                <w:color w:val="auto"/>
              </w:rPr>
            </w:pPr>
            <w:r>
              <w:rPr>
                <w:rFonts w:ascii="Calibri" w:cs="Calibri" w:eastAsia="Calibri" w:hAnsi="Calibri"/>
                <w:sz w:val="18"/>
                <w:szCs w:val="18"/>
                <w:color w:val="auto"/>
              </w:rPr>
              <w:t>(11,834 )</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116,621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740" w:type="dxa"/>
            <w:vAlign w:val="bottom"/>
            <w:shd w:val="clear" w:color="auto" w:fill="CFF0FC"/>
          </w:tcPr>
          <w:p>
            <w:pPr>
              <w:spacing w:after="0" w:line="194" w:lineRule="exact"/>
              <w:rPr>
                <w:sz w:val="20"/>
                <w:szCs w:val="20"/>
                <w:color w:val="auto"/>
              </w:rPr>
            </w:pPr>
            <w:r>
              <w:rPr>
                <w:rFonts w:ascii="Calibri" w:cs="Calibri" w:eastAsia="Calibri" w:hAnsi="Calibri"/>
                <w:sz w:val="18"/>
                <w:szCs w:val="18"/>
                <w:color w:val="auto"/>
              </w:rPr>
              <w:t>Reconciliaton of segment income (loss) from operatons to income from</w:t>
            </w: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57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operatons:</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740" w:type="dxa"/>
            <w:vAlign w:val="bottom"/>
          </w:tcPr>
          <w:p>
            <w:pPr>
              <w:ind w:left="180"/>
              <w:spacing w:after="0" w:line="215" w:lineRule="exact"/>
              <w:rPr>
                <w:sz w:val="20"/>
                <w:szCs w:val="20"/>
                <w:color w:val="auto"/>
              </w:rPr>
            </w:pPr>
            <w:r>
              <w:rPr>
                <w:rFonts w:ascii="Calibri" w:cs="Calibri" w:eastAsia="Calibri" w:hAnsi="Calibri"/>
                <w:sz w:val="18"/>
                <w:szCs w:val="18"/>
                <w:color w:val="auto"/>
              </w:rPr>
              <w:t>Other operatng income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(8,143 )</w:t>
            </w:r>
          </w:p>
        </w:tc>
      </w:tr>
      <w:tr>
        <w:trPr>
          <w:trHeight w:val="210"/>
        </w:trPr>
        <w:tc>
          <w:tcPr>
            <w:tcW w:w="5740" w:type="dxa"/>
            <w:vAlign w:val="bottom"/>
            <w:tcBorders>
              <w:bottom w:val="single" w:sz="8" w:color="CFF0FC"/>
            </w:tcBorders>
            <w:shd w:val="clear" w:color="auto" w:fill="CFF0FC"/>
          </w:tcPr>
          <w:p>
            <w:pPr>
              <w:ind w:left="360"/>
              <w:spacing w:after="0" w:line="209" w:lineRule="exact"/>
              <w:rPr>
                <w:sz w:val="20"/>
                <w:szCs w:val="20"/>
                <w:color w:val="auto"/>
              </w:rPr>
            </w:pPr>
            <w:r>
              <w:rPr>
                <w:rFonts w:ascii="Calibri" w:cs="Calibri" w:eastAsia="Calibri" w:hAnsi="Calibri"/>
                <w:sz w:val="18"/>
                <w:szCs w:val="18"/>
                <w:color w:val="auto"/>
              </w:rPr>
              <w:t>Total income from operatons</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108,478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740" w:type="dxa"/>
            <w:vAlign w:val="bottom"/>
            <w:shd w:val="clear" w:color="auto" w:fill="CFF0FC"/>
          </w:tcPr>
          <w:p>
            <w:pPr>
              <w:spacing w:after="0" w:line="194" w:lineRule="exact"/>
              <w:rPr>
                <w:sz w:val="20"/>
                <w:szCs w:val="20"/>
                <w:color w:val="auto"/>
              </w:rPr>
            </w:pPr>
            <w:r>
              <w:rPr>
                <w:rFonts w:ascii="Calibri" w:cs="Calibri" w:eastAsia="Calibri" w:hAnsi="Calibri"/>
                <w:sz w:val="18"/>
                <w:szCs w:val="18"/>
                <w:color w:val="auto"/>
              </w:rPr>
              <w:t>Reconciliaton of total income from operatons to total income before income</w:t>
            </w: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57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taxes:</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5740" w:type="dxa"/>
            <w:vAlign w:val="bottom"/>
          </w:tcPr>
          <w:p>
            <w:pPr>
              <w:ind w:left="360"/>
              <w:spacing w:after="0" w:line="215" w:lineRule="exact"/>
              <w:rPr>
                <w:sz w:val="20"/>
                <w:szCs w:val="20"/>
                <w:color w:val="auto"/>
              </w:rPr>
            </w:pPr>
            <w:r>
              <w:rPr>
                <w:rFonts w:ascii="Calibri" w:cs="Calibri" w:eastAsia="Calibri" w:hAnsi="Calibri"/>
                <w:sz w:val="18"/>
                <w:szCs w:val="18"/>
                <w:color w:val="auto"/>
              </w:rPr>
              <w:t>Total other income, net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2,884</w:t>
            </w:r>
          </w:p>
        </w:tc>
        <w:tc>
          <w:tcPr>
            <w:tcW w:w="100" w:type="dxa"/>
            <w:vAlign w:val="bottom"/>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ind w:left="540"/>
              <w:spacing w:after="0" w:line="209" w:lineRule="exact"/>
              <w:rPr>
                <w:sz w:val="20"/>
                <w:szCs w:val="20"/>
                <w:color w:val="auto"/>
              </w:rPr>
            </w:pPr>
            <w:r>
              <w:rPr>
                <w:rFonts w:ascii="Calibri" w:cs="Calibri" w:eastAsia="Calibri" w:hAnsi="Calibri"/>
                <w:sz w:val="18"/>
                <w:szCs w:val="18"/>
                <w:color w:val="auto"/>
              </w:rPr>
              <w:t>Total income before income taxes</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111,362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-2399665</wp:posOffset>
            </wp:positionV>
            <wp:extent cx="6412230" cy="137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-3788410</wp:posOffset>
            </wp:positionV>
            <wp:extent cx="270891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-2562225</wp:posOffset>
            </wp:positionV>
            <wp:extent cx="603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-2545080</wp:posOffset>
            </wp:positionV>
            <wp:extent cx="603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-1851025</wp:posOffset>
            </wp:positionV>
            <wp:extent cx="6412230" cy="1454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-728345</wp:posOffset>
            </wp:positionV>
            <wp:extent cx="6032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jc w:val="both"/>
        <w:ind w:left="1020" w:hanging="503"/>
        <w:spacing w:after="0" w:line="246" w:lineRule="auto"/>
        <w:tabs>
          <w:tab w:leader="none" w:pos="1020" w:val="left"/>
        </w:tabs>
        <w:numPr>
          <w:ilvl w:val="0"/>
          <w:numId w:val="46"/>
        </w:numPr>
        <w:rPr>
          <w:rFonts w:ascii="Calibri" w:cs="Calibri" w:eastAsia="Calibri" w:hAnsi="Calibri"/>
          <w:sz w:val="14"/>
          <w:szCs w:val="14"/>
          <w:color w:val="00002D"/>
        </w:rPr>
      </w:pPr>
      <w:r>
        <w:rPr>
          <w:rFonts w:ascii="Calibri" w:cs="Calibri" w:eastAsia="Calibri" w:hAnsi="Calibri"/>
          <w:sz w:val="14"/>
          <w:szCs w:val="14"/>
          <w:color w:val="00002D"/>
        </w:rPr>
        <w:t>For the year ended December 31, 2022, Digital Wholesale segment loss did not refect certain Dealer-to-Dealer and Instant Max Cash Ofer related capitalized website development expense from the U.S. Marketplace segment. During the three months ended March 31, 2023, the Company updated Digital Wholesale depreciaton and amortzaton to refect certain Dealer-to-Dealer and Instant Max Cash Ofer related capitalized website development amortzaton expense from the U.S. Marketplace segment and accordingly updated Digital Wholesale Depreciaton for the year ended December 31, 2022, for comparatve purposes.</w:t>
      </w:r>
    </w:p>
    <w:p>
      <w:pPr>
        <w:spacing w:after="0" w:line="109" w:lineRule="exact"/>
        <w:rPr>
          <w:rFonts w:ascii="Calibri" w:cs="Calibri" w:eastAsia="Calibri" w:hAnsi="Calibri"/>
          <w:sz w:val="14"/>
          <w:szCs w:val="14"/>
          <w:color w:val="00002D"/>
        </w:rPr>
      </w:pPr>
    </w:p>
    <w:p>
      <w:pPr>
        <w:ind w:left="1020" w:hanging="503"/>
        <w:spacing w:after="0" w:line="242" w:lineRule="auto"/>
        <w:tabs>
          <w:tab w:leader="none" w:pos="1020" w:val="left"/>
        </w:tabs>
        <w:numPr>
          <w:ilvl w:val="0"/>
          <w:numId w:val="46"/>
        </w:numPr>
        <w:rPr>
          <w:rFonts w:ascii="Calibri" w:cs="Calibri" w:eastAsia="Calibri" w:hAnsi="Calibri"/>
          <w:sz w:val="14"/>
          <w:szCs w:val="14"/>
          <w:color w:val="00002D"/>
        </w:rPr>
      </w:pPr>
      <w:r>
        <w:rPr>
          <w:rFonts w:ascii="Calibri" w:cs="Calibri" w:eastAsia="Calibri" w:hAnsi="Calibri"/>
          <w:sz w:val="14"/>
          <w:szCs w:val="14"/>
          <w:color w:val="00002D"/>
        </w:rPr>
        <w:t>For the year ended December 31, 2022, U.S. Marketplace and Digital Wholesale cost of revenue includes depreciaton and amortzaton expense of $5,465 and $24,338, respectvely.</w:t>
      </w:r>
    </w:p>
    <w:p>
      <w:pPr>
        <w:spacing w:after="0" w:line="286" w:lineRule="exact"/>
        <w:rPr>
          <w:rFonts w:ascii="Calibri" w:cs="Calibri" w:eastAsia="Calibri" w:hAnsi="Calibri"/>
          <w:sz w:val="14"/>
          <w:szCs w:val="14"/>
          <w:color w:val="00002D"/>
        </w:rPr>
      </w:pPr>
    </w:p>
    <w:p>
      <w:pPr>
        <w:ind w:left="1020" w:hanging="503"/>
        <w:spacing w:after="0" w:line="245" w:lineRule="auto"/>
        <w:tabs>
          <w:tab w:leader="none" w:pos="1020" w:val="left"/>
        </w:tabs>
        <w:numPr>
          <w:ilvl w:val="0"/>
          <w:numId w:val="46"/>
        </w:numPr>
        <w:rPr>
          <w:rFonts w:ascii="Calibri" w:cs="Calibri" w:eastAsia="Calibri" w:hAnsi="Calibri"/>
          <w:sz w:val="14"/>
          <w:szCs w:val="14"/>
          <w:color w:val="00002D"/>
        </w:rPr>
      </w:pPr>
      <w:r>
        <w:rPr>
          <w:rFonts w:ascii="Calibri" w:cs="Calibri" w:eastAsia="Calibri" w:hAnsi="Calibri"/>
          <w:sz w:val="14"/>
          <w:szCs w:val="14"/>
          <w:color w:val="00002D"/>
        </w:rPr>
        <w:t>For the year ended December 31, 2022, Digital Wholesale other segment items include the impact of the decrease in the valuaton of the CO Incentve Units and Subject Units, following mark to market valuaton adjustments.</w:t>
      </w:r>
    </w:p>
    <w:p>
      <w:pPr>
        <w:spacing w:after="0" w:line="20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2" w:name="page123"/>
    <w:bookmarkEnd w:id="12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color w:val="00002D"/>
        </w:rPr>
        <w:t>As of December 31, 2024, 2023, and 2022, segment assets were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Calibri" w:cs="Calibri" w:eastAsia="Calibri" w:hAnsi="Calibri"/>
                <w:sz w:val="14"/>
                <w:szCs w:val="14"/>
                <w:b w:val="1"/>
                <w:bCs w:val="1"/>
                <w:color w:val="auto"/>
              </w:rPr>
              <w:t>Year Ended December 31,</w:t>
            </w:r>
          </w:p>
        </w:tc>
        <w:tc>
          <w:tcPr>
            <w:tcW w:w="240" w:type="dxa"/>
            <w:vAlign w:val="bottom"/>
          </w:tcPr>
          <w:p>
            <w:pPr>
              <w:spacing w:after="0"/>
              <w:rPr>
                <w:sz w:val="14"/>
                <w:szCs w:val="14"/>
                <w:color w:val="auto"/>
              </w:rPr>
            </w:pPr>
          </w:p>
        </w:tc>
        <w:tc>
          <w:tcPr>
            <w:tcW w:w="960" w:type="dxa"/>
            <w:vAlign w:val="bottom"/>
            <w:vMerge w:val="restart"/>
          </w:tcPr>
          <w:p>
            <w:pPr>
              <w:jc w:val="right"/>
              <w:ind w:right="314"/>
              <w:spacing w:after="0"/>
              <w:rPr>
                <w:sz w:val="20"/>
                <w:szCs w:val="20"/>
                <w:color w:val="auto"/>
              </w:rPr>
            </w:pPr>
            <w:r>
              <w:rPr>
                <w:rFonts w:ascii="Calibri" w:cs="Calibri" w:eastAsia="Calibri" w:hAnsi="Calibri"/>
                <w:sz w:val="14"/>
                <w:szCs w:val="14"/>
                <w:b w:val="1"/>
                <w:bCs w:val="1"/>
                <w:color w:val="auto"/>
              </w:rPr>
              <w:t>2022</w:t>
            </w:r>
            <w:r>
              <w:rPr>
                <w:rFonts w:ascii="Calibri" w:cs="Calibri" w:eastAsia="Calibri" w:hAnsi="Calibri"/>
                <w:sz w:val="19"/>
                <w:szCs w:val="19"/>
                <w:b w:val="1"/>
                <w:bCs w:val="1"/>
                <w:color w:val="auto"/>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4"/>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FF0FC"/>
          </w:tcPr>
          <w:p>
            <w:pPr>
              <w:spacing w:after="0" w:line="209" w:lineRule="exact"/>
              <w:rPr>
                <w:sz w:val="20"/>
                <w:szCs w:val="20"/>
                <w:color w:val="auto"/>
              </w:rPr>
            </w:pPr>
            <w:r>
              <w:rPr>
                <w:rFonts w:ascii="Calibri" w:cs="Calibri" w:eastAsia="Calibri" w:hAnsi="Calibri"/>
                <w:sz w:val="18"/>
                <w:szCs w:val="18"/>
                <w:i w:val="1"/>
                <w:iCs w:val="1"/>
                <w:color w:val="auto"/>
              </w:rPr>
              <w:t>Segment Assets: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U.S. Marketplace</w:t>
            </w:r>
          </w:p>
        </w:tc>
        <w:tc>
          <w:tcPr>
            <w:tcW w:w="28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674,138</w:t>
            </w:r>
          </w:p>
        </w:tc>
        <w:tc>
          <w:tcPr>
            <w:tcW w:w="52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607,307</w:t>
            </w:r>
          </w:p>
        </w:tc>
        <w:tc>
          <w:tcPr>
            <w:tcW w:w="24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525,103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Digital Wholesale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108,890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258,458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358,289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41,508</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53,162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00" w:type="dxa"/>
            <w:vAlign w:val="bottom"/>
            <w:tcBorders>
              <w:bottom w:val="single" w:sz="8" w:color="CFF0FC"/>
            </w:tcBorders>
            <w:shd w:val="clear" w:color="auto" w:fill="CFF0FC"/>
          </w:tcPr>
          <w:p>
            <w:pPr>
              <w:ind w:left="360"/>
              <w:spacing w:after="0" w:line="209" w:lineRule="exact"/>
              <w:rPr>
                <w:sz w:val="20"/>
                <w:szCs w:val="20"/>
                <w:color w:val="auto"/>
              </w:rPr>
            </w:pPr>
            <w:r>
              <w:rPr>
                <w:rFonts w:ascii="Calibri" w:cs="Calibri" w:eastAsia="Calibri" w:hAnsi="Calibri"/>
                <w:sz w:val="18"/>
                <w:szCs w:val="18"/>
                <w:color w:val="auto"/>
              </w:rPr>
              <w:t>Total</w:t>
            </w:r>
          </w:p>
        </w:tc>
        <w:tc>
          <w:tcPr>
            <w:tcW w:w="28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824,536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918,927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927,102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-848360</wp:posOffset>
            </wp:positionV>
            <wp:extent cx="259715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03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03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03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032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jc w:val="both"/>
        <w:ind w:left="1020" w:right="20" w:hanging="503"/>
        <w:spacing w:after="0" w:line="246" w:lineRule="auto"/>
        <w:tabs>
          <w:tab w:leader="none" w:pos="1020" w:val="left"/>
        </w:tabs>
        <w:numPr>
          <w:ilvl w:val="0"/>
          <w:numId w:val="47"/>
        </w:numPr>
        <w:rPr>
          <w:rFonts w:ascii="Calibri" w:cs="Calibri" w:eastAsia="Calibri" w:hAnsi="Calibri"/>
          <w:sz w:val="14"/>
          <w:szCs w:val="14"/>
          <w:color w:val="00002D"/>
        </w:rPr>
      </w:pPr>
      <w:r>
        <w:rPr>
          <w:rFonts w:ascii="Calibri" w:cs="Calibri" w:eastAsia="Calibri" w:hAnsi="Calibri"/>
          <w:sz w:val="14"/>
          <w:szCs w:val="14"/>
          <w:color w:val="00002D"/>
        </w:rPr>
        <w:t>As of December 31, 2022, Digital Wholesale assets did not refect certain Dealer-to-Dealer and Instant Max Cash Ofer related capitalized website development assets from the U.S. Marketplace segment. During the three months ended March 31, 2023, the Company updated Digital Wholesale assets to refect certain Dealer-to-Dealer and Instant Max Cash Ofer related capitalized website development amortzaton assets from the U.S. Marketplace segment and accordingly updated Digital Wholesale assets as of December 31, 2022, for comparatve purposes.</w:t>
      </w:r>
    </w:p>
    <w:p>
      <w:pPr>
        <w:spacing w:after="0" w:line="2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Digital Wholesale segment assets decreased $149,568, due primarily to impairments. As of December 31, 2024, the Company recognized a $127,475 CarOfer reportng unit impairment and a $16,776 CG Buy Online reportng unit impairment. For further discussion of impairments, see Note 6 of these consolidated fnancial statements.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2023, and 2022, revenue by geographical region were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80"/>
              <w:spacing w:after="0"/>
              <w:rPr>
                <w:sz w:val="20"/>
                <w:szCs w:val="20"/>
                <w:color w:val="auto"/>
              </w:rPr>
            </w:pPr>
            <w:r>
              <w:rPr>
                <w:rFonts w:ascii="Calibri" w:cs="Calibri" w:eastAsia="Calibri" w:hAnsi="Calibri"/>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3"/>
        </w:trPr>
        <w:tc>
          <w:tcPr>
            <w:tcW w:w="5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Calibri" w:cs="Calibri" w:eastAsia="Calibri" w:hAnsi="Calibri"/>
                <w:sz w:val="14"/>
                <w:szCs w:val="14"/>
                <w:b w:val="1"/>
                <w:bCs w:val="1"/>
                <w:color w:val="auto"/>
              </w:rPr>
              <w:t>2024</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Calibri" w:cs="Calibri" w:eastAsia="Calibri" w:hAnsi="Calibri"/>
                <w:sz w:val="14"/>
                <w:szCs w:val="14"/>
                <w:b w:val="1"/>
                <w:bCs w:val="1"/>
                <w:color w:val="auto"/>
              </w:rPr>
              <w:t>2023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5"/>
                <w:szCs w:val="15"/>
                <w:color w:val="auto"/>
              </w:rPr>
            </w:pPr>
          </w:p>
        </w:tc>
      </w:tr>
      <w:tr>
        <w:trPr>
          <w:trHeight w:val="212"/>
        </w:trPr>
        <w:tc>
          <w:tcPr>
            <w:tcW w:w="5900" w:type="dxa"/>
            <w:vAlign w:val="bottom"/>
            <w:shd w:val="clear" w:color="auto" w:fill="CFF0FC"/>
          </w:tcPr>
          <w:p>
            <w:pPr>
              <w:spacing w:after="0" w:line="212" w:lineRule="exact"/>
              <w:rPr>
                <w:sz w:val="20"/>
                <w:szCs w:val="20"/>
                <w:color w:val="auto"/>
              </w:rPr>
            </w:pPr>
            <w:r>
              <w:rPr>
                <w:rFonts w:ascii="Calibri" w:cs="Calibri" w:eastAsia="Calibri" w:hAnsi="Calibri"/>
                <w:sz w:val="18"/>
                <w:szCs w:val="18"/>
                <w:i w:val="1"/>
                <w:iCs w:val="1"/>
                <w:color w:val="auto"/>
              </w:rPr>
              <w:t>Revenue by Geographic Region:</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900" w:type="dxa"/>
            <w:vAlign w:val="bottom"/>
          </w:tcPr>
          <w:p>
            <w:pPr>
              <w:ind w:left="180"/>
              <w:spacing w:after="0" w:line="215" w:lineRule="exact"/>
              <w:rPr>
                <w:sz w:val="20"/>
                <w:szCs w:val="20"/>
                <w:color w:val="auto"/>
              </w:rPr>
            </w:pPr>
            <w:r>
              <w:rPr>
                <w:rFonts w:ascii="Calibri" w:cs="Calibri" w:eastAsia="Calibri" w:hAnsi="Calibri"/>
                <w:sz w:val="18"/>
                <w:szCs w:val="18"/>
                <w:color w:val="auto"/>
              </w:rPr>
              <w:t>United States</w:t>
            </w:r>
          </w:p>
        </w:tc>
        <w:tc>
          <w:tcPr>
            <w:tcW w:w="28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831,473</w:t>
            </w:r>
          </w:p>
        </w:tc>
        <w:tc>
          <w:tcPr>
            <w:tcW w:w="5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863,289</w:t>
            </w:r>
          </w:p>
        </w:tc>
        <w:tc>
          <w:tcPr>
            <w:tcW w:w="240" w:type="dxa"/>
            <w:vAlign w:val="bottom"/>
          </w:tcPr>
          <w:p>
            <w:pPr>
              <w:spacing w:after="0"/>
              <w:rPr>
                <w:sz w:val="18"/>
                <w:szCs w:val="18"/>
                <w:color w:val="auto"/>
              </w:rPr>
            </w:pP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1,610,400</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Internatonal</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62,911</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50,953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44,635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360"/>
              <w:spacing w:after="0" w:line="209" w:lineRule="exact"/>
              <w:rPr>
                <w:sz w:val="20"/>
                <w:szCs w:val="20"/>
                <w:color w:val="auto"/>
              </w:rPr>
            </w:pPr>
            <w:r>
              <w:rPr>
                <w:rFonts w:ascii="Calibri" w:cs="Calibri" w:eastAsia="Calibri" w:hAnsi="Calibri"/>
                <w:sz w:val="18"/>
                <w:szCs w:val="18"/>
                <w:color w:val="auto"/>
              </w:rPr>
              <w:t>Total</w:t>
            </w:r>
          </w:p>
        </w:tc>
        <w:tc>
          <w:tcPr>
            <w:tcW w:w="28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894,384</w:t>
            </w:r>
          </w:p>
        </w:tc>
        <w:tc>
          <w:tcPr>
            <w:tcW w:w="52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09" w:lineRule="exact"/>
              <w:rPr>
                <w:sz w:val="20"/>
                <w:szCs w:val="20"/>
                <w:color w:val="auto"/>
              </w:rPr>
            </w:pPr>
            <w:r>
              <w:rPr>
                <w:rFonts w:ascii="Calibri" w:cs="Calibri" w:eastAsia="Calibri" w:hAnsi="Calibri"/>
                <w:sz w:val="18"/>
                <w:szCs w:val="18"/>
                <w:color w:val="auto"/>
              </w:rPr>
              <w:t>914,242</w:t>
            </w:r>
          </w:p>
        </w:tc>
        <w:tc>
          <w:tcPr>
            <w:tcW w:w="240" w:type="dxa"/>
            <w:vAlign w:val="bottom"/>
          </w:tcPr>
          <w:p>
            <w:pPr>
              <w:spacing w:after="0"/>
              <w:rPr>
                <w:sz w:val="18"/>
                <w:szCs w:val="18"/>
                <w:color w:val="auto"/>
              </w:rPr>
            </w:pPr>
          </w:p>
        </w:tc>
        <w:tc>
          <w:tcPr>
            <w:tcW w:w="280" w:type="dxa"/>
            <w:vAlign w:val="bottom"/>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1,655,035</w:t>
            </w: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-170815</wp:posOffset>
            </wp:positionV>
            <wp:extent cx="603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03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Calibri" w:cs="Calibri" w:eastAsia="Calibri" w:hAnsi="Calibri"/>
          <w:sz w:val="18"/>
          <w:szCs w:val="18"/>
          <w:color w:val="212529"/>
        </w:rPr>
        <w:t>As of December 31, 2024, 2023, and 2022, long-lived assets outside of the U.S. were immaterial.</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15. Employee Beneft Plans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 maintains a defned contributon savings plan for all eligible U.S. employees under Secton 401(k) of the Internal Revenue Code. For the years ended December 31, 2024, 2023, and 2022, the Company matched 50% of an employee’s annual contributons to the 401(k) plan, up to a maximum of 8% of the employee’s base salary, bonus, and commissions paid during the year. Matching contributons are subject to vestng based on the employee’s start date and length of service. Employees can designate the investment of their 401(k) accounts into several mutual funds. The Company does not allow investment in its common stock through the 401(k) plan.</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Company’s subsidiary, CarOfer, maintains its own defned contributon savings plan for all eligible U.S. employees under Secton 401(k) of the Internal Revenue Code. For the years ended December 31, 2024, 2023, and 2022, CarOfer matched 50% of a CarOfer employee’s annual contributons to the 401(k) plan, up to a maximum of the lesser of (i) 6% of the CarOfer employee’s base salary, bonus, and commissions paid during the year or (ii) $5,000. Matching contributons are subject to vestng based on the CarOfer employee’s start date and length of service. CarOfer employees can designate the investment of their 401(k) accounts into several mutual funds.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00002D"/>
        </w:rPr>
        <w:t>For the years ended December 31, 2024, 2023, and 2022, total employer contributons to the 401(k) plan were $6,429, $6,575, and $5,498, respectvely.</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3" w:name="page124"/>
    <w:bookmarkEnd w:id="12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00"/>
        <w:spacing w:after="0" w:line="239" w:lineRule="auto"/>
        <w:rPr>
          <w:sz w:val="20"/>
          <w:szCs w:val="20"/>
          <w:color w:val="auto"/>
        </w:rPr>
      </w:pPr>
      <w:r>
        <w:rPr>
          <w:rFonts w:ascii="Calibri" w:cs="Calibri" w:eastAsia="Calibri" w:hAnsi="Calibri"/>
          <w:sz w:val="36"/>
          <w:szCs w:val="36"/>
          <w:b w:val="1"/>
          <w:bCs w:val="1"/>
          <w:color w:val="3465B0"/>
        </w:rPr>
        <w:t>Item 9. Changes in and Disagreements with Accountants on Accountng and Financial Disclosure.</w:t>
      </w:r>
    </w:p>
    <w:p>
      <w:pPr>
        <w:spacing w:after="0" w:line="236" w:lineRule="exact"/>
        <w:rPr>
          <w:sz w:val="20"/>
          <w:szCs w:val="20"/>
          <w:color w:val="auto"/>
        </w:rPr>
      </w:pPr>
    </w:p>
    <w:p>
      <w:pPr>
        <w:spacing w:after="0"/>
        <w:rPr>
          <w:sz w:val="20"/>
          <w:szCs w:val="20"/>
          <w:color w:val="auto"/>
        </w:rPr>
      </w:pPr>
      <w:r>
        <w:rPr>
          <w:rFonts w:ascii="Calibri" w:cs="Calibri" w:eastAsia="Calibri" w:hAnsi="Calibri"/>
          <w:sz w:val="18"/>
          <w:szCs w:val="18"/>
          <w:color w:val="00002D"/>
        </w:rPr>
        <w:t>None.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9A. Controls and Procedures.</w:t>
      </w:r>
    </w:p>
    <w:p>
      <w:pPr>
        <w:spacing w:after="0" w:line="22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Evaluaton of Disclosure Controls and Procedures</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Annual Report.</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term “disclosure controls and procedures,” as defned in Rules 13a-15(e) and 15d-15(e) under the Exchange Act, means controls and other procedures of a company that are designed to ensure that informaton required to be disclosed by a company in the reports that it fles or submits under the Exchange Act is recorded, processed, summarized, and reported, within the tme periods specifed in the SEC’s rules and forms. Disclosure controls and procedures include, without limitaton, controls and procedures designed to ensure that informaton required to be disclosed by a company in the reports that it fles or submits under the Exchange Act is accumulated and communicated to the company’s management, including its principal executve ofcer and principal fnancial ofcer, or persons performing similar functons, as appropriate to allow tmely decisions regarding required disclosure.</w:t>
      </w:r>
    </w:p>
    <w:p>
      <w:pPr>
        <w:spacing w:after="0" w:line="221"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00002D"/>
        </w:rPr>
        <w:t>Management recognizes that any controls and procedures, no mater how well designed and operated, can provide only reasonable assurance of achieving their objectves and our management necessarily applies its judgment in evaluatng the cost-beneft relatonship of possible controls and procedures.</w:t>
      </w:r>
    </w:p>
    <w:p>
      <w:pPr>
        <w:spacing w:after="0" w:line="2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described below, based on the evaluaton of our disclosure controls and procedures as of the end of the period covered by this Annual Report, management has remediated the material weakness initally identfed in 2022. As a result, our principal executve ofcer and principal fnancial ofcer have concluded that, as of December 31, 2024, our disclosure controls and procedures were efectve to provide reasonable assurance that informaton required to be disclosed in the reports we fle and submit under the Exchange Act is recorded, processed, summarized, and reported as and when required.</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 material weakness is a defciency, or a combinaton of defciencies, in internal control over fnancial reportng, such that there is a reasonable possibility that a material misstatement of a company’s annual or interim fnancial statements will not be prevented or detected on a tmely basis.</w:t>
      </w:r>
    </w:p>
    <w:p>
      <w:pPr>
        <w:spacing w:after="0" w:line="218"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00002D"/>
        </w:rPr>
        <w:t>Our management, including our principal executve ofcer and principal fnancial ofcer, has concluded that our fnancial statements included in this Annual Report present fairly, in all material respects, our fnancial positon, results of operatons, and cash fows for the periods presented in accordance with GAAP.</w:t>
      </w:r>
    </w:p>
    <w:p>
      <w:pPr>
        <w:spacing w:after="0" w:line="183"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Management’s Annual Report on Internal Control Over Financial Reportng</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management is responsible for establishing and maintaining adequate internal control over fnancial reportng as defned in Rule 13a-15(f) or 15d-15(f) of the Exchange Act. Internal control over fnancial reportng is a process designed to provide reasonable assurance regarding the reliability of fnancial reportng and the preparaton of fnancial statements for external purposes in accordance with GAAP, and includes those policies and procedures that:</w:t>
      </w:r>
    </w:p>
    <w:p>
      <w:pPr>
        <w:spacing w:after="0" w:line="111" w:lineRule="exact"/>
        <w:rPr>
          <w:sz w:val="20"/>
          <w:szCs w:val="20"/>
          <w:color w:val="auto"/>
        </w:rPr>
      </w:pPr>
    </w:p>
    <w:p>
      <w:pPr>
        <w:ind w:left="5500" w:right="260" w:hanging="4983"/>
        <w:spacing w:after="0" w:line="466" w:lineRule="auto"/>
        <w:tabs>
          <w:tab w:leader="none" w:pos="1036" w:val="left"/>
        </w:tabs>
        <w:numPr>
          <w:ilvl w:val="0"/>
          <w:numId w:val="48"/>
        </w:numPr>
        <w:rPr>
          <w:rFonts w:ascii="Calibri" w:cs="Calibri" w:eastAsia="Calibri" w:hAnsi="Calibri"/>
          <w:sz w:val="18"/>
          <w:szCs w:val="18"/>
          <w:color w:val="00002D"/>
        </w:rPr>
      </w:pPr>
      <w:r>
        <w:rPr>
          <w:rFonts w:ascii="Calibri" w:cs="Calibri" w:eastAsia="Calibri" w:hAnsi="Calibri"/>
          <w:sz w:val="18"/>
          <w:szCs w:val="18"/>
          <w:color w:val="00002D"/>
        </w:rPr>
        <w:t xml:space="preserve">pertain to the maintenance of records that, in reasonable detail, accurately and fairly refect the transactons and dispositons of our assets; </w:t>
      </w:r>
      <w:r>
        <w:rPr>
          <w:rFonts w:ascii="Calibri" w:cs="Calibri" w:eastAsia="Calibri" w:hAnsi="Calibri"/>
          <w:sz w:val="18"/>
          <w:szCs w:val="18"/>
          <w:color w:val="000000"/>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4" w:name="page125"/>
    <w:bookmarkEnd w:id="12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20" w:hanging="503"/>
        <w:spacing w:after="0" w:line="258" w:lineRule="auto"/>
        <w:tabs>
          <w:tab w:leader="none" w:pos="1020" w:val="left"/>
        </w:tabs>
        <w:numPr>
          <w:ilvl w:val="0"/>
          <w:numId w:val="49"/>
        </w:numPr>
        <w:rPr>
          <w:rFonts w:ascii="Calibri" w:cs="Calibri" w:eastAsia="Calibri" w:hAnsi="Calibri"/>
          <w:sz w:val="17"/>
          <w:szCs w:val="17"/>
          <w:color w:val="00002D"/>
        </w:rPr>
      </w:pPr>
      <w:r>
        <w:rPr>
          <w:rFonts w:ascii="Calibri" w:cs="Calibri" w:eastAsia="Calibri" w:hAnsi="Calibri"/>
          <w:sz w:val="17"/>
          <w:szCs w:val="17"/>
          <w:color w:val="00002D"/>
        </w:rPr>
        <w:t>provide reasonable assurance that transactons are recorded as necessary to permit preparaton of fnancial statements in accordance with GAAP, and that our receipts and expenditures are being made only in accordance with authorizatons of our management and directors; and</w:t>
      </w:r>
    </w:p>
    <w:p>
      <w:pPr>
        <w:spacing w:after="0" w:line="93" w:lineRule="exact"/>
        <w:rPr>
          <w:rFonts w:ascii="Calibri" w:cs="Calibri" w:eastAsia="Calibri" w:hAnsi="Calibri"/>
          <w:sz w:val="17"/>
          <w:szCs w:val="17"/>
          <w:color w:val="00002D"/>
        </w:rPr>
      </w:pPr>
    </w:p>
    <w:p>
      <w:pPr>
        <w:ind w:left="1020" w:hanging="503"/>
        <w:spacing w:after="0" w:line="235" w:lineRule="auto"/>
        <w:tabs>
          <w:tab w:leader="none" w:pos="1020" w:val="left"/>
        </w:tabs>
        <w:numPr>
          <w:ilvl w:val="0"/>
          <w:numId w:val="49"/>
        </w:numPr>
        <w:rPr>
          <w:rFonts w:ascii="Calibri" w:cs="Calibri" w:eastAsia="Calibri" w:hAnsi="Calibri"/>
          <w:sz w:val="18"/>
          <w:szCs w:val="18"/>
          <w:color w:val="00002D"/>
        </w:rPr>
      </w:pPr>
      <w:r>
        <w:rPr>
          <w:rFonts w:ascii="Calibri" w:cs="Calibri" w:eastAsia="Calibri" w:hAnsi="Calibri"/>
          <w:sz w:val="18"/>
          <w:szCs w:val="18"/>
          <w:color w:val="00002D"/>
        </w:rPr>
        <w:t>provide reasonable assurance regarding preventon or tmely detecton of unauthorized acquisiton, use, or dispositon of our assets that could have a material efect on our fnancial statements.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Our management assessed the efectveness of our internal control over fnancial reportng as of December 31, 2024, using the criteria set forth by the Commitee of Sponsoring Organizatons of the Treadway Commission (COSO) in its Internal Control-Integrated Framework (2013).</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Based on this assessment and those criteria, management concluded that our internal control over fnancial reportng was efectve as of December 31, 2024, and that our previously reported material weakness at our CarOfer subsidiary for the prior fscal years ended December 31, 2023 and 2022, has been remediated.</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Previously Identfed Material Weakness</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previously concluded that this material weakness existed at our CarOfer subsidiary as CarOfer did not have the necessary business and informaton technology, or IT, processes, personnel, and related internal controls to operate in a manner to satsfy the accountng and fnancial reportng requirements of a public company.</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defciencies at our CarOfer subsidiary were the result of operatng defciencies related to certain controls over IT systems that are relevant to the preparaton of our fnancial statements.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This material weakness did not result in a known material misstatement to our fnancial statements. However, the material weakness could have resulted in material misstatements in our interim or annual fnancial statements and disclosures which then may not have been prevented or detected.</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Remediaton of Previously Reported Material Weakness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We and our Board of Directors are commited to maintaining a strong internal control environment. Management, with the oversight of the Audit Commitee of our Board of Directors, evaluated the material weakness initally identfed during the second quarter of 2022 and implemented a remediaton plan to address the material weakness and enhance our control environment.</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Management has implemented changes to strengthen our internal controls since the period when the material weakness was identfed. These changes were intended to address the unremediated material weakness from 2022 that remained during the year ended December 31, 2023. During 2023 our remediaton eforts were focused on contnued employee training related to internal control over fnancial reportng and confrming sustained operaton of efectvely designed control actvites, including IT general controls.</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As of December 31, 2024, all remediaton eforts have been completed by management and applicable controls have operated for a sufcient period of tme. Management concluded, through testng, that these controls are operatng efectvely. As a result, management concluded that the prior year’s material weakness in our internal control over fnancial reportng has been remediated as of December 31, 2024.</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efectveness of our internal control over fnancial reportng as of December 31, 2024, has been audited by Ernst &amp; Young LLP, an independent registered public accountng frm, as stated in their report which is included herein.</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5" w:name="page126"/>
    <w:bookmarkEnd w:id="125"/>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3465B0"/>
        </w:rPr>
        <w:t>Changes in Internal Control over Financial Reportng</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Except as noted in the preceding paragraphs, there was no change in our internal control over fnancial reportng (as defned in Rules 13a-15(f) and 15d-15(f) under the Exchange Act) that occurred during the fourth quarter ended December 31, 2024, that has materially afected, or is reasonably likely to materially afect, our internal control over fnancial reportng.</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6" w:name="page127"/>
    <w:bookmarkEnd w:id="126"/>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Report of Independent Registered Public Accountng Firm</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00002D"/>
        </w:rPr>
        <w:t>To the Stockholders and the Board of Di</w:t>
      </w:r>
      <w:r>
        <w:rPr>
          <w:rFonts w:ascii="Calibri" w:cs="Calibri" w:eastAsia="Calibri" w:hAnsi="Calibri"/>
          <w:sz w:val="18"/>
          <w:szCs w:val="18"/>
          <w:color w:val="000000"/>
        </w:rPr>
        <w:t>rectors of CarGurus, Inc.</w:t>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Opinion on Internal Control Over Financial Reportng</w:t>
      </w:r>
    </w:p>
    <w:p>
      <w:pPr>
        <w:spacing w:after="0" w:line="22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audited CarGurus, Inc.’s internal control over fnancial reportng as of December 31, 2024, based on criteria established in Internal Control— Integrated Framework issued by the Commitee of Sponsoring Organizatons of the Treadway Commission (2013 framework) (the COSO criteria). In our opinion, CarGurus, Inc. (the Company) maintained, in all material respects, efectve internal control over fnancial reportng as of December 31, 2024, based on the COSO criteria.</w:t>
      </w:r>
    </w:p>
    <w:p>
      <w:pPr>
        <w:spacing w:after="0" w:line="2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2024 consolidated fnancial statements and our report dated February 20, 2025 expressed an unqualifed opinion thereon.</w:t>
      </w:r>
    </w:p>
    <w:p>
      <w:pPr>
        <w:spacing w:after="0" w:line="21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Basis for Opinion</w:t>
      </w:r>
    </w:p>
    <w:p>
      <w:pPr>
        <w:spacing w:after="0" w:line="22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management is responsible for maintaining efectve internal control over fnancial reportng and for its assessment of the efectveness of internal control over fnancial reportng included in the accompanying Management’s Annual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21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Defniton and Limitatons of Internal Control Over Financial Reportng</w:t>
      </w:r>
    </w:p>
    <w:p>
      <w:pPr>
        <w:spacing w:after="0" w:line="22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w:t>
      </w:r>
      <w:r>
        <w:rPr>
          <w:rFonts w:ascii="Calibri" w:cs="Calibri" w:eastAsia="Calibri" w:hAnsi="Calibri"/>
          <w:sz w:val="18"/>
          <w:szCs w:val="18"/>
          <w:color w:val="00002D"/>
        </w:rPr>
        <w:t>cial</w:t>
      </w:r>
      <w:r>
        <w:rPr>
          <w:rFonts w:ascii="Calibri" w:cs="Calibri" w:eastAsia="Calibri" w:hAnsi="Calibri"/>
          <w:sz w:val="18"/>
          <w:szCs w:val="18"/>
          <w:color w:val="auto"/>
        </w:rPr>
        <w:t xml:space="preserve"> </w:t>
      </w:r>
      <w:r>
        <w:rPr>
          <w:rFonts w:ascii="Calibri" w:cs="Calibri" w:eastAsia="Calibri" w:hAnsi="Calibri"/>
          <w:sz w:val="18"/>
          <w:szCs w:val="18"/>
          <w:color w:val="00002D"/>
        </w:rPr>
        <w:t>statements.</w:t>
      </w:r>
    </w:p>
    <w:p>
      <w:pPr>
        <w:spacing w:after="0" w:line="2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00002D"/>
        </w:rPr>
        <w:t>/s/ Ernst &amp; Young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Boston, Massachusets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February 20, 2025</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7" w:name="page128"/>
    <w:bookmarkEnd w:id="127"/>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9B. Other Informaton.</w:t>
      </w:r>
    </w:p>
    <w:p>
      <w:pPr>
        <w:spacing w:after="0" w:line="22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002D"/>
        </w:rPr>
        <w:t>Rule 10b5-1 Plan Trading Arrangements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00002D"/>
        </w:rPr>
        <w:t>During the three months ended December 31, 2024, the following ofcers adopted a “Rule 10b5-1 trading arrangement” (as defned in Item 408 of</w:t>
      </w:r>
    </w:p>
    <w:p>
      <w:pPr>
        <w:spacing w:after="0" w:line="235" w:lineRule="auto"/>
        <w:rPr>
          <w:sz w:val="20"/>
          <w:szCs w:val="20"/>
          <w:color w:val="auto"/>
        </w:rPr>
      </w:pPr>
      <w:r>
        <w:rPr>
          <w:rFonts w:ascii="Calibri" w:cs="Calibri" w:eastAsia="Calibri" w:hAnsi="Calibri"/>
          <w:sz w:val="18"/>
          <w:szCs w:val="18"/>
          <w:color w:val="00002D"/>
        </w:rPr>
        <w:t>Regulaton S-K) that is intended to satsfy the afrmatve defense of Rule 10b5-1(c) under the Exchange Act and our policies on insider trading: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Aggregate Number of Shares of</w:t>
            </w:r>
          </w:p>
        </w:tc>
        <w:tc>
          <w:tcPr>
            <w:tcW w:w="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Class A Common Stock to be</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Purchased or Sold Pursuant to</w:t>
            </w: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Trading Arrangement</w:t>
            </w:r>
          </w:p>
        </w:tc>
        <w:tc>
          <w:tcPr>
            <w:tcW w:w="30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7"/>
              </w:rPr>
              <w:t>Expiraton Date</w:t>
            </w:r>
            <w:r>
              <w:rPr>
                <w:rFonts w:ascii="Calibri" w:cs="Calibri" w:eastAsia="Calibri" w:hAnsi="Calibri"/>
                <w:sz w:val="24"/>
                <w:szCs w:val="24"/>
                <w:b w:val="1"/>
                <w:bCs w:val="1"/>
                <w:color w:val="auto"/>
                <w:w w:val="97"/>
                <w:vertAlign w:val="superscript"/>
              </w:rPr>
              <w:t>(1)</w:t>
            </w:r>
          </w:p>
        </w:tc>
        <w:tc>
          <w:tcPr>
            <w:tcW w:w="0" w:type="dxa"/>
            <w:vAlign w:val="bottom"/>
          </w:tcPr>
          <w:p>
            <w:pPr>
              <w:spacing w:after="0"/>
              <w:rPr>
                <w:sz w:val="1"/>
                <w:szCs w:val="1"/>
                <w:color w:val="auto"/>
              </w:rPr>
            </w:pPr>
          </w:p>
        </w:tc>
      </w:tr>
      <w:tr>
        <w:trPr>
          <w:trHeight w:val="239"/>
        </w:trPr>
        <w:tc>
          <w:tcPr>
            <w:tcW w:w="2460" w:type="dxa"/>
            <w:vAlign w:val="bottom"/>
            <w:tcBorders>
              <w:bottom w:val="single" w:sz="8" w:color="auto"/>
            </w:tcBorders>
          </w:tcPr>
          <w:p>
            <w:pPr>
              <w:ind w:left="760"/>
              <w:spacing w:after="0" w:line="216" w:lineRule="exact"/>
              <w:rPr>
                <w:sz w:val="20"/>
                <w:szCs w:val="20"/>
                <w:color w:val="auto"/>
              </w:rPr>
            </w:pPr>
            <w:r>
              <w:rPr>
                <w:rFonts w:ascii="Calibri" w:cs="Calibri" w:eastAsia="Calibri" w:hAnsi="Calibri"/>
                <w:sz w:val="18"/>
                <w:szCs w:val="18"/>
                <w:b w:val="1"/>
                <w:bCs w:val="1"/>
                <w:color w:val="auto"/>
              </w:rPr>
              <w:t>Name &amp; Title</w:t>
            </w:r>
          </w:p>
        </w:tc>
        <w:tc>
          <w:tcPr>
            <w:tcW w:w="240" w:type="dxa"/>
            <w:vAlign w:val="bottom"/>
          </w:tcPr>
          <w:p>
            <w:pPr>
              <w:spacing w:after="0"/>
              <w:rPr>
                <w:sz w:val="20"/>
                <w:szCs w:val="20"/>
                <w:color w:val="auto"/>
              </w:rPr>
            </w:pPr>
          </w:p>
        </w:tc>
        <w:tc>
          <w:tcPr>
            <w:tcW w:w="2120" w:type="dxa"/>
            <w:vAlign w:val="bottom"/>
            <w:tcBorders>
              <w:bottom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auto"/>
                <w:w w:val="97"/>
              </w:rPr>
              <w:t>Date Adopted</w:t>
            </w:r>
          </w:p>
        </w:tc>
        <w:tc>
          <w:tcPr>
            <w:tcW w:w="26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120"/>
              <w:spacing w:after="0" w:line="163" w:lineRule="exact"/>
              <w:rPr>
                <w:sz w:val="20"/>
                <w:szCs w:val="20"/>
                <w:color w:val="auto"/>
              </w:rPr>
            </w:pPr>
            <w:r>
              <w:rPr>
                <w:rFonts w:ascii="Calibri" w:cs="Calibri" w:eastAsia="Calibri" w:hAnsi="Calibri"/>
                <w:sz w:val="17"/>
                <w:szCs w:val="17"/>
                <w:color w:val="auto"/>
              </w:rPr>
              <w:t>Elisa Palazzo</w:t>
            </w:r>
          </w:p>
        </w:tc>
        <w:tc>
          <w:tcPr>
            <w:tcW w:w="240" w:type="dxa"/>
            <w:vAlign w:val="bottom"/>
          </w:tcPr>
          <w:p>
            <w:pPr>
              <w:spacing w:after="0"/>
              <w:rPr>
                <w:sz w:val="14"/>
                <w:szCs w:val="14"/>
                <w:color w:val="auto"/>
              </w:rPr>
            </w:pPr>
          </w:p>
        </w:tc>
        <w:tc>
          <w:tcPr>
            <w:tcW w:w="2120" w:type="dxa"/>
            <w:vAlign w:val="bottom"/>
          </w:tcPr>
          <w:p>
            <w:pPr>
              <w:jc w:val="center"/>
              <w:spacing w:after="0" w:line="163" w:lineRule="exact"/>
              <w:rPr>
                <w:sz w:val="20"/>
                <w:szCs w:val="20"/>
                <w:color w:val="auto"/>
              </w:rPr>
            </w:pPr>
            <w:r>
              <w:rPr>
                <w:rFonts w:ascii="Calibri" w:cs="Calibri" w:eastAsia="Calibri" w:hAnsi="Calibri"/>
                <w:sz w:val="17"/>
                <w:szCs w:val="17"/>
                <w:color w:val="auto"/>
              </w:rPr>
              <w:t>December 4, 2024</w:t>
            </w:r>
          </w:p>
        </w:tc>
        <w:tc>
          <w:tcPr>
            <w:tcW w:w="260" w:type="dxa"/>
            <w:vAlign w:val="bottom"/>
          </w:tcPr>
          <w:p>
            <w:pPr>
              <w:spacing w:after="0"/>
              <w:rPr>
                <w:sz w:val="14"/>
                <w:szCs w:val="14"/>
                <w:color w:val="auto"/>
              </w:rPr>
            </w:pPr>
          </w:p>
        </w:tc>
        <w:tc>
          <w:tcPr>
            <w:tcW w:w="2800" w:type="dxa"/>
            <w:vAlign w:val="bottom"/>
          </w:tcPr>
          <w:p>
            <w:pPr>
              <w:jc w:val="center"/>
              <w:spacing w:after="0" w:line="163" w:lineRule="exact"/>
              <w:rPr>
                <w:sz w:val="20"/>
                <w:szCs w:val="20"/>
                <w:color w:val="auto"/>
              </w:rPr>
            </w:pPr>
            <w:r>
              <w:rPr>
                <w:rFonts w:ascii="Calibri" w:cs="Calibri" w:eastAsia="Calibri" w:hAnsi="Calibri"/>
                <w:sz w:val="17"/>
                <w:szCs w:val="17"/>
                <w:color w:val="auto"/>
              </w:rPr>
              <w:t>Up to 40,064 shares</w:t>
            </w:r>
          </w:p>
        </w:tc>
        <w:tc>
          <w:tcPr>
            <w:tcW w:w="300" w:type="dxa"/>
            <w:vAlign w:val="bottom"/>
          </w:tcPr>
          <w:p>
            <w:pPr>
              <w:spacing w:after="0"/>
              <w:rPr>
                <w:sz w:val="14"/>
                <w:szCs w:val="14"/>
                <w:color w:val="auto"/>
              </w:rPr>
            </w:pPr>
          </w:p>
        </w:tc>
        <w:tc>
          <w:tcPr>
            <w:tcW w:w="2160" w:type="dxa"/>
            <w:vAlign w:val="bottom"/>
          </w:tcPr>
          <w:p>
            <w:pPr>
              <w:jc w:val="center"/>
              <w:spacing w:after="0" w:line="163" w:lineRule="exact"/>
              <w:rPr>
                <w:sz w:val="20"/>
                <w:szCs w:val="20"/>
                <w:color w:val="auto"/>
              </w:rPr>
            </w:pPr>
            <w:r>
              <w:rPr>
                <w:rFonts w:ascii="Calibri" w:cs="Calibri" w:eastAsia="Calibri" w:hAnsi="Calibri"/>
                <w:sz w:val="17"/>
                <w:szCs w:val="17"/>
                <w:color w:val="auto"/>
              </w:rPr>
              <w:t>September 17, 2025</w:t>
            </w:r>
          </w:p>
        </w:tc>
        <w:tc>
          <w:tcPr>
            <w:tcW w:w="0" w:type="dxa"/>
            <w:vAlign w:val="bottom"/>
          </w:tcPr>
          <w:p>
            <w:pPr>
              <w:spacing w:after="0"/>
              <w:rPr>
                <w:sz w:val="1"/>
                <w:szCs w:val="1"/>
                <w:color w:val="auto"/>
              </w:rPr>
            </w:pPr>
          </w:p>
        </w:tc>
      </w:tr>
      <w:tr>
        <w:trPr>
          <w:trHeight w:val="280"/>
        </w:trPr>
        <w:tc>
          <w:tcPr>
            <w:tcW w:w="2460" w:type="dxa"/>
            <w:vAlign w:val="bottom"/>
          </w:tcPr>
          <w:p>
            <w:pPr>
              <w:ind w:left="120"/>
              <w:spacing w:after="0"/>
              <w:rPr>
                <w:sz w:val="20"/>
                <w:szCs w:val="20"/>
                <w:color w:val="auto"/>
              </w:rPr>
            </w:pPr>
            <w:r>
              <w:rPr>
                <w:rFonts w:ascii="Calibri" w:cs="Calibri" w:eastAsia="Calibri" w:hAnsi="Calibri"/>
                <w:sz w:val="18"/>
                <w:szCs w:val="18"/>
                <w:color w:val="auto"/>
              </w:rPr>
              <w:t>Chief Financial Ofcer</w:t>
            </w: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tcPr>
          <w:p>
            <w:pPr>
              <w:jc w:val="center"/>
              <w:spacing w:after="0" w:line="280" w:lineRule="exact"/>
              <w:rPr>
                <w:sz w:val="20"/>
                <w:szCs w:val="20"/>
                <w:color w:val="auto"/>
              </w:rPr>
            </w:pPr>
            <w:r>
              <w:rPr>
                <w:rFonts w:ascii="Calibri" w:cs="Calibri" w:eastAsia="Calibri" w:hAnsi="Calibri"/>
                <w:sz w:val="18"/>
                <w:szCs w:val="18"/>
                <w:color w:val="auto"/>
                <w:w w:val="93"/>
              </w:rPr>
              <w:t>to be sold</w:t>
            </w:r>
            <w:r>
              <w:rPr>
                <w:rFonts w:ascii="Calibri" w:cs="Calibri" w:eastAsia="Calibri" w:hAnsi="Calibri"/>
                <w:sz w:val="24"/>
                <w:szCs w:val="24"/>
                <w:color w:val="auto"/>
                <w:w w:val="93"/>
                <w:vertAlign w:val="superscript"/>
              </w:rPr>
              <w:t>(2)</w:t>
            </w: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460" w:type="dxa"/>
            <w:vAlign w:val="bottom"/>
          </w:tcPr>
          <w:p>
            <w:pPr>
              <w:ind w:left="120"/>
              <w:spacing w:after="0"/>
              <w:rPr>
                <w:sz w:val="20"/>
                <w:szCs w:val="20"/>
                <w:color w:val="auto"/>
              </w:rPr>
            </w:pPr>
            <w:r>
              <w:rPr>
                <w:rFonts w:ascii="Calibri" w:cs="Calibri" w:eastAsia="Calibri" w:hAnsi="Calibri"/>
                <w:sz w:val="18"/>
                <w:szCs w:val="18"/>
                <w:color w:val="auto"/>
              </w:rPr>
              <w:t>Mat Quinn</w:t>
            </w:r>
          </w:p>
        </w:tc>
        <w:tc>
          <w:tcPr>
            <w:tcW w:w="2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Calibri" w:cs="Calibri" w:eastAsia="Calibri" w:hAnsi="Calibri"/>
                <w:sz w:val="18"/>
                <w:szCs w:val="18"/>
                <w:color w:val="auto"/>
                <w:w w:val="96"/>
              </w:rPr>
              <w:t>November 27, 2024</w:t>
            </w:r>
          </w:p>
        </w:tc>
        <w:tc>
          <w:tcPr>
            <w:tcW w:w="26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Calibri" w:cs="Calibri" w:eastAsia="Calibri" w:hAnsi="Calibri"/>
                <w:sz w:val="18"/>
                <w:szCs w:val="18"/>
                <w:color w:val="auto"/>
                <w:w w:val="97"/>
              </w:rPr>
              <w:t>Up to 58,701 shares</w:t>
            </w:r>
          </w:p>
        </w:tc>
        <w:tc>
          <w:tcPr>
            <w:tcW w:w="3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Calibri" w:cs="Calibri" w:eastAsia="Calibri" w:hAnsi="Calibri"/>
                <w:sz w:val="18"/>
                <w:szCs w:val="18"/>
                <w:color w:val="auto"/>
                <w:w w:val="96"/>
              </w:rPr>
              <w:t>January 16, 2026</w:t>
            </w:r>
          </w:p>
        </w:tc>
        <w:tc>
          <w:tcPr>
            <w:tcW w:w="0" w:type="dxa"/>
            <w:vAlign w:val="bottom"/>
          </w:tcPr>
          <w:p>
            <w:pPr>
              <w:spacing w:after="0"/>
              <w:rPr>
                <w:sz w:val="1"/>
                <w:szCs w:val="1"/>
                <w:color w:val="auto"/>
              </w:rPr>
            </w:pPr>
          </w:p>
        </w:tc>
      </w:tr>
      <w:tr>
        <w:trPr>
          <w:trHeight w:val="280"/>
        </w:trPr>
        <w:tc>
          <w:tcPr>
            <w:tcW w:w="2460" w:type="dxa"/>
            <w:vAlign w:val="bottom"/>
          </w:tcPr>
          <w:p>
            <w:pPr>
              <w:ind w:left="120"/>
              <w:spacing w:after="0"/>
              <w:rPr>
                <w:sz w:val="20"/>
                <w:szCs w:val="20"/>
                <w:color w:val="auto"/>
              </w:rPr>
            </w:pPr>
            <w:r>
              <w:rPr>
                <w:rFonts w:ascii="Calibri" w:cs="Calibri" w:eastAsia="Calibri" w:hAnsi="Calibri"/>
                <w:sz w:val="18"/>
                <w:szCs w:val="18"/>
                <w:color w:val="auto"/>
              </w:rPr>
              <w:t>Chief Technology Ofcer</w:t>
            </w: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tcPr>
          <w:p>
            <w:pPr>
              <w:jc w:val="center"/>
              <w:spacing w:after="0" w:line="280" w:lineRule="exact"/>
              <w:rPr>
                <w:sz w:val="20"/>
                <w:szCs w:val="20"/>
                <w:color w:val="auto"/>
              </w:rPr>
            </w:pPr>
            <w:r>
              <w:rPr>
                <w:rFonts w:ascii="Calibri" w:cs="Calibri" w:eastAsia="Calibri" w:hAnsi="Calibri"/>
                <w:sz w:val="18"/>
                <w:szCs w:val="18"/>
                <w:color w:val="auto"/>
                <w:w w:val="93"/>
              </w:rPr>
              <w:t>to be sold</w:t>
            </w:r>
            <w:r>
              <w:rPr>
                <w:rFonts w:ascii="Calibri" w:cs="Calibri" w:eastAsia="Calibri" w:hAnsi="Calibri"/>
                <w:sz w:val="24"/>
                <w:szCs w:val="24"/>
                <w:color w:val="auto"/>
                <w:w w:val="93"/>
                <w:vertAlign w:val="superscript"/>
              </w:rPr>
              <w:t>(3)</w:t>
            </w: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90309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99" w:lineRule="exact"/>
        <w:rPr>
          <w:sz w:val="20"/>
          <w:szCs w:val="20"/>
          <w:color w:val="auto"/>
        </w:rPr>
      </w:pPr>
    </w:p>
    <w:p>
      <w:pPr>
        <w:ind w:left="520" w:hanging="512"/>
        <w:spacing w:after="0" w:line="245" w:lineRule="auto"/>
        <w:tabs>
          <w:tab w:leader="none" w:pos="520" w:val="left"/>
        </w:tabs>
        <w:numPr>
          <w:ilvl w:val="0"/>
          <w:numId w:val="50"/>
        </w:numPr>
        <w:rPr>
          <w:rFonts w:ascii="Calibri" w:cs="Calibri" w:eastAsia="Calibri" w:hAnsi="Calibri"/>
          <w:sz w:val="14"/>
          <w:szCs w:val="14"/>
          <w:color w:val="00002D"/>
        </w:rPr>
      </w:pPr>
      <w:r>
        <w:rPr>
          <w:rFonts w:ascii="Calibri" w:cs="Calibri" w:eastAsia="Calibri" w:hAnsi="Calibri"/>
          <w:sz w:val="14"/>
          <w:szCs w:val="14"/>
          <w:color w:val="00002D"/>
        </w:rPr>
        <w:t>The Rule 10b5-1 trading arrangement permits transactons through and including the earlier to occur of (a) the completon of all sales or (b) the date listed in the table. The arrangement also provides for automatc expiraton in the event of liquidaton, dissoluton, bankruptcy, insolvency, or death of the adoptng person.</w:t>
      </w:r>
    </w:p>
    <w:p>
      <w:pPr>
        <w:spacing w:after="0" w:line="15" w:lineRule="exact"/>
        <w:rPr>
          <w:rFonts w:ascii="Calibri" w:cs="Calibri" w:eastAsia="Calibri" w:hAnsi="Calibri"/>
          <w:sz w:val="14"/>
          <w:szCs w:val="14"/>
          <w:color w:val="00002D"/>
        </w:rPr>
      </w:pPr>
    </w:p>
    <w:p>
      <w:pPr>
        <w:jc w:val="both"/>
        <w:ind w:left="520" w:hanging="512"/>
        <w:spacing w:after="0" w:line="246" w:lineRule="auto"/>
        <w:tabs>
          <w:tab w:leader="none" w:pos="520" w:val="left"/>
        </w:tabs>
        <w:numPr>
          <w:ilvl w:val="0"/>
          <w:numId w:val="50"/>
        </w:numPr>
        <w:rPr>
          <w:rFonts w:ascii="Calibri" w:cs="Calibri" w:eastAsia="Calibri" w:hAnsi="Calibri"/>
          <w:sz w:val="14"/>
          <w:szCs w:val="14"/>
          <w:color w:val="00002D"/>
        </w:rPr>
      </w:pPr>
      <w:r>
        <w:rPr>
          <w:rFonts w:ascii="Calibri" w:cs="Calibri" w:eastAsia="Calibri" w:hAnsi="Calibri"/>
          <w:sz w:val="14"/>
          <w:szCs w:val="14"/>
          <w:color w:val="00002D"/>
        </w:rPr>
        <w:t>The Rule 10b5-1 trading arrangement includes the sale of shares to be received upon future vestng of certain outstanding equity awards, net of any shares withheld by us to satsfy applicable taxes. The number of shares to be withheld, and thus the exact number of shares to be sold pursuant to Ms. Palazzo’s Rule 10b5-1 trading arrangement, can only be determined upon the occurrence of the future vestng events. For purposes of this disclosure, we have reported the gross number of shares to be received upon the future vestng of such equity awards, before subtractng any shares to be withheld by us to satsfy applicable taxes in connecton with such future vestng events. Furthermore, the Rule 10b5-1 trading arrangement provides for the sale of specifed percentage of the net shares that vest on the applicable vestng date based on the trading price of the Class A common stock on the Nasdaq Global Select Market on the applicable sale date.</w:t>
      </w:r>
    </w:p>
    <w:p>
      <w:pPr>
        <w:spacing w:after="0" w:line="15" w:lineRule="exact"/>
        <w:rPr>
          <w:rFonts w:ascii="Calibri" w:cs="Calibri" w:eastAsia="Calibri" w:hAnsi="Calibri"/>
          <w:sz w:val="14"/>
          <w:szCs w:val="14"/>
          <w:color w:val="00002D"/>
        </w:rPr>
      </w:pPr>
    </w:p>
    <w:p>
      <w:pPr>
        <w:jc w:val="both"/>
        <w:ind w:left="520" w:hanging="512"/>
        <w:spacing w:after="0" w:line="246" w:lineRule="auto"/>
        <w:tabs>
          <w:tab w:leader="none" w:pos="520" w:val="left"/>
        </w:tabs>
        <w:numPr>
          <w:ilvl w:val="0"/>
          <w:numId w:val="50"/>
        </w:numPr>
        <w:rPr>
          <w:rFonts w:ascii="Calibri" w:cs="Calibri" w:eastAsia="Calibri" w:hAnsi="Calibri"/>
          <w:sz w:val="14"/>
          <w:szCs w:val="14"/>
          <w:color w:val="00002D"/>
        </w:rPr>
      </w:pPr>
      <w:r>
        <w:rPr>
          <w:rFonts w:ascii="Calibri" w:cs="Calibri" w:eastAsia="Calibri" w:hAnsi="Calibri"/>
          <w:sz w:val="14"/>
          <w:szCs w:val="14"/>
          <w:color w:val="00002D"/>
        </w:rPr>
        <w:t>The Rule 10b5-1 trading arrangement includes the sale of shares to be received upon future vestng of certain outstanding equity awards, net of any shares withheld by us to satsfy applicable taxes. The number of shares to be withheld, and thus the exact number of shares to be sold pursuant to Mr. Quinn’s Rule 10b5-1 trading arrangement, can only be determined upon the occurrence of the future vestng events. For purposes of this disclosure, we have reported the gross number of shares to be received upon the future vestng of such equity awards, before subtractng any shares to be withheld by us to satsfy applicable taxes in connecton with such future vestng events. Furthermore, the Rule 10b5-1 trading arrangement provides for the sale of 50% of the net shares that vest on the applicable vestng date.</w:t>
      </w:r>
    </w:p>
    <w:p>
      <w:pPr>
        <w:spacing w:after="0" w:line="2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Other than those disclosed above, none of our directors or ofcers adopted, modifed, or terminated a “Rule 10b5-1 trading arrangement” or “non-Rule 10b5-1 trading arrangement,” in each case as defned in Item 408 of Regulaton S-K.</w:t>
      </w:r>
    </w:p>
    <w:p>
      <w:pPr>
        <w:spacing w:after="0" w:line="200" w:lineRule="exact"/>
        <w:rPr>
          <w:sz w:val="20"/>
          <w:szCs w:val="20"/>
          <w:color w:val="auto"/>
        </w:rPr>
      </w:pPr>
    </w:p>
    <w:p>
      <w:pPr>
        <w:spacing w:after="0" w:line="225" w:lineRule="exact"/>
        <w:rPr>
          <w:sz w:val="20"/>
          <w:szCs w:val="20"/>
          <w:color w:val="auto"/>
        </w:rPr>
      </w:pPr>
    </w:p>
    <w:p>
      <w:pPr>
        <w:spacing w:after="0" w:line="239" w:lineRule="auto"/>
        <w:rPr>
          <w:sz w:val="20"/>
          <w:szCs w:val="20"/>
          <w:color w:val="auto"/>
        </w:rPr>
      </w:pPr>
      <w:r>
        <w:rPr>
          <w:rFonts w:ascii="Calibri" w:cs="Calibri" w:eastAsia="Calibri" w:hAnsi="Calibri"/>
          <w:sz w:val="36"/>
          <w:szCs w:val="36"/>
          <w:b w:val="1"/>
          <w:bCs w:val="1"/>
          <w:color w:val="3465B0"/>
        </w:rPr>
        <w:t>Item 9C. Disclosure Regarding Foreign Jurisdictons That Prevent Inspectons.</w:t>
      </w:r>
    </w:p>
    <w:p>
      <w:pPr>
        <w:spacing w:after="0" w:line="236" w:lineRule="exact"/>
        <w:rPr>
          <w:sz w:val="20"/>
          <w:szCs w:val="20"/>
          <w:color w:val="auto"/>
        </w:rPr>
      </w:pPr>
    </w:p>
    <w:p>
      <w:pPr>
        <w:spacing w:after="0"/>
        <w:rPr>
          <w:sz w:val="20"/>
          <w:szCs w:val="20"/>
          <w:color w:val="auto"/>
        </w:rPr>
      </w:pPr>
      <w:r>
        <w:rPr>
          <w:rFonts w:ascii="Calibri" w:cs="Calibri" w:eastAsia="Calibri" w:hAnsi="Calibri"/>
          <w:sz w:val="18"/>
          <w:szCs w:val="18"/>
          <w:color w:val="00002D"/>
        </w:rPr>
        <w:t>Not Applicable.</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8" w:name="page129"/>
    <w:bookmarkEnd w:id="128"/>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36"/>
          <w:szCs w:val="36"/>
          <w:b w:val="1"/>
          <w:bCs w:val="1"/>
          <w:color w:val="3465B0"/>
        </w:rPr>
        <w:t>PART III</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10. Directors, Executve Oficers and Corporate Governance.</w:t>
      </w:r>
    </w:p>
    <w:p>
      <w:pPr>
        <w:spacing w:after="0" w:line="2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informaton concerning our executve ofcers is set forth under the heading “Informaton about our Executve Ofcers” in Item 1 of this Annual Report. The remainder of the informaton required by this Item is incorporated herein by reference from the informaton in our Proxy Statement for our 2025 Annual Meetng of Stockholders.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11. Executve Compensaton.</w:t>
      </w:r>
    </w:p>
    <w:p>
      <w:pPr>
        <w:spacing w:after="0" w:line="2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informaton required by this Item is incorporated herein by reference from the informaton in our Proxy Statement for our 2025 Annual Meetng of Stockholders.</w:t>
      </w:r>
    </w:p>
    <w:p>
      <w:pPr>
        <w:spacing w:after="0" w:line="200" w:lineRule="exact"/>
        <w:rPr>
          <w:sz w:val="20"/>
          <w:szCs w:val="20"/>
          <w:color w:val="auto"/>
        </w:rPr>
      </w:pPr>
    </w:p>
    <w:p>
      <w:pPr>
        <w:spacing w:after="0" w:line="225" w:lineRule="exact"/>
        <w:rPr>
          <w:sz w:val="20"/>
          <w:szCs w:val="20"/>
          <w:color w:val="auto"/>
        </w:rPr>
      </w:pPr>
    </w:p>
    <w:p>
      <w:pPr>
        <w:jc w:val="both"/>
        <w:spacing w:after="0" w:line="239" w:lineRule="auto"/>
        <w:rPr>
          <w:sz w:val="20"/>
          <w:szCs w:val="20"/>
          <w:color w:val="auto"/>
        </w:rPr>
      </w:pPr>
      <w:r>
        <w:rPr>
          <w:rFonts w:ascii="Calibri" w:cs="Calibri" w:eastAsia="Calibri" w:hAnsi="Calibri"/>
          <w:sz w:val="36"/>
          <w:szCs w:val="36"/>
          <w:b w:val="1"/>
          <w:bCs w:val="1"/>
          <w:color w:val="3465B0"/>
        </w:rPr>
        <w:t>Item 12. Security Ownership of Certain Benefcial Owners and Management and Related Stockholder Maters.</w:t>
      </w:r>
    </w:p>
    <w:p>
      <w:pPr>
        <w:spacing w:after="0" w:line="2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informaton required by this Item is incorporated herein by reference from the informaton in our Proxy Statement for our 2025 Annual Meetng of Stockholders.</w:t>
      </w:r>
    </w:p>
    <w:p>
      <w:pPr>
        <w:spacing w:after="0" w:line="200" w:lineRule="exact"/>
        <w:rPr>
          <w:sz w:val="20"/>
          <w:szCs w:val="20"/>
          <w:color w:val="auto"/>
        </w:rPr>
      </w:pPr>
    </w:p>
    <w:p>
      <w:pPr>
        <w:spacing w:after="0" w:line="225" w:lineRule="exact"/>
        <w:rPr>
          <w:sz w:val="20"/>
          <w:szCs w:val="20"/>
          <w:color w:val="auto"/>
        </w:rPr>
      </w:pPr>
    </w:p>
    <w:p>
      <w:pPr>
        <w:jc w:val="both"/>
        <w:spacing w:after="0" w:line="239" w:lineRule="auto"/>
        <w:rPr>
          <w:sz w:val="20"/>
          <w:szCs w:val="20"/>
          <w:color w:val="auto"/>
        </w:rPr>
      </w:pPr>
      <w:r>
        <w:rPr>
          <w:rFonts w:ascii="Calibri" w:cs="Calibri" w:eastAsia="Calibri" w:hAnsi="Calibri"/>
          <w:sz w:val="36"/>
          <w:szCs w:val="36"/>
          <w:b w:val="1"/>
          <w:bCs w:val="1"/>
          <w:color w:val="3465B0"/>
        </w:rPr>
        <w:t>Item 13. Certain Relatonships and Related Transactons, and Director Independence.</w:t>
      </w:r>
    </w:p>
    <w:p>
      <w:pPr>
        <w:spacing w:after="0" w:line="2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informaton required by this Item is incorporated herein by reference from the informaton in our Proxy Statement for our 2025 Annual Meetng of Stockholders.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14. Principal Accountant Fees and Services.</w:t>
      </w:r>
    </w:p>
    <w:p>
      <w:pPr>
        <w:spacing w:after="0" w:line="2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The informaton required by this Item is incorporated herein by reference from the informaton in our Proxy Statement for our 2025 Annual Meetng of Stockholders.</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9" w:name="page130"/>
    <w:bookmarkEnd w:id="129"/>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Calibri" w:cs="Calibri" w:eastAsia="Calibri" w:hAnsi="Calibri"/>
          <w:sz w:val="36"/>
          <w:szCs w:val="36"/>
          <w:b w:val="1"/>
          <w:bCs w:val="1"/>
          <w:color w:val="3465B0"/>
        </w:rPr>
        <w:t>PART IV</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15. Exhibits, Financial Statement Schedules.</w:t>
      </w:r>
    </w:p>
    <w:p>
      <w:pPr>
        <w:spacing w:after="0" w:line="128" w:lineRule="exact"/>
        <w:rPr>
          <w:sz w:val="20"/>
          <w:szCs w:val="20"/>
          <w:color w:val="auto"/>
        </w:rPr>
      </w:pPr>
    </w:p>
    <w:p>
      <w:pPr>
        <w:ind w:left="520" w:hanging="512"/>
        <w:spacing w:after="0"/>
        <w:tabs>
          <w:tab w:leader="none" w:pos="520" w:val="left"/>
        </w:tabs>
        <w:numPr>
          <w:ilvl w:val="0"/>
          <w:numId w:val="51"/>
        </w:numPr>
        <w:rPr>
          <w:rFonts w:ascii="Calibri" w:cs="Calibri" w:eastAsia="Calibri" w:hAnsi="Calibri"/>
          <w:sz w:val="18"/>
          <w:szCs w:val="18"/>
          <w:b w:val="1"/>
          <w:bCs w:val="1"/>
          <w:color w:val="00002D"/>
        </w:rPr>
      </w:pPr>
      <w:r>
        <w:rPr>
          <w:rFonts w:ascii="Calibri" w:cs="Calibri" w:eastAsia="Calibri" w:hAnsi="Calibri"/>
          <w:sz w:val="18"/>
          <w:szCs w:val="18"/>
          <w:b w:val="1"/>
          <w:bCs w:val="1"/>
          <w:color w:val="00002D"/>
        </w:rPr>
        <w:t>Documents fled as a part of this Annual Report:</w:t>
      </w:r>
    </w:p>
    <w:p>
      <w:pPr>
        <w:spacing w:after="0" w:line="104" w:lineRule="exact"/>
        <w:rPr>
          <w:rFonts w:ascii="Calibri" w:cs="Calibri" w:eastAsia="Calibri" w:hAnsi="Calibri"/>
          <w:sz w:val="18"/>
          <w:szCs w:val="18"/>
          <w:b w:val="1"/>
          <w:bCs w:val="1"/>
          <w:color w:val="00002D"/>
        </w:rPr>
      </w:pPr>
    </w:p>
    <w:p>
      <w:pPr>
        <w:ind w:left="1020" w:hanging="503"/>
        <w:spacing w:after="0"/>
        <w:tabs>
          <w:tab w:leader="none" w:pos="1020" w:val="left"/>
        </w:tabs>
        <w:numPr>
          <w:ilvl w:val="1"/>
          <w:numId w:val="51"/>
        </w:numPr>
        <w:rPr>
          <w:rFonts w:ascii="Calibri" w:cs="Calibri" w:eastAsia="Calibri" w:hAnsi="Calibri"/>
          <w:sz w:val="18"/>
          <w:szCs w:val="18"/>
          <w:b w:val="1"/>
          <w:bCs w:val="1"/>
          <w:color w:val="00002D"/>
        </w:rPr>
      </w:pPr>
      <w:r>
        <w:rPr>
          <w:rFonts w:ascii="Calibri" w:cs="Calibri" w:eastAsia="Calibri" w:hAnsi="Calibri"/>
          <w:sz w:val="18"/>
          <w:szCs w:val="18"/>
          <w:b w:val="1"/>
          <w:bCs w:val="1"/>
          <w:color w:val="00002D"/>
        </w:rPr>
        <w:t>Financial Statements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00002D"/>
        </w:rPr>
        <w:t>The fnancial statements of CarGurus, Inc. are included in Item 8 of this Annual Report.</w:t>
      </w:r>
    </w:p>
    <w:p>
      <w:pPr>
        <w:spacing w:after="0" w:line="104" w:lineRule="exact"/>
        <w:rPr>
          <w:sz w:val="20"/>
          <w:szCs w:val="20"/>
          <w:color w:val="auto"/>
        </w:rPr>
      </w:pPr>
    </w:p>
    <w:p>
      <w:pPr>
        <w:ind w:left="1020" w:hanging="503"/>
        <w:spacing w:after="0"/>
        <w:tabs>
          <w:tab w:leader="none" w:pos="1020" w:val="left"/>
        </w:tabs>
        <w:numPr>
          <w:ilvl w:val="0"/>
          <w:numId w:val="52"/>
        </w:numPr>
        <w:rPr>
          <w:rFonts w:ascii="Calibri" w:cs="Calibri" w:eastAsia="Calibri" w:hAnsi="Calibri"/>
          <w:sz w:val="18"/>
          <w:szCs w:val="18"/>
          <w:b w:val="1"/>
          <w:bCs w:val="1"/>
          <w:color w:val="00002D"/>
        </w:rPr>
      </w:pPr>
      <w:r>
        <w:rPr>
          <w:rFonts w:ascii="Calibri" w:cs="Calibri" w:eastAsia="Calibri" w:hAnsi="Calibri"/>
          <w:sz w:val="18"/>
          <w:szCs w:val="18"/>
          <w:b w:val="1"/>
          <w:bCs w:val="1"/>
          <w:color w:val="00002D"/>
        </w:rPr>
        <w:t>Financial Statement Schedules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All fnancial statements schedules are omited as they are either not required or the informaton is otherwise included in the consolidated fnancial statements and related notes.</w:t>
      </w:r>
    </w:p>
    <w:p>
      <w:pPr>
        <w:spacing w:after="0" w:line="105" w:lineRule="exact"/>
        <w:rPr>
          <w:sz w:val="20"/>
          <w:szCs w:val="20"/>
          <w:color w:val="auto"/>
        </w:rPr>
      </w:pPr>
    </w:p>
    <w:p>
      <w:pPr>
        <w:ind w:left="1020" w:hanging="503"/>
        <w:spacing w:after="0"/>
        <w:tabs>
          <w:tab w:leader="none" w:pos="1020" w:val="left"/>
        </w:tabs>
        <w:numPr>
          <w:ilvl w:val="0"/>
          <w:numId w:val="53"/>
        </w:numPr>
        <w:rPr>
          <w:rFonts w:ascii="Calibri" w:cs="Calibri" w:eastAsia="Calibri" w:hAnsi="Calibri"/>
          <w:sz w:val="18"/>
          <w:szCs w:val="18"/>
          <w:b w:val="1"/>
          <w:bCs w:val="1"/>
          <w:color w:val="00002D"/>
        </w:rPr>
      </w:pPr>
      <w:r>
        <w:rPr>
          <w:rFonts w:ascii="Calibri" w:cs="Calibri" w:eastAsia="Calibri" w:hAnsi="Calibri"/>
          <w:sz w:val="18"/>
          <w:szCs w:val="18"/>
          <w:b w:val="1"/>
          <w:bCs w:val="1"/>
          <w:color w:val="00002D"/>
        </w:rPr>
        <w:t>Index to Exhibits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00002D"/>
        </w:rPr>
        <w:t>The documents listed in the Exhibit Index immediately preceding the signature page of this Annual Report are incorporated by reference or are fled or furnished with this Annual Report, in each case as indicated therein (numbered in accordance with Item 601 of Regulaton S-K).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36"/>
          <w:szCs w:val="36"/>
          <w:b w:val="1"/>
          <w:bCs w:val="1"/>
          <w:color w:val="3465B0"/>
        </w:rPr>
        <w:t>Item 16. Form 10-K Summary.</w:t>
      </w:r>
    </w:p>
    <w:p>
      <w:pPr>
        <w:spacing w:after="0" w:line="236" w:lineRule="exact"/>
        <w:rPr>
          <w:sz w:val="20"/>
          <w:szCs w:val="20"/>
          <w:color w:val="auto"/>
        </w:rPr>
      </w:pPr>
    </w:p>
    <w:p>
      <w:pPr>
        <w:spacing w:after="0"/>
        <w:rPr>
          <w:sz w:val="20"/>
          <w:szCs w:val="20"/>
          <w:color w:val="auto"/>
        </w:rPr>
      </w:pPr>
      <w:r>
        <w:rPr>
          <w:rFonts w:ascii="Calibri" w:cs="Calibri" w:eastAsia="Calibri" w:hAnsi="Calibri"/>
          <w:sz w:val="18"/>
          <w:szCs w:val="18"/>
          <w:color w:val="00002D"/>
        </w:rPr>
        <w:t>Not applicable.</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0" w:name="page131"/>
    <w:bookmarkEnd w:id="130"/>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00002D"/>
        </w:rPr>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ind w:left="660"/>
              <w:spacing w:after="0"/>
              <w:rPr>
                <w:sz w:val="20"/>
                <w:szCs w:val="20"/>
                <w:color w:val="auto"/>
              </w:rPr>
            </w:pPr>
            <w:r>
              <w:rPr>
                <w:rFonts w:ascii="Calibri" w:cs="Calibri" w:eastAsia="Calibri" w:hAnsi="Calibri"/>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56"/>
        </w:trPr>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line="156" w:lineRule="exact"/>
              <w:rPr>
                <w:sz w:val="20"/>
                <w:szCs w:val="20"/>
                <w:color w:val="auto"/>
              </w:rPr>
            </w:pPr>
            <w:r>
              <w:rPr>
                <w:rFonts w:ascii="Calibri" w:cs="Calibri" w:eastAsia="Calibri" w:hAnsi="Calibri"/>
                <w:sz w:val="14"/>
                <w:szCs w:val="14"/>
                <w:b w:val="1"/>
                <w:bCs w:val="1"/>
                <w:color w:val="auto"/>
              </w:rPr>
              <w:t>Filed or</w:t>
            </w:r>
          </w:p>
        </w:tc>
        <w:tc>
          <w:tcPr>
            <w:tcW w:w="400" w:type="dxa"/>
            <w:vAlign w:val="bottom"/>
          </w:tcPr>
          <w:p>
            <w:pPr>
              <w:spacing w:after="0"/>
              <w:rPr>
                <w:sz w:val="13"/>
                <w:szCs w:val="13"/>
                <w:color w:val="auto"/>
              </w:rPr>
            </w:pPr>
          </w:p>
        </w:tc>
      </w:tr>
      <w:tr>
        <w:trPr>
          <w:trHeight w:val="176"/>
        </w:trPr>
        <w:tc>
          <w:tcPr>
            <w:tcW w:w="42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alibri" w:cs="Calibri" w:eastAsia="Calibri" w:hAnsi="Calibri"/>
                <w:sz w:val="14"/>
                <w:szCs w:val="14"/>
                <w:b w:val="1"/>
                <w:bCs w:val="1"/>
                <w:color w:val="auto"/>
              </w:rPr>
              <w:t>Exhibit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File</w:t>
            </w: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left="4"/>
              <w:spacing w:after="0"/>
              <w:rPr>
                <w:sz w:val="20"/>
                <w:szCs w:val="20"/>
                <w:color w:val="auto"/>
              </w:rPr>
            </w:pPr>
            <w:r>
              <w:rPr>
                <w:rFonts w:ascii="Calibri" w:cs="Calibri" w:eastAsia="Calibri" w:hAnsi="Calibri"/>
                <w:sz w:val="14"/>
                <w:szCs w:val="14"/>
                <w:b w:val="1"/>
                <w:bCs w:val="1"/>
                <w:color w:val="auto"/>
              </w:rPr>
              <w:t>Exhibit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Calibri" w:cs="Calibri" w:eastAsia="Calibri" w:hAnsi="Calibri"/>
                <w:sz w:val="14"/>
                <w:szCs w:val="14"/>
                <w:b w:val="1"/>
                <w:bCs w:val="1"/>
                <w:color w:val="auto"/>
              </w:rPr>
              <w:t>Furnished</w:t>
            </w:r>
          </w:p>
        </w:tc>
        <w:tc>
          <w:tcPr>
            <w:tcW w:w="400" w:type="dxa"/>
            <w:vAlign w:val="bottom"/>
          </w:tcPr>
          <w:p>
            <w:pPr>
              <w:spacing w:after="0"/>
              <w:rPr>
                <w:sz w:val="15"/>
                <w:szCs w:val="15"/>
                <w:color w:val="auto"/>
              </w:rPr>
            </w:pPr>
          </w:p>
        </w:tc>
      </w:tr>
      <w:tr>
        <w:trPr>
          <w:trHeight w:val="189"/>
        </w:trPr>
        <w:tc>
          <w:tcPr>
            <w:tcW w:w="4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Calibri" w:cs="Calibri" w:eastAsia="Calibri" w:hAnsi="Calibri"/>
                <w:sz w:val="14"/>
                <w:szCs w:val="14"/>
                <w:b w:val="1"/>
                <w:bCs w:val="1"/>
                <w:color w:val="auto"/>
              </w:rPr>
              <w:t>Number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29"/>
          </w:tcPr>
          <w:p>
            <w:pPr>
              <w:ind w:left="240"/>
              <w:spacing w:after="0"/>
              <w:rPr>
                <w:sz w:val="20"/>
                <w:szCs w:val="20"/>
                <w:color w:val="auto"/>
              </w:rPr>
            </w:pPr>
            <w:r>
              <w:rPr>
                <w:rFonts w:ascii="Calibri" w:cs="Calibri" w:eastAsia="Calibri" w:hAnsi="Calibri"/>
                <w:sz w:val="14"/>
                <w:szCs w:val="14"/>
                <w:b w:val="1"/>
                <w:bCs w:val="1"/>
                <w:color w:val="auto"/>
              </w:rPr>
              <w:t>Exhibit Descripton</w:t>
            </w:r>
          </w:p>
        </w:tc>
        <w:tc>
          <w:tcPr>
            <w:tcW w:w="740" w:type="dxa"/>
            <w:vAlign w:val="bottom"/>
          </w:tcPr>
          <w:p>
            <w:pPr>
              <w:jc w:val="center"/>
              <w:spacing w:after="0"/>
              <w:rPr>
                <w:sz w:val="20"/>
                <w:szCs w:val="20"/>
                <w:color w:val="auto"/>
              </w:rPr>
            </w:pPr>
            <w:r>
              <w:rPr>
                <w:rFonts w:ascii="Calibri" w:cs="Calibri" w:eastAsia="Calibri" w:hAnsi="Calibri"/>
                <w:sz w:val="14"/>
                <w:szCs w:val="14"/>
                <w:b w:val="1"/>
                <w:bCs w:val="1"/>
                <w:color w:val="auto"/>
              </w:rPr>
              <w:t>Form</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Calibri" w:cs="Calibri" w:eastAsia="Calibri" w:hAnsi="Calibri"/>
                <w:sz w:val="14"/>
                <w:szCs w:val="14"/>
                <w:b w:val="1"/>
                <w:bCs w:val="1"/>
                <w:color w:val="auto"/>
              </w:rPr>
              <w:t>Number</w:t>
            </w:r>
          </w:p>
        </w:tc>
        <w:tc>
          <w:tcPr>
            <w:tcW w:w="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Calibri" w:cs="Calibri" w:eastAsia="Calibri" w:hAnsi="Calibri"/>
                <w:sz w:val="14"/>
                <w:szCs w:val="14"/>
                <w:b w:val="1"/>
                <w:bCs w:val="1"/>
                <w:color w:val="auto"/>
              </w:rPr>
              <w:t>Filing Date</w:t>
            </w:r>
          </w:p>
        </w:tc>
        <w:tc>
          <w:tcPr>
            <w:tcW w:w="100" w:type="dxa"/>
            <w:vAlign w:val="bottom"/>
          </w:tcPr>
          <w:p>
            <w:pPr>
              <w:spacing w:after="0"/>
              <w:rPr>
                <w:sz w:val="16"/>
                <w:szCs w:val="16"/>
                <w:color w:val="auto"/>
              </w:rPr>
            </w:pPr>
          </w:p>
        </w:tc>
        <w:tc>
          <w:tcPr>
            <w:tcW w:w="620" w:type="dxa"/>
            <w:vAlign w:val="bottom"/>
          </w:tcPr>
          <w:p>
            <w:pPr>
              <w:jc w:val="center"/>
              <w:ind w:left="4"/>
              <w:spacing w:after="0"/>
              <w:rPr>
                <w:sz w:val="20"/>
                <w:szCs w:val="20"/>
                <w:color w:val="auto"/>
              </w:rPr>
            </w:pPr>
            <w:r>
              <w:rPr>
                <w:rFonts w:ascii="Calibri" w:cs="Calibri" w:eastAsia="Calibri" w:hAnsi="Calibri"/>
                <w:sz w:val="14"/>
                <w:szCs w:val="14"/>
                <w:b w:val="1"/>
                <w:bCs w:val="1"/>
                <w:color w:val="auto"/>
              </w:rPr>
              <w:t>Number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Herewith</w:t>
            </w:r>
          </w:p>
        </w:tc>
        <w:tc>
          <w:tcPr>
            <w:tcW w:w="400" w:type="dxa"/>
            <w:vAlign w:val="bottom"/>
          </w:tcPr>
          <w:p>
            <w:pPr>
              <w:spacing w:after="0"/>
              <w:rPr>
                <w:sz w:val="16"/>
                <w:szCs w:val="16"/>
                <w:color w:val="auto"/>
              </w:rPr>
            </w:pPr>
          </w:p>
        </w:tc>
      </w:tr>
      <w:tr>
        <w:trPr>
          <w:trHeight w:val="162"/>
        </w:trPr>
        <w:tc>
          <w:tcPr>
            <w:tcW w:w="420" w:type="dxa"/>
            <w:vAlign w:val="bottom"/>
          </w:tcPr>
          <w:p>
            <w:pPr>
              <w:spacing w:after="0"/>
              <w:rPr>
                <w:sz w:val="14"/>
                <w:szCs w:val="14"/>
                <w:color w:val="auto"/>
              </w:rPr>
            </w:pPr>
          </w:p>
        </w:tc>
        <w:tc>
          <w:tcPr>
            <w:tcW w:w="740" w:type="dxa"/>
            <w:vAlign w:val="bottom"/>
            <w:tcBorders>
              <w:top w:val="single" w:sz="8" w:color="auto"/>
            </w:tcBorders>
          </w:tcPr>
          <w:p>
            <w:pPr>
              <w:jc w:val="center"/>
              <w:spacing w:after="0" w:line="162" w:lineRule="exact"/>
              <w:rPr>
                <w:sz w:val="20"/>
                <w:szCs w:val="20"/>
                <w:color w:val="auto"/>
              </w:rPr>
            </w:pPr>
            <w:r>
              <w:rPr>
                <w:rFonts w:ascii="Calibri" w:cs="Calibri" w:eastAsia="Calibri" w:hAnsi="Calibri"/>
                <w:sz w:val="17"/>
                <w:szCs w:val="17"/>
                <w:color w:val="auto"/>
              </w:rPr>
              <w:t>2.1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920" w:type="dxa"/>
            <w:vAlign w:val="bottom"/>
            <w:tcBorders>
              <w:top w:val="single" w:sz="8" w:color="auto"/>
              <w:bottom w:val="single" w:sz="8" w:color="3465B0"/>
            </w:tcBorders>
            <w:gridSpan w:val="29"/>
          </w:tcPr>
          <w:p>
            <w:pPr>
              <w:spacing w:after="0" w:line="162" w:lineRule="exact"/>
              <w:rPr>
                <w:rFonts w:ascii="Calibri" w:cs="Calibri" w:eastAsia="Calibri" w:hAnsi="Calibri"/>
                <w:sz w:val="17"/>
                <w:szCs w:val="17"/>
                <w:color w:val="3465B0"/>
              </w:rPr>
            </w:pPr>
            <w:hyperlink r:id="rId485">
              <w:r>
                <w:rPr>
                  <w:rFonts w:ascii="Calibri" w:cs="Calibri" w:eastAsia="Calibri" w:hAnsi="Calibri"/>
                  <w:sz w:val="17"/>
                  <w:szCs w:val="17"/>
                  <w:color w:val="3465B0"/>
                </w:rPr>
                <w:t>Membership Interest Purchase Agreement dated as of</w:t>
              </w:r>
            </w:hyperlink>
          </w:p>
        </w:tc>
        <w:tc>
          <w:tcPr>
            <w:tcW w:w="80" w:type="dxa"/>
            <w:vAlign w:val="bottom"/>
            <w:tcBorders>
              <w:top w:val="single" w:sz="8" w:color="auto"/>
            </w:tcBorders>
            <w:gridSpan w:val="4"/>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top w:val="single" w:sz="8" w:color="auto"/>
            </w:tcBorders>
          </w:tcPr>
          <w:p>
            <w:pPr>
              <w:jc w:val="center"/>
              <w:spacing w:after="0" w:line="162" w:lineRule="exact"/>
              <w:rPr>
                <w:sz w:val="20"/>
                <w:szCs w:val="20"/>
                <w:color w:val="auto"/>
              </w:rPr>
            </w:pPr>
            <w:r>
              <w:rPr>
                <w:rFonts w:ascii="Calibri" w:cs="Calibri" w:eastAsia="Calibri" w:hAnsi="Calibri"/>
                <w:sz w:val="17"/>
                <w:szCs w:val="17"/>
                <w:color w:val="auto"/>
              </w:rPr>
              <w:t>10-K</w:t>
            </w:r>
          </w:p>
        </w:tc>
        <w:tc>
          <w:tcPr>
            <w:tcW w:w="100" w:type="dxa"/>
            <w:vAlign w:val="bottom"/>
          </w:tcPr>
          <w:p>
            <w:pPr>
              <w:spacing w:after="0"/>
              <w:rPr>
                <w:sz w:val="14"/>
                <w:szCs w:val="14"/>
                <w:color w:val="auto"/>
              </w:rPr>
            </w:pPr>
          </w:p>
        </w:tc>
        <w:tc>
          <w:tcPr>
            <w:tcW w:w="1160" w:type="dxa"/>
            <w:vAlign w:val="bottom"/>
            <w:tcBorders>
              <w:top w:val="single" w:sz="8" w:color="auto"/>
            </w:tcBorders>
          </w:tcPr>
          <w:p>
            <w:pPr>
              <w:jc w:val="center"/>
              <w:spacing w:after="0" w:line="162" w:lineRule="exact"/>
              <w:rPr>
                <w:sz w:val="20"/>
                <w:szCs w:val="20"/>
                <w:color w:val="auto"/>
              </w:rPr>
            </w:pPr>
            <w:r>
              <w:rPr>
                <w:rFonts w:ascii="Calibri" w:cs="Calibri" w:eastAsia="Calibri" w:hAnsi="Calibri"/>
                <w:sz w:val="17"/>
                <w:szCs w:val="17"/>
                <w:color w:val="auto"/>
              </w:rPr>
              <w:t>001-38233</w:t>
            </w:r>
          </w:p>
        </w:tc>
        <w:tc>
          <w:tcPr>
            <w:tcW w:w="80" w:type="dxa"/>
            <w:vAlign w:val="bottom"/>
          </w:tcPr>
          <w:p>
            <w:pPr>
              <w:spacing w:after="0"/>
              <w:rPr>
                <w:sz w:val="14"/>
                <w:szCs w:val="14"/>
                <w:color w:val="auto"/>
              </w:rPr>
            </w:pPr>
          </w:p>
        </w:tc>
        <w:tc>
          <w:tcPr>
            <w:tcW w:w="1800" w:type="dxa"/>
            <w:vAlign w:val="bottom"/>
            <w:tcBorders>
              <w:top w:val="single" w:sz="8" w:color="auto"/>
            </w:tcBorders>
          </w:tcPr>
          <w:p>
            <w:pPr>
              <w:jc w:val="center"/>
              <w:spacing w:after="0" w:line="162" w:lineRule="exact"/>
              <w:rPr>
                <w:sz w:val="20"/>
                <w:szCs w:val="20"/>
                <w:color w:val="auto"/>
              </w:rPr>
            </w:pPr>
            <w:r>
              <w:rPr>
                <w:rFonts w:ascii="Calibri" w:cs="Calibri" w:eastAsia="Calibri" w:hAnsi="Calibri"/>
                <w:sz w:val="17"/>
                <w:szCs w:val="17"/>
                <w:color w:val="auto"/>
              </w:rPr>
              <w:t>February 12, 2021</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center"/>
              <w:ind w:left="4"/>
              <w:spacing w:after="0" w:line="162" w:lineRule="exact"/>
              <w:rPr>
                <w:sz w:val="20"/>
                <w:szCs w:val="20"/>
                <w:color w:val="auto"/>
              </w:rPr>
            </w:pPr>
            <w:r>
              <w:rPr>
                <w:rFonts w:ascii="Calibri" w:cs="Calibri" w:eastAsia="Calibri" w:hAnsi="Calibri"/>
                <w:sz w:val="17"/>
                <w:szCs w:val="17"/>
                <w:color w:val="auto"/>
              </w:rPr>
              <w:t>2.1</w:t>
            </w:r>
          </w:p>
        </w:tc>
        <w:tc>
          <w:tcPr>
            <w:tcW w:w="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3465B0"/>
            </w:tcBorders>
            <w:gridSpan w:val="18"/>
          </w:tcPr>
          <w:p>
            <w:pPr>
              <w:spacing w:after="0" w:line="196" w:lineRule="exact"/>
              <w:rPr>
                <w:rFonts w:ascii="Calibri" w:cs="Calibri" w:eastAsia="Calibri" w:hAnsi="Calibri"/>
                <w:sz w:val="18"/>
                <w:szCs w:val="18"/>
                <w:color w:val="3465B0"/>
                <w:w w:val="97"/>
              </w:rPr>
            </w:pPr>
            <w:hyperlink r:id="rId485">
              <w:r>
                <w:rPr>
                  <w:rFonts w:ascii="Calibri" w:cs="Calibri" w:eastAsia="Calibri" w:hAnsi="Calibri"/>
                  <w:sz w:val="18"/>
                  <w:szCs w:val="18"/>
                  <w:color w:val="3465B0"/>
                  <w:w w:val="97"/>
                </w:rPr>
                <w:t>December 9, 2020, as amended, by and among the</w:t>
              </w:r>
            </w:hyperlink>
          </w:p>
        </w:tc>
        <w:tc>
          <w:tcPr>
            <w:tcW w:w="400" w:type="dxa"/>
            <w:vAlign w:val="bottom"/>
            <w:gridSpan w:val="16"/>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3465B0"/>
            </w:tcBorders>
            <w:gridSpan w:val="25"/>
          </w:tcPr>
          <w:p>
            <w:pPr>
              <w:spacing w:after="0" w:line="196" w:lineRule="exact"/>
              <w:rPr>
                <w:rFonts w:ascii="Calibri" w:cs="Calibri" w:eastAsia="Calibri" w:hAnsi="Calibri"/>
                <w:sz w:val="18"/>
                <w:szCs w:val="18"/>
                <w:color w:val="3465B0"/>
              </w:rPr>
            </w:pPr>
            <w:hyperlink r:id="rId485">
              <w:r>
                <w:rPr>
                  <w:rFonts w:ascii="Calibri" w:cs="Calibri" w:eastAsia="Calibri" w:hAnsi="Calibri"/>
                  <w:sz w:val="18"/>
                  <w:szCs w:val="18"/>
                  <w:color w:val="3465B0"/>
                </w:rPr>
                <w:t>Registrant, CarOfer, LLC, CarOfer Investors Holding,</w:t>
              </w:r>
            </w:hyperlink>
          </w:p>
        </w:tc>
        <w:tc>
          <w:tcPr>
            <w:tcW w:w="26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3465B0"/>
            </w:tcBorders>
            <w:gridSpan w:val="20"/>
          </w:tcPr>
          <w:p>
            <w:pPr>
              <w:spacing w:after="0" w:line="196" w:lineRule="exact"/>
              <w:rPr>
                <w:rFonts w:ascii="Calibri" w:cs="Calibri" w:eastAsia="Calibri" w:hAnsi="Calibri"/>
                <w:sz w:val="18"/>
                <w:szCs w:val="18"/>
                <w:color w:val="3465B0"/>
                <w:w w:val="98"/>
              </w:rPr>
            </w:pPr>
            <w:hyperlink r:id="rId485">
              <w:r>
                <w:rPr>
                  <w:rFonts w:ascii="Calibri" w:cs="Calibri" w:eastAsia="Calibri" w:hAnsi="Calibri"/>
                  <w:sz w:val="18"/>
                  <w:szCs w:val="18"/>
                  <w:color w:val="3465B0"/>
                  <w:w w:val="98"/>
                </w:rPr>
                <w:t>LLC (“TopCo”), the Members of TopCo and Bruce T.</w:t>
              </w:r>
            </w:hyperlink>
          </w:p>
        </w:tc>
        <w:tc>
          <w:tcPr>
            <w:tcW w:w="36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3465B0"/>
            </w:tcBorders>
            <w:gridSpan w:val="3"/>
          </w:tcPr>
          <w:p>
            <w:pPr>
              <w:spacing w:after="0" w:line="196" w:lineRule="exact"/>
              <w:rPr>
                <w:rFonts w:ascii="Calibri" w:cs="Calibri" w:eastAsia="Calibri" w:hAnsi="Calibri"/>
                <w:sz w:val="18"/>
                <w:szCs w:val="18"/>
                <w:color w:val="3465B0"/>
                <w:w w:val="95"/>
              </w:rPr>
            </w:pPr>
            <w:hyperlink r:id="rId485">
              <w:r>
                <w:rPr>
                  <w:rFonts w:ascii="Calibri" w:cs="Calibri" w:eastAsia="Calibri" w:hAnsi="Calibri"/>
                  <w:sz w:val="18"/>
                  <w:szCs w:val="18"/>
                  <w:color w:val="3465B0"/>
                  <w:w w:val="95"/>
                </w:rPr>
                <w:t>Thompson.</w:t>
              </w:r>
            </w:hyperlink>
          </w:p>
        </w:tc>
        <w:tc>
          <w:tcPr>
            <w:tcW w:w="3260" w:type="dxa"/>
            <w:vAlign w:val="bottom"/>
            <w:gridSpan w:val="31"/>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rPr>
              <w:t>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3465B0"/>
            </w:tcBorders>
            <w:gridSpan w:val="16"/>
          </w:tcPr>
          <w:p>
            <w:pPr>
              <w:spacing w:after="0" w:line="196" w:lineRule="exact"/>
              <w:rPr>
                <w:rFonts w:ascii="Calibri" w:cs="Calibri" w:eastAsia="Calibri" w:hAnsi="Calibri"/>
                <w:sz w:val="18"/>
                <w:szCs w:val="18"/>
                <w:color w:val="3465B0"/>
                <w:w w:val="98"/>
              </w:rPr>
            </w:pPr>
            <w:hyperlink r:id="rId486">
              <w:r>
                <w:rPr>
                  <w:rFonts w:ascii="Calibri" w:cs="Calibri" w:eastAsia="Calibri" w:hAnsi="Calibri"/>
                  <w:sz w:val="18"/>
                  <w:szCs w:val="18"/>
                  <w:color w:val="3465B0"/>
                  <w:w w:val="98"/>
                </w:rPr>
                <w:t>Membership Interest Purchase Agreement, dated</w:t>
              </w:r>
            </w:hyperlink>
          </w:p>
        </w:tc>
        <w:tc>
          <w:tcPr>
            <w:tcW w:w="480" w:type="dxa"/>
            <w:vAlign w:val="bottom"/>
            <w:gridSpan w:val="18"/>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8-K</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November 7, 2023</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6"/>
              </w:rPr>
              <w:t>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3465B0"/>
            </w:tcBorders>
            <w:gridSpan w:val="15"/>
          </w:tcPr>
          <w:p>
            <w:pPr>
              <w:spacing w:after="0" w:line="196" w:lineRule="exact"/>
              <w:rPr>
                <w:rFonts w:ascii="Calibri" w:cs="Calibri" w:eastAsia="Calibri" w:hAnsi="Calibri"/>
                <w:sz w:val="18"/>
                <w:szCs w:val="18"/>
                <w:color w:val="3465B0"/>
                <w:w w:val="97"/>
              </w:rPr>
            </w:pPr>
            <w:hyperlink r:id="rId486">
              <w:r>
                <w:rPr>
                  <w:rFonts w:ascii="Calibri" w:cs="Calibri" w:eastAsia="Calibri" w:hAnsi="Calibri"/>
                  <w:sz w:val="18"/>
                  <w:szCs w:val="18"/>
                  <w:color w:val="3465B0"/>
                  <w:w w:val="97"/>
                </w:rPr>
                <w:t>November 6, 2023, by and among CarGurus, Inc.,</w:t>
              </w:r>
            </w:hyperlink>
          </w:p>
        </w:tc>
        <w:tc>
          <w:tcPr>
            <w:tcW w:w="520" w:type="dxa"/>
            <w:vAlign w:val="bottom"/>
            <w:gridSpan w:val="19"/>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3465B0"/>
            </w:tcBorders>
            <w:gridSpan w:val="32"/>
          </w:tcPr>
          <w:p>
            <w:pPr>
              <w:spacing w:after="0" w:line="196" w:lineRule="exact"/>
              <w:rPr>
                <w:rFonts w:ascii="Calibri" w:cs="Calibri" w:eastAsia="Calibri" w:hAnsi="Calibri"/>
                <w:sz w:val="18"/>
                <w:szCs w:val="18"/>
                <w:color w:val="3465B0"/>
              </w:rPr>
            </w:pPr>
            <w:hyperlink r:id="rId486">
              <w:r>
                <w:rPr>
                  <w:rFonts w:ascii="Calibri" w:cs="Calibri" w:eastAsia="Calibri" w:hAnsi="Calibri"/>
                  <w:sz w:val="18"/>
                  <w:szCs w:val="18"/>
                  <w:color w:val="3465B0"/>
                </w:rPr>
                <w:t>CarOfer, LLC, CarOfer Investors Holding, LLC, CarOfer</w:t>
              </w:r>
            </w:hyperlink>
          </w:p>
        </w:tc>
        <w:tc>
          <w:tcPr>
            <w:tcW w:w="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3465B0"/>
            </w:tcBorders>
            <w:gridSpan w:val="28"/>
          </w:tcPr>
          <w:p>
            <w:pPr>
              <w:spacing w:after="0" w:line="196" w:lineRule="exact"/>
              <w:rPr>
                <w:rFonts w:ascii="Calibri" w:cs="Calibri" w:eastAsia="Calibri" w:hAnsi="Calibri"/>
                <w:sz w:val="18"/>
                <w:szCs w:val="18"/>
                <w:color w:val="3465B0"/>
                <w:w w:val="98"/>
              </w:rPr>
            </w:pPr>
            <w:hyperlink r:id="rId486">
              <w:r>
                <w:rPr>
                  <w:rFonts w:ascii="Calibri" w:cs="Calibri" w:eastAsia="Calibri" w:hAnsi="Calibri"/>
                  <w:sz w:val="18"/>
                  <w:szCs w:val="18"/>
                  <w:color w:val="3465B0"/>
                  <w:w w:val="98"/>
                </w:rPr>
                <w:t>MidCo, LLC, each of the persons set forth on Schedule</w:t>
              </w:r>
            </w:hyperlink>
          </w:p>
        </w:tc>
        <w:tc>
          <w:tcPr>
            <w:tcW w:w="16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486">
              <w:r>
                <w:rPr>
                  <w:rFonts w:ascii="Calibri" w:cs="Calibri" w:eastAsia="Calibri" w:hAnsi="Calibri"/>
                  <w:sz w:val="18"/>
                  <w:szCs w:val="18"/>
                  <w:color w:val="3465B0"/>
                </w:rPr>
                <w:t>1.</w:t>
              </w:r>
              <w:r>
                <w:rPr>
                  <w:rFonts w:ascii="Calibri" w:cs="Calibri" w:eastAsia="Calibri" w:hAnsi="Calibri"/>
                  <w:sz w:val="18"/>
                  <w:szCs w:val="18"/>
                  <w:u w:val="single" w:color="auto"/>
                  <w:color w:val="3465B0"/>
                </w:rPr>
                <w:t>1(a)</w:t>
              </w:r>
              <w:r>
                <w:rPr>
                  <w:rFonts w:ascii="Calibri" w:cs="Calibri" w:eastAsia="Calibri" w:hAnsi="Calibri"/>
                  <w:sz w:val="18"/>
                  <w:szCs w:val="18"/>
                  <w:color w:val="3465B0"/>
                </w:rPr>
                <w:t xml:space="preserve"> thereto, and Bruce T. Thompson.*</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380" w:type="dxa"/>
            <w:vAlign w:val="bottom"/>
            <w:shd w:val="clear" w:color="auto" w:fill="3465B0"/>
          </w:tcPr>
          <w:p>
            <w:pPr>
              <w:spacing w:after="0" w:line="20" w:lineRule="exact"/>
              <w:rPr>
                <w:sz w:val="1"/>
                <w:szCs w:val="1"/>
                <w:color w:val="auto"/>
              </w:rPr>
            </w:pPr>
          </w:p>
        </w:tc>
        <w:tc>
          <w:tcPr>
            <w:tcW w:w="60" w:type="dxa"/>
            <w:vAlign w:val="bottom"/>
            <w:gridSpan w:val="2"/>
            <w:shd w:val="clear" w:color="auto" w:fill="3465B0"/>
          </w:tcPr>
          <w:p>
            <w:pPr>
              <w:spacing w:after="0" w:line="20" w:lineRule="exact"/>
              <w:rPr>
                <w:sz w:val="1"/>
                <w:szCs w:val="1"/>
                <w:color w:val="auto"/>
              </w:rPr>
            </w:pPr>
          </w:p>
        </w:tc>
        <w:tc>
          <w:tcPr>
            <w:tcW w:w="340" w:type="dxa"/>
            <w:vAlign w:val="bottom"/>
            <w:tcBorders>
              <w:left w:val="single" w:sz="8" w:color="3465B0"/>
            </w:tcBorders>
            <w:shd w:val="clear" w:color="auto" w:fill="3465B0"/>
          </w:tcPr>
          <w:p>
            <w:pPr>
              <w:spacing w:after="0" w:line="20" w:lineRule="exact"/>
              <w:rPr>
                <w:sz w:val="1"/>
                <w:szCs w:val="1"/>
                <w:color w:val="auto"/>
              </w:rPr>
            </w:pPr>
          </w:p>
        </w:tc>
        <w:tc>
          <w:tcPr>
            <w:tcW w:w="560" w:type="dxa"/>
            <w:vAlign w:val="bottom"/>
            <w:shd w:val="clear" w:color="auto" w:fill="3465B0"/>
          </w:tcPr>
          <w:p>
            <w:pPr>
              <w:spacing w:after="0" w:line="20" w:lineRule="exact"/>
              <w:rPr>
                <w:sz w:val="1"/>
                <w:szCs w:val="1"/>
                <w:color w:val="auto"/>
              </w:rPr>
            </w:pPr>
          </w:p>
        </w:tc>
        <w:tc>
          <w:tcPr>
            <w:tcW w:w="520" w:type="dxa"/>
            <w:vAlign w:val="bottom"/>
            <w:shd w:val="clear" w:color="auto" w:fill="3465B0"/>
          </w:tcPr>
          <w:p>
            <w:pPr>
              <w:spacing w:after="0" w:line="20" w:lineRule="exact"/>
              <w:rPr>
                <w:sz w:val="1"/>
                <w:szCs w:val="1"/>
                <w:color w:val="auto"/>
              </w:rPr>
            </w:pPr>
          </w:p>
        </w:tc>
        <w:tc>
          <w:tcPr>
            <w:tcW w:w="120" w:type="dxa"/>
            <w:vAlign w:val="bottom"/>
            <w:tcBorders>
              <w:right w:val="single" w:sz="8" w:color="3465B0"/>
            </w:tcBorders>
            <w:shd w:val="clear" w:color="auto" w:fill="3465B0"/>
          </w:tcPr>
          <w:p>
            <w:pPr>
              <w:spacing w:after="0" w:line="20" w:lineRule="exact"/>
              <w:rPr>
                <w:sz w:val="1"/>
                <w:szCs w:val="1"/>
                <w:color w:val="auto"/>
              </w:rPr>
            </w:pPr>
          </w:p>
        </w:tc>
        <w:tc>
          <w:tcPr>
            <w:tcW w:w="160" w:type="dxa"/>
            <w:vAlign w:val="bottom"/>
            <w:tcBorders>
              <w:left w:val="single" w:sz="8" w:color="3465B0"/>
            </w:tcBorders>
            <w:shd w:val="clear" w:color="auto" w:fill="3465B0"/>
          </w:tcPr>
          <w:p>
            <w:pPr>
              <w:spacing w:after="0" w:line="20" w:lineRule="exact"/>
              <w:rPr>
                <w:sz w:val="1"/>
                <w:szCs w:val="1"/>
                <w:color w:val="auto"/>
              </w:rPr>
            </w:pPr>
          </w:p>
        </w:tc>
        <w:tc>
          <w:tcPr>
            <w:tcW w:w="80" w:type="dxa"/>
            <w:vAlign w:val="bottom"/>
            <w:shd w:val="clear" w:color="auto" w:fill="3465B0"/>
          </w:tcPr>
          <w:p>
            <w:pPr>
              <w:spacing w:after="0" w:line="20" w:lineRule="exact"/>
              <w:rPr>
                <w:sz w:val="1"/>
                <w:szCs w:val="1"/>
                <w:color w:val="auto"/>
              </w:rPr>
            </w:pPr>
          </w:p>
        </w:tc>
        <w:tc>
          <w:tcPr>
            <w:tcW w:w="40" w:type="dxa"/>
            <w:vAlign w:val="bottom"/>
            <w:shd w:val="clear" w:color="auto" w:fill="3465B0"/>
          </w:tcPr>
          <w:p>
            <w:pPr>
              <w:spacing w:after="0" w:line="20" w:lineRule="exact"/>
              <w:rPr>
                <w:sz w:val="1"/>
                <w:szCs w:val="1"/>
                <w:color w:val="auto"/>
              </w:rPr>
            </w:pPr>
          </w:p>
        </w:tc>
        <w:tc>
          <w:tcPr>
            <w:tcW w:w="220" w:type="dxa"/>
            <w:vAlign w:val="bottom"/>
            <w:shd w:val="clear" w:color="auto" w:fill="3465B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3465B0"/>
            </w:tcBorders>
            <w:gridSpan w:val="13"/>
          </w:tcPr>
          <w:p>
            <w:pPr>
              <w:spacing w:after="0" w:line="196" w:lineRule="exact"/>
              <w:rPr>
                <w:rFonts w:ascii="Calibri" w:cs="Calibri" w:eastAsia="Calibri" w:hAnsi="Calibri"/>
                <w:sz w:val="18"/>
                <w:szCs w:val="18"/>
                <w:color w:val="3465B0"/>
              </w:rPr>
            </w:pPr>
            <w:hyperlink r:id="rId487">
              <w:r>
                <w:rPr>
                  <w:rFonts w:ascii="Calibri" w:cs="Calibri" w:eastAsia="Calibri" w:hAnsi="Calibri"/>
                  <w:sz w:val="18"/>
                  <w:szCs w:val="18"/>
                  <w:color w:val="3465B0"/>
                </w:rPr>
                <w:t>Fourth Amended and Restated Certfcate of</w:t>
              </w:r>
            </w:hyperlink>
          </w:p>
        </w:tc>
        <w:tc>
          <w:tcPr>
            <w:tcW w:w="880" w:type="dxa"/>
            <w:vAlign w:val="bottom"/>
            <w:gridSpan w:val="21"/>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8-K</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October 16, 2017</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6"/>
              </w:rPr>
              <w:t>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bottom w:val="single" w:sz="8" w:color="3465B0"/>
            </w:tcBorders>
            <w:gridSpan w:val="7"/>
          </w:tcPr>
          <w:p>
            <w:pPr>
              <w:spacing w:after="0" w:line="196" w:lineRule="exact"/>
              <w:rPr>
                <w:rFonts w:ascii="Calibri" w:cs="Calibri" w:eastAsia="Calibri" w:hAnsi="Calibri"/>
                <w:sz w:val="18"/>
                <w:szCs w:val="18"/>
                <w:color w:val="3465B0"/>
                <w:w w:val="98"/>
              </w:rPr>
            </w:pPr>
            <w:hyperlink r:id="rId487">
              <w:r>
                <w:rPr>
                  <w:rFonts w:ascii="Calibri" w:cs="Calibri" w:eastAsia="Calibri" w:hAnsi="Calibri"/>
                  <w:sz w:val="18"/>
                  <w:szCs w:val="18"/>
                  <w:color w:val="3465B0"/>
                  <w:w w:val="98"/>
                </w:rPr>
                <w:t>Incorporaton of the Registrant.</w:t>
              </w:r>
            </w:hyperlink>
          </w:p>
        </w:tc>
        <w:tc>
          <w:tcPr>
            <w:tcW w:w="1800" w:type="dxa"/>
            <w:vAlign w:val="bottom"/>
            <w:gridSpan w:val="27"/>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3465B0"/>
            </w:tcBorders>
            <w:gridSpan w:val="29"/>
          </w:tcPr>
          <w:p>
            <w:pPr>
              <w:spacing w:after="0" w:line="196" w:lineRule="exact"/>
              <w:rPr>
                <w:rFonts w:ascii="Calibri" w:cs="Calibri" w:eastAsia="Calibri" w:hAnsi="Calibri"/>
                <w:sz w:val="18"/>
                <w:szCs w:val="18"/>
                <w:color w:val="3465B0"/>
                <w:w w:val="99"/>
              </w:rPr>
            </w:pPr>
            <w:hyperlink r:id="rId488">
              <w:r>
                <w:rPr>
                  <w:rFonts w:ascii="Calibri" w:cs="Calibri" w:eastAsia="Calibri" w:hAnsi="Calibri"/>
                  <w:sz w:val="18"/>
                  <w:szCs w:val="18"/>
                  <w:color w:val="3465B0"/>
                  <w:w w:val="99"/>
                </w:rPr>
                <w:t>Certfcate of Amendment to the Fourth Amended and</w:t>
              </w:r>
            </w:hyperlink>
          </w:p>
        </w:tc>
        <w:tc>
          <w:tcPr>
            <w:tcW w:w="140" w:type="dxa"/>
            <w:vAlign w:val="bottom"/>
            <w:gridSpan w:val="5"/>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8-K</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June 6, 2024</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6"/>
              </w:rPr>
              <w:t>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3465B0"/>
            </w:tcBorders>
            <w:gridSpan w:val="11"/>
          </w:tcPr>
          <w:p>
            <w:pPr>
              <w:spacing w:after="0" w:line="196" w:lineRule="exact"/>
              <w:rPr>
                <w:rFonts w:ascii="Calibri" w:cs="Calibri" w:eastAsia="Calibri" w:hAnsi="Calibri"/>
                <w:sz w:val="18"/>
                <w:szCs w:val="18"/>
                <w:color w:val="3465B0"/>
              </w:rPr>
            </w:pPr>
            <w:hyperlink r:id="rId488">
              <w:r>
                <w:rPr>
                  <w:rFonts w:ascii="Calibri" w:cs="Calibri" w:eastAsia="Calibri" w:hAnsi="Calibri"/>
                  <w:sz w:val="18"/>
                  <w:szCs w:val="18"/>
                  <w:color w:val="3465B0"/>
                </w:rPr>
                <w:t>Restated Certfcate of Incorporaton.</w:t>
              </w:r>
            </w:hyperlink>
          </w:p>
        </w:tc>
        <w:tc>
          <w:tcPr>
            <w:tcW w:w="1400" w:type="dxa"/>
            <w:vAlign w:val="bottom"/>
            <w:gridSpan w:val="23"/>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rPr>
              <w:t>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3465B0"/>
            </w:tcBorders>
            <w:gridSpan w:val="28"/>
          </w:tcPr>
          <w:p>
            <w:pPr>
              <w:spacing w:after="0" w:line="196" w:lineRule="exact"/>
              <w:rPr>
                <w:rFonts w:ascii="Calibri" w:cs="Calibri" w:eastAsia="Calibri" w:hAnsi="Calibri"/>
                <w:sz w:val="18"/>
                <w:szCs w:val="18"/>
                <w:color w:val="3465B0"/>
                <w:w w:val="97"/>
              </w:rPr>
            </w:pPr>
            <w:hyperlink r:id="rId489">
              <w:r>
                <w:rPr>
                  <w:rFonts w:ascii="Calibri" w:cs="Calibri" w:eastAsia="Calibri" w:hAnsi="Calibri"/>
                  <w:sz w:val="18"/>
                  <w:szCs w:val="18"/>
                  <w:color w:val="3465B0"/>
                  <w:w w:val="97"/>
                </w:rPr>
                <w:t>Third Amended and Restated Bylaws of the Registrant.</w:t>
              </w:r>
            </w:hyperlink>
          </w:p>
        </w:tc>
        <w:tc>
          <w:tcPr>
            <w:tcW w:w="160" w:type="dxa"/>
            <w:vAlign w:val="bottom"/>
            <w:gridSpan w:val="6"/>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8-K</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June 6, 2024</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6"/>
              </w:rPr>
              <w:t>3.2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3465B0"/>
            </w:tcBorders>
            <w:gridSpan w:val="16"/>
          </w:tcPr>
          <w:p>
            <w:pPr>
              <w:spacing w:after="0" w:line="196" w:lineRule="exact"/>
              <w:rPr>
                <w:rFonts w:ascii="Calibri" w:cs="Calibri" w:eastAsia="Calibri" w:hAnsi="Calibri"/>
                <w:sz w:val="18"/>
                <w:szCs w:val="18"/>
                <w:color w:val="3465B0"/>
              </w:rPr>
            </w:pPr>
            <w:hyperlink r:id="rId490">
              <w:r>
                <w:rPr>
                  <w:rFonts w:ascii="Calibri" w:cs="Calibri" w:eastAsia="Calibri" w:hAnsi="Calibri"/>
                  <w:sz w:val="18"/>
                  <w:szCs w:val="18"/>
                  <w:color w:val="3465B0"/>
                </w:rPr>
                <w:t>Specimen Class A common stock certfcate of the</w:t>
              </w:r>
            </w:hyperlink>
          </w:p>
        </w:tc>
        <w:tc>
          <w:tcPr>
            <w:tcW w:w="480" w:type="dxa"/>
            <w:vAlign w:val="bottom"/>
            <w:gridSpan w:val="18"/>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S-1/A</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8"/>
              </w:rPr>
              <w:t>333-220495</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29, 2017</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3465B0"/>
            </w:tcBorders>
            <w:gridSpan w:val="2"/>
          </w:tcPr>
          <w:p>
            <w:pPr>
              <w:spacing w:after="0" w:line="196" w:lineRule="exact"/>
              <w:rPr>
                <w:rFonts w:ascii="Calibri" w:cs="Calibri" w:eastAsia="Calibri" w:hAnsi="Calibri"/>
                <w:sz w:val="18"/>
                <w:szCs w:val="18"/>
                <w:color w:val="3465B0"/>
                <w:w w:val="95"/>
              </w:rPr>
            </w:pPr>
            <w:hyperlink r:id="rId490">
              <w:r>
                <w:rPr>
                  <w:rFonts w:ascii="Calibri" w:cs="Calibri" w:eastAsia="Calibri" w:hAnsi="Calibri"/>
                  <w:sz w:val="18"/>
                  <w:szCs w:val="18"/>
                  <w:color w:val="3465B0"/>
                  <w:w w:val="95"/>
                </w:rPr>
                <w:t>Registrant.</w:t>
              </w:r>
            </w:hyperlink>
          </w:p>
        </w:tc>
        <w:tc>
          <w:tcPr>
            <w:tcW w:w="3280" w:type="dxa"/>
            <w:vAlign w:val="bottom"/>
            <w:gridSpan w:val="32"/>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3465B0"/>
            </w:tcBorders>
            <w:gridSpan w:val="22"/>
          </w:tcPr>
          <w:p>
            <w:pPr>
              <w:spacing w:after="0" w:line="196" w:lineRule="exact"/>
              <w:rPr>
                <w:rFonts w:ascii="Calibri" w:cs="Calibri" w:eastAsia="Calibri" w:hAnsi="Calibri"/>
                <w:sz w:val="18"/>
                <w:szCs w:val="18"/>
                <w:color w:val="3465B0"/>
              </w:rPr>
            </w:pPr>
            <w:hyperlink r:id="rId491">
              <w:r>
                <w:rPr>
                  <w:rFonts w:ascii="Calibri" w:cs="Calibri" w:eastAsia="Calibri" w:hAnsi="Calibri"/>
                  <w:sz w:val="18"/>
                  <w:szCs w:val="18"/>
                  <w:color w:val="3465B0"/>
                </w:rPr>
                <w:t>Descripton of the Registrant’s Securites Registered</w:t>
              </w:r>
            </w:hyperlink>
          </w:p>
        </w:tc>
        <w:tc>
          <w:tcPr>
            <w:tcW w:w="320" w:type="dxa"/>
            <w:vAlign w:val="bottom"/>
            <w:gridSpan w:val="12"/>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10-K</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February 26, 2024</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6"/>
              </w:rPr>
              <w:t>4.2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3465B0"/>
            </w:tcBorders>
            <w:gridSpan w:val="17"/>
          </w:tcPr>
          <w:p>
            <w:pPr>
              <w:spacing w:after="0" w:line="196" w:lineRule="exact"/>
              <w:rPr>
                <w:rFonts w:ascii="Calibri" w:cs="Calibri" w:eastAsia="Calibri" w:hAnsi="Calibri"/>
                <w:sz w:val="18"/>
                <w:szCs w:val="18"/>
                <w:color w:val="3465B0"/>
              </w:rPr>
            </w:pPr>
            <w:hyperlink r:id="rId491">
              <w:r>
                <w:rPr>
                  <w:rFonts w:ascii="Calibri" w:cs="Calibri" w:eastAsia="Calibri" w:hAnsi="Calibri"/>
                  <w:sz w:val="18"/>
                  <w:szCs w:val="18"/>
                  <w:color w:val="3465B0"/>
                </w:rPr>
                <w:t>Under Secton 12 of the Securites Exchange Act of</w:t>
              </w:r>
            </w:hyperlink>
          </w:p>
        </w:tc>
        <w:tc>
          <w:tcPr>
            <w:tcW w:w="420" w:type="dxa"/>
            <w:vAlign w:val="bottom"/>
            <w:gridSpan w:val="17"/>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gridSpan w:val="4"/>
          </w:tcPr>
          <w:p>
            <w:pPr>
              <w:ind w:left="100"/>
              <w:spacing w:after="0" w:line="196" w:lineRule="exact"/>
              <w:rPr>
                <w:rFonts w:ascii="Calibri" w:cs="Calibri" w:eastAsia="Calibri" w:hAnsi="Calibri"/>
                <w:sz w:val="18"/>
                <w:szCs w:val="18"/>
                <w:color w:val="3465B0"/>
              </w:rPr>
            </w:pPr>
            <w:hyperlink r:id="rId491">
              <w:r>
                <w:rPr>
                  <w:rFonts w:ascii="Calibri" w:cs="Calibri" w:eastAsia="Calibri" w:hAnsi="Calibri"/>
                  <w:sz w:val="18"/>
                  <w:szCs w:val="18"/>
                  <w:color w:val="3465B0"/>
                </w:rPr>
                <w:t>1934.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3465B0"/>
            </w:tcBorders>
            <w:gridSpan w:val="15"/>
          </w:tcPr>
          <w:p>
            <w:pPr>
              <w:spacing w:after="0" w:line="196" w:lineRule="exact"/>
              <w:rPr>
                <w:rFonts w:ascii="Calibri" w:cs="Calibri" w:eastAsia="Calibri" w:hAnsi="Calibri"/>
                <w:sz w:val="18"/>
                <w:szCs w:val="18"/>
                <w:color w:val="3465B0"/>
              </w:rPr>
            </w:pPr>
            <w:hyperlink r:id="rId492">
              <w:r>
                <w:rPr>
                  <w:rFonts w:ascii="Calibri" w:cs="Calibri" w:eastAsia="Calibri" w:hAnsi="Calibri"/>
                  <w:sz w:val="18"/>
                  <w:szCs w:val="18"/>
                  <w:color w:val="3465B0"/>
                </w:rPr>
                <w:t>Form of Indemnifcaton Agreement between the</w:t>
              </w:r>
            </w:hyperlink>
          </w:p>
        </w:tc>
        <w:tc>
          <w:tcPr>
            <w:tcW w:w="520" w:type="dxa"/>
            <w:vAlign w:val="bottom"/>
            <w:gridSpan w:val="19"/>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S-1</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8"/>
              </w:rPr>
              <w:t>333-220495</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15, 2017</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3465B0"/>
            </w:tcBorders>
            <w:gridSpan w:val="14"/>
          </w:tcPr>
          <w:p>
            <w:pPr>
              <w:spacing w:after="0" w:line="196" w:lineRule="exact"/>
              <w:rPr>
                <w:rFonts w:ascii="Calibri" w:cs="Calibri" w:eastAsia="Calibri" w:hAnsi="Calibri"/>
                <w:sz w:val="18"/>
                <w:szCs w:val="18"/>
                <w:color w:val="3465B0"/>
                <w:w w:val="99"/>
              </w:rPr>
            </w:pPr>
            <w:hyperlink r:id="rId492">
              <w:r>
                <w:rPr>
                  <w:rFonts w:ascii="Calibri" w:cs="Calibri" w:eastAsia="Calibri" w:hAnsi="Calibri"/>
                  <w:sz w:val="18"/>
                  <w:szCs w:val="18"/>
                  <w:color w:val="3465B0"/>
                  <w:w w:val="99"/>
                </w:rPr>
                <w:t>Registrant and each of its directors and ofcers.</w:t>
              </w:r>
            </w:hyperlink>
          </w:p>
        </w:tc>
        <w:tc>
          <w:tcPr>
            <w:tcW w:w="660" w:type="dxa"/>
            <w:vAlign w:val="bottom"/>
            <w:gridSpan w:val="20"/>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493">
              <w:r>
                <w:rPr>
                  <w:rFonts w:ascii="Calibri" w:cs="Calibri" w:eastAsia="Calibri" w:hAnsi="Calibri"/>
                  <w:sz w:val="18"/>
                  <w:szCs w:val="18"/>
                  <w:color w:val="3465B0"/>
                </w:rPr>
                <w:t>Amended and Restated 2006 Equity Incentve Plan.</w:t>
              </w:r>
            </w:hyperlink>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S-1</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8"/>
              </w:rPr>
              <w:t>333-220495</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15, 2017</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3"/>
              </w:rPr>
              <w:t>10.2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3465B0"/>
          </w:tcPr>
          <w:p>
            <w:pPr>
              <w:spacing w:after="0" w:line="20" w:lineRule="exact"/>
              <w:rPr>
                <w:sz w:val="1"/>
                <w:szCs w:val="1"/>
                <w:color w:val="auto"/>
              </w:rPr>
            </w:pPr>
          </w:p>
        </w:tc>
        <w:tc>
          <w:tcPr>
            <w:tcW w:w="60" w:type="dxa"/>
            <w:vAlign w:val="bottom"/>
            <w:gridSpan w:val="2"/>
            <w:shd w:val="clear" w:color="auto" w:fill="3465B0"/>
          </w:tcPr>
          <w:p>
            <w:pPr>
              <w:spacing w:after="0" w:line="20" w:lineRule="exact"/>
              <w:rPr>
                <w:sz w:val="1"/>
                <w:szCs w:val="1"/>
                <w:color w:val="auto"/>
              </w:rPr>
            </w:pPr>
          </w:p>
        </w:tc>
        <w:tc>
          <w:tcPr>
            <w:tcW w:w="340" w:type="dxa"/>
            <w:vAlign w:val="bottom"/>
            <w:tcBorders>
              <w:left w:val="single" w:sz="8" w:color="3465B0"/>
            </w:tcBorders>
            <w:shd w:val="clear" w:color="auto" w:fill="3465B0"/>
          </w:tcPr>
          <w:p>
            <w:pPr>
              <w:spacing w:after="0" w:line="20" w:lineRule="exact"/>
              <w:rPr>
                <w:sz w:val="1"/>
                <w:szCs w:val="1"/>
                <w:color w:val="auto"/>
              </w:rPr>
            </w:pPr>
          </w:p>
        </w:tc>
        <w:tc>
          <w:tcPr>
            <w:tcW w:w="560" w:type="dxa"/>
            <w:vAlign w:val="bottom"/>
            <w:shd w:val="clear" w:color="auto" w:fill="3465B0"/>
          </w:tcPr>
          <w:p>
            <w:pPr>
              <w:spacing w:after="0" w:line="20" w:lineRule="exact"/>
              <w:rPr>
                <w:sz w:val="1"/>
                <w:szCs w:val="1"/>
                <w:color w:val="auto"/>
              </w:rPr>
            </w:pPr>
          </w:p>
        </w:tc>
        <w:tc>
          <w:tcPr>
            <w:tcW w:w="640" w:type="dxa"/>
            <w:vAlign w:val="bottom"/>
            <w:tcBorders>
              <w:right w:val="single" w:sz="8" w:color="3465B0"/>
            </w:tcBorders>
            <w:gridSpan w:val="2"/>
            <w:shd w:val="clear" w:color="auto" w:fill="3465B0"/>
          </w:tcPr>
          <w:p>
            <w:pPr>
              <w:spacing w:after="0" w:line="20" w:lineRule="exact"/>
              <w:rPr>
                <w:sz w:val="1"/>
                <w:szCs w:val="1"/>
                <w:color w:val="auto"/>
              </w:rPr>
            </w:pPr>
          </w:p>
        </w:tc>
        <w:tc>
          <w:tcPr>
            <w:tcW w:w="160" w:type="dxa"/>
            <w:vAlign w:val="bottom"/>
            <w:tcBorders>
              <w:left w:val="single" w:sz="8" w:color="3465B0"/>
            </w:tcBorders>
            <w:shd w:val="clear" w:color="auto" w:fill="3465B0"/>
          </w:tcPr>
          <w:p>
            <w:pPr>
              <w:spacing w:after="0" w:line="20" w:lineRule="exact"/>
              <w:rPr>
                <w:sz w:val="1"/>
                <w:szCs w:val="1"/>
                <w:color w:val="auto"/>
              </w:rPr>
            </w:pPr>
          </w:p>
        </w:tc>
        <w:tc>
          <w:tcPr>
            <w:tcW w:w="80" w:type="dxa"/>
            <w:vAlign w:val="bottom"/>
            <w:shd w:val="clear" w:color="auto" w:fill="3465B0"/>
          </w:tcPr>
          <w:p>
            <w:pPr>
              <w:spacing w:after="0" w:line="20" w:lineRule="exact"/>
              <w:rPr>
                <w:sz w:val="1"/>
                <w:szCs w:val="1"/>
                <w:color w:val="auto"/>
              </w:rPr>
            </w:pPr>
          </w:p>
        </w:tc>
        <w:tc>
          <w:tcPr>
            <w:tcW w:w="1020" w:type="dxa"/>
            <w:vAlign w:val="bottom"/>
            <w:gridSpan w:val="7"/>
            <w:shd w:val="clear" w:color="auto" w:fill="3465B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3465B0"/>
            </w:tcBorders>
            <w:gridSpan w:val="30"/>
          </w:tcPr>
          <w:p>
            <w:pPr>
              <w:spacing w:after="0" w:line="196" w:lineRule="exact"/>
              <w:rPr>
                <w:rFonts w:ascii="Calibri" w:cs="Calibri" w:eastAsia="Calibri" w:hAnsi="Calibri"/>
                <w:sz w:val="18"/>
                <w:szCs w:val="18"/>
                <w:color w:val="3465B0"/>
                <w:w w:val="98"/>
              </w:rPr>
            </w:pPr>
            <w:hyperlink r:id="rId494">
              <w:r>
                <w:rPr>
                  <w:rFonts w:ascii="Calibri" w:cs="Calibri" w:eastAsia="Calibri" w:hAnsi="Calibri"/>
                  <w:sz w:val="18"/>
                  <w:szCs w:val="18"/>
                  <w:color w:val="3465B0"/>
                  <w:w w:val="98"/>
                </w:rPr>
                <w:t>Amended and Restated 2015 Equity Incentve Plan and</w:t>
              </w:r>
            </w:hyperlink>
          </w:p>
        </w:tc>
        <w:tc>
          <w:tcPr>
            <w:tcW w:w="120" w:type="dxa"/>
            <w:vAlign w:val="bottom"/>
            <w:gridSpan w:val="4"/>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S-1/A</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8"/>
              </w:rPr>
              <w:t>333-220495</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29, 2017</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3"/>
              </w:rPr>
              <w:t>10.3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494">
              <w:r>
                <w:rPr>
                  <w:rFonts w:ascii="Calibri" w:cs="Calibri" w:eastAsia="Calibri" w:hAnsi="Calibri"/>
                  <w:sz w:val="18"/>
                  <w:szCs w:val="18"/>
                  <w:color w:val="3465B0"/>
                </w:rPr>
                <w:t>forms of agreements thereunder.</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3465B0"/>
          </w:tcPr>
          <w:p>
            <w:pPr>
              <w:spacing w:after="0" w:line="20" w:lineRule="exact"/>
              <w:rPr>
                <w:sz w:val="1"/>
                <w:szCs w:val="1"/>
                <w:color w:val="auto"/>
              </w:rPr>
            </w:pPr>
          </w:p>
        </w:tc>
        <w:tc>
          <w:tcPr>
            <w:tcW w:w="60" w:type="dxa"/>
            <w:vAlign w:val="bottom"/>
            <w:gridSpan w:val="2"/>
            <w:shd w:val="clear" w:color="auto" w:fill="3465B0"/>
          </w:tcPr>
          <w:p>
            <w:pPr>
              <w:spacing w:after="0" w:line="20" w:lineRule="exact"/>
              <w:rPr>
                <w:sz w:val="1"/>
                <w:szCs w:val="1"/>
                <w:color w:val="auto"/>
              </w:rPr>
            </w:pPr>
          </w:p>
        </w:tc>
        <w:tc>
          <w:tcPr>
            <w:tcW w:w="340" w:type="dxa"/>
            <w:vAlign w:val="bottom"/>
            <w:tcBorders>
              <w:left w:val="single" w:sz="8" w:color="3465B0"/>
            </w:tcBorders>
            <w:shd w:val="clear" w:color="auto" w:fill="3465B0"/>
          </w:tcPr>
          <w:p>
            <w:pPr>
              <w:spacing w:after="0" w:line="20" w:lineRule="exact"/>
              <w:rPr>
                <w:sz w:val="1"/>
                <w:szCs w:val="1"/>
                <w:color w:val="auto"/>
              </w:rPr>
            </w:pPr>
          </w:p>
        </w:tc>
        <w:tc>
          <w:tcPr>
            <w:tcW w:w="560" w:type="dxa"/>
            <w:vAlign w:val="bottom"/>
            <w:shd w:val="clear" w:color="auto" w:fill="3465B0"/>
          </w:tcPr>
          <w:p>
            <w:pPr>
              <w:spacing w:after="0" w:line="20" w:lineRule="exact"/>
              <w:rPr>
                <w:sz w:val="1"/>
                <w:szCs w:val="1"/>
                <w:color w:val="auto"/>
              </w:rPr>
            </w:pPr>
          </w:p>
        </w:tc>
        <w:tc>
          <w:tcPr>
            <w:tcW w:w="640" w:type="dxa"/>
            <w:vAlign w:val="bottom"/>
            <w:tcBorders>
              <w:right w:val="single" w:sz="8" w:color="3465B0"/>
            </w:tcBorders>
            <w:gridSpan w:val="2"/>
            <w:shd w:val="clear" w:color="auto" w:fill="3465B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3465B0"/>
            </w:tcBorders>
            <w:gridSpan w:val="22"/>
          </w:tcPr>
          <w:p>
            <w:pPr>
              <w:spacing w:after="0" w:line="196" w:lineRule="exact"/>
              <w:rPr>
                <w:rFonts w:ascii="Calibri" w:cs="Calibri" w:eastAsia="Calibri" w:hAnsi="Calibri"/>
                <w:sz w:val="18"/>
                <w:szCs w:val="18"/>
                <w:color w:val="3465B0"/>
                <w:w w:val="99"/>
              </w:rPr>
            </w:pPr>
            <w:hyperlink r:id="rId495">
              <w:r>
                <w:rPr>
                  <w:rFonts w:ascii="Calibri" w:cs="Calibri" w:eastAsia="Calibri" w:hAnsi="Calibri"/>
                  <w:sz w:val="18"/>
                  <w:szCs w:val="18"/>
                  <w:color w:val="3465B0"/>
                  <w:w w:val="99"/>
                </w:rPr>
                <w:t>Omnibus Incentve Compensaton Plan and forms of</w:t>
              </w:r>
            </w:hyperlink>
          </w:p>
        </w:tc>
        <w:tc>
          <w:tcPr>
            <w:tcW w:w="320" w:type="dxa"/>
            <w:vAlign w:val="bottom"/>
            <w:gridSpan w:val="12"/>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10-K</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February 12, 2021</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3"/>
              </w:rPr>
              <w:t>10.4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495">
              <w:r>
                <w:rPr>
                  <w:rFonts w:ascii="Calibri" w:cs="Calibri" w:eastAsia="Calibri" w:hAnsi="Calibri"/>
                  <w:sz w:val="18"/>
                  <w:szCs w:val="18"/>
                  <w:color w:val="3465B0"/>
                </w:rPr>
                <w:t>agreements thereunder.</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3465B0"/>
          </w:tcPr>
          <w:p>
            <w:pPr>
              <w:spacing w:after="0" w:line="20" w:lineRule="exact"/>
              <w:rPr>
                <w:sz w:val="1"/>
                <w:szCs w:val="1"/>
                <w:color w:val="auto"/>
              </w:rPr>
            </w:pPr>
          </w:p>
        </w:tc>
        <w:tc>
          <w:tcPr>
            <w:tcW w:w="60" w:type="dxa"/>
            <w:vAlign w:val="bottom"/>
            <w:gridSpan w:val="2"/>
            <w:shd w:val="clear" w:color="auto" w:fill="3465B0"/>
          </w:tcPr>
          <w:p>
            <w:pPr>
              <w:spacing w:after="0" w:line="20" w:lineRule="exact"/>
              <w:rPr>
                <w:sz w:val="1"/>
                <w:szCs w:val="1"/>
                <w:color w:val="auto"/>
              </w:rPr>
            </w:pPr>
          </w:p>
        </w:tc>
        <w:tc>
          <w:tcPr>
            <w:tcW w:w="340" w:type="dxa"/>
            <w:vAlign w:val="bottom"/>
            <w:tcBorders>
              <w:left w:val="single" w:sz="8" w:color="3465B0"/>
            </w:tcBorders>
            <w:shd w:val="clear" w:color="auto" w:fill="3465B0"/>
          </w:tcPr>
          <w:p>
            <w:pPr>
              <w:spacing w:after="0" w:line="20" w:lineRule="exact"/>
              <w:rPr>
                <w:sz w:val="1"/>
                <w:szCs w:val="1"/>
                <w:color w:val="auto"/>
              </w:rPr>
            </w:pPr>
          </w:p>
        </w:tc>
        <w:tc>
          <w:tcPr>
            <w:tcW w:w="560" w:type="dxa"/>
            <w:vAlign w:val="bottom"/>
            <w:shd w:val="clear" w:color="auto" w:fill="3465B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10.4.1#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3465B0"/>
            </w:tcBorders>
            <w:gridSpan w:val="19"/>
          </w:tcPr>
          <w:p>
            <w:pPr>
              <w:spacing w:after="0" w:line="196" w:lineRule="exact"/>
              <w:rPr>
                <w:rFonts w:ascii="Calibri" w:cs="Calibri" w:eastAsia="Calibri" w:hAnsi="Calibri"/>
                <w:sz w:val="18"/>
                <w:szCs w:val="18"/>
                <w:color w:val="3465B0"/>
              </w:rPr>
            </w:pPr>
            <w:hyperlink r:id="rId496">
              <w:r>
                <w:rPr>
                  <w:rFonts w:ascii="Calibri" w:cs="Calibri" w:eastAsia="Calibri" w:hAnsi="Calibri"/>
                  <w:sz w:val="18"/>
                  <w:szCs w:val="18"/>
                  <w:color w:val="3465B0"/>
                </w:rPr>
                <w:t>Form of Executve Nonqualifed Stock Opton Grant</w:t>
              </w:r>
            </w:hyperlink>
          </w:p>
        </w:tc>
        <w:tc>
          <w:tcPr>
            <w:tcW w:w="380" w:type="dxa"/>
            <w:vAlign w:val="bottom"/>
            <w:gridSpan w:val="15"/>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10-K</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February 12, 2021</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rPr>
              <w:t>10.4.1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496">
              <w:r>
                <w:rPr>
                  <w:rFonts w:ascii="Calibri" w:cs="Calibri" w:eastAsia="Calibri" w:hAnsi="Calibri"/>
                  <w:sz w:val="18"/>
                  <w:szCs w:val="18"/>
                  <w:color w:val="3465B0"/>
                </w:rPr>
                <w:t>Agreement.</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3465B0"/>
          </w:tcPr>
          <w:p>
            <w:pPr>
              <w:spacing w:after="0" w:line="20" w:lineRule="exact"/>
              <w:rPr>
                <w:sz w:val="1"/>
                <w:szCs w:val="1"/>
                <w:color w:val="auto"/>
              </w:rPr>
            </w:pPr>
          </w:p>
        </w:tc>
        <w:tc>
          <w:tcPr>
            <w:tcW w:w="60" w:type="dxa"/>
            <w:vAlign w:val="bottom"/>
            <w:gridSpan w:val="2"/>
            <w:shd w:val="clear" w:color="auto" w:fill="3465B0"/>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10.4.2#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3465B0"/>
            </w:tcBorders>
            <w:gridSpan w:val="21"/>
          </w:tcPr>
          <w:p>
            <w:pPr>
              <w:spacing w:after="0" w:line="196" w:lineRule="exact"/>
              <w:rPr>
                <w:rFonts w:ascii="Calibri" w:cs="Calibri" w:eastAsia="Calibri" w:hAnsi="Calibri"/>
                <w:sz w:val="18"/>
                <w:szCs w:val="18"/>
                <w:color w:val="3465B0"/>
                <w:w w:val="98"/>
              </w:rPr>
            </w:pPr>
            <w:hyperlink r:id="rId497">
              <w:r>
                <w:rPr>
                  <w:rFonts w:ascii="Calibri" w:cs="Calibri" w:eastAsia="Calibri" w:hAnsi="Calibri"/>
                  <w:sz w:val="18"/>
                  <w:szCs w:val="18"/>
                  <w:color w:val="3465B0"/>
                  <w:w w:val="98"/>
                </w:rPr>
                <w:t>Form of Executve Time-Based Restricted Stock Unit</w:t>
              </w:r>
            </w:hyperlink>
          </w:p>
        </w:tc>
        <w:tc>
          <w:tcPr>
            <w:tcW w:w="340" w:type="dxa"/>
            <w:vAlign w:val="bottom"/>
            <w:gridSpan w:val="13"/>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May 3, 2018</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3"/>
              </w:rPr>
              <w:t>10.3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497">
              <w:r>
                <w:rPr>
                  <w:rFonts w:ascii="Calibri" w:cs="Calibri" w:eastAsia="Calibri" w:hAnsi="Calibri"/>
                  <w:sz w:val="18"/>
                  <w:szCs w:val="18"/>
                  <w:color w:val="3465B0"/>
                </w:rPr>
                <w:t>Agreement.</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3465B0"/>
          </w:tcPr>
          <w:p>
            <w:pPr>
              <w:spacing w:after="0" w:line="20" w:lineRule="exact"/>
              <w:rPr>
                <w:sz w:val="1"/>
                <w:szCs w:val="1"/>
                <w:color w:val="auto"/>
              </w:rPr>
            </w:pPr>
          </w:p>
        </w:tc>
        <w:tc>
          <w:tcPr>
            <w:tcW w:w="60" w:type="dxa"/>
            <w:vAlign w:val="bottom"/>
            <w:gridSpan w:val="2"/>
            <w:shd w:val="clear" w:color="auto" w:fill="3465B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10.4.3#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3465B0"/>
            </w:tcBorders>
            <w:gridSpan w:val="31"/>
          </w:tcPr>
          <w:p>
            <w:pPr>
              <w:spacing w:after="0" w:line="196" w:lineRule="exact"/>
              <w:rPr>
                <w:rFonts w:ascii="Calibri" w:cs="Calibri" w:eastAsia="Calibri" w:hAnsi="Calibri"/>
                <w:sz w:val="18"/>
                <w:szCs w:val="18"/>
                <w:color w:val="3465B0"/>
                <w:w w:val="99"/>
              </w:rPr>
            </w:pPr>
            <w:hyperlink r:id="rId498">
              <w:r>
                <w:rPr>
                  <w:rFonts w:ascii="Calibri" w:cs="Calibri" w:eastAsia="Calibri" w:hAnsi="Calibri"/>
                  <w:sz w:val="18"/>
                  <w:szCs w:val="18"/>
                  <w:color w:val="3465B0"/>
                  <w:w w:val="99"/>
                </w:rPr>
                <w:t>Form of Executve Performance-Based Restricted Stock</w:t>
              </w:r>
            </w:hyperlink>
          </w:p>
        </w:tc>
        <w:tc>
          <w:tcPr>
            <w:tcW w:w="100" w:type="dxa"/>
            <w:vAlign w:val="bottom"/>
            <w:gridSpan w:val="3"/>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10-K</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February 12, 2021</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rPr>
              <w:t>10.4.3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498">
              <w:r>
                <w:rPr>
                  <w:rFonts w:ascii="Calibri" w:cs="Calibri" w:eastAsia="Calibri" w:hAnsi="Calibri"/>
                  <w:sz w:val="18"/>
                  <w:szCs w:val="18"/>
                  <w:color w:val="3465B0"/>
                </w:rPr>
                <w:t>Unit Agreement.</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5"/>
            <w:shd w:val="clear" w:color="auto" w:fill="3465B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10.4.4#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3465B0"/>
            </w:tcBorders>
            <w:gridSpan w:val="27"/>
          </w:tcPr>
          <w:p>
            <w:pPr>
              <w:spacing w:after="0" w:line="196" w:lineRule="exact"/>
              <w:rPr>
                <w:rFonts w:ascii="Calibri" w:cs="Calibri" w:eastAsia="Calibri" w:hAnsi="Calibri"/>
                <w:sz w:val="18"/>
                <w:szCs w:val="18"/>
                <w:color w:val="3465B0"/>
                <w:w w:val="98"/>
              </w:rPr>
            </w:pPr>
            <w:hyperlink r:id="rId499">
              <w:r>
                <w:rPr>
                  <w:rFonts w:ascii="Calibri" w:cs="Calibri" w:eastAsia="Calibri" w:hAnsi="Calibri"/>
                  <w:sz w:val="18"/>
                  <w:szCs w:val="18"/>
                  <w:color w:val="3465B0"/>
                  <w:w w:val="98"/>
                </w:rPr>
                <w:t>Form of Amendment to Performance Restricted Stock</w:t>
              </w:r>
            </w:hyperlink>
          </w:p>
        </w:tc>
        <w:tc>
          <w:tcPr>
            <w:tcW w:w="180" w:type="dxa"/>
            <w:vAlign w:val="bottom"/>
            <w:gridSpan w:val="7"/>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10-K</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February 25, 2022</w:t>
            </w:r>
          </w:p>
        </w:tc>
        <w:tc>
          <w:tcPr>
            <w:tcW w:w="720" w:type="dxa"/>
            <w:vAlign w:val="bottom"/>
            <w:gridSpan w:val="2"/>
          </w:tcPr>
          <w:p>
            <w:pPr>
              <w:jc w:val="center"/>
              <w:ind w:left="70"/>
              <w:spacing w:after="0" w:line="196" w:lineRule="exact"/>
              <w:rPr>
                <w:sz w:val="20"/>
                <w:szCs w:val="20"/>
                <w:color w:val="auto"/>
              </w:rPr>
            </w:pPr>
            <w:r>
              <w:rPr>
                <w:rFonts w:ascii="Calibri" w:cs="Calibri" w:eastAsia="Calibri" w:hAnsi="Calibri"/>
                <w:sz w:val="18"/>
                <w:szCs w:val="18"/>
                <w:color w:val="auto"/>
                <w:w w:val="97"/>
              </w:rPr>
              <w:t>10.31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499">
              <w:r>
                <w:rPr>
                  <w:rFonts w:ascii="Calibri" w:cs="Calibri" w:eastAsia="Calibri" w:hAnsi="Calibri"/>
                  <w:sz w:val="18"/>
                  <w:szCs w:val="18"/>
                  <w:color w:val="3465B0"/>
                </w:rPr>
                <w:t>Unit Agreement.</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5"/>
            <w:shd w:val="clear" w:color="auto" w:fill="3465B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10.4.5#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bottom w:val="single" w:sz="8" w:color="3465B0"/>
            </w:tcBorders>
            <w:gridSpan w:val="26"/>
          </w:tcPr>
          <w:p>
            <w:pPr>
              <w:spacing w:after="0" w:line="196" w:lineRule="exact"/>
              <w:rPr>
                <w:rFonts w:ascii="Calibri" w:cs="Calibri" w:eastAsia="Calibri" w:hAnsi="Calibri"/>
                <w:sz w:val="18"/>
                <w:szCs w:val="18"/>
                <w:color w:val="3465B0"/>
                <w:w w:val="97"/>
              </w:rPr>
            </w:pPr>
            <w:hyperlink r:id="rId500">
              <w:r>
                <w:rPr>
                  <w:rFonts w:ascii="Calibri" w:cs="Calibri" w:eastAsia="Calibri" w:hAnsi="Calibri"/>
                  <w:sz w:val="18"/>
                  <w:szCs w:val="18"/>
                  <w:color w:val="3465B0"/>
                  <w:w w:val="97"/>
                </w:rPr>
                <w:t>Form of Non-Employee Director Restricted Stock Unit</w:t>
              </w:r>
            </w:hyperlink>
          </w:p>
        </w:tc>
        <w:tc>
          <w:tcPr>
            <w:tcW w:w="220" w:type="dxa"/>
            <w:vAlign w:val="bottom"/>
            <w:gridSpan w:val="8"/>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8-K</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March 26, 2018</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500">
              <w:r>
                <w:rPr>
                  <w:rFonts w:ascii="Calibri" w:cs="Calibri" w:eastAsia="Calibri" w:hAnsi="Calibri"/>
                  <w:sz w:val="18"/>
                  <w:szCs w:val="18"/>
                  <w:color w:val="3465B0"/>
                </w:rPr>
                <w:t>Agreement.</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3465B0"/>
          </w:tcPr>
          <w:p>
            <w:pPr>
              <w:spacing w:after="0" w:line="20" w:lineRule="exact"/>
              <w:rPr>
                <w:sz w:val="1"/>
                <w:szCs w:val="1"/>
                <w:color w:val="auto"/>
              </w:rPr>
            </w:pPr>
          </w:p>
        </w:tc>
        <w:tc>
          <w:tcPr>
            <w:tcW w:w="60" w:type="dxa"/>
            <w:vAlign w:val="bottom"/>
            <w:gridSpan w:val="2"/>
            <w:shd w:val="clear" w:color="auto" w:fill="3465B0"/>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501">
              <w:r>
                <w:rPr>
                  <w:rFonts w:ascii="Calibri" w:cs="Calibri" w:eastAsia="Calibri" w:hAnsi="Calibri"/>
                  <w:sz w:val="18"/>
                  <w:szCs w:val="18"/>
                  <w:color w:val="3465B0"/>
                </w:rPr>
                <w:t>CarGurus, Inc. Annual Incentve Plan.</w:t>
              </w:r>
            </w:hyperlink>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8-K/A</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April 6, 2018</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Borders>
              <w:right w:val="single" w:sz="8" w:color="3465B0"/>
            </w:tcBorders>
            <w:gridSpan w:val="8"/>
            <w:shd w:val="clear" w:color="auto" w:fill="3465B0"/>
          </w:tcPr>
          <w:p>
            <w:pPr>
              <w:spacing w:after="0" w:line="20" w:lineRule="exact"/>
              <w:rPr>
                <w:sz w:val="1"/>
                <w:szCs w:val="1"/>
                <w:color w:val="auto"/>
              </w:rPr>
            </w:pPr>
          </w:p>
        </w:tc>
        <w:tc>
          <w:tcPr>
            <w:tcW w:w="160" w:type="dxa"/>
            <w:vAlign w:val="bottom"/>
            <w:tcBorders>
              <w:left w:val="single" w:sz="8" w:color="3465B0"/>
            </w:tcBorders>
            <w:shd w:val="clear" w:color="auto" w:fill="3465B0"/>
          </w:tcPr>
          <w:p>
            <w:pPr>
              <w:spacing w:after="0" w:line="20" w:lineRule="exact"/>
              <w:rPr>
                <w:sz w:val="1"/>
                <w:szCs w:val="1"/>
                <w:color w:val="auto"/>
              </w:rPr>
            </w:pPr>
          </w:p>
        </w:tc>
        <w:tc>
          <w:tcPr>
            <w:tcW w:w="80" w:type="dxa"/>
            <w:vAlign w:val="bottom"/>
            <w:shd w:val="clear" w:color="auto" w:fill="3465B0"/>
          </w:tcPr>
          <w:p>
            <w:pPr>
              <w:spacing w:after="0" w:line="20" w:lineRule="exact"/>
              <w:rPr>
                <w:sz w:val="1"/>
                <w:szCs w:val="1"/>
                <w:color w:val="auto"/>
              </w:rPr>
            </w:pPr>
          </w:p>
        </w:tc>
        <w:tc>
          <w:tcPr>
            <w:tcW w:w="11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3465B0"/>
            </w:tcBorders>
            <w:gridSpan w:val="23"/>
          </w:tcPr>
          <w:p>
            <w:pPr>
              <w:spacing w:after="0" w:line="196" w:lineRule="exact"/>
              <w:rPr>
                <w:rFonts w:ascii="Calibri" w:cs="Calibri" w:eastAsia="Calibri" w:hAnsi="Calibri"/>
                <w:sz w:val="18"/>
                <w:szCs w:val="18"/>
                <w:color w:val="3465B0"/>
              </w:rPr>
            </w:pPr>
            <w:hyperlink r:id="rId502">
              <w:r>
                <w:rPr>
                  <w:rFonts w:ascii="Calibri" w:cs="Calibri" w:eastAsia="Calibri" w:hAnsi="Calibri"/>
                  <w:sz w:val="18"/>
                  <w:szCs w:val="18"/>
                  <w:color w:val="3465B0"/>
                </w:rPr>
                <w:t>Ofer Leter, dated March 17, 2006, by and between</w:t>
              </w:r>
            </w:hyperlink>
          </w:p>
        </w:tc>
        <w:tc>
          <w:tcPr>
            <w:tcW w:w="300" w:type="dxa"/>
            <w:vAlign w:val="bottom"/>
            <w:gridSpan w:val="11"/>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S-1</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8"/>
              </w:rPr>
              <w:t>333-220495</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15, 2017</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3"/>
              </w:rPr>
              <w:t>10.5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502">
              <w:r>
                <w:rPr>
                  <w:rFonts w:ascii="Calibri" w:cs="Calibri" w:eastAsia="Calibri" w:hAnsi="Calibri"/>
                  <w:sz w:val="18"/>
                  <w:szCs w:val="18"/>
                  <w:color w:val="3465B0"/>
                </w:rPr>
                <w:t>the Registrant and Langley Steinert.</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Borders>
              <w:right w:val="single" w:sz="8" w:color="3465B0"/>
            </w:tcBorders>
            <w:gridSpan w:val="8"/>
            <w:shd w:val="clear" w:color="auto" w:fill="3465B0"/>
          </w:tcPr>
          <w:p>
            <w:pPr>
              <w:spacing w:after="0" w:line="20" w:lineRule="exact"/>
              <w:rPr>
                <w:sz w:val="1"/>
                <w:szCs w:val="1"/>
                <w:color w:val="auto"/>
              </w:rPr>
            </w:pPr>
          </w:p>
        </w:tc>
        <w:tc>
          <w:tcPr>
            <w:tcW w:w="160" w:type="dxa"/>
            <w:vAlign w:val="bottom"/>
            <w:tcBorders>
              <w:left w:val="single" w:sz="8" w:color="3465B0"/>
            </w:tcBorders>
            <w:shd w:val="clear" w:color="auto" w:fill="3465B0"/>
          </w:tcPr>
          <w:p>
            <w:pPr>
              <w:spacing w:after="0" w:line="20" w:lineRule="exact"/>
              <w:rPr>
                <w:sz w:val="1"/>
                <w:szCs w:val="1"/>
                <w:color w:val="auto"/>
              </w:rPr>
            </w:pPr>
          </w:p>
        </w:tc>
        <w:tc>
          <w:tcPr>
            <w:tcW w:w="1240" w:type="dxa"/>
            <w:vAlign w:val="bottom"/>
            <w:gridSpan w:val="1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bottom w:val="single" w:sz="8" w:color="3465B0"/>
            </w:tcBorders>
            <w:gridSpan w:val="24"/>
          </w:tcPr>
          <w:p>
            <w:pPr>
              <w:spacing w:after="0" w:line="196" w:lineRule="exact"/>
              <w:rPr>
                <w:rFonts w:ascii="Calibri" w:cs="Calibri" w:eastAsia="Calibri" w:hAnsi="Calibri"/>
                <w:sz w:val="18"/>
                <w:szCs w:val="18"/>
                <w:color w:val="3465B0"/>
              </w:rPr>
            </w:pPr>
            <w:hyperlink r:id="rId503">
              <w:r>
                <w:rPr>
                  <w:rFonts w:ascii="Calibri" w:cs="Calibri" w:eastAsia="Calibri" w:hAnsi="Calibri"/>
                  <w:sz w:val="18"/>
                  <w:szCs w:val="18"/>
                  <w:color w:val="3465B0"/>
                </w:rPr>
                <w:t>Ofer Leter, dated August 10, 2015, by and between</w:t>
              </w:r>
            </w:hyperlink>
          </w:p>
        </w:tc>
        <w:tc>
          <w:tcPr>
            <w:tcW w:w="280" w:type="dxa"/>
            <w:vAlign w:val="bottom"/>
            <w:gridSpan w:val="10"/>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S-1</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8"/>
              </w:rPr>
              <w:t>333-220495</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15, 2017</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3"/>
              </w:rPr>
              <w:t>10.6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503">
              <w:r>
                <w:rPr>
                  <w:rFonts w:ascii="Calibri" w:cs="Calibri" w:eastAsia="Calibri" w:hAnsi="Calibri"/>
                  <w:sz w:val="18"/>
                  <w:szCs w:val="18"/>
                  <w:color w:val="3465B0"/>
                </w:rPr>
                <w:t>the Registrant and Jason Trevisan.</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Borders>
              <w:right w:val="single" w:sz="8" w:color="3465B0"/>
            </w:tcBorders>
            <w:gridSpan w:val="8"/>
            <w:shd w:val="clear" w:color="auto" w:fill="3465B0"/>
          </w:tcPr>
          <w:p>
            <w:pPr>
              <w:spacing w:after="0" w:line="20" w:lineRule="exact"/>
              <w:rPr>
                <w:sz w:val="1"/>
                <w:szCs w:val="1"/>
                <w:color w:val="auto"/>
              </w:rPr>
            </w:pPr>
          </w:p>
        </w:tc>
        <w:tc>
          <w:tcPr>
            <w:tcW w:w="1500" w:type="dxa"/>
            <w:vAlign w:val="bottom"/>
            <w:tcBorders>
              <w:left w:val="single" w:sz="8" w:color="3465B0"/>
            </w:tcBorders>
            <w:gridSpan w:val="1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3465B0"/>
            </w:tcBorders>
            <w:gridSpan w:val="27"/>
          </w:tcPr>
          <w:p>
            <w:pPr>
              <w:spacing w:after="0" w:line="196" w:lineRule="exact"/>
              <w:rPr>
                <w:rFonts w:ascii="Calibri" w:cs="Calibri" w:eastAsia="Calibri" w:hAnsi="Calibri"/>
                <w:sz w:val="18"/>
                <w:szCs w:val="18"/>
                <w:color w:val="3465B0"/>
              </w:rPr>
            </w:pPr>
            <w:hyperlink r:id="rId504">
              <w:r>
                <w:rPr>
                  <w:rFonts w:ascii="Calibri" w:cs="Calibri" w:eastAsia="Calibri" w:hAnsi="Calibri"/>
                  <w:sz w:val="18"/>
                  <w:szCs w:val="18"/>
                  <w:color w:val="3465B0"/>
                </w:rPr>
                <w:t>Ofer Leter, dated October 24, 2014, by and between</w:t>
              </w:r>
            </w:hyperlink>
          </w:p>
        </w:tc>
        <w:tc>
          <w:tcPr>
            <w:tcW w:w="180" w:type="dxa"/>
            <w:vAlign w:val="bottom"/>
            <w:gridSpan w:val="7"/>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S-1</w:t>
            </w:r>
          </w:p>
        </w:tc>
        <w:tc>
          <w:tcPr>
            <w:tcW w:w="1260" w:type="dxa"/>
            <w:vAlign w:val="bottom"/>
            <w:gridSpan w:val="2"/>
          </w:tcPr>
          <w:p>
            <w:pPr>
              <w:jc w:val="center"/>
              <w:spacing w:after="0" w:line="196" w:lineRule="exact"/>
              <w:rPr>
                <w:sz w:val="20"/>
                <w:szCs w:val="20"/>
                <w:color w:val="auto"/>
              </w:rPr>
            </w:pPr>
            <w:r>
              <w:rPr>
                <w:rFonts w:ascii="Calibri" w:cs="Calibri" w:eastAsia="Calibri" w:hAnsi="Calibri"/>
                <w:sz w:val="18"/>
                <w:szCs w:val="18"/>
                <w:color w:val="auto"/>
                <w:w w:val="98"/>
              </w:rPr>
              <w:t>333-220495</w:t>
            </w:r>
          </w:p>
        </w:tc>
        <w:tc>
          <w:tcPr>
            <w:tcW w:w="8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15, 2017</w:t>
            </w:r>
          </w:p>
        </w:tc>
        <w:tc>
          <w:tcPr>
            <w:tcW w:w="720" w:type="dxa"/>
            <w:vAlign w:val="bottom"/>
            <w:gridSpan w:val="2"/>
          </w:tcPr>
          <w:p>
            <w:pPr>
              <w:jc w:val="center"/>
              <w:ind w:left="90"/>
              <w:spacing w:after="0" w:line="196" w:lineRule="exact"/>
              <w:rPr>
                <w:sz w:val="20"/>
                <w:szCs w:val="20"/>
                <w:color w:val="auto"/>
              </w:rPr>
            </w:pPr>
            <w:r>
              <w:rPr>
                <w:rFonts w:ascii="Calibri" w:cs="Calibri" w:eastAsia="Calibri" w:hAnsi="Calibri"/>
                <w:sz w:val="18"/>
                <w:szCs w:val="18"/>
                <w:color w:val="auto"/>
                <w:w w:val="93"/>
              </w:rPr>
              <w:t>10.7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34"/>
          </w:tcPr>
          <w:p>
            <w:pPr>
              <w:spacing w:after="0" w:line="196" w:lineRule="exact"/>
              <w:rPr>
                <w:rFonts w:ascii="Calibri" w:cs="Calibri" w:eastAsia="Calibri" w:hAnsi="Calibri"/>
                <w:sz w:val="18"/>
                <w:szCs w:val="18"/>
                <w:color w:val="3465B0"/>
              </w:rPr>
            </w:pPr>
            <w:hyperlink r:id="rId504">
              <w:r>
                <w:rPr>
                  <w:rFonts w:ascii="Calibri" w:cs="Calibri" w:eastAsia="Calibri" w:hAnsi="Calibri"/>
                  <w:sz w:val="18"/>
                  <w:szCs w:val="18"/>
                  <w:color w:val="3465B0"/>
                </w:rPr>
                <w:t>the Registrant and Samuel Zales.</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43"/>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3465B0"/>
            </w:tcBorders>
          </w:tcPr>
          <w:p>
            <w:pPr>
              <w:spacing w:after="0"/>
              <w:rPr>
                <w:sz w:val="24"/>
                <w:szCs w:val="24"/>
                <w:color w:val="auto"/>
              </w:rPr>
            </w:pPr>
          </w:p>
        </w:tc>
        <w:tc>
          <w:tcPr>
            <w:tcW w:w="380" w:type="dxa"/>
            <w:vAlign w:val="bottom"/>
            <w:tcBorders>
              <w:top w:val="single" w:sz="8" w:color="3465B0"/>
            </w:tcBorders>
          </w:tcPr>
          <w:p>
            <w:pPr>
              <w:spacing w:after="0"/>
              <w:rPr>
                <w:sz w:val="24"/>
                <w:szCs w:val="24"/>
                <w:color w:val="auto"/>
              </w:rPr>
            </w:pPr>
          </w:p>
        </w:tc>
        <w:tc>
          <w:tcPr>
            <w:tcW w:w="20" w:type="dxa"/>
            <w:vAlign w:val="bottom"/>
            <w:tcBorders>
              <w:top w:val="single" w:sz="8" w:color="3465B0"/>
            </w:tcBorders>
          </w:tcPr>
          <w:p>
            <w:pPr>
              <w:spacing w:after="0"/>
              <w:rPr>
                <w:sz w:val="24"/>
                <w:szCs w:val="24"/>
                <w:color w:val="auto"/>
              </w:rPr>
            </w:pPr>
          </w:p>
        </w:tc>
        <w:tc>
          <w:tcPr>
            <w:tcW w:w="40" w:type="dxa"/>
            <w:vAlign w:val="bottom"/>
            <w:tcBorders>
              <w:top w:val="single" w:sz="8" w:color="3465B0"/>
            </w:tcBorders>
          </w:tcPr>
          <w:p>
            <w:pPr>
              <w:spacing w:after="0"/>
              <w:rPr>
                <w:sz w:val="24"/>
                <w:szCs w:val="24"/>
                <w:color w:val="auto"/>
              </w:rPr>
            </w:pPr>
          </w:p>
        </w:tc>
        <w:tc>
          <w:tcPr>
            <w:tcW w:w="340" w:type="dxa"/>
            <w:vAlign w:val="bottom"/>
            <w:tcBorders>
              <w:top w:val="single" w:sz="8" w:color="3465B0"/>
            </w:tcBorders>
          </w:tcPr>
          <w:p>
            <w:pPr>
              <w:spacing w:after="0"/>
              <w:rPr>
                <w:sz w:val="24"/>
                <w:szCs w:val="24"/>
                <w:color w:val="auto"/>
              </w:rPr>
            </w:pPr>
          </w:p>
        </w:tc>
        <w:tc>
          <w:tcPr>
            <w:tcW w:w="560" w:type="dxa"/>
            <w:vAlign w:val="bottom"/>
            <w:tcBorders>
              <w:top w:val="single" w:sz="8" w:color="3465B0"/>
            </w:tcBorders>
          </w:tcPr>
          <w:p>
            <w:pPr>
              <w:spacing w:after="0"/>
              <w:rPr>
                <w:sz w:val="24"/>
                <w:szCs w:val="24"/>
                <w:color w:val="auto"/>
              </w:rPr>
            </w:pPr>
          </w:p>
        </w:tc>
        <w:tc>
          <w:tcPr>
            <w:tcW w:w="520" w:type="dxa"/>
            <w:vAlign w:val="bottom"/>
            <w:tcBorders>
              <w:top w:val="single" w:sz="8" w:color="3465B0"/>
            </w:tcBorders>
          </w:tcPr>
          <w:p>
            <w:pPr>
              <w:spacing w:after="0"/>
              <w:rPr>
                <w:sz w:val="24"/>
                <w:szCs w:val="24"/>
                <w:color w:val="auto"/>
              </w:rPr>
            </w:pPr>
          </w:p>
        </w:tc>
        <w:tc>
          <w:tcPr>
            <w:tcW w:w="120" w:type="dxa"/>
            <w:vAlign w:val="bottom"/>
            <w:tcBorders>
              <w:top w:val="single" w:sz="8" w:color="3465B0"/>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ind w:right="211"/>
              <w:spacing w:after="0"/>
              <w:rPr>
                <w:sz w:val="20"/>
                <w:szCs w:val="20"/>
                <w:color w:val="auto"/>
              </w:rPr>
            </w:pPr>
            <w:r>
              <w:rPr>
                <w:rFonts w:ascii="Calibri" w:cs="Calibri" w:eastAsia="Calibri" w:hAnsi="Calibri"/>
                <w:sz w:val="18"/>
                <w:szCs w:val="18"/>
                <w:color w:val="auto"/>
              </w:rPr>
              <w:t>129</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86"/>
        </w:trPr>
        <w:tc>
          <w:tcPr>
            <w:tcW w:w="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1" w:name="page132"/>
    <w:bookmarkEnd w:id="131"/>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jc w:val="center"/>
              <w:ind w:left="210"/>
              <w:spacing w:after="0"/>
              <w:rPr>
                <w:sz w:val="20"/>
                <w:szCs w:val="20"/>
                <w:color w:val="auto"/>
              </w:rPr>
            </w:pPr>
            <w:r>
              <w:rPr>
                <w:rFonts w:ascii="Calibri" w:cs="Calibri" w:eastAsia="Calibri" w:hAnsi="Calibri"/>
                <w:sz w:val="18"/>
                <w:szCs w:val="18"/>
                <w:color w:val="auto"/>
                <w:w w:val="97"/>
              </w:rPr>
              <w:t>10.9#</w:t>
            </w:r>
          </w:p>
        </w:tc>
        <w:tc>
          <w:tcPr>
            <w:tcW w:w="3880" w:type="dxa"/>
            <w:vAlign w:val="bottom"/>
            <w:tcBorders>
              <w:bottom w:val="single" w:sz="8" w:color="3465B0"/>
            </w:tcBorders>
            <w:gridSpan w:val="29"/>
          </w:tcPr>
          <w:p>
            <w:pPr>
              <w:spacing w:after="0"/>
              <w:rPr>
                <w:rFonts w:ascii="Calibri" w:cs="Calibri" w:eastAsia="Calibri" w:hAnsi="Calibri"/>
                <w:sz w:val="18"/>
                <w:szCs w:val="18"/>
                <w:color w:val="3465B0"/>
              </w:rPr>
            </w:pPr>
            <w:hyperlink r:id="rId507">
              <w:r>
                <w:rPr>
                  <w:rFonts w:ascii="Calibri" w:cs="Calibri" w:eastAsia="Calibri" w:hAnsi="Calibri"/>
                  <w:sz w:val="18"/>
                  <w:szCs w:val="18"/>
                  <w:color w:val="3465B0"/>
                </w:rPr>
                <w:t>Ofer Leter, dated October 16, 2023, by and between</w:t>
              </w:r>
            </w:hyperlink>
          </w:p>
        </w:tc>
        <w:tc>
          <w:tcPr>
            <w:tcW w:w="80" w:type="dxa"/>
            <w:vAlign w:val="bottom"/>
            <w:gridSpan w:val="3"/>
          </w:tcPr>
          <w:p>
            <w:pPr>
              <w:spacing w:after="0"/>
              <w:rPr>
                <w:sz w:val="19"/>
                <w:szCs w:val="19"/>
                <w:color w:val="auto"/>
              </w:rPr>
            </w:pPr>
          </w:p>
        </w:tc>
        <w:tc>
          <w:tcPr>
            <w:tcW w:w="86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1280" w:type="dxa"/>
            <w:vAlign w:val="bottom"/>
          </w:tcPr>
          <w:p>
            <w:pPr>
              <w:jc w:val="center"/>
              <w:spacing w:after="0"/>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rPr>
                <w:sz w:val="20"/>
                <w:szCs w:val="20"/>
                <w:color w:val="auto"/>
              </w:rPr>
            </w:pPr>
            <w:r>
              <w:rPr>
                <w:rFonts w:ascii="Calibri" w:cs="Calibri" w:eastAsia="Calibri" w:hAnsi="Calibri"/>
                <w:sz w:val="18"/>
                <w:szCs w:val="18"/>
                <w:color w:val="auto"/>
                <w:w w:val="97"/>
              </w:rPr>
              <w:t>October 30, 2023</w:t>
            </w:r>
          </w:p>
        </w:tc>
        <w:tc>
          <w:tcPr>
            <w:tcW w:w="2020" w:type="dxa"/>
            <w:vAlign w:val="bottom"/>
          </w:tcPr>
          <w:p>
            <w:pPr>
              <w:jc w:val="center"/>
              <w:ind w:right="1090"/>
              <w:spacing w:after="0"/>
              <w:rPr>
                <w:sz w:val="20"/>
                <w:szCs w:val="20"/>
                <w:color w:val="auto"/>
              </w:rPr>
            </w:pPr>
            <w:r>
              <w:rPr>
                <w:rFonts w:ascii="Calibri" w:cs="Calibri" w:eastAsia="Calibri" w:hAnsi="Calibri"/>
                <w:sz w:val="18"/>
                <w:szCs w:val="18"/>
                <w:color w:val="auto"/>
              </w:rPr>
              <w:t>10.1</w:t>
            </w:r>
          </w:p>
        </w:tc>
      </w:tr>
      <w:tr>
        <w:trPr>
          <w:trHeight w:val="196"/>
        </w:trPr>
        <w:tc>
          <w:tcPr>
            <w:tcW w:w="1260" w:type="dxa"/>
            <w:vAlign w:val="bottom"/>
          </w:tcPr>
          <w:p>
            <w:pPr>
              <w:spacing w:after="0"/>
              <w:rPr>
                <w:sz w:val="17"/>
                <w:szCs w:val="17"/>
                <w:color w:val="auto"/>
              </w:rPr>
            </w:pPr>
          </w:p>
        </w:tc>
        <w:tc>
          <w:tcPr>
            <w:tcW w:w="3960" w:type="dxa"/>
            <w:vAlign w:val="bottom"/>
            <w:gridSpan w:val="32"/>
          </w:tcPr>
          <w:p>
            <w:pPr>
              <w:spacing w:after="0" w:line="196" w:lineRule="exact"/>
              <w:rPr>
                <w:rFonts w:ascii="Calibri" w:cs="Calibri" w:eastAsia="Calibri" w:hAnsi="Calibri"/>
                <w:sz w:val="18"/>
                <w:szCs w:val="18"/>
                <w:color w:val="3465B0"/>
              </w:rPr>
            </w:pPr>
            <w:hyperlink r:id="rId507">
              <w:r>
                <w:rPr>
                  <w:rFonts w:ascii="Calibri" w:cs="Calibri" w:eastAsia="Calibri" w:hAnsi="Calibri"/>
                  <w:sz w:val="18"/>
                  <w:szCs w:val="18"/>
                  <w:color w:val="3465B0"/>
                </w:rPr>
                <w:t>the Registrant and Elisa Palazzo.</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380" w:type="dxa"/>
            <w:vAlign w:val="bottom"/>
            <w:shd w:val="clear" w:color="auto" w:fill="3465B0"/>
          </w:tcPr>
          <w:p>
            <w:pPr>
              <w:spacing w:after="0" w:line="20" w:lineRule="exact"/>
              <w:rPr>
                <w:sz w:val="1"/>
                <w:szCs w:val="1"/>
                <w:color w:val="auto"/>
              </w:rPr>
            </w:pPr>
          </w:p>
        </w:tc>
        <w:tc>
          <w:tcPr>
            <w:tcW w:w="20" w:type="dxa"/>
            <w:vAlign w:val="bottom"/>
            <w:shd w:val="clear" w:color="auto" w:fill="3465B0"/>
          </w:tcPr>
          <w:p>
            <w:pPr>
              <w:spacing w:after="0" w:line="20" w:lineRule="exact"/>
              <w:rPr>
                <w:sz w:val="1"/>
                <w:szCs w:val="1"/>
                <w:color w:val="auto"/>
              </w:rPr>
            </w:pPr>
          </w:p>
        </w:tc>
        <w:tc>
          <w:tcPr>
            <w:tcW w:w="60" w:type="dxa"/>
            <w:vAlign w:val="bottom"/>
            <w:shd w:val="clear" w:color="auto" w:fill="3465B0"/>
          </w:tcPr>
          <w:p>
            <w:pPr>
              <w:spacing w:after="0" w:line="20" w:lineRule="exact"/>
              <w:rPr>
                <w:sz w:val="1"/>
                <w:szCs w:val="1"/>
                <w:color w:val="auto"/>
              </w:rPr>
            </w:pPr>
          </w:p>
        </w:tc>
        <w:tc>
          <w:tcPr>
            <w:tcW w:w="180" w:type="dxa"/>
            <w:vAlign w:val="bottom"/>
            <w:shd w:val="clear" w:color="auto" w:fill="3465B0"/>
          </w:tcPr>
          <w:p>
            <w:pPr>
              <w:spacing w:after="0" w:line="20" w:lineRule="exact"/>
              <w:rPr>
                <w:sz w:val="1"/>
                <w:szCs w:val="1"/>
                <w:color w:val="auto"/>
              </w:rPr>
            </w:pPr>
          </w:p>
        </w:tc>
        <w:tc>
          <w:tcPr>
            <w:tcW w:w="980" w:type="dxa"/>
            <w:vAlign w:val="bottom"/>
            <w:tcBorders>
              <w:left w:val="single" w:sz="8" w:color="3465B0"/>
            </w:tcBorders>
            <w:shd w:val="clear" w:color="auto" w:fill="3465B0"/>
          </w:tcPr>
          <w:p>
            <w:pPr>
              <w:spacing w:after="0" w:line="20" w:lineRule="exact"/>
              <w:rPr>
                <w:sz w:val="1"/>
                <w:szCs w:val="1"/>
                <w:color w:val="auto"/>
              </w:rPr>
            </w:pPr>
          </w:p>
        </w:tc>
        <w:tc>
          <w:tcPr>
            <w:tcW w:w="260" w:type="dxa"/>
            <w:vAlign w:val="bottom"/>
            <w:shd w:val="clear" w:color="auto" w:fill="3465B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5"/>
              </w:rPr>
              <w:t>10.10#</w:t>
            </w:r>
          </w:p>
        </w:tc>
        <w:tc>
          <w:tcPr>
            <w:tcW w:w="3880" w:type="dxa"/>
            <w:vAlign w:val="bottom"/>
            <w:tcBorders>
              <w:bottom w:val="single" w:sz="8" w:color="3465B0"/>
            </w:tcBorders>
            <w:gridSpan w:val="29"/>
          </w:tcPr>
          <w:p>
            <w:pPr>
              <w:spacing w:after="0" w:line="196" w:lineRule="exact"/>
              <w:rPr>
                <w:rFonts w:ascii="Calibri" w:cs="Calibri" w:eastAsia="Calibri" w:hAnsi="Calibri"/>
                <w:sz w:val="18"/>
                <w:szCs w:val="18"/>
                <w:color w:val="3465B0"/>
                <w:w w:val="99"/>
              </w:rPr>
            </w:pPr>
            <w:hyperlink r:id="rId508">
              <w:r>
                <w:rPr>
                  <w:rFonts w:ascii="Calibri" w:cs="Calibri" w:eastAsia="Calibri" w:hAnsi="Calibri"/>
                  <w:sz w:val="18"/>
                  <w:szCs w:val="18"/>
                  <w:color w:val="3465B0"/>
                  <w:w w:val="99"/>
                </w:rPr>
                <w:t>Relocaton Repayment Agreement, dated October 16,</w:t>
              </w:r>
            </w:hyperlink>
          </w:p>
        </w:tc>
        <w:tc>
          <w:tcPr>
            <w:tcW w:w="80" w:type="dxa"/>
            <w:vAlign w:val="bottom"/>
            <w:gridSpan w:val="3"/>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8-K</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October 30, 2023</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10.2</w:t>
            </w:r>
          </w:p>
        </w:tc>
      </w:tr>
      <w:tr>
        <w:trPr>
          <w:trHeight w:val="196"/>
        </w:trPr>
        <w:tc>
          <w:tcPr>
            <w:tcW w:w="1260" w:type="dxa"/>
            <w:vAlign w:val="bottom"/>
          </w:tcPr>
          <w:p>
            <w:pPr>
              <w:spacing w:after="0"/>
              <w:rPr>
                <w:sz w:val="17"/>
                <w:szCs w:val="17"/>
                <w:color w:val="auto"/>
              </w:rPr>
            </w:pPr>
          </w:p>
        </w:tc>
        <w:tc>
          <w:tcPr>
            <w:tcW w:w="3920" w:type="dxa"/>
            <w:vAlign w:val="bottom"/>
            <w:tcBorders>
              <w:bottom w:val="single" w:sz="8" w:color="3465B0"/>
            </w:tcBorders>
            <w:gridSpan w:val="30"/>
          </w:tcPr>
          <w:p>
            <w:pPr>
              <w:spacing w:after="0" w:line="196" w:lineRule="exact"/>
              <w:rPr>
                <w:rFonts w:ascii="Calibri" w:cs="Calibri" w:eastAsia="Calibri" w:hAnsi="Calibri"/>
                <w:sz w:val="18"/>
                <w:szCs w:val="18"/>
                <w:color w:val="3465B0"/>
                <w:w w:val="97"/>
              </w:rPr>
            </w:pPr>
            <w:hyperlink r:id="rId508">
              <w:r>
                <w:rPr>
                  <w:rFonts w:ascii="Calibri" w:cs="Calibri" w:eastAsia="Calibri" w:hAnsi="Calibri"/>
                  <w:sz w:val="18"/>
                  <w:szCs w:val="18"/>
                  <w:color w:val="3465B0"/>
                  <w:w w:val="97"/>
                </w:rPr>
                <w:t>2023, by and between the Registrant and Elisa Palazzo.</w:t>
              </w:r>
            </w:hyperlink>
          </w:p>
        </w:tc>
        <w:tc>
          <w:tcPr>
            <w:tcW w:w="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5"/>
              </w:rPr>
              <w:t>10.11#</w:t>
            </w:r>
          </w:p>
        </w:tc>
        <w:tc>
          <w:tcPr>
            <w:tcW w:w="3940" w:type="dxa"/>
            <w:vAlign w:val="bottom"/>
            <w:tcBorders>
              <w:bottom w:val="single" w:sz="8" w:color="3465B0"/>
            </w:tcBorders>
            <w:gridSpan w:val="31"/>
          </w:tcPr>
          <w:p>
            <w:pPr>
              <w:spacing w:after="0" w:line="196" w:lineRule="exact"/>
              <w:rPr>
                <w:rFonts w:ascii="Calibri" w:cs="Calibri" w:eastAsia="Calibri" w:hAnsi="Calibri"/>
                <w:sz w:val="18"/>
                <w:szCs w:val="18"/>
                <w:color w:val="3465B0"/>
              </w:rPr>
            </w:pPr>
            <w:hyperlink r:id="rId509">
              <w:r>
                <w:rPr>
                  <w:rFonts w:ascii="Calibri" w:cs="Calibri" w:eastAsia="Calibri" w:hAnsi="Calibri"/>
                  <w:sz w:val="18"/>
                  <w:szCs w:val="18"/>
                  <w:color w:val="3465B0"/>
                </w:rPr>
                <w:t>Ofer Leter, dated December 1, 2021, by and between</w:t>
              </w:r>
            </w:hyperlink>
          </w:p>
        </w:tc>
        <w:tc>
          <w:tcPr>
            <w:tcW w:w="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May 9, 2023</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260" w:type="dxa"/>
            <w:vAlign w:val="bottom"/>
          </w:tcPr>
          <w:p>
            <w:pPr>
              <w:spacing w:after="0"/>
              <w:rPr>
                <w:sz w:val="17"/>
                <w:szCs w:val="17"/>
                <w:color w:val="auto"/>
              </w:rPr>
            </w:pPr>
          </w:p>
        </w:tc>
        <w:tc>
          <w:tcPr>
            <w:tcW w:w="3960" w:type="dxa"/>
            <w:vAlign w:val="bottom"/>
            <w:gridSpan w:val="32"/>
          </w:tcPr>
          <w:p>
            <w:pPr>
              <w:spacing w:after="0" w:line="196" w:lineRule="exact"/>
              <w:rPr>
                <w:rFonts w:ascii="Calibri" w:cs="Calibri" w:eastAsia="Calibri" w:hAnsi="Calibri"/>
                <w:sz w:val="18"/>
                <w:szCs w:val="18"/>
                <w:color w:val="3465B0"/>
              </w:rPr>
            </w:pPr>
            <w:hyperlink r:id="rId509">
              <w:r>
                <w:rPr>
                  <w:rFonts w:ascii="Calibri" w:cs="Calibri" w:eastAsia="Calibri" w:hAnsi="Calibri"/>
                  <w:sz w:val="18"/>
                  <w:szCs w:val="18"/>
                  <w:color w:val="3465B0"/>
                </w:rPr>
                <w:t>the Registrant and Mathew Quinn.</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380" w:type="dxa"/>
            <w:vAlign w:val="bottom"/>
            <w:shd w:val="clear" w:color="auto" w:fill="3465B0"/>
          </w:tcPr>
          <w:p>
            <w:pPr>
              <w:spacing w:after="0" w:line="20" w:lineRule="exact"/>
              <w:rPr>
                <w:sz w:val="1"/>
                <w:szCs w:val="1"/>
                <w:color w:val="auto"/>
              </w:rPr>
            </w:pPr>
          </w:p>
        </w:tc>
        <w:tc>
          <w:tcPr>
            <w:tcW w:w="20" w:type="dxa"/>
            <w:vAlign w:val="bottom"/>
            <w:shd w:val="clear" w:color="auto" w:fill="3465B0"/>
          </w:tcPr>
          <w:p>
            <w:pPr>
              <w:spacing w:after="0" w:line="20" w:lineRule="exact"/>
              <w:rPr>
                <w:sz w:val="1"/>
                <w:szCs w:val="1"/>
                <w:color w:val="auto"/>
              </w:rPr>
            </w:pPr>
          </w:p>
        </w:tc>
        <w:tc>
          <w:tcPr>
            <w:tcW w:w="60" w:type="dxa"/>
            <w:vAlign w:val="bottom"/>
            <w:shd w:val="clear" w:color="auto" w:fill="3465B0"/>
          </w:tcPr>
          <w:p>
            <w:pPr>
              <w:spacing w:after="0" w:line="20" w:lineRule="exact"/>
              <w:rPr>
                <w:sz w:val="1"/>
                <w:szCs w:val="1"/>
                <w:color w:val="auto"/>
              </w:rPr>
            </w:pPr>
          </w:p>
        </w:tc>
        <w:tc>
          <w:tcPr>
            <w:tcW w:w="180" w:type="dxa"/>
            <w:vAlign w:val="bottom"/>
            <w:shd w:val="clear" w:color="auto" w:fill="3465B0"/>
          </w:tcPr>
          <w:p>
            <w:pPr>
              <w:spacing w:after="0" w:line="20" w:lineRule="exact"/>
              <w:rPr>
                <w:sz w:val="1"/>
                <w:szCs w:val="1"/>
                <w:color w:val="auto"/>
              </w:rPr>
            </w:pPr>
          </w:p>
        </w:tc>
        <w:tc>
          <w:tcPr>
            <w:tcW w:w="980" w:type="dxa"/>
            <w:vAlign w:val="bottom"/>
            <w:tcBorders>
              <w:left w:val="single" w:sz="8" w:color="3465B0"/>
            </w:tcBorders>
            <w:shd w:val="clear" w:color="auto" w:fill="3465B0"/>
          </w:tcPr>
          <w:p>
            <w:pPr>
              <w:spacing w:after="0" w:line="20" w:lineRule="exact"/>
              <w:rPr>
                <w:sz w:val="1"/>
                <w:szCs w:val="1"/>
                <w:color w:val="auto"/>
              </w:rPr>
            </w:pPr>
          </w:p>
        </w:tc>
        <w:tc>
          <w:tcPr>
            <w:tcW w:w="320" w:type="dxa"/>
            <w:vAlign w:val="bottom"/>
            <w:gridSpan w:val="2"/>
            <w:shd w:val="clear" w:color="auto" w:fill="3465B0"/>
          </w:tcPr>
          <w:p>
            <w:pPr>
              <w:spacing w:after="0" w:line="20" w:lineRule="exact"/>
              <w:rPr>
                <w:sz w:val="1"/>
                <w:szCs w:val="1"/>
                <w:color w:val="auto"/>
              </w:rPr>
            </w:pPr>
          </w:p>
        </w:tc>
        <w:tc>
          <w:tcPr>
            <w:tcW w:w="180" w:type="dxa"/>
            <w:vAlign w:val="bottom"/>
            <w:shd w:val="clear" w:color="auto" w:fill="3465B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5"/>
              </w:rPr>
              <w:t>10.12#</w:t>
            </w:r>
          </w:p>
        </w:tc>
        <w:tc>
          <w:tcPr>
            <w:tcW w:w="3400" w:type="dxa"/>
            <w:vAlign w:val="bottom"/>
            <w:tcBorders>
              <w:bottom w:val="single" w:sz="8" w:color="3465B0"/>
            </w:tcBorders>
            <w:gridSpan w:val="13"/>
          </w:tcPr>
          <w:p>
            <w:pPr>
              <w:spacing w:after="0" w:line="196" w:lineRule="exact"/>
              <w:rPr>
                <w:rFonts w:ascii="Calibri" w:cs="Calibri" w:eastAsia="Calibri" w:hAnsi="Calibri"/>
                <w:sz w:val="18"/>
                <w:szCs w:val="18"/>
                <w:color w:val="3465B0"/>
              </w:rPr>
            </w:pPr>
            <w:hyperlink r:id="rId510">
              <w:r>
                <w:rPr>
                  <w:rFonts w:ascii="Calibri" w:cs="Calibri" w:eastAsia="Calibri" w:hAnsi="Calibri"/>
                  <w:sz w:val="18"/>
                  <w:szCs w:val="18"/>
                  <w:color w:val="3465B0"/>
                </w:rPr>
                <w:t>Ofer Leter, dated September 29, 2023, by and</w:t>
              </w:r>
            </w:hyperlink>
          </w:p>
        </w:tc>
        <w:tc>
          <w:tcPr>
            <w:tcW w:w="560" w:type="dxa"/>
            <w:vAlign w:val="bottom"/>
            <w:gridSpan w:val="19"/>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August 8, 2024</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260" w:type="dxa"/>
            <w:vAlign w:val="bottom"/>
          </w:tcPr>
          <w:p>
            <w:pPr>
              <w:spacing w:after="0"/>
              <w:rPr>
                <w:sz w:val="17"/>
                <w:szCs w:val="17"/>
                <w:color w:val="auto"/>
              </w:rPr>
            </w:pPr>
          </w:p>
        </w:tc>
        <w:tc>
          <w:tcPr>
            <w:tcW w:w="3960" w:type="dxa"/>
            <w:vAlign w:val="bottom"/>
            <w:gridSpan w:val="32"/>
          </w:tcPr>
          <w:p>
            <w:pPr>
              <w:spacing w:after="0" w:line="196" w:lineRule="exact"/>
              <w:rPr>
                <w:rFonts w:ascii="Calibri" w:cs="Calibri" w:eastAsia="Calibri" w:hAnsi="Calibri"/>
                <w:sz w:val="18"/>
                <w:szCs w:val="18"/>
                <w:color w:val="3465B0"/>
              </w:rPr>
            </w:pPr>
            <w:hyperlink r:id="rId510">
              <w:r>
                <w:rPr>
                  <w:rFonts w:ascii="Calibri" w:cs="Calibri" w:eastAsia="Calibri" w:hAnsi="Calibri"/>
                  <w:sz w:val="18"/>
                  <w:szCs w:val="18"/>
                  <w:color w:val="3465B0"/>
                </w:rPr>
                <w:t>between Registrant and Zachary Hallowell.</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380" w:type="dxa"/>
            <w:vAlign w:val="bottom"/>
            <w:shd w:val="clear" w:color="auto" w:fill="3465B0"/>
          </w:tcPr>
          <w:p>
            <w:pPr>
              <w:spacing w:after="0" w:line="20" w:lineRule="exact"/>
              <w:rPr>
                <w:sz w:val="1"/>
                <w:szCs w:val="1"/>
                <w:color w:val="auto"/>
              </w:rPr>
            </w:pPr>
          </w:p>
        </w:tc>
        <w:tc>
          <w:tcPr>
            <w:tcW w:w="20" w:type="dxa"/>
            <w:vAlign w:val="bottom"/>
            <w:shd w:val="clear" w:color="auto" w:fill="3465B0"/>
          </w:tcPr>
          <w:p>
            <w:pPr>
              <w:spacing w:after="0" w:line="20" w:lineRule="exact"/>
              <w:rPr>
                <w:sz w:val="1"/>
                <w:szCs w:val="1"/>
                <w:color w:val="auto"/>
              </w:rPr>
            </w:pPr>
          </w:p>
        </w:tc>
        <w:tc>
          <w:tcPr>
            <w:tcW w:w="60" w:type="dxa"/>
            <w:vAlign w:val="bottom"/>
            <w:shd w:val="clear" w:color="auto" w:fill="3465B0"/>
          </w:tcPr>
          <w:p>
            <w:pPr>
              <w:spacing w:after="0" w:line="20" w:lineRule="exact"/>
              <w:rPr>
                <w:sz w:val="1"/>
                <w:szCs w:val="1"/>
                <w:color w:val="auto"/>
              </w:rPr>
            </w:pPr>
          </w:p>
        </w:tc>
        <w:tc>
          <w:tcPr>
            <w:tcW w:w="180" w:type="dxa"/>
            <w:vAlign w:val="bottom"/>
            <w:shd w:val="clear" w:color="auto" w:fill="3465B0"/>
          </w:tcPr>
          <w:p>
            <w:pPr>
              <w:spacing w:after="0" w:line="20" w:lineRule="exact"/>
              <w:rPr>
                <w:sz w:val="1"/>
                <w:szCs w:val="1"/>
                <w:color w:val="auto"/>
              </w:rPr>
            </w:pPr>
          </w:p>
        </w:tc>
        <w:tc>
          <w:tcPr>
            <w:tcW w:w="980" w:type="dxa"/>
            <w:vAlign w:val="bottom"/>
            <w:tcBorders>
              <w:left w:val="single" w:sz="8" w:color="3465B0"/>
            </w:tcBorders>
            <w:shd w:val="clear" w:color="auto" w:fill="3465B0"/>
          </w:tcPr>
          <w:p>
            <w:pPr>
              <w:spacing w:after="0" w:line="20" w:lineRule="exact"/>
              <w:rPr>
                <w:sz w:val="1"/>
                <w:szCs w:val="1"/>
                <w:color w:val="auto"/>
              </w:rPr>
            </w:pPr>
          </w:p>
        </w:tc>
        <w:tc>
          <w:tcPr>
            <w:tcW w:w="320" w:type="dxa"/>
            <w:vAlign w:val="bottom"/>
            <w:gridSpan w:val="2"/>
            <w:shd w:val="clear" w:color="auto" w:fill="3465B0"/>
          </w:tcPr>
          <w:p>
            <w:pPr>
              <w:spacing w:after="0" w:line="20" w:lineRule="exact"/>
              <w:rPr>
                <w:sz w:val="1"/>
                <w:szCs w:val="1"/>
                <w:color w:val="auto"/>
              </w:rPr>
            </w:pPr>
          </w:p>
        </w:tc>
        <w:tc>
          <w:tcPr>
            <w:tcW w:w="700" w:type="dxa"/>
            <w:vAlign w:val="bottom"/>
            <w:gridSpan w:val="2"/>
            <w:shd w:val="clear" w:color="auto" w:fill="3465B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10.13</w:t>
            </w:r>
          </w:p>
        </w:tc>
        <w:tc>
          <w:tcPr>
            <w:tcW w:w="3740" w:type="dxa"/>
            <w:vAlign w:val="bottom"/>
            <w:tcBorders>
              <w:bottom w:val="single" w:sz="8" w:color="3465B0"/>
            </w:tcBorders>
            <w:gridSpan w:val="22"/>
          </w:tcPr>
          <w:p>
            <w:pPr>
              <w:spacing w:after="0" w:line="196" w:lineRule="exact"/>
              <w:rPr>
                <w:rFonts w:ascii="Calibri" w:cs="Calibri" w:eastAsia="Calibri" w:hAnsi="Calibri"/>
                <w:sz w:val="18"/>
                <w:szCs w:val="18"/>
                <w:color w:val="3465B0"/>
                <w:w w:val="97"/>
              </w:rPr>
            </w:pPr>
            <w:hyperlink r:id="rId511">
              <w:r>
                <w:rPr>
                  <w:rFonts w:ascii="Calibri" w:cs="Calibri" w:eastAsia="Calibri" w:hAnsi="Calibri"/>
                  <w:sz w:val="18"/>
                  <w:szCs w:val="18"/>
                  <w:color w:val="3465B0"/>
                  <w:w w:val="97"/>
                </w:rPr>
                <w:t>Lease, dated as of October 8, 2014, by and between</w:t>
              </w:r>
            </w:hyperlink>
          </w:p>
        </w:tc>
        <w:tc>
          <w:tcPr>
            <w:tcW w:w="220" w:type="dxa"/>
            <w:vAlign w:val="bottom"/>
            <w:gridSpan w:val="10"/>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S-1</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333-220495</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15, 2017</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10.8</w:t>
            </w:r>
          </w:p>
        </w:tc>
      </w:tr>
      <w:tr>
        <w:trPr>
          <w:trHeight w:val="196"/>
        </w:trPr>
        <w:tc>
          <w:tcPr>
            <w:tcW w:w="1260" w:type="dxa"/>
            <w:vAlign w:val="bottom"/>
          </w:tcPr>
          <w:p>
            <w:pPr>
              <w:spacing w:after="0"/>
              <w:rPr>
                <w:sz w:val="17"/>
                <w:szCs w:val="17"/>
                <w:color w:val="auto"/>
              </w:rPr>
            </w:pPr>
          </w:p>
        </w:tc>
        <w:tc>
          <w:tcPr>
            <w:tcW w:w="3860" w:type="dxa"/>
            <w:vAlign w:val="bottom"/>
            <w:tcBorders>
              <w:bottom w:val="single" w:sz="8" w:color="3465B0"/>
            </w:tcBorders>
            <w:gridSpan w:val="28"/>
          </w:tcPr>
          <w:p>
            <w:pPr>
              <w:spacing w:after="0" w:line="196" w:lineRule="exact"/>
              <w:rPr>
                <w:rFonts w:ascii="Calibri" w:cs="Calibri" w:eastAsia="Calibri" w:hAnsi="Calibri"/>
                <w:sz w:val="18"/>
                <w:szCs w:val="18"/>
                <w:color w:val="3465B0"/>
                <w:w w:val="96"/>
              </w:rPr>
            </w:pPr>
            <w:hyperlink r:id="rId511">
              <w:r>
                <w:rPr>
                  <w:rFonts w:ascii="Calibri" w:cs="Calibri" w:eastAsia="Calibri" w:hAnsi="Calibri"/>
                  <w:sz w:val="18"/>
                  <w:szCs w:val="18"/>
                  <w:color w:val="3465B0"/>
                  <w:w w:val="96"/>
                </w:rPr>
                <w:t>the Registrant and BCSP Cambridge Two Property LLC.</w:t>
              </w:r>
            </w:hyperlink>
          </w:p>
        </w:tc>
        <w:tc>
          <w:tcPr>
            <w:tcW w:w="1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10.14</w:t>
            </w:r>
          </w:p>
        </w:tc>
        <w:tc>
          <w:tcPr>
            <w:tcW w:w="3680" w:type="dxa"/>
            <w:vAlign w:val="bottom"/>
            <w:tcBorders>
              <w:bottom w:val="single" w:sz="8" w:color="3465B0"/>
            </w:tcBorders>
            <w:gridSpan w:val="20"/>
          </w:tcPr>
          <w:p>
            <w:pPr>
              <w:spacing w:after="0" w:line="196" w:lineRule="exact"/>
              <w:rPr>
                <w:rFonts w:ascii="Calibri" w:cs="Calibri" w:eastAsia="Calibri" w:hAnsi="Calibri"/>
                <w:sz w:val="18"/>
                <w:szCs w:val="18"/>
                <w:color w:val="3465B0"/>
                <w:w w:val="98"/>
              </w:rPr>
            </w:pPr>
            <w:hyperlink r:id="rId512">
              <w:r>
                <w:rPr>
                  <w:rFonts w:ascii="Calibri" w:cs="Calibri" w:eastAsia="Calibri" w:hAnsi="Calibri"/>
                  <w:sz w:val="18"/>
                  <w:szCs w:val="18"/>
                  <w:color w:val="3465B0"/>
                  <w:w w:val="98"/>
                </w:rPr>
                <w:t>First Amendment to Lease, dated as of October 27,</w:t>
              </w:r>
            </w:hyperlink>
          </w:p>
        </w:tc>
        <w:tc>
          <w:tcPr>
            <w:tcW w:w="280" w:type="dxa"/>
            <w:vAlign w:val="bottom"/>
            <w:gridSpan w:val="1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November 5, 2020</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10.2</w:t>
            </w:r>
          </w:p>
        </w:tc>
      </w:tr>
      <w:tr>
        <w:trPr>
          <w:trHeight w:val="196"/>
        </w:trPr>
        <w:tc>
          <w:tcPr>
            <w:tcW w:w="1260" w:type="dxa"/>
            <w:vAlign w:val="bottom"/>
          </w:tcPr>
          <w:p>
            <w:pPr>
              <w:spacing w:after="0"/>
              <w:rPr>
                <w:sz w:val="17"/>
                <w:szCs w:val="17"/>
                <w:color w:val="auto"/>
              </w:rPr>
            </w:pPr>
          </w:p>
        </w:tc>
        <w:tc>
          <w:tcPr>
            <w:tcW w:w="3920" w:type="dxa"/>
            <w:vAlign w:val="bottom"/>
            <w:tcBorders>
              <w:bottom w:val="single" w:sz="8" w:color="3465B0"/>
            </w:tcBorders>
            <w:gridSpan w:val="30"/>
          </w:tcPr>
          <w:p>
            <w:pPr>
              <w:spacing w:after="0" w:line="196" w:lineRule="exact"/>
              <w:rPr>
                <w:rFonts w:ascii="Calibri" w:cs="Calibri" w:eastAsia="Calibri" w:hAnsi="Calibri"/>
                <w:sz w:val="18"/>
                <w:szCs w:val="18"/>
                <w:color w:val="3465B0"/>
                <w:w w:val="98"/>
              </w:rPr>
            </w:pPr>
            <w:hyperlink r:id="rId512">
              <w:r>
                <w:rPr>
                  <w:rFonts w:ascii="Calibri" w:cs="Calibri" w:eastAsia="Calibri" w:hAnsi="Calibri"/>
                  <w:sz w:val="18"/>
                  <w:szCs w:val="18"/>
                  <w:color w:val="3465B0"/>
                  <w:w w:val="98"/>
                </w:rPr>
                <w:t>2015, between BCSP Cambridge Two Property LLC and</w:t>
              </w:r>
            </w:hyperlink>
          </w:p>
        </w:tc>
        <w:tc>
          <w:tcPr>
            <w:tcW w:w="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2"/>
          </w:tcPr>
          <w:p>
            <w:pPr>
              <w:spacing w:after="0" w:line="196" w:lineRule="exact"/>
              <w:rPr>
                <w:rFonts w:ascii="Calibri" w:cs="Calibri" w:eastAsia="Calibri" w:hAnsi="Calibri"/>
                <w:sz w:val="18"/>
                <w:szCs w:val="18"/>
                <w:color w:val="3465B0"/>
              </w:rPr>
            </w:pPr>
            <w:hyperlink r:id="rId512">
              <w:r>
                <w:rPr>
                  <w:rFonts w:ascii="Calibri" w:cs="Calibri" w:eastAsia="Calibri" w:hAnsi="Calibri"/>
                  <w:sz w:val="18"/>
                  <w:szCs w:val="18"/>
                  <w:color w:val="3465B0"/>
                </w:rPr>
                <w:t>the Registrant.</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380" w:type="dxa"/>
            <w:vAlign w:val="bottom"/>
            <w:shd w:val="clear" w:color="auto" w:fill="3465B0"/>
          </w:tcPr>
          <w:p>
            <w:pPr>
              <w:spacing w:after="0" w:line="20" w:lineRule="exact"/>
              <w:rPr>
                <w:sz w:val="1"/>
                <w:szCs w:val="1"/>
                <w:color w:val="auto"/>
              </w:rPr>
            </w:pPr>
          </w:p>
        </w:tc>
        <w:tc>
          <w:tcPr>
            <w:tcW w:w="20" w:type="dxa"/>
            <w:vAlign w:val="bottom"/>
            <w:shd w:val="clear" w:color="auto" w:fill="3465B0"/>
          </w:tcPr>
          <w:p>
            <w:pPr>
              <w:spacing w:after="0" w:line="20" w:lineRule="exact"/>
              <w:rPr>
                <w:sz w:val="1"/>
                <w:szCs w:val="1"/>
                <w:color w:val="auto"/>
              </w:rPr>
            </w:pPr>
          </w:p>
        </w:tc>
        <w:tc>
          <w:tcPr>
            <w:tcW w:w="60" w:type="dxa"/>
            <w:vAlign w:val="bottom"/>
            <w:shd w:val="clear" w:color="auto" w:fill="3465B0"/>
          </w:tcPr>
          <w:p>
            <w:pPr>
              <w:spacing w:after="0" w:line="20" w:lineRule="exact"/>
              <w:rPr>
                <w:sz w:val="1"/>
                <w:szCs w:val="1"/>
                <w:color w:val="auto"/>
              </w:rPr>
            </w:pPr>
          </w:p>
        </w:tc>
        <w:tc>
          <w:tcPr>
            <w:tcW w:w="180" w:type="dxa"/>
            <w:vAlign w:val="bottom"/>
            <w:shd w:val="clear" w:color="auto" w:fill="3465B0"/>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10.15</w:t>
            </w:r>
          </w:p>
        </w:tc>
        <w:tc>
          <w:tcPr>
            <w:tcW w:w="3820" w:type="dxa"/>
            <w:vAlign w:val="bottom"/>
            <w:tcBorders>
              <w:bottom w:val="single" w:sz="8" w:color="3465B0"/>
            </w:tcBorders>
            <w:gridSpan w:val="27"/>
          </w:tcPr>
          <w:p>
            <w:pPr>
              <w:spacing w:after="0" w:line="196" w:lineRule="exact"/>
              <w:rPr>
                <w:rFonts w:ascii="Calibri" w:cs="Calibri" w:eastAsia="Calibri" w:hAnsi="Calibri"/>
                <w:sz w:val="18"/>
                <w:szCs w:val="18"/>
                <w:color w:val="3465B0"/>
                <w:w w:val="97"/>
              </w:rPr>
            </w:pPr>
            <w:hyperlink r:id="rId513">
              <w:r>
                <w:rPr>
                  <w:rFonts w:ascii="Calibri" w:cs="Calibri" w:eastAsia="Calibri" w:hAnsi="Calibri"/>
                  <w:sz w:val="18"/>
                  <w:szCs w:val="18"/>
                  <w:color w:val="3465B0"/>
                  <w:w w:val="97"/>
                </w:rPr>
                <w:t>Second Amendment to Lease, dated as of September</w:t>
              </w:r>
            </w:hyperlink>
          </w:p>
        </w:tc>
        <w:tc>
          <w:tcPr>
            <w:tcW w:w="140" w:type="dxa"/>
            <w:vAlign w:val="bottom"/>
            <w:gridSpan w:val="5"/>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November 5, 2020</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10.3</w:t>
            </w:r>
          </w:p>
        </w:tc>
      </w:tr>
      <w:tr>
        <w:trPr>
          <w:trHeight w:val="196"/>
        </w:trPr>
        <w:tc>
          <w:tcPr>
            <w:tcW w:w="1260" w:type="dxa"/>
            <w:vAlign w:val="bottom"/>
          </w:tcPr>
          <w:p>
            <w:pPr>
              <w:spacing w:after="0"/>
              <w:rPr>
                <w:sz w:val="17"/>
                <w:szCs w:val="17"/>
                <w:color w:val="auto"/>
              </w:rPr>
            </w:pPr>
          </w:p>
        </w:tc>
        <w:tc>
          <w:tcPr>
            <w:tcW w:w="3960" w:type="dxa"/>
            <w:vAlign w:val="bottom"/>
            <w:tcBorders>
              <w:bottom w:val="single" w:sz="8" w:color="3465B0"/>
            </w:tcBorders>
            <w:gridSpan w:val="32"/>
          </w:tcPr>
          <w:p>
            <w:pPr>
              <w:spacing w:after="0" w:line="196" w:lineRule="exact"/>
              <w:rPr>
                <w:rFonts w:ascii="Calibri" w:cs="Calibri" w:eastAsia="Calibri" w:hAnsi="Calibri"/>
                <w:sz w:val="18"/>
                <w:szCs w:val="18"/>
                <w:color w:val="3465B0"/>
                <w:w w:val="99"/>
              </w:rPr>
            </w:pPr>
            <w:hyperlink r:id="rId513">
              <w:r>
                <w:rPr>
                  <w:rFonts w:ascii="Calibri" w:cs="Calibri" w:eastAsia="Calibri" w:hAnsi="Calibri"/>
                  <w:sz w:val="18"/>
                  <w:szCs w:val="18"/>
                  <w:color w:val="3465B0"/>
                  <w:w w:val="99"/>
                </w:rPr>
                <w:t>28, 2020, between Two Canal Park Massachusets, LLC,</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460" w:type="dxa"/>
            <w:vAlign w:val="bottom"/>
            <w:tcBorders>
              <w:bottom w:val="single" w:sz="8" w:color="3465B0"/>
            </w:tcBorders>
            <w:gridSpan w:val="14"/>
          </w:tcPr>
          <w:p>
            <w:pPr>
              <w:spacing w:after="0" w:line="196" w:lineRule="exact"/>
              <w:rPr>
                <w:rFonts w:ascii="Calibri" w:cs="Calibri" w:eastAsia="Calibri" w:hAnsi="Calibri"/>
                <w:sz w:val="18"/>
                <w:szCs w:val="18"/>
                <w:color w:val="3465B0"/>
                <w:w w:val="98"/>
              </w:rPr>
            </w:pPr>
            <w:hyperlink r:id="rId513">
              <w:r>
                <w:rPr>
                  <w:rFonts w:ascii="Calibri" w:cs="Calibri" w:eastAsia="Calibri" w:hAnsi="Calibri"/>
                  <w:sz w:val="18"/>
                  <w:szCs w:val="18"/>
                  <w:color w:val="3465B0"/>
                  <w:w w:val="98"/>
                </w:rPr>
                <w:t>as successor-in-interest to BCSP Cambridge Two</w:t>
              </w:r>
            </w:hyperlink>
          </w:p>
        </w:tc>
        <w:tc>
          <w:tcPr>
            <w:tcW w:w="50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2"/>
          </w:tcPr>
          <w:p>
            <w:pPr>
              <w:spacing w:after="0" w:line="196" w:lineRule="exact"/>
              <w:rPr>
                <w:rFonts w:ascii="Calibri" w:cs="Calibri" w:eastAsia="Calibri" w:hAnsi="Calibri"/>
                <w:sz w:val="18"/>
                <w:szCs w:val="18"/>
                <w:color w:val="3465B0"/>
              </w:rPr>
            </w:pPr>
            <w:hyperlink r:id="rId513">
              <w:r>
                <w:rPr>
                  <w:rFonts w:ascii="Calibri" w:cs="Calibri" w:eastAsia="Calibri" w:hAnsi="Calibri"/>
                  <w:sz w:val="18"/>
                  <w:szCs w:val="18"/>
                  <w:color w:val="3465B0"/>
                </w:rPr>
                <w:t>Property LLC, and the Registrant.</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380" w:type="dxa"/>
            <w:vAlign w:val="bottom"/>
            <w:shd w:val="clear" w:color="auto" w:fill="3465B0"/>
          </w:tcPr>
          <w:p>
            <w:pPr>
              <w:spacing w:after="0" w:line="20" w:lineRule="exact"/>
              <w:rPr>
                <w:sz w:val="1"/>
                <w:szCs w:val="1"/>
                <w:color w:val="auto"/>
              </w:rPr>
            </w:pPr>
          </w:p>
        </w:tc>
        <w:tc>
          <w:tcPr>
            <w:tcW w:w="20" w:type="dxa"/>
            <w:vAlign w:val="bottom"/>
            <w:shd w:val="clear" w:color="auto" w:fill="3465B0"/>
          </w:tcPr>
          <w:p>
            <w:pPr>
              <w:spacing w:after="0" w:line="20" w:lineRule="exact"/>
              <w:rPr>
                <w:sz w:val="1"/>
                <w:szCs w:val="1"/>
                <w:color w:val="auto"/>
              </w:rPr>
            </w:pPr>
          </w:p>
        </w:tc>
        <w:tc>
          <w:tcPr>
            <w:tcW w:w="60" w:type="dxa"/>
            <w:vAlign w:val="bottom"/>
            <w:shd w:val="clear" w:color="auto" w:fill="3465B0"/>
          </w:tcPr>
          <w:p>
            <w:pPr>
              <w:spacing w:after="0" w:line="20" w:lineRule="exact"/>
              <w:rPr>
                <w:sz w:val="1"/>
                <w:szCs w:val="1"/>
                <w:color w:val="auto"/>
              </w:rPr>
            </w:pPr>
          </w:p>
        </w:tc>
        <w:tc>
          <w:tcPr>
            <w:tcW w:w="1160" w:type="dxa"/>
            <w:vAlign w:val="bottom"/>
            <w:gridSpan w:val="2"/>
            <w:shd w:val="clear" w:color="auto" w:fill="3465B0"/>
          </w:tcPr>
          <w:p>
            <w:pPr>
              <w:spacing w:after="0" w:line="20" w:lineRule="exact"/>
              <w:rPr>
                <w:sz w:val="1"/>
                <w:szCs w:val="1"/>
                <w:color w:val="auto"/>
              </w:rPr>
            </w:pPr>
          </w:p>
        </w:tc>
        <w:tc>
          <w:tcPr>
            <w:tcW w:w="320" w:type="dxa"/>
            <w:vAlign w:val="bottom"/>
            <w:gridSpan w:val="2"/>
            <w:shd w:val="clear" w:color="auto" w:fill="3465B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10.16</w:t>
            </w:r>
          </w:p>
        </w:tc>
        <w:tc>
          <w:tcPr>
            <w:tcW w:w="3820" w:type="dxa"/>
            <w:vAlign w:val="bottom"/>
            <w:tcBorders>
              <w:bottom w:val="single" w:sz="8" w:color="3465B0"/>
            </w:tcBorders>
            <w:gridSpan w:val="27"/>
          </w:tcPr>
          <w:p>
            <w:pPr>
              <w:spacing w:after="0" w:line="196" w:lineRule="exact"/>
              <w:rPr>
                <w:rFonts w:ascii="Calibri" w:cs="Calibri" w:eastAsia="Calibri" w:hAnsi="Calibri"/>
                <w:sz w:val="18"/>
                <w:szCs w:val="18"/>
                <w:color w:val="3465B0"/>
              </w:rPr>
            </w:pPr>
            <w:hyperlink r:id="rId514">
              <w:r>
                <w:rPr>
                  <w:rFonts w:ascii="Calibri" w:cs="Calibri" w:eastAsia="Calibri" w:hAnsi="Calibri"/>
                  <w:sz w:val="18"/>
                  <w:szCs w:val="18"/>
                  <w:color w:val="3465B0"/>
                </w:rPr>
                <w:t>Ofce Lease Agreement, dated as of March 11, 2016,</w:t>
              </w:r>
            </w:hyperlink>
          </w:p>
        </w:tc>
        <w:tc>
          <w:tcPr>
            <w:tcW w:w="140" w:type="dxa"/>
            <w:vAlign w:val="bottom"/>
            <w:gridSpan w:val="5"/>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S-1</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333-220495</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15, 2017</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10.9</w:t>
            </w:r>
          </w:p>
        </w:tc>
      </w:tr>
      <w:tr>
        <w:trPr>
          <w:trHeight w:val="196"/>
        </w:trPr>
        <w:tc>
          <w:tcPr>
            <w:tcW w:w="1260" w:type="dxa"/>
            <w:vAlign w:val="bottom"/>
          </w:tcPr>
          <w:p>
            <w:pPr>
              <w:spacing w:after="0"/>
              <w:rPr>
                <w:sz w:val="17"/>
                <w:szCs w:val="17"/>
                <w:color w:val="auto"/>
              </w:rPr>
            </w:pPr>
          </w:p>
        </w:tc>
        <w:tc>
          <w:tcPr>
            <w:tcW w:w="3780" w:type="dxa"/>
            <w:vAlign w:val="bottom"/>
            <w:tcBorders>
              <w:bottom w:val="single" w:sz="8" w:color="3465B0"/>
            </w:tcBorders>
            <w:gridSpan w:val="24"/>
          </w:tcPr>
          <w:p>
            <w:pPr>
              <w:spacing w:after="0" w:line="196" w:lineRule="exact"/>
              <w:rPr>
                <w:rFonts w:ascii="Calibri" w:cs="Calibri" w:eastAsia="Calibri" w:hAnsi="Calibri"/>
                <w:sz w:val="18"/>
                <w:szCs w:val="18"/>
                <w:color w:val="3465B0"/>
                <w:w w:val="98"/>
              </w:rPr>
            </w:pPr>
            <w:hyperlink r:id="rId514">
              <w:r>
                <w:rPr>
                  <w:rFonts w:ascii="Calibri" w:cs="Calibri" w:eastAsia="Calibri" w:hAnsi="Calibri"/>
                  <w:sz w:val="18"/>
                  <w:szCs w:val="18"/>
                  <w:color w:val="3465B0"/>
                  <w:w w:val="98"/>
                </w:rPr>
                <w:t>by and between 55 Cambridge Parkway, LLC and the</w:t>
              </w:r>
            </w:hyperlink>
          </w:p>
        </w:tc>
        <w:tc>
          <w:tcPr>
            <w:tcW w:w="18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80" w:type="dxa"/>
            <w:vAlign w:val="bottom"/>
            <w:tcBorders>
              <w:bottom w:val="single" w:sz="8" w:color="3465B0"/>
            </w:tcBorders>
            <w:gridSpan w:val="2"/>
          </w:tcPr>
          <w:p>
            <w:pPr>
              <w:spacing w:after="0" w:line="196" w:lineRule="exact"/>
              <w:rPr>
                <w:rFonts w:ascii="Calibri" w:cs="Calibri" w:eastAsia="Calibri" w:hAnsi="Calibri"/>
                <w:sz w:val="18"/>
                <w:szCs w:val="18"/>
                <w:color w:val="3465B0"/>
                <w:w w:val="95"/>
              </w:rPr>
            </w:pPr>
            <w:hyperlink r:id="rId514">
              <w:r>
                <w:rPr>
                  <w:rFonts w:ascii="Calibri" w:cs="Calibri" w:eastAsia="Calibri" w:hAnsi="Calibri"/>
                  <w:sz w:val="18"/>
                  <w:szCs w:val="18"/>
                  <w:color w:val="3465B0"/>
                  <w:w w:val="95"/>
                </w:rPr>
                <w:t>Registrant.</w:t>
              </w:r>
            </w:hyperlink>
          </w:p>
        </w:tc>
        <w:tc>
          <w:tcPr>
            <w:tcW w:w="3180" w:type="dxa"/>
            <w:vAlign w:val="bottom"/>
            <w:gridSpan w:val="30"/>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10.17</w:t>
            </w:r>
          </w:p>
        </w:tc>
        <w:tc>
          <w:tcPr>
            <w:tcW w:w="3960" w:type="dxa"/>
            <w:vAlign w:val="bottom"/>
            <w:tcBorders>
              <w:bottom w:val="single" w:sz="8" w:color="3465B0"/>
            </w:tcBorders>
            <w:gridSpan w:val="32"/>
          </w:tcPr>
          <w:p>
            <w:pPr>
              <w:spacing w:after="0" w:line="196" w:lineRule="exact"/>
              <w:rPr>
                <w:rFonts w:ascii="Calibri" w:cs="Calibri" w:eastAsia="Calibri" w:hAnsi="Calibri"/>
                <w:sz w:val="18"/>
                <w:szCs w:val="18"/>
                <w:color w:val="3465B0"/>
                <w:w w:val="97"/>
              </w:rPr>
            </w:pPr>
            <w:hyperlink r:id="rId515">
              <w:r>
                <w:rPr>
                  <w:rFonts w:ascii="Calibri" w:cs="Calibri" w:eastAsia="Calibri" w:hAnsi="Calibri"/>
                  <w:sz w:val="18"/>
                  <w:szCs w:val="18"/>
                  <w:color w:val="3465B0"/>
                  <w:w w:val="97"/>
                </w:rPr>
                <w:t>First Amendment to Lease, dated as of July 30, 2016 by</w:t>
              </w:r>
            </w:hyperlink>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S-1</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333-220495</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15, 2017</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w w:val="97"/>
              </w:rPr>
              <w:t>10.10</w:t>
            </w:r>
          </w:p>
        </w:tc>
      </w:tr>
      <w:tr>
        <w:trPr>
          <w:trHeight w:val="196"/>
        </w:trPr>
        <w:tc>
          <w:tcPr>
            <w:tcW w:w="1260" w:type="dxa"/>
            <w:vAlign w:val="bottom"/>
          </w:tcPr>
          <w:p>
            <w:pPr>
              <w:spacing w:after="0"/>
              <w:rPr>
                <w:sz w:val="17"/>
                <w:szCs w:val="17"/>
                <w:color w:val="auto"/>
              </w:rPr>
            </w:pPr>
          </w:p>
        </w:tc>
        <w:tc>
          <w:tcPr>
            <w:tcW w:w="3560" w:type="dxa"/>
            <w:vAlign w:val="bottom"/>
            <w:tcBorders>
              <w:bottom w:val="single" w:sz="8" w:color="3465B0"/>
            </w:tcBorders>
            <w:gridSpan w:val="17"/>
          </w:tcPr>
          <w:p>
            <w:pPr>
              <w:spacing w:after="0" w:line="196" w:lineRule="exact"/>
              <w:rPr>
                <w:rFonts w:ascii="Calibri" w:cs="Calibri" w:eastAsia="Calibri" w:hAnsi="Calibri"/>
                <w:sz w:val="18"/>
                <w:szCs w:val="18"/>
                <w:color w:val="3465B0"/>
                <w:w w:val="97"/>
              </w:rPr>
            </w:pPr>
            <w:hyperlink r:id="rId515">
              <w:r>
                <w:rPr>
                  <w:rFonts w:ascii="Calibri" w:cs="Calibri" w:eastAsia="Calibri" w:hAnsi="Calibri"/>
                  <w:sz w:val="18"/>
                  <w:szCs w:val="18"/>
                  <w:color w:val="3465B0"/>
                  <w:w w:val="97"/>
                </w:rPr>
                <w:t>and between 55 Cambridge Parkway, LLC and the</w:t>
              </w:r>
            </w:hyperlink>
          </w:p>
        </w:tc>
        <w:tc>
          <w:tcPr>
            <w:tcW w:w="40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80" w:type="dxa"/>
            <w:vAlign w:val="bottom"/>
            <w:tcBorders>
              <w:bottom w:val="single" w:sz="8" w:color="3465B0"/>
            </w:tcBorders>
            <w:gridSpan w:val="2"/>
          </w:tcPr>
          <w:p>
            <w:pPr>
              <w:spacing w:after="0" w:line="196" w:lineRule="exact"/>
              <w:rPr>
                <w:rFonts w:ascii="Calibri" w:cs="Calibri" w:eastAsia="Calibri" w:hAnsi="Calibri"/>
                <w:sz w:val="18"/>
                <w:szCs w:val="18"/>
                <w:color w:val="3465B0"/>
                <w:w w:val="95"/>
              </w:rPr>
            </w:pPr>
            <w:hyperlink r:id="rId515">
              <w:r>
                <w:rPr>
                  <w:rFonts w:ascii="Calibri" w:cs="Calibri" w:eastAsia="Calibri" w:hAnsi="Calibri"/>
                  <w:sz w:val="18"/>
                  <w:szCs w:val="18"/>
                  <w:color w:val="3465B0"/>
                  <w:w w:val="95"/>
                </w:rPr>
                <w:t>Registrant.</w:t>
              </w:r>
            </w:hyperlink>
          </w:p>
        </w:tc>
        <w:tc>
          <w:tcPr>
            <w:tcW w:w="3180" w:type="dxa"/>
            <w:vAlign w:val="bottom"/>
            <w:gridSpan w:val="30"/>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10.18</w:t>
            </w:r>
          </w:p>
        </w:tc>
        <w:tc>
          <w:tcPr>
            <w:tcW w:w="3800" w:type="dxa"/>
            <w:vAlign w:val="bottom"/>
            <w:tcBorders>
              <w:bottom w:val="single" w:sz="8" w:color="3465B0"/>
            </w:tcBorders>
            <w:gridSpan w:val="25"/>
          </w:tcPr>
          <w:p>
            <w:pPr>
              <w:spacing w:after="0" w:line="196" w:lineRule="exact"/>
              <w:rPr>
                <w:rFonts w:ascii="Calibri" w:cs="Calibri" w:eastAsia="Calibri" w:hAnsi="Calibri"/>
                <w:sz w:val="18"/>
                <w:szCs w:val="18"/>
                <w:color w:val="3465B0"/>
                <w:w w:val="98"/>
              </w:rPr>
            </w:pPr>
            <w:hyperlink r:id="rId516">
              <w:r>
                <w:rPr>
                  <w:rFonts w:ascii="Calibri" w:cs="Calibri" w:eastAsia="Calibri" w:hAnsi="Calibri"/>
                  <w:sz w:val="18"/>
                  <w:szCs w:val="18"/>
                  <w:color w:val="3465B0"/>
                  <w:w w:val="98"/>
                </w:rPr>
                <w:t>Second Amendment to Lease, dated as of August 30,</w:t>
              </w:r>
            </w:hyperlink>
          </w:p>
        </w:tc>
        <w:tc>
          <w:tcPr>
            <w:tcW w:w="160" w:type="dxa"/>
            <w:vAlign w:val="bottom"/>
            <w:gridSpan w:val="7"/>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November 5, 2019</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260" w:type="dxa"/>
            <w:vAlign w:val="bottom"/>
          </w:tcPr>
          <w:p>
            <w:pPr>
              <w:spacing w:after="0"/>
              <w:rPr>
                <w:sz w:val="17"/>
                <w:szCs w:val="17"/>
                <w:color w:val="auto"/>
              </w:rPr>
            </w:pPr>
          </w:p>
        </w:tc>
        <w:tc>
          <w:tcPr>
            <w:tcW w:w="3880" w:type="dxa"/>
            <w:vAlign w:val="bottom"/>
            <w:tcBorders>
              <w:bottom w:val="single" w:sz="8" w:color="3465B0"/>
            </w:tcBorders>
            <w:gridSpan w:val="29"/>
          </w:tcPr>
          <w:p>
            <w:pPr>
              <w:spacing w:after="0" w:line="196" w:lineRule="exact"/>
              <w:rPr>
                <w:rFonts w:ascii="Calibri" w:cs="Calibri" w:eastAsia="Calibri" w:hAnsi="Calibri"/>
                <w:sz w:val="18"/>
                <w:szCs w:val="18"/>
                <w:color w:val="3465B0"/>
                <w:w w:val="97"/>
              </w:rPr>
            </w:pPr>
            <w:hyperlink r:id="rId516">
              <w:r>
                <w:rPr>
                  <w:rFonts w:ascii="Calibri" w:cs="Calibri" w:eastAsia="Calibri" w:hAnsi="Calibri"/>
                  <w:sz w:val="18"/>
                  <w:szCs w:val="18"/>
                  <w:color w:val="3465B0"/>
                  <w:w w:val="97"/>
                </w:rPr>
                <w:t>2019 by and between 55 Cambridge Parkway, LLC and</w:t>
              </w:r>
            </w:hyperlink>
          </w:p>
        </w:tc>
        <w:tc>
          <w:tcPr>
            <w:tcW w:w="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2"/>
          </w:tcPr>
          <w:p>
            <w:pPr>
              <w:spacing w:after="0" w:line="196" w:lineRule="exact"/>
              <w:rPr>
                <w:rFonts w:ascii="Calibri" w:cs="Calibri" w:eastAsia="Calibri" w:hAnsi="Calibri"/>
                <w:sz w:val="18"/>
                <w:szCs w:val="18"/>
                <w:color w:val="3465B0"/>
              </w:rPr>
            </w:pPr>
            <w:hyperlink r:id="rId516">
              <w:r>
                <w:rPr>
                  <w:rFonts w:ascii="Calibri" w:cs="Calibri" w:eastAsia="Calibri" w:hAnsi="Calibri"/>
                  <w:sz w:val="18"/>
                  <w:szCs w:val="18"/>
                  <w:color w:val="3465B0"/>
                </w:rPr>
                <w:t>the Registrant.</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400" w:type="dxa"/>
            <w:vAlign w:val="bottom"/>
            <w:gridSpan w:val="2"/>
            <w:shd w:val="clear" w:color="auto" w:fill="3465B0"/>
          </w:tcPr>
          <w:p>
            <w:pPr>
              <w:spacing w:after="0" w:line="20" w:lineRule="exact"/>
              <w:rPr>
                <w:sz w:val="1"/>
                <w:szCs w:val="1"/>
                <w:color w:val="auto"/>
              </w:rPr>
            </w:pPr>
          </w:p>
        </w:tc>
        <w:tc>
          <w:tcPr>
            <w:tcW w:w="60" w:type="dxa"/>
            <w:vAlign w:val="bottom"/>
            <w:shd w:val="clear" w:color="auto" w:fill="3465B0"/>
          </w:tcPr>
          <w:p>
            <w:pPr>
              <w:spacing w:after="0" w:line="20" w:lineRule="exact"/>
              <w:rPr>
                <w:sz w:val="1"/>
                <w:szCs w:val="1"/>
                <w:color w:val="auto"/>
              </w:rPr>
            </w:pPr>
          </w:p>
        </w:tc>
        <w:tc>
          <w:tcPr>
            <w:tcW w:w="180" w:type="dxa"/>
            <w:vAlign w:val="bottom"/>
            <w:shd w:val="clear" w:color="auto" w:fill="3465B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10.19</w:t>
            </w:r>
          </w:p>
        </w:tc>
        <w:tc>
          <w:tcPr>
            <w:tcW w:w="3760" w:type="dxa"/>
            <w:vAlign w:val="bottom"/>
            <w:tcBorders>
              <w:bottom w:val="single" w:sz="8" w:color="3465B0"/>
            </w:tcBorders>
            <w:gridSpan w:val="23"/>
          </w:tcPr>
          <w:p>
            <w:pPr>
              <w:spacing w:after="0" w:line="196" w:lineRule="exact"/>
              <w:rPr>
                <w:rFonts w:ascii="Calibri" w:cs="Calibri" w:eastAsia="Calibri" w:hAnsi="Calibri"/>
                <w:sz w:val="18"/>
                <w:szCs w:val="18"/>
                <w:color w:val="3465B0"/>
                <w:w w:val="97"/>
              </w:rPr>
            </w:pPr>
            <w:hyperlink r:id="rId517">
              <w:r>
                <w:rPr>
                  <w:rFonts w:ascii="Calibri" w:cs="Calibri" w:eastAsia="Calibri" w:hAnsi="Calibri"/>
                  <w:sz w:val="18"/>
                  <w:szCs w:val="18"/>
                  <w:color w:val="3465B0"/>
                  <w:w w:val="97"/>
                </w:rPr>
                <w:t>Third Amendment to Lease, dated as of July 1, 2020,</w:t>
              </w:r>
            </w:hyperlink>
          </w:p>
        </w:tc>
        <w:tc>
          <w:tcPr>
            <w:tcW w:w="200" w:type="dxa"/>
            <w:vAlign w:val="bottom"/>
            <w:gridSpan w:val="9"/>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November 5, 2020</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260" w:type="dxa"/>
            <w:vAlign w:val="bottom"/>
          </w:tcPr>
          <w:p>
            <w:pPr>
              <w:spacing w:after="0"/>
              <w:rPr>
                <w:sz w:val="17"/>
                <w:szCs w:val="17"/>
                <w:color w:val="auto"/>
              </w:rPr>
            </w:pPr>
          </w:p>
        </w:tc>
        <w:tc>
          <w:tcPr>
            <w:tcW w:w="3260" w:type="dxa"/>
            <w:vAlign w:val="bottom"/>
            <w:tcBorders>
              <w:bottom w:val="single" w:sz="8" w:color="3465B0"/>
            </w:tcBorders>
            <w:gridSpan w:val="12"/>
          </w:tcPr>
          <w:p>
            <w:pPr>
              <w:spacing w:after="0" w:line="196" w:lineRule="exact"/>
              <w:rPr>
                <w:rFonts w:ascii="Calibri" w:cs="Calibri" w:eastAsia="Calibri" w:hAnsi="Calibri"/>
                <w:sz w:val="18"/>
                <w:szCs w:val="18"/>
                <w:color w:val="3465B0"/>
                <w:w w:val="98"/>
              </w:rPr>
            </w:pPr>
            <w:hyperlink r:id="rId517">
              <w:r>
                <w:rPr>
                  <w:rFonts w:ascii="Calibri" w:cs="Calibri" w:eastAsia="Calibri" w:hAnsi="Calibri"/>
                  <w:sz w:val="18"/>
                  <w:szCs w:val="18"/>
                  <w:color w:val="3465B0"/>
                  <w:w w:val="98"/>
                </w:rPr>
                <w:t>between 55 Cambridge Parkway, LLC and the</w:t>
              </w:r>
            </w:hyperlink>
          </w:p>
        </w:tc>
        <w:tc>
          <w:tcPr>
            <w:tcW w:w="700" w:type="dxa"/>
            <w:vAlign w:val="bottom"/>
            <w:gridSpan w:val="20"/>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80" w:type="dxa"/>
            <w:vAlign w:val="bottom"/>
            <w:tcBorders>
              <w:bottom w:val="single" w:sz="8" w:color="3465B0"/>
            </w:tcBorders>
            <w:gridSpan w:val="2"/>
          </w:tcPr>
          <w:p>
            <w:pPr>
              <w:spacing w:after="0" w:line="196" w:lineRule="exact"/>
              <w:rPr>
                <w:rFonts w:ascii="Calibri" w:cs="Calibri" w:eastAsia="Calibri" w:hAnsi="Calibri"/>
                <w:sz w:val="18"/>
                <w:szCs w:val="18"/>
                <w:color w:val="3465B0"/>
                <w:w w:val="95"/>
              </w:rPr>
            </w:pPr>
            <w:hyperlink r:id="rId517">
              <w:r>
                <w:rPr>
                  <w:rFonts w:ascii="Calibri" w:cs="Calibri" w:eastAsia="Calibri" w:hAnsi="Calibri"/>
                  <w:sz w:val="18"/>
                  <w:szCs w:val="18"/>
                  <w:color w:val="3465B0"/>
                  <w:w w:val="95"/>
                </w:rPr>
                <w:t>Registrant.</w:t>
              </w:r>
            </w:hyperlink>
          </w:p>
        </w:tc>
        <w:tc>
          <w:tcPr>
            <w:tcW w:w="3180" w:type="dxa"/>
            <w:vAlign w:val="bottom"/>
            <w:gridSpan w:val="30"/>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10.20</w:t>
            </w:r>
          </w:p>
        </w:tc>
        <w:tc>
          <w:tcPr>
            <w:tcW w:w="3960" w:type="dxa"/>
            <w:vAlign w:val="bottom"/>
            <w:tcBorders>
              <w:bottom w:val="single" w:sz="8" w:color="3465B0"/>
            </w:tcBorders>
            <w:gridSpan w:val="32"/>
          </w:tcPr>
          <w:p>
            <w:pPr>
              <w:spacing w:after="0" w:line="196" w:lineRule="exact"/>
              <w:rPr>
                <w:rFonts w:ascii="Calibri" w:cs="Calibri" w:eastAsia="Calibri" w:hAnsi="Calibri"/>
                <w:sz w:val="18"/>
                <w:szCs w:val="18"/>
                <w:color w:val="3465B0"/>
                <w:w w:val="97"/>
              </w:rPr>
            </w:pPr>
            <w:hyperlink r:id="rId518">
              <w:r>
                <w:rPr>
                  <w:rFonts w:ascii="Calibri" w:cs="Calibri" w:eastAsia="Calibri" w:hAnsi="Calibri"/>
                  <w:sz w:val="18"/>
                  <w:szCs w:val="18"/>
                  <w:color w:val="3465B0"/>
                  <w:w w:val="97"/>
                </w:rPr>
                <w:t>Fourth Amendment to Lease, dated as of July 11, 2024,</w:t>
              </w:r>
            </w:hyperlink>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November 7, 2024</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260" w:type="dxa"/>
            <w:vAlign w:val="bottom"/>
          </w:tcPr>
          <w:p>
            <w:pPr>
              <w:spacing w:after="0"/>
              <w:rPr>
                <w:sz w:val="17"/>
                <w:szCs w:val="17"/>
                <w:color w:val="auto"/>
              </w:rPr>
            </w:pPr>
          </w:p>
        </w:tc>
        <w:tc>
          <w:tcPr>
            <w:tcW w:w="3260" w:type="dxa"/>
            <w:vAlign w:val="bottom"/>
            <w:tcBorders>
              <w:bottom w:val="single" w:sz="8" w:color="3465B0"/>
            </w:tcBorders>
            <w:gridSpan w:val="12"/>
          </w:tcPr>
          <w:p>
            <w:pPr>
              <w:spacing w:after="0" w:line="196" w:lineRule="exact"/>
              <w:rPr>
                <w:rFonts w:ascii="Calibri" w:cs="Calibri" w:eastAsia="Calibri" w:hAnsi="Calibri"/>
                <w:sz w:val="18"/>
                <w:szCs w:val="18"/>
                <w:color w:val="3465B0"/>
                <w:w w:val="98"/>
              </w:rPr>
            </w:pPr>
            <w:hyperlink r:id="rId518">
              <w:r>
                <w:rPr>
                  <w:rFonts w:ascii="Calibri" w:cs="Calibri" w:eastAsia="Calibri" w:hAnsi="Calibri"/>
                  <w:sz w:val="18"/>
                  <w:szCs w:val="18"/>
                  <w:color w:val="3465B0"/>
                  <w:w w:val="98"/>
                </w:rPr>
                <w:t>between 55 Cambridge Parkway, LLC and the</w:t>
              </w:r>
            </w:hyperlink>
          </w:p>
        </w:tc>
        <w:tc>
          <w:tcPr>
            <w:tcW w:w="700" w:type="dxa"/>
            <w:vAlign w:val="bottom"/>
            <w:gridSpan w:val="20"/>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60" w:type="dxa"/>
            <w:vAlign w:val="bottom"/>
            <w:tcBorders>
              <w:bottom w:val="single" w:sz="8" w:color="3465B0"/>
            </w:tcBorders>
            <w:gridSpan w:val="4"/>
          </w:tcPr>
          <w:p>
            <w:pPr>
              <w:spacing w:after="0" w:line="196" w:lineRule="exact"/>
              <w:rPr>
                <w:rFonts w:ascii="Calibri" w:cs="Calibri" w:eastAsia="Calibri" w:hAnsi="Calibri"/>
                <w:sz w:val="18"/>
                <w:szCs w:val="18"/>
                <w:color w:val="3465B0"/>
                <w:w w:val="95"/>
              </w:rPr>
            </w:pPr>
            <w:hyperlink r:id="rId518">
              <w:r>
                <w:rPr>
                  <w:rFonts w:ascii="Calibri" w:cs="Calibri" w:eastAsia="Calibri" w:hAnsi="Calibri"/>
                  <w:sz w:val="18"/>
                  <w:szCs w:val="18"/>
                  <w:color w:val="3465B0"/>
                  <w:w w:val="95"/>
                </w:rPr>
                <w:t>Registrant.*</w:t>
              </w:r>
            </w:hyperlink>
          </w:p>
        </w:tc>
        <w:tc>
          <w:tcPr>
            <w:tcW w:w="3100" w:type="dxa"/>
            <w:vAlign w:val="bottom"/>
            <w:gridSpan w:val="28"/>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10.21</w:t>
            </w:r>
          </w:p>
        </w:tc>
        <w:tc>
          <w:tcPr>
            <w:tcW w:w="3740" w:type="dxa"/>
            <w:vAlign w:val="bottom"/>
            <w:tcBorders>
              <w:bottom w:val="single" w:sz="8" w:color="3465B0"/>
            </w:tcBorders>
            <w:gridSpan w:val="22"/>
          </w:tcPr>
          <w:p>
            <w:pPr>
              <w:spacing w:after="0" w:line="196" w:lineRule="exact"/>
              <w:rPr>
                <w:rFonts w:ascii="Calibri" w:cs="Calibri" w:eastAsia="Calibri" w:hAnsi="Calibri"/>
                <w:sz w:val="18"/>
                <w:szCs w:val="18"/>
                <w:color w:val="3465B0"/>
                <w:w w:val="97"/>
              </w:rPr>
            </w:pPr>
            <w:hyperlink r:id="rId519">
              <w:r>
                <w:rPr>
                  <w:rFonts w:ascii="Calibri" w:cs="Calibri" w:eastAsia="Calibri" w:hAnsi="Calibri"/>
                  <w:sz w:val="18"/>
                  <w:szCs w:val="18"/>
                  <w:color w:val="3465B0"/>
                  <w:w w:val="97"/>
                </w:rPr>
                <w:t>Lease Agreement, dated as of June 19, 2018, by and</w:t>
              </w:r>
            </w:hyperlink>
          </w:p>
        </w:tc>
        <w:tc>
          <w:tcPr>
            <w:tcW w:w="220" w:type="dxa"/>
            <w:vAlign w:val="bottom"/>
            <w:gridSpan w:val="10"/>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8-K</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June 20, 2018</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260" w:type="dxa"/>
            <w:vAlign w:val="bottom"/>
          </w:tcPr>
          <w:p>
            <w:pPr>
              <w:spacing w:after="0"/>
              <w:rPr>
                <w:sz w:val="17"/>
                <w:szCs w:val="17"/>
                <w:color w:val="auto"/>
              </w:rPr>
            </w:pPr>
          </w:p>
        </w:tc>
        <w:tc>
          <w:tcPr>
            <w:tcW w:w="3960" w:type="dxa"/>
            <w:vAlign w:val="bottom"/>
            <w:gridSpan w:val="32"/>
          </w:tcPr>
          <w:p>
            <w:pPr>
              <w:spacing w:after="0" w:line="196" w:lineRule="exact"/>
              <w:rPr>
                <w:rFonts w:ascii="Calibri" w:cs="Calibri" w:eastAsia="Calibri" w:hAnsi="Calibri"/>
                <w:sz w:val="18"/>
                <w:szCs w:val="18"/>
                <w:color w:val="3465B0"/>
              </w:rPr>
            </w:pPr>
            <w:hyperlink r:id="rId519">
              <w:r>
                <w:rPr>
                  <w:rFonts w:ascii="Calibri" w:cs="Calibri" w:eastAsia="Calibri" w:hAnsi="Calibri"/>
                  <w:sz w:val="18"/>
                  <w:szCs w:val="18"/>
                  <w:color w:val="3465B0"/>
                </w:rPr>
                <w:t>between US Parcel A, LLC and the Registrant.</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400" w:type="dxa"/>
            <w:vAlign w:val="bottom"/>
            <w:gridSpan w:val="2"/>
            <w:shd w:val="clear" w:color="auto" w:fill="3465B0"/>
          </w:tcPr>
          <w:p>
            <w:pPr>
              <w:spacing w:after="0" w:line="20" w:lineRule="exact"/>
              <w:rPr>
                <w:sz w:val="1"/>
                <w:szCs w:val="1"/>
                <w:color w:val="auto"/>
              </w:rPr>
            </w:pPr>
          </w:p>
        </w:tc>
        <w:tc>
          <w:tcPr>
            <w:tcW w:w="1220" w:type="dxa"/>
            <w:vAlign w:val="bottom"/>
            <w:gridSpan w:val="3"/>
            <w:shd w:val="clear" w:color="auto" w:fill="3465B0"/>
          </w:tcPr>
          <w:p>
            <w:pPr>
              <w:spacing w:after="0" w:line="20" w:lineRule="exact"/>
              <w:rPr>
                <w:sz w:val="1"/>
                <w:szCs w:val="1"/>
                <w:color w:val="auto"/>
              </w:rPr>
            </w:pPr>
          </w:p>
        </w:tc>
        <w:tc>
          <w:tcPr>
            <w:tcW w:w="1180" w:type="dxa"/>
            <w:vAlign w:val="bottom"/>
            <w:gridSpan w:val="5"/>
            <w:shd w:val="clear" w:color="auto" w:fill="3465B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10.22</w:t>
            </w:r>
          </w:p>
        </w:tc>
        <w:tc>
          <w:tcPr>
            <w:tcW w:w="3680" w:type="dxa"/>
            <w:vAlign w:val="bottom"/>
            <w:tcBorders>
              <w:bottom w:val="single" w:sz="8" w:color="3465B0"/>
            </w:tcBorders>
            <w:gridSpan w:val="20"/>
          </w:tcPr>
          <w:p>
            <w:pPr>
              <w:spacing w:after="0" w:line="196" w:lineRule="exact"/>
              <w:rPr>
                <w:rFonts w:ascii="Calibri" w:cs="Calibri" w:eastAsia="Calibri" w:hAnsi="Calibri"/>
                <w:sz w:val="18"/>
                <w:szCs w:val="18"/>
                <w:color w:val="3465B0"/>
                <w:w w:val="97"/>
              </w:rPr>
            </w:pPr>
            <w:hyperlink r:id="rId520">
              <w:r>
                <w:rPr>
                  <w:rFonts w:ascii="Calibri" w:cs="Calibri" w:eastAsia="Calibri" w:hAnsi="Calibri"/>
                  <w:sz w:val="18"/>
                  <w:szCs w:val="18"/>
                  <w:color w:val="3465B0"/>
                  <w:w w:val="97"/>
                </w:rPr>
                <w:t>Indenture of Lease between S&amp;A P-12 Property LLC</w:t>
              </w:r>
            </w:hyperlink>
          </w:p>
        </w:tc>
        <w:tc>
          <w:tcPr>
            <w:tcW w:w="280" w:type="dxa"/>
            <w:vAlign w:val="bottom"/>
            <w:gridSpan w:val="12"/>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w w:val="99"/>
              </w:rPr>
              <w:t>8-K</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December 20, 2019</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260" w:type="dxa"/>
            <w:vAlign w:val="bottom"/>
          </w:tcPr>
          <w:p>
            <w:pPr>
              <w:spacing w:after="0"/>
              <w:rPr>
                <w:sz w:val="17"/>
                <w:szCs w:val="17"/>
                <w:color w:val="auto"/>
              </w:rPr>
            </w:pPr>
          </w:p>
        </w:tc>
        <w:tc>
          <w:tcPr>
            <w:tcW w:w="3960" w:type="dxa"/>
            <w:vAlign w:val="bottom"/>
            <w:gridSpan w:val="32"/>
          </w:tcPr>
          <w:p>
            <w:pPr>
              <w:spacing w:after="0" w:line="196" w:lineRule="exact"/>
              <w:rPr>
                <w:rFonts w:ascii="Calibri" w:cs="Calibri" w:eastAsia="Calibri" w:hAnsi="Calibri"/>
                <w:sz w:val="18"/>
                <w:szCs w:val="18"/>
                <w:color w:val="3465B0"/>
              </w:rPr>
            </w:pPr>
            <w:hyperlink r:id="rId520">
              <w:r>
                <w:rPr>
                  <w:rFonts w:ascii="Calibri" w:cs="Calibri" w:eastAsia="Calibri" w:hAnsi="Calibri"/>
                  <w:sz w:val="18"/>
                  <w:szCs w:val="18"/>
                  <w:color w:val="3465B0"/>
                </w:rPr>
                <w:t>and the Registrant, dated as of December 19, 2019.</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3465B0"/>
          </w:tcPr>
          <w:p>
            <w:pPr>
              <w:spacing w:after="0" w:line="20" w:lineRule="exact"/>
              <w:rPr>
                <w:sz w:val="1"/>
                <w:szCs w:val="1"/>
                <w:color w:val="auto"/>
              </w:rPr>
            </w:pPr>
          </w:p>
        </w:tc>
        <w:tc>
          <w:tcPr>
            <w:tcW w:w="400" w:type="dxa"/>
            <w:vAlign w:val="bottom"/>
            <w:gridSpan w:val="2"/>
            <w:shd w:val="clear" w:color="auto" w:fill="3465B0"/>
          </w:tcPr>
          <w:p>
            <w:pPr>
              <w:spacing w:after="0" w:line="20" w:lineRule="exact"/>
              <w:rPr>
                <w:sz w:val="1"/>
                <w:szCs w:val="1"/>
                <w:color w:val="auto"/>
              </w:rPr>
            </w:pPr>
          </w:p>
        </w:tc>
        <w:tc>
          <w:tcPr>
            <w:tcW w:w="1220" w:type="dxa"/>
            <w:vAlign w:val="bottom"/>
            <w:gridSpan w:val="3"/>
            <w:shd w:val="clear" w:color="auto" w:fill="3465B0"/>
          </w:tcPr>
          <w:p>
            <w:pPr>
              <w:spacing w:after="0" w:line="20" w:lineRule="exact"/>
              <w:rPr>
                <w:sz w:val="1"/>
                <w:szCs w:val="1"/>
                <w:color w:val="auto"/>
              </w:rPr>
            </w:pPr>
          </w:p>
        </w:tc>
        <w:tc>
          <w:tcPr>
            <w:tcW w:w="1480" w:type="dxa"/>
            <w:vAlign w:val="bottom"/>
            <w:gridSpan w:val="9"/>
            <w:shd w:val="clear" w:color="auto" w:fill="3465B0"/>
          </w:tcPr>
          <w:p>
            <w:pPr>
              <w:spacing w:after="0" w:line="20" w:lineRule="exact"/>
              <w:rPr>
                <w:sz w:val="1"/>
                <w:szCs w:val="1"/>
                <w:color w:val="auto"/>
              </w:rPr>
            </w:pPr>
          </w:p>
        </w:tc>
        <w:tc>
          <w:tcPr>
            <w:tcW w:w="40" w:type="dxa"/>
            <w:vAlign w:val="bottom"/>
            <w:shd w:val="clear" w:color="auto" w:fill="3465B0"/>
          </w:tcPr>
          <w:p>
            <w:pPr>
              <w:spacing w:after="0" w:line="20" w:lineRule="exact"/>
              <w:rPr>
                <w:sz w:val="1"/>
                <w:szCs w:val="1"/>
                <w:color w:val="auto"/>
              </w:rPr>
            </w:pPr>
          </w:p>
        </w:tc>
        <w:tc>
          <w:tcPr>
            <w:tcW w:w="60" w:type="dxa"/>
            <w:vAlign w:val="bottom"/>
            <w:gridSpan w:val="2"/>
            <w:shd w:val="clear" w:color="auto" w:fill="3465B0"/>
          </w:tcPr>
          <w:p>
            <w:pPr>
              <w:spacing w:after="0" w:line="20" w:lineRule="exact"/>
              <w:rPr>
                <w:sz w:val="1"/>
                <w:szCs w:val="1"/>
                <w:color w:val="auto"/>
              </w:rPr>
            </w:pPr>
          </w:p>
        </w:tc>
        <w:tc>
          <w:tcPr>
            <w:tcW w:w="60" w:type="dxa"/>
            <w:vAlign w:val="bottom"/>
            <w:tcBorders>
              <w:right w:val="single" w:sz="8" w:color="3465B0"/>
            </w:tcBorders>
            <w:shd w:val="clear" w:color="auto" w:fill="3465B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10.23</w:t>
            </w:r>
          </w:p>
        </w:tc>
        <w:tc>
          <w:tcPr>
            <w:tcW w:w="3940" w:type="dxa"/>
            <w:vAlign w:val="bottom"/>
            <w:tcBorders>
              <w:bottom w:val="single" w:sz="8" w:color="3465B0"/>
            </w:tcBorders>
            <w:gridSpan w:val="31"/>
          </w:tcPr>
          <w:p>
            <w:pPr>
              <w:spacing w:after="0" w:line="196" w:lineRule="exact"/>
              <w:rPr>
                <w:rFonts w:ascii="Calibri" w:cs="Calibri" w:eastAsia="Calibri" w:hAnsi="Calibri"/>
                <w:sz w:val="18"/>
                <w:szCs w:val="18"/>
                <w:color w:val="3465B0"/>
                <w:w w:val="97"/>
              </w:rPr>
            </w:pPr>
            <w:hyperlink r:id="rId521">
              <w:r>
                <w:rPr>
                  <w:rFonts w:ascii="Calibri" w:cs="Calibri" w:eastAsia="Calibri" w:hAnsi="Calibri"/>
                  <w:sz w:val="18"/>
                  <w:szCs w:val="18"/>
                  <w:color w:val="3465B0"/>
                  <w:w w:val="97"/>
                </w:rPr>
                <w:t>First Amendment to Lease between S&amp;A P-12 Property</w:t>
              </w:r>
            </w:hyperlink>
          </w:p>
        </w:tc>
        <w:tc>
          <w:tcPr>
            <w:tcW w:w="2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August 6, 2020</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10.3</w:t>
            </w:r>
          </w:p>
        </w:tc>
      </w:tr>
      <w:tr>
        <w:trPr>
          <w:trHeight w:val="196"/>
        </w:trPr>
        <w:tc>
          <w:tcPr>
            <w:tcW w:w="1260" w:type="dxa"/>
            <w:vAlign w:val="bottom"/>
          </w:tcPr>
          <w:p>
            <w:pPr>
              <w:spacing w:after="0"/>
              <w:rPr>
                <w:sz w:val="17"/>
                <w:szCs w:val="17"/>
                <w:color w:val="auto"/>
              </w:rPr>
            </w:pPr>
          </w:p>
        </w:tc>
        <w:tc>
          <w:tcPr>
            <w:tcW w:w="3540" w:type="dxa"/>
            <w:vAlign w:val="bottom"/>
            <w:tcBorders>
              <w:bottom w:val="single" w:sz="8" w:color="3465B0"/>
            </w:tcBorders>
            <w:gridSpan w:val="16"/>
          </w:tcPr>
          <w:p>
            <w:pPr>
              <w:spacing w:after="0" w:line="196" w:lineRule="exact"/>
              <w:rPr>
                <w:rFonts w:ascii="Calibri" w:cs="Calibri" w:eastAsia="Calibri" w:hAnsi="Calibri"/>
                <w:sz w:val="18"/>
                <w:szCs w:val="18"/>
                <w:color w:val="3465B0"/>
                <w:w w:val="96"/>
              </w:rPr>
            </w:pPr>
            <w:hyperlink r:id="rId521">
              <w:r>
                <w:rPr>
                  <w:rFonts w:ascii="Calibri" w:cs="Calibri" w:eastAsia="Calibri" w:hAnsi="Calibri"/>
                  <w:sz w:val="18"/>
                  <w:szCs w:val="18"/>
                  <w:color w:val="3465B0"/>
                  <w:w w:val="96"/>
                </w:rPr>
                <w:t>LLC and the Registrant, dated as of June 12, 2020.</w:t>
              </w:r>
            </w:hyperlink>
          </w:p>
        </w:tc>
        <w:tc>
          <w:tcPr>
            <w:tcW w:w="420" w:type="dxa"/>
            <w:vAlign w:val="bottom"/>
            <w:gridSpan w:val="16"/>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10.24</w:t>
            </w:r>
          </w:p>
        </w:tc>
        <w:tc>
          <w:tcPr>
            <w:tcW w:w="3500" w:type="dxa"/>
            <w:vAlign w:val="bottom"/>
            <w:tcBorders>
              <w:bottom w:val="single" w:sz="8" w:color="3465B0"/>
            </w:tcBorders>
            <w:gridSpan w:val="15"/>
          </w:tcPr>
          <w:p>
            <w:pPr>
              <w:spacing w:after="0" w:line="196" w:lineRule="exact"/>
              <w:rPr>
                <w:rFonts w:ascii="Calibri" w:cs="Calibri" w:eastAsia="Calibri" w:hAnsi="Calibri"/>
                <w:sz w:val="18"/>
                <w:szCs w:val="18"/>
                <w:color w:val="3465B0"/>
                <w:w w:val="99"/>
              </w:rPr>
            </w:pPr>
            <w:hyperlink r:id="rId522">
              <w:r>
                <w:rPr>
                  <w:rFonts w:ascii="Calibri" w:cs="Calibri" w:eastAsia="Calibri" w:hAnsi="Calibri"/>
                  <w:sz w:val="18"/>
                  <w:szCs w:val="18"/>
                  <w:color w:val="3465B0"/>
                  <w:w w:val="99"/>
                </w:rPr>
                <w:t>Leter Agreement regarding Lease between P-12</w:t>
              </w:r>
            </w:hyperlink>
          </w:p>
        </w:tc>
        <w:tc>
          <w:tcPr>
            <w:tcW w:w="460" w:type="dxa"/>
            <w:vAlign w:val="bottom"/>
            <w:gridSpan w:val="17"/>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May 9, 2024</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10.2</w:t>
            </w:r>
          </w:p>
        </w:tc>
      </w:tr>
      <w:tr>
        <w:trPr>
          <w:trHeight w:val="196"/>
        </w:trPr>
        <w:tc>
          <w:tcPr>
            <w:tcW w:w="1260" w:type="dxa"/>
            <w:vAlign w:val="bottom"/>
          </w:tcPr>
          <w:p>
            <w:pPr>
              <w:spacing w:after="0"/>
              <w:rPr>
                <w:sz w:val="17"/>
                <w:szCs w:val="17"/>
                <w:color w:val="auto"/>
              </w:rPr>
            </w:pPr>
          </w:p>
        </w:tc>
        <w:tc>
          <w:tcPr>
            <w:tcW w:w="3660" w:type="dxa"/>
            <w:vAlign w:val="bottom"/>
            <w:tcBorders>
              <w:bottom w:val="single" w:sz="8" w:color="3465B0"/>
            </w:tcBorders>
            <w:gridSpan w:val="19"/>
          </w:tcPr>
          <w:p>
            <w:pPr>
              <w:spacing w:after="0" w:line="196" w:lineRule="exact"/>
              <w:rPr>
                <w:rFonts w:ascii="Calibri" w:cs="Calibri" w:eastAsia="Calibri" w:hAnsi="Calibri"/>
                <w:sz w:val="18"/>
                <w:szCs w:val="18"/>
                <w:color w:val="3465B0"/>
                <w:w w:val="98"/>
              </w:rPr>
            </w:pPr>
            <w:hyperlink r:id="rId522">
              <w:r>
                <w:rPr>
                  <w:rFonts w:ascii="Calibri" w:cs="Calibri" w:eastAsia="Calibri" w:hAnsi="Calibri"/>
                  <w:sz w:val="18"/>
                  <w:szCs w:val="18"/>
                  <w:color w:val="3465B0"/>
                  <w:w w:val="98"/>
                </w:rPr>
                <w:t>Property LLC (as successor-in-interest to S&amp;A P-12</w:t>
              </w:r>
            </w:hyperlink>
          </w:p>
        </w:tc>
        <w:tc>
          <w:tcPr>
            <w:tcW w:w="300" w:type="dxa"/>
            <w:vAlign w:val="bottom"/>
            <w:gridSpan w:val="13"/>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tcBorders>
              <w:bottom w:val="single" w:sz="8" w:color="3465B0"/>
            </w:tcBorders>
            <w:gridSpan w:val="32"/>
          </w:tcPr>
          <w:p>
            <w:pPr>
              <w:spacing w:after="0" w:line="196" w:lineRule="exact"/>
              <w:rPr>
                <w:rFonts w:ascii="Calibri" w:cs="Calibri" w:eastAsia="Calibri" w:hAnsi="Calibri"/>
                <w:sz w:val="18"/>
                <w:szCs w:val="18"/>
                <w:color w:val="3465B0"/>
                <w:w w:val="97"/>
              </w:rPr>
            </w:pPr>
            <w:hyperlink r:id="rId522">
              <w:r>
                <w:rPr>
                  <w:rFonts w:ascii="Calibri" w:cs="Calibri" w:eastAsia="Calibri" w:hAnsi="Calibri"/>
                  <w:sz w:val="18"/>
                  <w:szCs w:val="18"/>
                  <w:color w:val="3465B0"/>
                  <w:w w:val="97"/>
                </w:rPr>
                <w:t>Property LLC) and the Registrant, dated as of March 19,</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00" w:type="dxa"/>
            <w:vAlign w:val="bottom"/>
            <w:tcBorders>
              <w:bottom w:val="single" w:sz="8" w:color="3465B0"/>
            </w:tcBorders>
          </w:tcPr>
          <w:p>
            <w:pPr>
              <w:spacing w:after="0" w:line="196" w:lineRule="exact"/>
              <w:rPr>
                <w:rFonts w:ascii="Calibri" w:cs="Calibri" w:eastAsia="Calibri" w:hAnsi="Calibri"/>
                <w:sz w:val="18"/>
                <w:szCs w:val="18"/>
                <w:color w:val="3465B0"/>
                <w:w w:val="92"/>
              </w:rPr>
            </w:pPr>
            <w:hyperlink r:id="rId522">
              <w:r>
                <w:rPr>
                  <w:rFonts w:ascii="Calibri" w:cs="Calibri" w:eastAsia="Calibri" w:hAnsi="Calibri"/>
                  <w:sz w:val="18"/>
                  <w:szCs w:val="18"/>
                  <w:color w:val="3465B0"/>
                  <w:w w:val="92"/>
                </w:rPr>
                <w:t>2024.</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10.25</w:t>
            </w:r>
          </w:p>
        </w:tc>
        <w:tc>
          <w:tcPr>
            <w:tcW w:w="3820" w:type="dxa"/>
            <w:vAlign w:val="bottom"/>
            <w:tcBorders>
              <w:bottom w:val="single" w:sz="8" w:color="3465B0"/>
            </w:tcBorders>
            <w:gridSpan w:val="26"/>
          </w:tcPr>
          <w:p>
            <w:pPr>
              <w:spacing w:after="0" w:line="196" w:lineRule="exact"/>
              <w:rPr>
                <w:rFonts w:ascii="Calibri" w:cs="Calibri" w:eastAsia="Calibri" w:hAnsi="Calibri"/>
                <w:sz w:val="18"/>
                <w:szCs w:val="18"/>
                <w:color w:val="3465B0"/>
                <w:w w:val="98"/>
              </w:rPr>
            </w:pPr>
            <w:hyperlink r:id="rId523">
              <w:r>
                <w:rPr>
                  <w:rFonts w:ascii="Calibri" w:cs="Calibri" w:eastAsia="Calibri" w:hAnsi="Calibri"/>
                  <w:sz w:val="18"/>
                  <w:szCs w:val="18"/>
                  <w:color w:val="3465B0"/>
                  <w:w w:val="98"/>
                </w:rPr>
                <w:t>Change Orders dated April 12, 2024 and May 3, 2024</w:t>
              </w:r>
            </w:hyperlink>
          </w:p>
        </w:tc>
        <w:tc>
          <w:tcPr>
            <w:tcW w:w="140" w:type="dxa"/>
            <w:vAlign w:val="bottom"/>
            <w:gridSpan w:val="6"/>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rPr>
              <w:t>10-Q</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August 8, 2024</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10.2</w:t>
            </w:r>
          </w:p>
        </w:tc>
      </w:tr>
      <w:tr>
        <w:trPr>
          <w:trHeight w:val="196"/>
        </w:trPr>
        <w:tc>
          <w:tcPr>
            <w:tcW w:w="1260" w:type="dxa"/>
            <w:vAlign w:val="bottom"/>
          </w:tcPr>
          <w:p>
            <w:pPr>
              <w:spacing w:after="0"/>
              <w:rPr>
                <w:sz w:val="17"/>
                <w:szCs w:val="17"/>
                <w:color w:val="auto"/>
              </w:rPr>
            </w:pPr>
          </w:p>
        </w:tc>
        <w:tc>
          <w:tcPr>
            <w:tcW w:w="3780" w:type="dxa"/>
            <w:vAlign w:val="bottom"/>
            <w:tcBorders>
              <w:bottom w:val="single" w:sz="8" w:color="3465B0"/>
            </w:tcBorders>
            <w:gridSpan w:val="24"/>
          </w:tcPr>
          <w:p>
            <w:pPr>
              <w:spacing w:after="0" w:line="196" w:lineRule="exact"/>
              <w:rPr>
                <w:rFonts w:ascii="Calibri" w:cs="Calibri" w:eastAsia="Calibri" w:hAnsi="Calibri"/>
                <w:sz w:val="18"/>
                <w:szCs w:val="18"/>
                <w:color w:val="3465B0"/>
                <w:w w:val="97"/>
              </w:rPr>
            </w:pPr>
            <w:hyperlink r:id="rId523">
              <w:r>
                <w:rPr>
                  <w:rFonts w:ascii="Calibri" w:cs="Calibri" w:eastAsia="Calibri" w:hAnsi="Calibri"/>
                  <w:sz w:val="18"/>
                  <w:szCs w:val="18"/>
                  <w:color w:val="3465B0"/>
                  <w:w w:val="97"/>
                </w:rPr>
                <w:t>to Indenture of Lease between P-12 Property LLC (as</w:t>
              </w:r>
            </w:hyperlink>
          </w:p>
        </w:tc>
        <w:tc>
          <w:tcPr>
            <w:tcW w:w="18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720" w:type="dxa"/>
            <w:vAlign w:val="bottom"/>
            <w:tcBorders>
              <w:bottom w:val="single" w:sz="8" w:color="3465B0"/>
            </w:tcBorders>
            <w:gridSpan w:val="21"/>
          </w:tcPr>
          <w:p>
            <w:pPr>
              <w:spacing w:after="0" w:line="196" w:lineRule="exact"/>
              <w:rPr>
                <w:rFonts w:ascii="Calibri" w:cs="Calibri" w:eastAsia="Calibri" w:hAnsi="Calibri"/>
                <w:sz w:val="18"/>
                <w:szCs w:val="18"/>
                <w:color w:val="3465B0"/>
                <w:w w:val="97"/>
              </w:rPr>
            </w:pPr>
            <w:hyperlink r:id="rId523">
              <w:r>
                <w:rPr>
                  <w:rFonts w:ascii="Calibri" w:cs="Calibri" w:eastAsia="Calibri" w:hAnsi="Calibri"/>
                  <w:sz w:val="18"/>
                  <w:szCs w:val="18"/>
                  <w:color w:val="3465B0"/>
                  <w:w w:val="97"/>
                </w:rPr>
                <w:t>successor-in-interest to S&amp;A P-12 Property LLC) and</w:t>
              </w:r>
            </w:hyperlink>
          </w:p>
        </w:tc>
        <w:tc>
          <w:tcPr>
            <w:tcW w:w="24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00" w:type="dxa"/>
            <w:vAlign w:val="bottom"/>
            <w:tcBorders>
              <w:bottom w:val="single" w:sz="8" w:color="3465B0"/>
            </w:tcBorders>
            <w:gridSpan w:val="18"/>
          </w:tcPr>
          <w:p>
            <w:pPr>
              <w:spacing w:after="0" w:line="196" w:lineRule="exact"/>
              <w:rPr>
                <w:rFonts w:ascii="Calibri" w:cs="Calibri" w:eastAsia="Calibri" w:hAnsi="Calibri"/>
                <w:sz w:val="18"/>
                <w:szCs w:val="18"/>
                <w:color w:val="3465B0"/>
                <w:w w:val="98"/>
              </w:rPr>
            </w:pPr>
            <w:hyperlink r:id="rId523">
              <w:r>
                <w:rPr>
                  <w:rFonts w:ascii="Calibri" w:cs="Calibri" w:eastAsia="Calibri" w:hAnsi="Calibri"/>
                  <w:sz w:val="18"/>
                  <w:szCs w:val="18"/>
                  <w:color w:val="3465B0"/>
                  <w:w w:val="98"/>
                </w:rPr>
                <w:t>the Registrant, dated as of December 19, 2019, as</w:t>
              </w:r>
            </w:hyperlink>
          </w:p>
        </w:tc>
        <w:tc>
          <w:tcPr>
            <w:tcW w:w="36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2"/>
          </w:tcPr>
          <w:p>
            <w:pPr>
              <w:spacing w:after="0" w:line="196" w:lineRule="exact"/>
              <w:rPr>
                <w:rFonts w:ascii="Calibri" w:cs="Calibri" w:eastAsia="Calibri" w:hAnsi="Calibri"/>
                <w:sz w:val="18"/>
                <w:szCs w:val="18"/>
                <w:color w:val="3465B0"/>
              </w:rPr>
            </w:pPr>
            <w:hyperlink r:id="rId523">
              <w:r>
                <w:rPr>
                  <w:rFonts w:ascii="Calibri" w:cs="Calibri" w:eastAsia="Calibri" w:hAnsi="Calibri"/>
                  <w:sz w:val="18"/>
                  <w:szCs w:val="18"/>
                  <w:color w:val="3465B0"/>
                </w:rPr>
                <w:t>amended.*</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gridSpan w:val="3"/>
            <w:shd w:val="clear" w:color="auto" w:fill="3465B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40" w:type="dxa"/>
            <w:vAlign w:val="bottom"/>
            <w:gridSpan w:val="2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10.26</w:t>
            </w:r>
          </w:p>
        </w:tc>
        <w:tc>
          <w:tcPr>
            <w:tcW w:w="3860" w:type="dxa"/>
            <w:vAlign w:val="bottom"/>
            <w:tcBorders>
              <w:bottom w:val="single" w:sz="8" w:color="3465B0"/>
            </w:tcBorders>
            <w:gridSpan w:val="28"/>
          </w:tcPr>
          <w:p>
            <w:pPr>
              <w:spacing w:after="0" w:line="196" w:lineRule="exact"/>
              <w:rPr>
                <w:rFonts w:ascii="Calibri" w:cs="Calibri" w:eastAsia="Calibri" w:hAnsi="Calibri"/>
                <w:sz w:val="18"/>
                <w:szCs w:val="18"/>
                <w:color w:val="3465B0"/>
                <w:w w:val="97"/>
              </w:rPr>
            </w:pPr>
            <w:hyperlink r:id="rId524">
              <w:r>
                <w:rPr>
                  <w:rFonts w:ascii="Calibri" w:cs="Calibri" w:eastAsia="Calibri" w:hAnsi="Calibri"/>
                  <w:sz w:val="18"/>
                  <w:szCs w:val="18"/>
                  <w:color w:val="3465B0"/>
                  <w:w w:val="97"/>
                </w:rPr>
                <w:t>Sublease, dated October 6, 2021, by and between the</w:t>
              </w:r>
            </w:hyperlink>
          </w:p>
        </w:tc>
        <w:tc>
          <w:tcPr>
            <w:tcW w:w="100" w:type="dxa"/>
            <w:vAlign w:val="bottom"/>
            <w:gridSpan w:val="4"/>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10-K</w:t>
            </w:r>
          </w:p>
        </w:tc>
        <w:tc>
          <w:tcPr>
            <w:tcW w:w="128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001-38233</w:t>
            </w:r>
          </w:p>
        </w:tc>
        <w:tc>
          <w:tcPr>
            <w:tcW w:w="186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February 25, 2022</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w w:val="97"/>
              </w:rPr>
              <w:t>10.29</w:t>
            </w:r>
          </w:p>
        </w:tc>
      </w:tr>
      <w:tr>
        <w:trPr>
          <w:trHeight w:val="196"/>
        </w:trPr>
        <w:tc>
          <w:tcPr>
            <w:tcW w:w="1260" w:type="dxa"/>
            <w:vAlign w:val="bottom"/>
          </w:tcPr>
          <w:p>
            <w:pPr>
              <w:spacing w:after="0"/>
              <w:rPr>
                <w:sz w:val="17"/>
                <w:szCs w:val="17"/>
                <w:color w:val="auto"/>
              </w:rPr>
            </w:pPr>
          </w:p>
        </w:tc>
        <w:tc>
          <w:tcPr>
            <w:tcW w:w="3960" w:type="dxa"/>
            <w:vAlign w:val="bottom"/>
            <w:gridSpan w:val="32"/>
          </w:tcPr>
          <w:p>
            <w:pPr>
              <w:spacing w:after="0" w:line="196" w:lineRule="exact"/>
              <w:rPr>
                <w:rFonts w:ascii="Calibri" w:cs="Calibri" w:eastAsia="Calibri" w:hAnsi="Calibri"/>
                <w:sz w:val="18"/>
                <w:szCs w:val="18"/>
                <w:color w:val="3465B0"/>
              </w:rPr>
            </w:pPr>
            <w:hyperlink r:id="rId524">
              <w:r>
                <w:rPr>
                  <w:rFonts w:ascii="Calibri" w:cs="Calibri" w:eastAsia="Calibri" w:hAnsi="Calibri"/>
                  <w:sz w:val="18"/>
                  <w:szCs w:val="18"/>
                  <w:color w:val="3465B0"/>
                </w:rPr>
                <w:t>Registrant and HubSpot, Inc.</w:t>
              </w:r>
            </w:hyperlink>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42"/>
        </w:trPr>
        <w:tc>
          <w:tcPr>
            <w:tcW w:w="1260" w:type="dxa"/>
            <w:vAlign w:val="bottom"/>
          </w:tcPr>
          <w:p>
            <w:pPr>
              <w:spacing w:after="0"/>
              <w:rPr>
                <w:sz w:val="24"/>
                <w:szCs w:val="24"/>
                <w:color w:val="auto"/>
              </w:rPr>
            </w:pPr>
          </w:p>
        </w:tc>
        <w:tc>
          <w:tcPr>
            <w:tcW w:w="400" w:type="dxa"/>
            <w:vAlign w:val="bottom"/>
            <w:tcBorders>
              <w:top w:val="single" w:sz="8" w:color="3465B0"/>
            </w:tcBorders>
          </w:tcPr>
          <w:p>
            <w:pPr>
              <w:spacing w:after="0"/>
              <w:rPr>
                <w:sz w:val="24"/>
                <w:szCs w:val="24"/>
                <w:color w:val="auto"/>
              </w:rPr>
            </w:pPr>
          </w:p>
        </w:tc>
        <w:tc>
          <w:tcPr>
            <w:tcW w:w="380" w:type="dxa"/>
            <w:vAlign w:val="bottom"/>
            <w:tcBorders>
              <w:top w:val="single" w:sz="8" w:color="3465B0"/>
            </w:tcBorders>
          </w:tcPr>
          <w:p>
            <w:pPr>
              <w:spacing w:after="0"/>
              <w:rPr>
                <w:sz w:val="24"/>
                <w:szCs w:val="24"/>
                <w:color w:val="auto"/>
              </w:rPr>
            </w:pPr>
          </w:p>
        </w:tc>
        <w:tc>
          <w:tcPr>
            <w:tcW w:w="20" w:type="dxa"/>
            <w:vAlign w:val="bottom"/>
            <w:tcBorders>
              <w:top w:val="single" w:sz="8" w:color="3465B0"/>
            </w:tcBorders>
          </w:tcPr>
          <w:p>
            <w:pPr>
              <w:spacing w:after="0"/>
              <w:rPr>
                <w:sz w:val="24"/>
                <w:szCs w:val="24"/>
                <w:color w:val="auto"/>
              </w:rPr>
            </w:pPr>
          </w:p>
        </w:tc>
        <w:tc>
          <w:tcPr>
            <w:tcW w:w="60" w:type="dxa"/>
            <w:vAlign w:val="bottom"/>
            <w:tcBorders>
              <w:top w:val="single" w:sz="8" w:color="3465B0"/>
            </w:tcBorders>
          </w:tcPr>
          <w:p>
            <w:pPr>
              <w:spacing w:after="0"/>
              <w:rPr>
                <w:sz w:val="24"/>
                <w:szCs w:val="24"/>
                <w:color w:val="auto"/>
              </w:rPr>
            </w:pPr>
          </w:p>
        </w:tc>
        <w:tc>
          <w:tcPr>
            <w:tcW w:w="180" w:type="dxa"/>
            <w:vAlign w:val="bottom"/>
            <w:tcBorders>
              <w:top w:val="single" w:sz="8" w:color="3465B0"/>
            </w:tcBorders>
          </w:tcPr>
          <w:p>
            <w:pPr>
              <w:spacing w:after="0"/>
              <w:rPr>
                <w:sz w:val="24"/>
                <w:szCs w:val="24"/>
                <w:color w:val="auto"/>
              </w:rPr>
            </w:pPr>
          </w:p>
        </w:tc>
        <w:tc>
          <w:tcPr>
            <w:tcW w:w="980" w:type="dxa"/>
            <w:vAlign w:val="bottom"/>
            <w:tcBorders>
              <w:top w:val="single" w:sz="8" w:color="3465B0"/>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230"/>
              <w:spacing w:after="0"/>
              <w:rPr>
                <w:sz w:val="20"/>
                <w:szCs w:val="20"/>
                <w:color w:val="auto"/>
              </w:rPr>
            </w:pPr>
            <w:r>
              <w:rPr>
                <w:rFonts w:ascii="Calibri" w:cs="Calibri" w:eastAsia="Calibri" w:hAnsi="Calibri"/>
                <w:sz w:val="18"/>
                <w:szCs w:val="18"/>
                <w:color w:val="auto"/>
              </w:rPr>
              <w:t>130</w:t>
            </w:r>
          </w:p>
        </w:tc>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86"/>
        </w:trPr>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2" w:name="page133"/>
    <w:bookmarkEnd w:id="132"/>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jc w:val="center"/>
              <w:ind w:left="210"/>
              <w:spacing w:after="0"/>
              <w:rPr>
                <w:sz w:val="20"/>
                <w:szCs w:val="20"/>
                <w:color w:val="auto"/>
              </w:rPr>
            </w:pPr>
            <w:r>
              <w:rPr>
                <w:rFonts w:ascii="Calibri" w:cs="Calibri" w:eastAsia="Calibri" w:hAnsi="Calibri"/>
                <w:sz w:val="18"/>
                <w:szCs w:val="18"/>
                <w:color w:val="auto"/>
                <w:w w:val="97"/>
              </w:rPr>
              <w:t>10.27</w:t>
            </w:r>
          </w:p>
        </w:tc>
        <w:tc>
          <w:tcPr>
            <w:tcW w:w="3860" w:type="dxa"/>
            <w:vAlign w:val="bottom"/>
            <w:tcBorders>
              <w:bottom w:val="single" w:sz="8" w:color="3465B0"/>
            </w:tcBorders>
            <w:gridSpan w:val="27"/>
          </w:tcPr>
          <w:p>
            <w:pPr>
              <w:spacing w:after="0"/>
              <w:rPr>
                <w:rFonts w:ascii="Calibri" w:cs="Calibri" w:eastAsia="Calibri" w:hAnsi="Calibri"/>
                <w:sz w:val="18"/>
                <w:szCs w:val="18"/>
                <w:color w:val="3465B0"/>
                <w:w w:val="97"/>
              </w:rPr>
            </w:pPr>
            <w:hyperlink r:id="rId527">
              <w:r>
                <w:rPr>
                  <w:rFonts w:ascii="Calibri" w:cs="Calibri" w:eastAsia="Calibri" w:hAnsi="Calibri"/>
                  <w:sz w:val="18"/>
                  <w:szCs w:val="18"/>
                  <w:color w:val="3465B0"/>
                  <w:w w:val="97"/>
                </w:rPr>
                <w:t>First Amendment to Sublease, dated July 31, 2022, by</w:t>
              </w:r>
            </w:hyperlink>
          </w:p>
        </w:tc>
        <w:tc>
          <w:tcPr>
            <w:tcW w:w="100" w:type="dxa"/>
            <w:vAlign w:val="bottom"/>
            <w:gridSpan w:val="4"/>
          </w:tcPr>
          <w:p>
            <w:pPr>
              <w:spacing w:after="0"/>
              <w:rPr>
                <w:sz w:val="19"/>
                <w:szCs w:val="19"/>
                <w:color w:val="auto"/>
              </w:rPr>
            </w:pPr>
          </w:p>
        </w:tc>
        <w:tc>
          <w:tcPr>
            <w:tcW w:w="880" w:type="dxa"/>
            <w:vAlign w:val="bottom"/>
          </w:tcPr>
          <w:p>
            <w:pPr>
              <w:ind w:left="280"/>
              <w:spacing w:after="0"/>
              <w:rPr>
                <w:sz w:val="20"/>
                <w:szCs w:val="20"/>
                <w:color w:val="auto"/>
              </w:rPr>
            </w:pPr>
            <w:r>
              <w:rPr>
                <w:rFonts w:ascii="Calibri" w:cs="Calibri" w:eastAsia="Calibri" w:hAnsi="Calibri"/>
                <w:sz w:val="18"/>
                <w:szCs w:val="18"/>
                <w:color w:val="auto"/>
              </w:rPr>
              <w:t>10-Q</w:t>
            </w:r>
          </w:p>
        </w:tc>
        <w:tc>
          <w:tcPr>
            <w:tcW w:w="1240" w:type="dxa"/>
            <w:vAlign w:val="bottom"/>
          </w:tcPr>
          <w:p>
            <w:pPr>
              <w:jc w:val="right"/>
              <w:ind w:right="150"/>
              <w:spacing w:after="0"/>
              <w:rPr>
                <w:sz w:val="20"/>
                <w:szCs w:val="20"/>
                <w:color w:val="auto"/>
              </w:rPr>
            </w:pPr>
            <w:r>
              <w:rPr>
                <w:rFonts w:ascii="Calibri" w:cs="Calibri" w:eastAsia="Calibri" w:hAnsi="Calibri"/>
                <w:sz w:val="18"/>
                <w:szCs w:val="18"/>
                <w:color w:val="auto"/>
              </w:rPr>
              <w:t>001-38233</w:t>
            </w:r>
          </w:p>
        </w:tc>
        <w:tc>
          <w:tcPr>
            <w:tcW w:w="1880" w:type="dxa"/>
            <w:vAlign w:val="bottom"/>
          </w:tcPr>
          <w:p>
            <w:pPr>
              <w:jc w:val="center"/>
              <w:spacing w:after="0"/>
              <w:rPr>
                <w:sz w:val="20"/>
                <w:szCs w:val="20"/>
                <w:color w:val="auto"/>
              </w:rPr>
            </w:pPr>
            <w:r>
              <w:rPr>
                <w:rFonts w:ascii="Calibri" w:cs="Calibri" w:eastAsia="Calibri" w:hAnsi="Calibri"/>
                <w:sz w:val="18"/>
                <w:szCs w:val="18"/>
                <w:color w:val="auto"/>
                <w:w w:val="97"/>
              </w:rPr>
              <w:t>November 8, 2022</w:t>
            </w:r>
          </w:p>
        </w:tc>
        <w:tc>
          <w:tcPr>
            <w:tcW w:w="2020" w:type="dxa"/>
            <w:vAlign w:val="bottom"/>
          </w:tcPr>
          <w:p>
            <w:pPr>
              <w:jc w:val="center"/>
              <w:ind w:right="1090"/>
              <w:spacing w:after="0"/>
              <w:rPr>
                <w:sz w:val="20"/>
                <w:szCs w:val="20"/>
                <w:color w:val="auto"/>
              </w:rPr>
            </w:pPr>
            <w:r>
              <w:rPr>
                <w:rFonts w:ascii="Calibri" w:cs="Calibri" w:eastAsia="Calibri" w:hAnsi="Calibri"/>
                <w:sz w:val="18"/>
                <w:szCs w:val="18"/>
                <w:color w:val="auto"/>
              </w:rPr>
              <w:t>10.2</w:t>
            </w:r>
          </w:p>
        </w:tc>
      </w:tr>
      <w:tr>
        <w:trPr>
          <w:trHeight w:val="196"/>
        </w:trPr>
        <w:tc>
          <w:tcPr>
            <w:tcW w:w="1260" w:type="dxa"/>
            <w:vAlign w:val="bottom"/>
          </w:tcPr>
          <w:p>
            <w:pPr>
              <w:spacing w:after="0"/>
              <w:rPr>
                <w:sz w:val="17"/>
                <w:szCs w:val="17"/>
                <w:color w:val="auto"/>
              </w:rPr>
            </w:pPr>
          </w:p>
        </w:tc>
        <w:tc>
          <w:tcPr>
            <w:tcW w:w="3300" w:type="dxa"/>
            <w:vAlign w:val="bottom"/>
            <w:tcBorders>
              <w:bottom w:val="single" w:sz="8" w:color="3465B0"/>
            </w:tcBorders>
            <w:gridSpan w:val="13"/>
          </w:tcPr>
          <w:p>
            <w:pPr>
              <w:spacing w:after="0" w:line="196" w:lineRule="exact"/>
              <w:rPr>
                <w:rFonts w:ascii="Calibri" w:cs="Calibri" w:eastAsia="Calibri" w:hAnsi="Calibri"/>
                <w:sz w:val="18"/>
                <w:szCs w:val="18"/>
                <w:color w:val="3465B0"/>
                <w:w w:val="97"/>
              </w:rPr>
            </w:pPr>
            <w:hyperlink r:id="rId527">
              <w:r>
                <w:rPr>
                  <w:rFonts w:ascii="Calibri" w:cs="Calibri" w:eastAsia="Calibri" w:hAnsi="Calibri"/>
                  <w:sz w:val="18"/>
                  <w:szCs w:val="18"/>
                  <w:color w:val="3465B0"/>
                  <w:w w:val="97"/>
                </w:rPr>
                <w:t>and between the Registrant and HubSpot, Inc.</w:t>
              </w:r>
            </w:hyperlink>
          </w:p>
        </w:tc>
        <w:tc>
          <w:tcPr>
            <w:tcW w:w="660" w:type="dxa"/>
            <w:vAlign w:val="bottom"/>
            <w:gridSpan w:val="18"/>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10.28</w:t>
            </w:r>
          </w:p>
        </w:tc>
        <w:tc>
          <w:tcPr>
            <w:tcW w:w="3920" w:type="dxa"/>
            <w:vAlign w:val="bottom"/>
            <w:tcBorders>
              <w:bottom w:val="single" w:sz="8" w:color="3465B0"/>
            </w:tcBorders>
            <w:gridSpan w:val="29"/>
          </w:tcPr>
          <w:p>
            <w:pPr>
              <w:spacing w:after="0" w:line="196" w:lineRule="exact"/>
              <w:rPr>
                <w:rFonts w:ascii="Calibri" w:cs="Calibri" w:eastAsia="Calibri" w:hAnsi="Calibri"/>
                <w:sz w:val="18"/>
                <w:szCs w:val="18"/>
                <w:color w:val="3465B0"/>
                <w:w w:val="97"/>
              </w:rPr>
            </w:pPr>
            <w:hyperlink r:id="rId528">
              <w:r>
                <w:rPr>
                  <w:rFonts w:ascii="Calibri" w:cs="Calibri" w:eastAsia="Calibri" w:hAnsi="Calibri"/>
                  <w:sz w:val="18"/>
                  <w:szCs w:val="18"/>
                  <w:color w:val="3465B0"/>
                  <w:w w:val="97"/>
                </w:rPr>
                <w:t>Second Amendment to Sublease, dated April 30, 2024,</w:t>
              </w:r>
            </w:hyperlink>
          </w:p>
        </w:tc>
        <w:tc>
          <w:tcPr>
            <w:tcW w:w="40" w:type="dxa"/>
            <w:vAlign w:val="bottom"/>
            <w:gridSpan w:val="2"/>
          </w:tcPr>
          <w:p>
            <w:pPr>
              <w:spacing w:after="0"/>
              <w:rPr>
                <w:sz w:val="17"/>
                <w:szCs w:val="17"/>
                <w:color w:val="auto"/>
              </w:rPr>
            </w:pPr>
          </w:p>
        </w:tc>
        <w:tc>
          <w:tcPr>
            <w:tcW w:w="880" w:type="dxa"/>
            <w:vAlign w:val="bottom"/>
          </w:tcPr>
          <w:p>
            <w:pPr>
              <w:ind w:left="280"/>
              <w:spacing w:after="0" w:line="196" w:lineRule="exact"/>
              <w:rPr>
                <w:sz w:val="20"/>
                <w:szCs w:val="20"/>
                <w:color w:val="auto"/>
              </w:rPr>
            </w:pPr>
            <w:r>
              <w:rPr>
                <w:rFonts w:ascii="Calibri" w:cs="Calibri" w:eastAsia="Calibri" w:hAnsi="Calibri"/>
                <w:sz w:val="18"/>
                <w:szCs w:val="18"/>
                <w:color w:val="auto"/>
              </w:rPr>
              <w:t>10-Q</w:t>
            </w:r>
          </w:p>
        </w:tc>
        <w:tc>
          <w:tcPr>
            <w:tcW w:w="1240" w:type="dxa"/>
            <w:vAlign w:val="bottom"/>
          </w:tcPr>
          <w:p>
            <w:pPr>
              <w:jc w:val="right"/>
              <w:ind w:right="150"/>
              <w:spacing w:after="0" w:line="196" w:lineRule="exact"/>
              <w:rPr>
                <w:sz w:val="20"/>
                <w:szCs w:val="20"/>
                <w:color w:val="auto"/>
              </w:rPr>
            </w:pPr>
            <w:r>
              <w:rPr>
                <w:rFonts w:ascii="Calibri" w:cs="Calibri" w:eastAsia="Calibri" w:hAnsi="Calibri"/>
                <w:sz w:val="18"/>
                <w:szCs w:val="18"/>
                <w:color w:val="auto"/>
              </w:rPr>
              <w:t>001-38233</w:t>
            </w:r>
          </w:p>
        </w:tc>
        <w:tc>
          <w:tcPr>
            <w:tcW w:w="188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August 8, 2024</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10.3</w:t>
            </w:r>
          </w:p>
        </w:tc>
      </w:tr>
      <w:tr>
        <w:trPr>
          <w:trHeight w:val="196"/>
        </w:trPr>
        <w:tc>
          <w:tcPr>
            <w:tcW w:w="1260" w:type="dxa"/>
            <w:vAlign w:val="bottom"/>
          </w:tcPr>
          <w:p>
            <w:pPr>
              <w:spacing w:after="0"/>
              <w:rPr>
                <w:sz w:val="17"/>
                <w:szCs w:val="17"/>
                <w:color w:val="auto"/>
              </w:rPr>
            </w:pPr>
          </w:p>
        </w:tc>
        <w:tc>
          <w:tcPr>
            <w:tcW w:w="3500" w:type="dxa"/>
            <w:vAlign w:val="bottom"/>
            <w:tcBorders>
              <w:bottom w:val="single" w:sz="8" w:color="3465B0"/>
            </w:tcBorders>
            <w:gridSpan w:val="15"/>
          </w:tcPr>
          <w:p>
            <w:pPr>
              <w:spacing w:after="0" w:line="196" w:lineRule="exact"/>
              <w:rPr>
                <w:rFonts w:ascii="Calibri" w:cs="Calibri" w:eastAsia="Calibri" w:hAnsi="Calibri"/>
                <w:sz w:val="18"/>
                <w:szCs w:val="18"/>
                <w:color w:val="3465B0"/>
                <w:w w:val="96"/>
              </w:rPr>
            </w:pPr>
            <w:hyperlink r:id="rId528">
              <w:r>
                <w:rPr>
                  <w:rFonts w:ascii="Calibri" w:cs="Calibri" w:eastAsia="Calibri" w:hAnsi="Calibri"/>
                  <w:sz w:val="18"/>
                  <w:szCs w:val="18"/>
                  <w:color w:val="3465B0"/>
                  <w:w w:val="96"/>
                </w:rPr>
                <w:t>by and between the Registrant and HubSpot, Inc.</w:t>
              </w:r>
            </w:hyperlink>
          </w:p>
        </w:tc>
        <w:tc>
          <w:tcPr>
            <w:tcW w:w="460" w:type="dxa"/>
            <w:vAlign w:val="bottom"/>
            <w:gridSpan w:val="16"/>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10.29</w:t>
            </w:r>
          </w:p>
        </w:tc>
        <w:tc>
          <w:tcPr>
            <w:tcW w:w="3840" w:type="dxa"/>
            <w:vAlign w:val="bottom"/>
            <w:tcBorders>
              <w:bottom w:val="single" w:sz="8" w:color="3465B0"/>
            </w:tcBorders>
            <w:gridSpan w:val="26"/>
          </w:tcPr>
          <w:p>
            <w:pPr>
              <w:spacing w:after="0" w:line="196" w:lineRule="exact"/>
              <w:rPr>
                <w:rFonts w:ascii="Calibri" w:cs="Calibri" w:eastAsia="Calibri" w:hAnsi="Calibri"/>
                <w:sz w:val="18"/>
                <w:szCs w:val="18"/>
                <w:color w:val="3465B0"/>
                <w:w w:val="98"/>
              </w:rPr>
            </w:pPr>
            <w:hyperlink r:id="rId529">
              <w:r>
                <w:rPr>
                  <w:rFonts w:ascii="Calibri" w:cs="Calibri" w:eastAsia="Calibri" w:hAnsi="Calibri"/>
                  <w:sz w:val="18"/>
                  <w:szCs w:val="18"/>
                  <w:color w:val="3465B0"/>
                  <w:w w:val="98"/>
                </w:rPr>
                <w:t>Sublease, dated December 23, 2021, by and between</w:t>
              </w:r>
            </w:hyperlink>
          </w:p>
        </w:tc>
        <w:tc>
          <w:tcPr>
            <w:tcW w:w="120" w:type="dxa"/>
            <w:vAlign w:val="bottom"/>
            <w:gridSpan w:val="5"/>
          </w:tcPr>
          <w:p>
            <w:pPr>
              <w:spacing w:after="0"/>
              <w:rPr>
                <w:sz w:val="17"/>
                <w:szCs w:val="17"/>
                <w:color w:val="auto"/>
              </w:rPr>
            </w:pPr>
          </w:p>
        </w:tc>
        <w:tc>
          <w:tcPr>
            <w:tcW w:w="880" w:type="dxa"/>
            <w:vAlign w:val="bottom"/>
          </w:tcPr>
          <w:p>
            <w:pPr>
              <w:ind w:left="300"/>
              <w:spacing w:after="0" w:line="196" w:lineRule="exact"/>
              <w:rPr>
                <w:sz w:val="20"/>
                <w:szCs w:val="20"/>
                <w:color w:val="auto"/>
              </w:rPr>
            </w:pPr>
            <w:r>
              <w:rPr>
                <w:rFonts w:ascii="Calibri" w:cs="Calibri" w:eastAsia="Calibri" w:hAnsi="Calibri"/>
                <w:sz w:val="18"/>
                <w:szCs w:val="18"/>
                <w:color w:val="auto"/>
              </w:rPr>
              <w:t>10-K</w:t>
            </w:r>
          </w:p>
        </w:tc>
        <w:tc>
          <w:tcPr>
            <w:tcW w:w="1240" w:type="dxa"/>
            <w:vAlign w:val="bottom"/>
          </w:tcPr>
          <w:p>
            <w:pPr>
              <w:jc w:val="right"/>
              <w:ind w:right="150"/>
              <w:spacing w:after="0" w:line="196" w:lineRule="exact"/>
              <w:rPr>
                <w:sz w:val="20"/>
                <w:szCs w:val="20"/>
                <w:color w:val="auto"/>
              </w:rPr>
            </w:pPr>
            <w:r>
              <w:rPr>
                <w:rFonts w:ascii="Calibri" w:cs="Calibri" w:eastAsia="Calibri" w:hAnsi="Calibri"/>
                <w:sz w:val="18"/>
                <w:szCs w:val="18"/>
                <w:color w:val="auto"/>
              </w:rPr>
              <w:t>001-38233</w:t>
            </w:r>
          </w:p>
        </w:tc>
        <w:tc>
          <w:tcPr>
            <w:tcW w:w="188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February 25, 2022</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w w:val="97"/>
              </w:rPr>
              <w:t>10.30</w:t>
            </w:r>
          </w:p>
        </w:tc>
      </w:tr>
      <w:tr>
        <w:trPr>
          <w:trHeight w:val="196"/>
        </w:trPr>
        <w:tc>
          <w:tcPr>
            <w:tcW w:w="1260" w:type="dxa"/>
            <w:vAlign w:val="bottom"/>
          </w:tcPr>
          <w:p>
            <w:pPr>
              <w:spacing w:after="0"/>
              <w:rPr>
                <w:sz w:val="17"/>
                <w:szCs w:val="17"/>
                <w:color w:val="auto"/>
              </w:rPr>
            </w:pPr>
          </w:p>
        </w:tc>
        <w:tc>
          <w:tcPr>
            <w:tcW w:w="3420" w:type="dxa"/>
            <w:vAlign w:val="bottom"/>
            <w:tcBorders>
              <w:bottom w:val="single" w:sz="8" w:color="3465B0"/>
            </w:tcBorders>
            <w:gridSpan w:val="14"/>
          </w:tcPr>
          <w:p>
            <w:pPr>
              <w:spacing w:after="0" w:line="196" w:lineRule="exact"/>
              <w:rPr>
                <w:rFonts w:ascii="Calibri" w:cs="Calibri" w:eastAsia="Calibri" w:hAnsi="Calibri"/>
                <w:sz w:val="18"/>
                <w:szCs w:val="18"/>
                <w:color w:val="3465B0"/>
                <w:w w:val="98"/>
              </w:rPr>
            </w:pPr>
            <w:hyperlink r:id="rId529">
              <w:r>
                <w:rPr>
                  <w:rFonts w:ascii="Calibri" w:cs="Calibri" w:eastAsia="Calibri" w:hAnsi="Calibri"/>
                  <w:sz w:val="18"/>
                  <w:szCs w:val="18"/>
                  <w:color w:val="3465B0"/>
                  <w:w w:val="98"/>
                </w:rPr>
                <w:t>the Registrant and Amylyx Pharmaceutcals, Inc.</w:t>
              </w:r>
            </w:hyperlink>
          </w:p>
        </w:tc>
        <w:tc>
          <w:tcPr>
            <w:tcW w:w="54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10.30</w:t>
            </w:r>
          </w:p>
        </w:tc>
        <w:tc>
          <w:tcPr>
            <w:tcW w:w="3840" w:type="dxa"/>
            <w:vAlign w:val="bottom"/>
            <w:tcBorders>
              <w:bottom w:val="single" w:sz="8" w:color="3465B0"/>
            </w:tcBorders>
            <w:gridSpan w:val="26"/>
          </w:tcPr>
          <w:p>
            <w:pPr>
              <w:spacing w:after="0" w:line="196" w:lineRule="exact"/>
              <w:rPr>
                <w:rFonts w:ascii="Calibri" w:cs="Calibri" w:eastAsia="Calibri" w:hAnsi="Calibri"/>
                <w:sz w:val="18"/>
                <w:szCs w:val="18"/>
                <w:color w:val="3465B0"/>
                <w:w w:val="97"/>
              </w:rPr>
            </w:pPr>
            <w:hyperlink r:id="rId530">
              <w:r>
                <w:rPr>
                  <w:rFonts w:ascii="Calibri" w:cs="Calibri" w:eastAsia="Calibri" w:hAnsi="Calibri"/>
                  <w:sz w:val="18"/>
                  <w:szCs w:val="18"/>
                  <w:color w:val="3465B0"/>
                  <w:w w:val="97"/>
                </w:rPr>
                <w:t>First Amendment to Sublease, dated March 23, 2022,</w:t>
              </w:r>
            </w:hyperlink>
          </w:p>
        </w:tc>
        <w:tc>
          <w:tcPr>
            <w:tcW w:w="120" w:type="dxa"/>
            <w:vAlign w:val="bottom"/>
            <w:gridSpan w:val="5"/>
          </w:tcPr>
          <w:p>
            <w:pPr>
              <w:spacing w:after="0"/>
              <w:rPr>
                <w:sz w:val="17"/>
                <w:szCs w:val="17"/>
                <w:color w:val="auto"/>
              </w:rPr>
            </w:pPr>
          </w:p>
        </w:tc>
        <w:tc>
          <w:tcPr>
            <w:tcW w:w="880" w:type="dxa"/>
            <w:vAlign w:val="bottom"/>
          </w:tcPr>
          <w:p>
            <w:pPr>
              <w:ind w:left="280"/>
              <w:spacing w:after="0" w:line="196" w:lineRule="exact"/>
              <w:rPr>
                <w:sz w:val="20"/>
                <w:szCs w:val="20"/>
                <w:color w:val="auto"/>
              </w:rPr>
            </w:pPr>
            <w:r>
              <w:rPr>
                <w:rFonts w:ascii="Calibri" w:cs="Calibri" w:eastAsia="Calibri" w:hAnsi="Calibri"/>
                <w:sz w:val="18"/>
                <w:szCs w:val="18"/>
                <w:color w:val="auto"/>
              </w:rPr>
              <w:t>10-Q</w:t>
            </w:r>
          </w:p>
        </w:tc>
        <w:tc>
          <w:tcPr>
            <w:tcW w:w="1240" w:type="dxa"/>
            <w:vAlign w:val="bottom"/>
          </w:tcPr>
          <w:p>
            <w:pPr>
              <w:jc w:val="right"/>
              <w:ind w:right="150"/>
              <w:spacing w:after="0" w:line="196" w:lineRule="exact"/>
              <w:rPr>
                <w:sz w:val="20"/>
                <w:szCs w:val="20"/>
                <w:color w:val="auto"/>
              </w:rPr>
            </w:pPr>
            <w:r>
              <w:rPr>
                <w:rFonts w:ascii="Calibri" w:cs="Calibri" w:eastAsia="Calibri" w:hAnsi="Calibri"/>
                <w:sz w:val="18"/>
                <w:szCs w:val="18"/>
                <w:color w:val="auto"/>
              </w:rPr>
              <w:t>001-38233</w:t>
            </w:r>
          </w:p>
        </w:tc>
        <w:tc>
          <w:tcPr>
            <w:tcW w:w="188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May 9, 2022</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260" w:type="dxa"/>
            <w:vAlign w:val="bottom"/>
          </w:tcPr>
          <w:p>
            <w:pPr>
              <w:spacing w:after="0"/>
              <w:rPr>
                <w:sz w:val="17"/>
                <w:szCs w:val="17"/>
                <w:color w:val="auto"/>
              </w:rPr>
            </w:pPr>
          </w:p>
        </w:tc>
        <w:tc>
          <w:tcPr>
            <w:tcW w:w="3100" w:type="dxa"/>
            <w:vAlign w:val="bottom"/>
            <w:tcBorders>
              <w:bottom w:val="single" w:sz="8" w:color="3465B0"/>
            </w:tcBorders>
            <w:gridSpan w:val="11"/>
          </w:tcPr>
          <w:p>
            <w:pPr>
              <w:spacing w:after="0" w:line="196" w:lineRule="exact"/>
              <w:rPr>
                <w:rFonts w:ascii="Calibri" w:cs="Calibri" w:eastAsia="Calibri" w:hAnsi="Calibri"/>
                <w:sz w:val="18"/>
                <w:szCs w:val="18"/>
                <w:color w:val="3465B0"/>
                <w:w w:val="98"/>
              </w:rPr>
            </w:pPr>
            <w:hyperlink r:id="rId530">
              <w:r>
                <w:rPr>
                  <w:rFonts w:ascii="Calibri" w:cs="Calibri" w:eastAsia="Calibri" w:hAnsi="Calibri"/>
                  <w:sz w:val="18"/>
                  <w:szCs w:val="18"/>
                  <w:color w:val="3465B0"/>
                  <w:w w:val="98"/>
                </w:rPr>
                <w:t>by and between the Registrant and Amylyx</w:t>
              </w:r>
            </w:hyperlink>
          </w:p>
        </w:tc>
        <w:tc>
          <w:tcPr>
            <w:tcW w:w="860" w:type="dxa"/>
            <w:vAlign w:val="bottom"/>
            <w:gridSpan w:val="20"/>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1"/>
          </w:tcPr>
          <w:p>
            <w:pPr>
              <w:spacing w:after="0" w:line="196" w:lineRule="exact"/>
              <w:rPr>
                <w:rFonts w:ascii="Calibri" w:cs="Calibri" w:eastAsia="Calibri" w:hAnsi="Calibri"/>
                <w:sz w:val="18"/>
                <w:szCs w:val="18"/>
                <w:color w:val="3465B0"/>
              </w:rPr>
            </w:pPr>
            <w:hyperlink r:id="rId530">
              <w:r>
                <w:rPr>
                  <w:rFonts w:ascii="Calibri" w:cs="Calibri" w:eastAsia="Calibri" w:hAnsi="Calibri"/>
                  <w:sz w:val="18"/>
                  <w:szCs w:val="18"/>
                  <w:color w:val="3465B0"/>
                </w:rPr>
                <w:t>Pharmaceutcals, Inc.</w:t>
              </w:r>
            </w:hyperlink>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60" w:type="dxa"/>
            <w:vAlign w:val="bottom"/>
            <w:shd w:val="clear" w:color="auto" w:fill="3465B0"/>
          </w:tcPr>
          <w:p>
            <w:pPr>
              <w:spacing w:after="0" w:line="20" w:lineRule="exact"/>
              <w:rPr>
                <w:sz w:val="1"/>
                <w:szCs w:val="1"/>
                <w:color w:val="auto"/>
              </w:rPr>
            </w:pPr>
          </w:p>
        </w:tc>
        <w:tc>
          <w:tcPr>
            <w:tcW w:w="440" w:type="dxa"/>
            <w:vAlign w:val="bottom"/>
            <w:shd w:val="clear" w:color="auto" w:fill="3465B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10.31</w:t>
            </w:r>
          </w:p>
        </w:tc>
        <w:tc>
          <w:tcPr>
            <w:tcW w:w="3820" w:type="dxa"/>
            <w:vAlign w:val="bottom"/>
            <w:tcBorders>
              <w:bottom w:val="single" w:sz="8" w:color="3465B0"/>
            </w:tcBorders>
            <w:gridSpan w:val="25"/>
          </w:tcPr>
          <w:p>
            <w:pPr>
              <w:spacing w:after="0" w:line="196" w:lineRule="exact"/>
              <w:rPr>
                <w:rFonts w:ascii="Calibri" w:cs="Calibri" w:eastAsia="Calibri" w:hAnsi="Calibri"/>
                <w:sz w:val="18"/>
                <w:szCs w:val="18"/>
                <w:color w:val="3465B0"/>
              </w:rPr>
            </w:pPr>
            <w:hyperlink r:id="rId531">
              <w:r>
                <w:rPr>
                  <w:rFonts w:ascii="Calibri" w:cs="Calibri" w:eastAsia="Calibri" w:hAnsi="Calibri"/>
                  <w:sz w:val="18"/>
                  <w:szCs w:val="18"/>
                  <w:color w:val="3465B0"/>
                </w:rPr>
                <w:t>Ofce Lease Agreement, dated April 28, 2022, by and</w:t>
              </w:r>
            </w:hyperlink>
          </w:p>
        </w:tc>
        <w:tc>
          <w:tcPr>
            <w:tcW w:w="140" w:type="dxa"/>
            <w:vAlign w:val="bottom"/>
            <w:gridSpan w:val="6"/>
          </w:tcPr>
          <w:p>
            <w:pPr>
              <w:spacing w:after="0"/>
              <w:rPr>
                <w:sz w:val="17"/>
                <w:szCs w:val="17"/>
                <w:color w:val="auto"/>
              </w:rPr>
            </w:pPr>
          </w:p>
        </w:tc>
        <w:tc>
          <w:tcPr>
            <w:tcW w:w="880" w:type="dxa"/>
            <w:vAlign w:val="bottom"/>
          </w:tcPr>
          <w:p>
            <w:pPr>
              <w:ind w:left="300"/>
              <w:spacing w:after="0" w:line="196" w:lineRule="exact"/>
              <w:rPr>
                <w:sz w:val="20"/>
                <w:szCs w:val="20"/>
                <w:color w:val="auto"/>
              </w:rPr>
            </w:pPr>
            <w:r>
              <w:rPr>
                <w:rFonts w:ascii="Calibri" w:cs="Calibri" w:eastAsia="Calibri" w:hAnsi="Calibri"/>
                <w:sz w:val="18"/>
                <w:szCs w:val="18"/>
                <w:color w:val="auto"/>
              </w:rPr>
              <w:t>10-K</w:t>
            </w:r>
          </w:p>
        </w:tc>
        <w:tc>
          <w:tcPr>
            <w:tcW w:w="1240" w:type="dxa"/>
            <w:vAlign w:val="bottom"/>
          </w:tcPr>
          <w:p>
            <w:pPr>
              <w:jc w:val="right"/>
              <w:ind w:right="150"/>
              <w:spacing w:after="0" w:line="196" w:lineRule="exact"/>
              <w:rPr>
                <w:sz w:val="20"/>
                <w:szCs w:val="20"/>
                <w:color w:val="auto"/>
              </w:rPr>
            </w:pPr>
            <w:r>
              <w:rPr>
                <w:rFonts w:ascii="Calibri" w:cs="Calibri" w:eastAsia="Calibri" w:hAnsi="Calibri"/>
                <w:sz w:val="18"/>
                <w:szCs w:val="18"/>
                <w:color w:val="auto"/>
              </w:rPr>
              <w:t>001-38233</w:t>
            </w:r>
          </w:p>
        </w:tc>
        <w:tc>
          <w:tcPr>
            <w:tcW w:w="188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February 26, 2024</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w w:val="97"/>
              </w:rPr>
              <w:t>10.31</w:t>
            </w:r>
          </w:p>
        </w:tc>
      </w:tr>
      <w:tr>
        <w:trPr>
          <w:trHeight w:val="196"/>
        </w:trPr>
        <w:tc>
          <w:tcPr>
            <w:tcW w:w="1260" w:type="dxa"/>
            <w:vAlign w:val="bottom"/>
          </w:tcPr>
          <w:p>
            <w:pPr>
              <w:spacing w:after="0"/>
              <w:rPr>
                <w:sz w:val="17"/>
                <w:szCs w:val="17"/>
                <w:color w:val="auto"/>
              </w:rPr>
            </w:pPr>
          </w:p>
        </w:tc>
        <w:tc>
          <w:tcPr>
            <w:tcW w:w="3760" w:type="dxa"/>
            <w:vAlign w:val="bottom"/>
            <w:tcBorders>
              <w:bottom w:val="single" w:sz="8" w:color="3465B0"/>
            </w:tcBorders>
            <w:gridSpan w:val="22"/>
          </w:tcPr>
          <w:p>
            <w:pPr>
              <w:spacing w:after="0" w:line="196" w:lineRule="exact"/>
              <w:rPr>
                <w:rFonts w:ascii="Calibri" w:cs="Calibri" w:eastAsia="Calibri" w:hAnsi="Calibri"/>
                <w:sz w:val="18"/>
                <w:szCs w:val="18"/>
                <w:color w:val="3465B0"/>
                <w:w w:val="97"/>
              </w:rPr>
            </w:pPr>
            <w:hyperlink r:id="rId531">
              <w:r>
                <w:rPr>
                  <w:rFonts w:ascii="Calibri" w:cs="Calibri" w:eastAsia="Calibri" w:hAnsi="Calibri"/>
                  <w:sz w:val="18"/>
                  <w:szCs w:val="18"/>
                  <w:color w:val="3465B0"/>
                  <w:w w:val="97"/>
                </w:rPr>
                <w:t>between FSP Addison Circle Limited Partnership and</w:t>
              </w:r>
            </w:hyperlink>
          </w:p>
        </w:tc>
        <w:tc>
          <w:tcPr>
            <w:tcW w:w="20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1"/>
          </w:tcPr>
          <w:p>
            <w:pPr>
              <w:spacing w:after="0" w:line="196" w:lineRule="exact"/>
              <w:rPr>
                <w:rFonts w:ascii="Calibri" w:cs="Calibri" w:eastAsia="Calibri" w:hAnsi="Calibri"/>
                <w:sz w:val="18"/>
                <w:szCs w:val="18"/>
                <w:color w:val="3465B0"/>
              </w:rPr>
            </w:pPr>
            <w:hyperlink r:id="rId531">
              <w:r>
                <w:rPr>
                  <w:rFonts w:ascii="Calibri" w:cs="Calibri" w:eastAsia="Calibri" w:hAnsi="Calibri"/>
                  <w:sz w:val="18"/>
                  <w:szCs w:val="18"/>
                  <w:color w:val="3465B0"/>
                </w:rPr>
                <w:t>CarOfer, LLC.*</w:t>
              </w:r>
            </w:hyperlink>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60" w:type="dxa"/>
            <w:vAlign w:val="bottom"/>
            <w:shd w:val="clear" w:color="auto" w:fill="3465B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10.32</w:t>
            </w:r>
          </w:p>
        </w:tc>
        <w:tc>
          <w:tcPr>
            <w:tcW w:w="3720" w:type="dxa"/>
            <w:vAlign w:val="bottom"/>
            <w:tcBorders>
              <w:bottom w:val="single" w:sz="8" w:color="3465B0"/>
            </w:tcBorders>
            <w:gridSpan w:val="20"/>
          </w:tcPr>
          <w:p>
            <w:pPr>
              <w:spacing w:after="0" w:line="196" w:lineRule="exact"/>
              <w:rPr>
                <w:rFonts w:ascii="Calibri" w:cs="Calibri" w:eastAsia="Calibri" w:hAnsi="Calibri"/>
                <w:sz w:val="18"/>
                <w:szCs w:val="18"/>
                <w:color w:val="3465B0"/>
              </w:rPr>
            </w:pPr>
            <w:hyperlink r:id="rId532">
              <w:r>
                <w:rPr>
                  <w:rFonts w:ascii="Calibri" w:cs="Calibri" w:eastAsia="Calibri" w:hAnsi="Calibri"/>
                  <w:sz w:val="18"/>
                  <w:szCs w:val="18"/>
                  <w:color w:val="3465B0"/>
                </w:rPr>
                <w:t>First Amendment to Ofce Lease Agreement, dated</w:t>
              </w:r>
            </w:hyperlink>
          </w:p>
        </w:tc>
        <w:tc>
          <w:tcPr>
            <w:tcW w:w="240" w:type="dxa"/>
            <w:vAlign w:val="bottom"/>
            <w:gridSpan w:val="11"/>
          </w:tcPr>
          <w:p>
            <w:pPr>
              <w:spacing w:after="0"/>
              <w:rPr>
                <w:sz w:val="17"/>
                <w:szCs w:val="17"/>
                <w:color w:val="auto"/>
              </w:rPr>
            </w:pPr>
          </w:p>
        </w:tc>
        <w:tc>
          <w:tcPr>
            <w:tcW w:w="880" w:type="dxa"/>
            <w:vAlign w:val="bottom"/>
          </w:tcPr>
          <w:p>
            <w:pPr>
              <w:ind w:left="300"/>
              <w:spacing w:after="0" w:line="196" w:lineRule="exact"/>
              <w:rPr>
                <w:sz w:val="20"/>
                <w:szCs w:val="20"/>
                <w:color w:val="auto"/>
              </w:rPr>
            </w:pPr>
            <w:r>
              <w:rPr>
                <w:rFonts w:ascii="Calibri" w:cs="Calibri" w:eastAsia="Calibri" w:hAnsi="Calibri"/>
                <w:sz w:val="18"/>
                <w:szCs w:val="18"/>
                <w:color w:val="auto"/>
              </w:rPr>
              <w:t>10-K</w:t>
            </w:r>
          </w:p>
        </w:tc>
        <w:tc>
          <w:tcPr>
            <w:tcW w:w="1240" w:type="dxa"/>
            <w:vAlign w:val="bottom"/>
          </w:tcPr>
          <w:p>
            <w:pPr>
              <w:jc w:val="right"/>
              <w:ind w:right="150"/>
              <w:spacing w:after="0" w:line="196" w:lineRule="exact"/>
              <w:rPr>
                <w:sz w:val="20"/>
                <w:szCs w:val="20"/>
                <w:color w:val="auto"/>
              </w:rPr>
            </w:pPr>
            <w:r>
              <w:rPr>
                <w:rFonts w:ascii="Calibri" w:cs="Calibri" w:eastAsia="Calibri" w:hAnsi="Calibri"/>
                <w:sz w:val="18"/>
                <w:szCs w:val="18"/>
                <w:color w:val="auto"/>
              </w:rPr>
              <w:t>001-38233</w:t>
            </w:r>
          </w:p>
        </w:tc>
        <w:tc>
          <w:tcPr>
            <w:tcW w:w="188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February 26, 2024</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w w:val="97"/>
              </w:rPr>
              <w:t>10.32</w:t>
            </w:r>
          </w:p>
        </w:tc>
      </w:tr>
      <w:tr>
        <w:trPr>
          <w:trHeight w:val="196"/>
        </w:trPr>
        <w:tc>
          <w:tcPr>
            <w:tcW w:w="1260" w:type="dxa"/>
            <w:vAlign w:val="bottom"/>
          </w:tcPr>
          <w:p>
            <w:pPr>
              <w:spacing w:after="0"/>
              <w:rPr>
                <w:sz w:val="17"/>
                <w:szCs w:val="17"/>
                <w:color w:val="auto"/>
              </w:rPr>
            </w:pPr>
          </w:p>
        </w:tc>
        <w:tc>
          <w:tcPr>
            <w:tcW w:w="3960" w:type="dxa"/>
            <w:vAlign w:val="bottom"/>
            <w:tcBorders>
              <w:bottom w:val="single" w:sz="8" w:color="3465B0"/>
            </w:tcBorders>
            <w:gridSpan w:val="31"/>
          </w:tcPr>
          <w:p>
            <w:pPr>
              <w:spacing w:after="0" w:line="196" w:lineRule="exact"/>
              <w:rPr>
                <w:rFonts w:ascii="Calibri" w:cs="Calibri" w:eastAsia="Calibri" w:hAnsi="Calibri"/>
                <w:sz w:val="18"/>
                <w:szCs w:val="18"/>
                <w:color w:val="3465B0"/>
                <w:w w:val="98"/>
              </w:rPr>
            </w:pPr>
            <w:hyperlink r:id="rId532">
              <w:r>
                <w:rPr>
                  <w:rFonts w:ascii="Calibri" w:cs="Calibri" w:eastAsia="Calibri" w:hAnsi="Calibri"/>
                  <w:sz w:val="18"/>
                  <w:szCs w:val="18"/>
                  <w:color w:val="3465B0"/>
                  <w:w w:val="98"/>
                </w:rPr>
                <w:t>November 1, 2023, by and between FSP Addison Circle</w:t>
              </w:r>
            </w:hyperlink>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1"/>
          </w:tcPr>
          <w:p>
            <w:pPr>
              <w:spacing w:after="0" w:line="196" w:lineRule="exact"/>
              <w:rPr>
                <w:rFonts w:ascii="Calibri" w:cs="Calibri" w:eastAsia="Calibri" w:hAnsi="Calibri"/>
                <w:sz w:val="18"/>
                <w:szCs w:val="18"/>
                <w:color w:val="3465B0"/>
              </w:rPr>
            </w:pPr>
            <w:hyperlink r:id="rId532">
              <w:r>
                <w:rPr>
                  <w:rFonts w:ascii="Calibri" w:cs="Calibri" w:eastAsia="Calibri" w:hAnsi="Calibri"/>
                  <w:sz w:val="18"/>
                  <w:szCs w:val="18"/>
                  <w:color w:val="3465B0"/>
                </w:rPr>
                <w:t>Limited Partnership and CarOfer, LLC.</w:t>
              </w:r>
            </w:hyperlink>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680" w:type="dxa"/>
            <w:vAlign w:val="bottom"/>
            <w:gridSpan w:val="3"/>
            <w:shd w:val="clear" w:color="auto" w:fill="3465B0"/>
          </w:tcPr>
          <w:p>
            <w:pPr>
              <w:spacing w:after="0" w:line="20" w:lineRule="exact"/>
              <w:rPr>
                <w:sz w:val="1"/>
                <w:szCs w:val="1"/>
                <w:color w:val="auto"/>
              </w:rPr>
            </w:pPr>
          </w:p>
        </w:tc>
        <w:tc>
          <w:tcPr>
            <w:tcW w:w="80" w:type="dxa"/>
            <w:vAlign w:val="bottom"/>
            <w:shd w:val="clear" w:color="auto" w:fill="3465B0"/>
          </w:tcPr>
          <w:p>
            <w:pPr>
              <w:spacing w:after="0" w:line="20" w:lineRule="exact"/>
              <w:rPr>
                <w:sz w:val="1"/>
                <w:szCs w:val="1"/>
                <w:color w:val="auto"/>
              </w:rPr>
            </w:pPr>
          </w:p>
        </w:tc>
        <w:tc>
          <w:tcPr>
            <w:tcW w:w="460" w:type="dxa"/>
            <w:vAlign w:val="bottom"/>
            <w:shd w:val="clear" w:color="auto" w:fill="3465B0"/>
          </w:tcPr>
          <w:p>
            <w:pPr>
              <w:spacing w:after="0" w:line="20" w:lineRule="exact"/>
              <w:rPr>
                <w:sz w:val="1"/>
                <w:szCs w:val="1"/>
                <w:color w:val="auto"/>
              </w:rPr>
            </w:pPr>
          </w:p>
        </w:tc>
        <w:tc>
          <w:tcPr>
            <w:tcW w:w="100" w:type="dxa"/>
            <w:vAlign w:val="bottom"/>
            <w:shd w:val="clear" w:color="auto" w:fill="3465B0"/>
          </w:tcPr>
          <w:p>
            <w:pPr>
              <w:spacing w:after="0" w:line="20" w:lineRule="exact"/>
              <w:rPr>
                <w:sz w:val="1"/>
                <w:szCs w:val="1"/>
                <w:color w:val="auto"/>
              </w:rPr>
            </w:pPr>
          </w:p>
        </w:tc>
        <w:tc>
          <w:tcPr>
            <w:tcW w:w="260" w:type="dxa"/>
            <w:vAlign w:val="bottom"/>
            <w:shd w:val="clear" w:color="auto" w:fill="3465B0"/>
          </w:tcPr>
          <w:p>
            <w:pPr>
              <w:spacing w:after="0" w:line="20" w:lineRule="exact"/>
              <w:rPr>
                <w:sz w:val="1"/>
                <w:szCs w:val="1"/>
                <w:color w:val="auto"/>
              </w:rPr>
            </w:pPr>
          </w:p>
        </w:tc>
        <w:tc>
          <w:tcPr>
            <w:tcW w:w="20" w:type="dxa"/>
            <w:vAlign w:val="bottom"/>
            <w:shd w:val="clear" w:color="auto" w:fill="3465B0"/>
          </w:tcPr>
          <w:p>
            <w:pPr>
              <w:spacing w:after="0" w:line="20" w:lineRule="exact"/>
              <w:rPr>
                <w:sz w:val="1"/>
                <w:szCs w:val="1"/>
                <w:color w:val="auto"/>
              </w:rPr>
            </w:pPr>
          </w:p>
        </w:tc>
        <w:tc>
          <w:tcPr>
            <w:tcW w:w="120" w:type="dxa"/>
            <w:vAlign w:val="bottom"/>
            <w:shd w:val="clear" w:color="auto" w:fill="3465B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10.33</w:t>
            </w:r>
          </w:p>
        </w:tc>
        <w:tc>
          <w:tcPr>
            <w:tcW w:w="3280" w:type="dxa"/>
            <w:vAlign w:val="bottom"/>
            <w:tcBorders>
              <w:bottom w:val="single" w:sz="8" w:color="3465B0"/>
            </w:tcBorders>
            <w:gridSpan w:val="12"/>
          </w:tcPr>
          <w:p>
            <w:pPr>
              <w:spacing w:after="0" w:line="196" w:lineRule="exact"/>
              <w:rPr>
                <w:rFonts w:ascii="Calibri" w:cs="Calibri" w:eastAsia="Calibri" w:hAnsi="Calibri"/>
                <w:sz w:val="18"/>
                <w:szCs w:val="18"/>
                <w:color w:val="3465B0"/>
                <w:w w:val="97"/>
              </w:rPr>
            </w:pPr>
            <w:hyperlink r:id="rId533">
              <w:r>
                <w:rPr>
                  <w:rFonts w:ascii="Calibri" w:cs="Calibri" w:eastAsia="Calibri" w:hAnsi="Calibri"/>
                  <w:sz w:val="18"/>
                  <w:szCs w:val="18"/>
                  <w:color w:val="3465B0"/>
                  <w:w w:val="97"/>
                </w:rPr>
                <w:t>Third Amended and Restated Limited Liability</w:t>
              </w:r>
            </w:hyperlink>
          </w:p>
        </w:tc>
        <w:tc>
          <w:tcPr>
            <w:tcW w:w="680" w:type="dxa"/>
            <w:vAlign w:val="bottom"/>
            <w:gridSpan w:val="19"/>
          </w:tcPr>
          <w:p>
            <w:pPr>
              <w:spacing w:after="0"/>
              <w:rPr>
                <w:sz w:val="17"/>
                <w:szCs w:val="17"/>
                <w:color w:val="auto"/>
              </w:rPr>
            </w:pPr>
          </w:p>
        </w:tc>
        <w:tc>
          <w:tcPr>
            <w:tcW w:w="880" w:type="dxa"/>
            <w:vAlign w:val="bottom"/>
          </w:tcPr>
          <w:p>
            <w:pPr>
              <w:ind w:left="300"/>
              <w:spacing w:after="0" w:line="196" w:lineRule="exact"/>
              <w:rPr>
                <w:sz w:val="20"/>
                <w:szCs w:val="20"/>
                <w:color w:val="auto"/>
              </w:rPr>
            </w:pPr>
            <w:r>
              <w:rPr>
                <w:rFonts w:ascii="Calibri" w:cs="Calibri" w:eastAsia="Calibri" w:hAnsi="Calibri"/>
                <w:sz w:val="18"/>
                <w:szCs w:val="18"/>
                <w:color w:val="auto"/>
              </w:rPr>
              <w:t>10-K</w:t>
            </w:r>
          </w:p>
        </w:tc>
        <w:tc>
          <w:tcPr>
            <w:tcW w:w="1240" w:type="dxa"/>
            <w:vAlign w:val="bottom"/>
          </w:tcPr>
          <w:p>
            <w:pPr>
              <w:jc w:val="right"/>
              <w:ind w:right="150"/>
              <w:spacing w:after="0" w:line="196" w:lineRule="exact"/>
              <w:rPr>
                <w:sz w:val="20"/>
                <w:szCs w:val="20"/>
                <w:color w:val="auto"/>
              </w:rPr>
            </w:pPr>
            <w:r>
              <w:rPr>
                <w:rFonts w:ascii="Calibri" w:cs="Calibri" w:eastAsia="Calibri" w:hAnsi="Calibri"/>
                <w:sz w:val="18"/>
                <w:szCs w:val="18"/>
                <w:color w:val="auto"/>
              </w:rPr>
              <w:t>001-38233</w:t>
            </w:r>
          </w:p>
        </w:tc>
        <w:tc>
          <w:tcPr>
            <w:tcW w:w="188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February 25, 2022</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w w:val="97"/>
              </w:rPr>
              <w:t>10.27</w:t>
            </w:r>
          </w:p>
        </w:tc>
      </w:tr>
      <w:tr>
        <w:trPr>
          <w:trHeight w:val="196"/>
        </w:trPr>
        <w:tc>
          <w:tcPr>
            <w:tcW w:w="1260" w:type="dxa"/>
            <w:vAlign w:val="bottom"/>
          </w:tcPr>
          <w:p>
            <w:pPr>
              <w:spacing w:after="0"/>
              <w:rPr>
                <w:sz w:val="17"/>
                <w:szCs w:val="17"/>
                <w:color w:val="auto"/>
              </w:rPr>
            </w:pPr>
          </w:p>
        </w:tc>
        <w:tc>
          <w:tcPr>
            <w:tcW w:w="3760" w:type="dxa"/>
            <w:vAlign w:val="bottom"/>
            <w:tcBorders>
              <w:bottom w:val="single" w:sz="8" w:color="3465B0"/>
            </w:tcBorders>
            <w:gridSpan w:val="22"/>
          </w:tcPr>
          <w:p>
            <w:pPr>
              <w:spacing w:after="0" w:line="196" w:lineRule="exact"/>
              <w:rPr>
                <w:rFonts w:ascii="Calibri" w:cs="Calibri" w:eastAsia="Calibri" w:hAnsi="Calibri"/>
                <w:sz w:val="18"/>
                <w:szCs w:val="18"/>
                <w:color w:val="3465B0"/>
                <w:w w:val="98"/>
              </w:rPr>
            </w:pPr>
            <w:hyperlink r:id="rId533">
              <w:r>
                <w:rPr>
                  <w:rFonts w:ascii="Calibri" w:cs="Calibri" w:eastAsia="Calibri" w:hAnsi="Calibri"/>
                  <w:sz w:val="18"/>
                  <w:szCs w:val="18"/>
                  <w:color w:val="3465B0"/>
                  <w:w w:val="98"/>
                </w:rPr>
                <w:t>Company Agreement, dated November 23, 2021, by</w:t>
              </w:r>
            </w:hyperlink>
          </w:p>
        </w:tc>
        <w:tc>
          <w:tcPr>
            <w:tcW w:w="20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80" w:type="dxa"/>
            <w:vAlign w:val="bottom"/>
            <w:tcBorders>
              <w:bottom w:val="single" w:sz="8" w:color="3465B0"/>
            </w:tcBorders>
            <w:gridSpan w:val="18"/>
          </w:tcPr>
          <w:p>
            <w:pPr>
              <w:spacing w:after="0" w:line="196" w:lineRule="exact"/>
              <w:rPr>
                <w:rFonts w:ascii="Calibri" w:cs="Calibri" w:eastAsia="Calibri" w:hAnsi="Calibri"/>
                <w:sz w:val="18"/>
                <w:szCs w:val="18"/>
                <w:color w:val="3465B0"/>
                <w:w w:val="98"/>
              </w:rPr>
            </w:pPr>
            <w:hyperlink r:id="rId533">
              <w:r>
                <w:rPr>
                  <w:rFonts w:ascii="Calibri" w:cs="Calibri" w:eastAsia="Calibri" w:hAnsi="Calibri"/>
                  <w:sz w:val="18"/>
                  <w:szCs w:val="18"/>
                  <w:color w:val="3465B0"/>
                  <w:w w:val="98"/>
                </w:rPr>
                <w:t>and among the Registrant, TopCo, the Members of</w:t>
              </w:r>
            </w:hyperlink>
          </w:p>
        </w:tc>
        <w:tc>
          <w:tcPr>
            <w:tcW w:w="280" w:type="dxa"/>
            <w:vAlign w:val="bottom"/>
            <w:gridSpan w:val="13"/>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1"/>
          </w:tcPr>
          <w:p>
            <w:pPr>
              <w:spacing w:after="0" w:line="196" w:lineRule="exact"/>
              <w:rPr>
                <w:rFonts w:ascii="Calibri" w:cs="Calibri" w:eastAsia="Calibri" w:hAnsi="Calibri"/>
                <w:sz w:val="18"/>
                <w:szCs w:val="18"/>
                <w:color w:val="3465B0"/>
              </w:rPr>
            </w:pPr>
            <w:hyperlink r:id="rId533">
              <w:r>
                <w:rPr>
                  <w:rFonts w:ascii="Calibri" w:cs="Calibri" w:eastAsia="Calibri" w:hAnsi="Calibri"/>
                  <w:sz w:val="18"/>
                  <w:szCs w:val="18"/>
                  <w:color w:val="3465B0"/>
                </w:rPr>
                <w:t>TopCo, and CarOfer MidCo, LLC.</w:t>
              </w:r>
            </w:hyperlink>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680" w:type="dxa"/>
            <w:vAlign w:val="bottom"/>
            <w:gridSpan w:val="3"/>
            <w:shd w:val="clear" w:color="auto" w:fill="3465B0"/>
          </w:tcPr>
          <w:p>
            <w:pPr>
              <w:spacing w:after="0" w:line="20" w:lineRule="exact"/>
              <w:rPr>
                <w:sz w:val="1"/>
                <w:szCs w:val="1"/>
                <w:color w:val="auto"/>
              </w:rPr>
            </w:pPr>
          </w:p>
        </w:tc>
        <w:tc>
          <w:tcPr>
            <w:tcW w:w="80" w:type="dxa"/>
            <w:vAlign w:val="bottom"/>
            <w:shd w:val="clear" w:color="auto" w:fill="3465B0"/>
          </w:tcPr>
          <w:p>
            <w:pPr>
              <w:spacing w:after="0" w:line="20" w:lineRule="exact"/>
              <w:rPr>
                <w:sz w:val="1"/>
                <w:szCs w:val="1"/>
                <w:color w:val="auto"/>
              </w:rPr>
            </w:pPr>
          </w:p>
        </w:tc>
        <w:tc>
          <w:tcPr>
            <w:tcW w:w="460" w:type="dxa"/>
            <w:vAlign w:val="bottom"/>
            <w:shd w:val="clear" w:color="auto" w:fill="3465B0"/>
          </w:tcPr>
          <w:p>
            <w:pPr>
              <w:spacing w:after="0" w:line="20" w:lineRule="exact"/>
              <w:rPr>
                <w:sz w:val="1"/>
                <w:szCs w:val="1"/>
                <w:color w:val="auto"/>
              </w:rPr>
            </w:pPr>
          </w:p>
        </w:tc>
        <w:tc>
          <w:tcPr>
            <w:tcW w:w="100" w:type="dxa"/>
            <w:vAlign w:val="bottom"/>
            <w:shd w:val="clear" w:color="auto" w:fill="3465B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10.34</w:t>
            </w:r>
          </w:p>
        </w:tc>
        <w:tc>
          <w:tcPr>
            <w:tcW w:w="3760" w:type="dxa"/>
            <w:vAlign w:val="bottom"/>
            <w:tcBorders>
              <w:bottom w:val="single" w:sz="8" w:color="3465B0"/>
            </w:tcBorders>
            <w:gridSpan w:val="22"/>
          </w:tcPr>
          <w:p>
            <w:pPr>
              <w:spacing w:after="0" w:line="196" w:lineRule="exact"/>
              <w:rPr>
                <w:rFonts w:ascii="Calibri" w:cs="Calibri" w:eastAsia="Calibri" w:hAnsi="Calibri"/>
                <w:sz w:val="18"/>
                <w:szCs w:val="18"/>
                <w:color w:val="3465B0"/>
                <w:w w:val="98"/>
              </w:rPr>
            </w:pPr>
            <w:hyperlink r:id="rId534">
              <w:r>
                <w:rPr>
                  <w:rFonts w:ascii="Calibri" w:cs="Calibri" w:eastAsia="Calibri" w:hAnsi="Calibri"/>
                  <w:sz w:val="18"/>
                  <w:szCs w:val="18"/>
                  <w:color w:val="3465B0"/>
                  <w:w w:val="98"/>
                </w:rPr>
                <w:t>Correctve Amendment, dated May 6, 2022, to Third</w:t>
              </w:r>
            </w:hyperlink>
          </w:p>
        </w:tc>
        <w:tc>
          <w:tcPr>
            <w:tcW w:w="200" w:type="dxa"/>
            <w:vAlign w:val="bottom"/>
            <w:gridSpan w:val="9"/>
          </w:tcPr>
          <w:p>
            <w:pPr>
              <w:spacing w:after="0"/>
              <w:rPr>
                <w:sz w:val="17"/>
                <w:szCs w:val="17"/>
                <w:color w:val="auto"/>
              </w:rPr>
            </w:pPr>
          </w:p>
        </w:tc>
        <w:tc>
          <w:tcPr>
            <w:tcW w:w="880" w:type="dxa"/>
            <w:vAlign w:val="bottom"/>
          </w:tcPr>
          <w:p>
            <w:pPr>
              <w:ind w:left="280"/>
              <w:spacing w:after="0" w:line="196" w:lineRule="exact"/>
              <w:rPr>
                <w:sz w:val="20"/>
                <w:szCs w:val="20"/>
                <w:color w:val="auto"/>
              </w:rPr>
            </w:pPr>
            <w:r>
              <w:rPr>
                <w:rFonts w:ascii="Calibri" w:cs="Calibri" w:eastAsia="Calibri" w:hAnsi="Calibri"/>
                <w:sz w:val="18"/>
                <w:szCs w:val="18"/>
                <w:color w:val="auto"/>
              </w:rPr>
              <w:t>10-Q</w:t>
            </w:r>
          </w:p>
        </w:tc>
        <w:tc>
          <w:tcPr>
            <w:tcW w:w="1240" w:type="dxa"/>
            <w:vAlign w:val="bottom"/>
          </w:tcPr>
          <w:p>
            <w:pPr>
              <w:jc w:val="right"/>
              <w:ind w:right="150"/>
              <w:spacing w:after="0" w:line="196" w:lineRule="exact"/>
              <w:rPr>
                <w:sz w:val="20"/>
                <w:szCs w:val="20"/>
                <w:color w:val="auto"/>
              </w:rPr>
            </w:pPr>
            <w:r>
              <w:rPr>
                <w:rFonts w:ascii="Calibri" w:cs="Calibri" w:eastAsia="Calibri" w:hAnsi="Calibri"/>
                <w:sz w:val="18"/>
                <w:szCs w:val="18"/>
                <w:color w:val="auto"/>
              </w:rPr>
              <w:t>001-38233</w:t>
            </w:r>
          </w:p>
        </w:tc>
        <w:tc>
          <w:tcPr>
            <w:tcW w:w="188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May 9, 2022</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10.5</w:t>
            </w:r>
          </w:p>
        </w:tc>
      </w:tr>
      <w:tr>
        <w:trPr>
          <w:trHeight w:val="196"/>
        </w:trPr>
        <w:tc>
          <w:tcPr>
            <w:tcW w:w="1260" w:type="dxa"/>
            <w:vAlign w:val="bottom"/>
          </w:tcPr>
          <w:p>
            <w:pPr>
              <w:spacing w:after="0"/>
              <w:rPr>
                <w:sz w:val="17"/>
                <w:szCs w:val="17"/>
                <w:color w:val="auto"/>
              </w:rPr>
            </w:pPr>
          </w:p>
        </w:tc>
        <w:tc>
          <w:tcPr>
            <w:tcW w:w="3580" w:type="dxa"/>
            <w:vAlign w:val="bottom"/>
            <w:tcBorders>
              <w:bottom w:val="single" w:sz="8" w:color="3465B0"/>
            </w:tcBorders>
            <w:gridSpan w:val="16"/>
          </w:tcPr>
          <w:p>
            <w:pPr>
              <w:spacing w:after="0" w:line="196" w:lineRule="exact"/>
              <w:rPr>
                <w:rFonts w:ascii="Calibri" w:cs="Calibri" w:eastAsia="Calibri" w:hAnsi="Calibri"/>
                <w:sz w:val="18"/>
                <w:szCs w:val="18"/>
                <w:color w:val="3465B0"/>
                <w:w w:val="97"/>
              </w:rPr>
            </w:pPr>
            <w:hyperlink r:id="rId534">
              <w:r>
                <w:rPr>
                  <w:rFonts w:ascii="Calibri" w:cs="Calibri" w:eastAsia="Calibri" w:hAnsi="Calibri"/>
                  <w:sz w:val="18"/>
                  <w:szCs w:val="18"/>
                  <w:color w:val="3465B0"/>
                  <w:w w:val="97"/>
                </w:rPr>
                <w:t>Amended and Restated Limited Liability Company</w:t>
              </w:r>
            </w:hyperlink>
          </w:p>
        </w:tc>
        <w:tc>
          <w:tcPr>
            <w:tcW w:w="38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tcBorders>
              <w:bottom w:val="single" w:sz="8" w:color="3465B0"/>
            </w:tcBorders>
            <w:gridSpan w:val="31"/>
          </w:tcPr>
          <w:p>
            <w:pPr>
              <w:spacing w:after="0" w:line="196" w:lineRule="exact"/>
              <w:rPr>
                <w:rFonts w:ascii="Calibri" w:cs="Calibri" w:eastAsia="Calibri" w:hAnsi="Calibri"/>
                <w:sz w:val="18"/>
                <w:szCs w:val="18"/>
                <w:color w:val="3465B0"/>
                <w:w w:val="98"/>
              </w:rPr>
            </w:pPr>
            <w:hyperlink r:id="rId534">
              <w:r>
                <w:rPr>
                  <w:rFonts w:ascii="Calibri" w:cs="Calibri" w:eastAsia="Calibri" w:hAnsi="Calibri"/>
                  <w:sz w:val="18"/>
                  <w:szCs w:val="18"/>
                  <w:color w:val="3465B0"/>
                  <w:w w:val="98"/>
                </w:rPr>
                <w:t>Agreement of CarOfer, LLC, dated November 23, 2021,</w:t>
              </w:r>
            </w:hyperlink>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700" w:type="dxa"/>
            <w:vAlign w:val="bottom"/>
            <w:tcBorders>
              <w:bottom w:val="single" w:sz="8" w:color="3465B0"/>
            </w:tcBorders>
            <w:gridSpan w:val="19"/>
          </w:tcPr>
          <w:p>
            <w:pPr>
              <w:spacing w:after="0" w:line="196" w:lineRule="exact"/>
              <w:rPr>
                <w:rFonts w:ascii="Calibri" w:cs="Calibri" w:eastAsia="Calibri" w:hAnsi="Calibri"/>
                <w:sz w:val="18"/>
                <w:szCs w:val="18"/>
                <w:color w:val="3465B0"/>
                <w:w w:val="99"/>
              </w:rPr>
            </w:pPr>
            <w:hyperlink r:id="rId534">
              <w:r>
                <w:rPr>
                  <w:rFonts w:ascii="Calibri" w:cs="Calibri" w:eastAsia="Calibri" w:hAnsi="Calibri"/>
                  <w:sz w:val="18"/>
                  <w:szCs w:val="18"/>
                  <w:color w:val="3465B0"/>
                  <w:w w:val="99"/>
                </w:rPr>
                <w:t>by and among the Registrant, CarOfer, LLC, TopCo,</w:t>
              </w:r>
            </w:hyperlink>
          </w:p>
        </w:tc>
        <w:tc>
          <w:tcPr>
            <w:tcW w:w="260" w:type="dxa"/>
            <w:vAlign w:val="bottom"/>
            <w:gridSpan w:val="12"/>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1"/>
          </w:tcPr>
          <w:p>
            <w:pPr>
              <w:spacing w:after="0" w:line="196" w:lineRule="exact"/>
              <w:rPr>
                <w:rFonts w:ascii="Calibri" w:cs="Calibri" w:eastAsia="Calibri" w:hAnsi="Calibri"/>
                <w:sz w:val="18"/>
                <w:szCs w:val="18"/>
                <w:color w:val="3465B0"/>
              </w:rPr>
            </w:pPr>
            <w:hyperlink r:id="rId534">
              <w:r>
                <w:rPr>
                  <w:rFonts w:ascii="Calibri" w:cs="Calibri" w:eastAsia="Calibri" w:hAnsi="Calibri"/>
                  <w:sz w:val="18"/>
                  <w:szCs w:val="18"/>
                  <w:color w:val="3465B0"/>
                </w:rPr>
                <w:t>and CarOfer Midco, LLC.</w:t>
              </w:r>
            </w:hyperlink>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680" w:type="dxa"/>
            <w:vAlign w:val="bottom"/>
            <w:gridSpan w:val="3"/>
            <w:shd w:val="clear" w:color="auto" w:fill="3465B0"/>
          </w:tcPr>
          <w:p>
            <w:pPr>
              <w:spacing w:after="0" w:line="20" w:lineRule="exact"/>
              <w:rPr>
                <w:sz w:val="1"/>
                <w:szCs w:val="1"/>
                <w:color w:val="auto"/>
              </w:rPr>
            </w:pPr>
          </w:p>
        </w:tc>
        <w:tc>
          <w:tcPr>
            <w:tcW w:w="80" w:type="dxa"/>
            <w:vAlign w:val="bottom"/>
            <w:shd w:val="clear" w:color="auto" w:fill="3465B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7"/>
              </w:rPr>
              <w:t>10.35</w:t>
            </w:r>
          </w:p>
        </w:tc>
        <w:tc>
          <w:tcPr>
            <w:tcW w:w="3860" w:type="dxa"/>
            <w:vAlign w:val="bottom"/>
            <w:tcBorders>
              <w:bottom w:val="single" w:sz="8" w:color="3465B0"/>
            </w:tcBorders>
            <w:gridSpan w:val="27"/>
          </w:tcPr>
          <w:p>
            <w:pPr>
              <w:spacing w:after="0" w:line="196" w:lineRule="exact"/>
              <w:rPr>
                <w:rFonts w:ascii="Calibri" w:cs="Calibri" w:eastAsia="Calibri" w:hAnsi="Calibri"/>
                <w:sz w:val="18"/>
                <w:szCs w:val="18"/>
                <w:color w:val="3465B0"/>
                <w:w w:val="98"/>
              </w:rPr>
            </w:pPr>
            <w:hyperlink r:id="rId535">
              <w:r>
                <w:rPr>
                  <w:rFonts w:ascii="Calibri" w:cs="Calibri" w:eastAsia="Calibri" w:hAnsi="Calibri"/>
                  <w:sz w:val="18"/>
                  <w:szCs w:val="18"/>
                  <w:color w:val="3465B0"/>
                  <w:w w:val="98"/>
                </w:rPr>
                <w:t>Credit Agreement, dated September 26, 2022, by and</w:t>
              </w:r>
            </w:hyperlink>
          </w:p>
        </w:tc>
        <w:tc>
          <w:tcPr>
            <w:tcW w:w="100" w:type="dxa"/>
            <w:vAlign w:val="bottom"/>
            <w:gridSpan w:val="4"/>
          </w:tcPr>
          <w:p>
            <w:pPr>
              <w:spacing w:after="0"/>
              <w:rPr>
                <w:sz w:val="17"/>
                <w:szCs w:val="17"/>
                <w:color w:val="auto"/>
              </w:rPr>
            </w:pPr>
          </w:p>
        </w:tc>
        <w:tc>
          <w:tcPr>
            <w:tcW w:w="880" w:type="dxa"/>
            <w:vAlign w:val="bottom"/>
          </w:tcPr>
          <w:p>
            <w:pPr>
              <w:ind w:left="340"/>
              <w:spacing w:after="0" w:line="196" w:lineRule="exact"/>
              <w:rPr>
                <w:sz w:val="20"/>
                <w:szCs w:val="20"/>
                <w:color w:val="auto"/>
              </w:rPr>
            </w:pPr>
            <w:r>
              <w:rPr>
                <w:rFonts w:ascii="Calibri" w:cs="Calibri" w:eastAsia="Calibri" w:hAnsi="Calibri"/>
                <w:sz w:val="18"/>
                <w:szCs w:val="18"/>
                <w:color w:val="auto"/>
              </w:rPr>
              <w:t>8-K</w:t>
            </w:r>
          </w:p>
        </w:tc>
        <w:tc>
          <w:tcPr>
            <w:tcW w:w="1240" w:type="dxa"/>
            <w:vAlign w:val="bottom"/>
          </w:tcPr>
          <w:p>
            <w:pPr>
              <w:jc w:val="right"/>
              <w:ind w:right="150"/>
              <w:spacing w:after="0" w:line="196" w:lineRule="exact"/>
              <w:rPr>
                <w:sz w:val="20"/>
                <w:szCs w:val="20"/>
                <w:color w:val="auto"/>
              </w:rPr>
            </w:pPr>
            <w:r>
              <w:rPr>
                <w:rFonts w:ascii="Calibri" w:cs="Calibri" w:eastAsia="Calibri" w:hAnsi="Calibri"/>
                <w:sz w:val="18"/>
                <w:szCs w:val="18"/>
                <w:color w:val="auto"/>
              </w:rPr>
              <w:t>001-38233</w:t>
            </w:r>
          </w:p>
        </w:tc>
        <w:tc>
          <w:tcPr>
            <w:tcW w:w="188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September 29, 2022</w:t>
            </w:r>
          </w:p>
        </w:tc>
        <w:tc>
          <w:tcPr>
            <w:tcW w:w="2020" w:type="dxa"/>
            <w:vAlign w:val="bottom"/>
          </w:tcPr>
          <w:p>
            <w:pPr>
              <w:jc w:val="center"/>
              <w:ind w:right="109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260" w:type="dxa"/>
            <w:vAlign w:val="bottom"/>
          </w:tcPr>
          <w:p>
            <w:pPr>
              <w:spacing w:after="0"/>
              <w:rPr>
                <w:sz w:val="17"/>
                <w:szCs w:val="17"/>
                <w:color w:val="auto"/>
              </w:rPr>
            </w:pPr>
          </w:p>
        </w:tc>
        <w:tc>
          <w:tcPr>
            <w:tcW w:w="3960" w:type="dxa"/>
            <w:vAlign w:val="bottom"/>
            <w:tcBorders>
              <w:bottom w:val="single" w:sz="8" w:color="3465B0"/>
            </w:tcBorders>
            <w:gridSpan w:val="31"/>
          </w:tcPr>
          <w:p>
            <w:pPr>
              <w:spacing w:after="0" w:line="196" w:lineRule="exact"/>
              <w:rPr>
                <w:rFonts w:ascii="Calibri" w:cs="Calibri" w:eastAsia="Calibri" w:hAnsi="Calibri"/>
                <w:sz w:val="18"/>
                <w:szCs w:val="18"/>
                <w:color w:val="3465B0"/>
                <w:w w:val="98"/>
              </w:rPr>
            </w:pPr>
            <w:hyperlink r:id="rId535">
              <w:r>
                <w:rPr>
                  <w:rFonts w:ascii="Calibri" w:cs="Calibri" w:eastAsia="Calibri" w:hAnsi="Calibri"/>
                  <w:sz w:val="18"/>
                  <w:szCs w:val="18"/>
                  <w:color w:val="3465B0"/>
                  <w:w w:val="98"/>
                </w:rPr>
                <w:t>among the Registrant, as borrower, PNC Bank, Natonal</w:t>
              </w:r>
            </w:hyperlink>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780" w:type="dxa"/>
            <w:vAlign w:val="bottom"/>
            <w:tcBorders>
              <w:bottom w:val="single" w:sz="8" w:color="3465B0"/>
            </w:tcBorders>
            <w:gridSpan w:val="23"/>
          </w:tcPr>
          <w:p>
            <w:pPr>
              <w:spacing w:after="0" w:line="196" w:lineRule="exact"/>
              <w:rPr>
                <w:rFonts w:ascii="Calibri" w:cs="Calibri" w:eastAsia="Calibri" w:hAnsi="Calibri"/>
                <w:sz w:val="18"/>
                <w:szCs w:val="18"/>
                <w:color w:val="3465B0"/>
                <w:w w:val="99"/>
              </w:rPr>
            </w:pPr>
            <w:hyperlink r:id="rId535">
              <w:r>
                <w:rPr>
                  <w:rFonts w:ascii="Calibri" w:cs="Calibri" w:eastAsia="Calibri" w:hAnsi="Calibri"/>
                  <w:sz w:val="18"/>
                  <w:szCs w:val="18"/>
                  <w:color w:val="3465B0"/>
                  <w:w w:val="99"/>
                </w:rPr>
                <w:t>Associaton, as administratve agent, collateral agent</w:t>
              </w:r>
            </w:hyperlink>
          </w:p>
        </w:tc>
        <w:tc>
          <w:tcPr>
            <w:tcW w:w="18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740" w:type="dxa"/>
            <w:vAlign w:val="bottom"/>
            <w:tcBorders>
              <w:bottom w:val="single" w:sz="8" w:color="3465B0"/>
            </w:tcBorders>
            <w:gridSpan w:val="21"/>
          </w:tcPr>
          <w:p>
            <w:pPr>
              <w:spacing w:after="0" w:line="196" w:lineRule="exact"/>
              <w:rPr>
                <w:rFonts w:ascii="Calibri" w:cs="Calibri" w:eastAsia="Calibri" w:hAnsi="Calibri"/>
                <w:sz w:val="18"/>
                <w:szCs w:val="18"/>
                <w:color w:val="3465B0"/>
                <w:w w:val="98"/>
              </w:rPr>
            </w:pPr>
            <w:hyperlink r:id="rId535">
              <w:r>
                <w:rPr>
                  <w:rFonts w:ascii="Calibri" w:cs="Calibri" w:eastAsia="Calibri" w:hAnsi="Calibri"/>
                  <w:sz w:val="18"/>
                  <w:szCs w:val="18"/>
                  <w:color w:val="3465B0"/>
                  <w:w w:val="98"/>
                </w:rPr>
                <w:t>and an L/C Issuer, and the other lenders, L/C Issuers</w:t>
              </w:r>
            </w:hyperlink>
          </w:p>
        </w:tc>
        <w:tc>
          <w:tcPr>
            <w:tcW w:w="22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1"/>
          </w:tcPr>
          <w:p>
            <w:pPr>
              <w:spacing w:after="0" w:line="196" w:lineRule="exact"/>
              <w:rPr>
                <w:rFonts w:ascii="Calibri" w:cs="Calibri" w:eastAsia="Calibri" w:hAnsi="Calibri"/>
                <w:sz w:val="18"/>
                <w:szCs w:val="18"/>
                <w:color w:val="3465B0"/>
              </w:rPr>
            </w:pPr>
            <w:hyperlink r:id="rId535">
              <w:r>
                <w:rPr>
                  <w:rFonts w:ascii="Calibri" w:cs="Calibri" w:eastAsia="Calibri" w:hAnsi="Calibri"/>
                  <w:sz w:val="18"/>
                  <w:szCs w:val="18"/>
                  <w:color w:val="3465B0"/>
                </w:rPr>
                <w:t>and other partes party thereto*</w:t>
              </w:r>
            </w:hyperlink>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680" w:type="dxa"/>
            <w:vAlign w:val="bottom"/>
            <w:gridSpan w:val="3"/>
            <w:shd w:val="clear" w:color="auto" w:fill="3465B0"/>
          </w:tcPr>
          <w:p>
            <w:pPr>
              <w:spacing w:after="0" w:line="20" w:lineRule="exact"/>
              <w:rPr>
                <w:sz w:val="1"/>
                <w:szCs w:val="1"/>
                <w:color w:val="auto"/>
              </w:rPr>
            </w:pPr>
          </w:p>
        </w:tc>
        <w:tc>
          <w:tcPr>
            <w:tcW w:w="540" w:type="dxa"/>
            <w:vAlign w:val="bottom"/>
            <w:gridSpan w:val="2"/>
            <w:shd w:val="clear" w:color="auto" w:fill="3465B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rPr>
              <w:t>19.1</w:t>
            </w:r>
          </w:p>
        </w:tc>
        <w:tc>
          <w:tcPr>
            <w:tcW w:w="3960" w:type="dxa"/>
            <w:vAlign w:val="bottom"/>
            <w:gridSpan w:val="31"/>
          </w:tcPr>
          <w:p>
            <w:pPr>
              <w:spacing w:after="0" w:line="196" w:lineRule="exact"/>
              <w:rPr>
                <w:sz w:val="20"/>
                <w:szCs w:val="20"/>
                <w:color w:val="auto"/>
              </w:rPr>
            </w:pPr>
            <w:r>
              <w:rPr>
                <w:rFonts w:ascii="Calibri" w:cs="Calibri" w:eastAsia="Calibri" w:hAnsi="Calibri"/>
                <w:sz w:val="18"/>
                <w:szCs w:val="18"/>
                <w:color w:val="3465B0"/>
              </w:rPr>
              <w:t>CarGurus, Inc. Insider Trading Policy.</w:t>
            </w: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ind w:left="1200"/>
              <w:spacing w:after="0" w:line="196" w:lineRule="exact"/>
              <w:rPr>
                <w:sz w:val="20"/>
                <w:szCs w:val="20"/>
                <w:color w:val="auto"/>
              </w:rPr>
            </w:pPr>
            <w:r>
              <w:rPr>
                <w:rFonts w:ascii="Calibri" w:cs="Calibri" w:eastAsia="Calibri" w:hAnsi="Calibri"/>
                <w:sz w:val="18"/>
                <w:szCs w:val="18"/>
                <w:color w:val="auto"/>
              </w:rPr>
              <w:t>X</w:t>
            </w: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rPr>
              <w:t>21.1</w:t>
            </w:r>
          </w:p>
        </w:tc>
        <w:tc>
          <w:tcPr>
            <w:tcW w:w="2600" w:type="dxa"/>
            <w:vAlign w:val="bottom"/>
            <w:tcBorders>
              <w:top w:val="single" w:sz="8" w:color="3465B0"/>
            </w:tcBorders>
            <w:gridSpan w:val="8"/>
          </w:tcPr>
          <w:p>
            <w:pPr>
              <w:spacing w:after="0" w:line="196" w:lineRule="exact"/>
              <w:rPr>
                <w:sz w:val="20"/>
                <w:szCs w:val="20"/>
                <w:color w:val="auto"/>
              </w:rPr>
            </w:pPr>
            <w:r>
              <w:rPr>
                <w:rFonts w:ascii="Calibri" w:cs="Calibri" w:eastAsia="Calibri" w:hAnsi="Calibri"/>
                <w:sz w:val="18"/>
                <w:szCs w:val="18"/>
                <w:color w:val="3465B0"/>
                <w:w w:val="97"/>
              </w:rPr>
              <w:t>List of Subsidiaries of the Registrant.</w:t>
            </w:r>
          </w:p>
        </w:tc>
        <w:tc>
          <w:tcPr>
            <w:tcW w:w="1360" w:type="dxa"/>
            <w:vAlign w:val="bottom"/>
            <w:gridSpan w:val="23"/>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ind w:left="1200"/>
              <w:spacing w:after="0" w:line="196" w:lineRule="exact"/>
              <w:rPr>
                <w:sz w:val="20"/>
                <w:szCs w:val="20"/>
                <w:color w:val="auto"/>
              </w:rPr>
            </w:pPr>
            <w:r>
              <w:rPr>
                <w:rFonts w:ascii="Calibri" w:cs="Calibri" w:eastAsia="Calibri" w:hAnsi="Calibri"/>
                <w:sz w:val="18"/>
                <w:szCs w:val="18"/>
                <w:color w:val="auto"/>
              </w:rPr>
              <w:t>X</w:t>
            </w:r>
          </w:p>
        </w:tc>
      </w:tr>
      <w:tr>
        <w:trPr>
          <w:trHeight w:val="20"/>
        </w:trPr>
        <w:tc>
          <w:tcPr>
            <w:tcW w:w="1260" w:type="dxa"/>
            <w:vAlign w:val="bottom"/>
          </w:tcPr>
          <w:p>
            <w:pPr>
              <w:spacing w:after="0" w:line="20" w:lineRule="exact"/>
              <w:rPr>
                <w:sz w:val="1"/>
                <w:szCs w:val="1"/>
                <w:color w:val="auto"/>
              </w:rPr>
            </w:pPr>
          </w:p>
        </w:tc>
        <w:tc>
          <w:tcPr>
            <w:tcW w:w="1680" w:type="dxa"/>
            <w:vAlign w:val="bottom"/>
            <w:gridSpan w:val="3"/>
            <w:shd w:val="clear" w:color="auto" w:fill="3465B0"/>
          </w:tcPr>
          <w:p>
            <w:pPr>
              <w:spacing w:after="0" w:line="20" w:lineRule="exact"/>
              <w:rPr>
                <w:sz w:val="1"/>
                <w:szCs w:val="1"/>
                <w:color w:val="auto"/>
              </w:rPr>
            </w:pPr>
          </w:p>
        </w:tc>
        <w:tc>
          <w:tcPr>
            <w:tcW w:w="900" w:type="dxa"/>
            <w:vAlign w:val="bottom"/>
            <w:gridSpan w:val="4"/>
            <w:shd w:val="clear" w:color="auto" w:fill="3465B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rPr>
              <w:t>23.1</w:t>
            </w:r>
          </w:p>
        </w:tc>
        <w:tc>
          <w:tcPr>
            <w:tcW w:w="3940" w:type="dxa"/>
            <w:vAlign w:val="bottom"/>
            <w:tcBorders>
              <w:bottom w:val="single" w:sz="8" w:color="3465B0"/>
            </w:tcBorders>
            <w:gridSpan w:val="30"/>
          </w:tcPr>
          <w:p>
            <w:pPr>
              <w:spacing w:after="0" w:line="196" w:lineRule="exact"/>
              <w:rPr>
                <w:sz w:val="20"/>
                <w:szCs w:val="20"/>
                <w:color w:val="auto"/>
              </w:rPr>
            </w:pPr>
            <w:r>
              <w:rPr>
                <w:rFonts w:ascii="Calibri" w:cs="Calibri" w:eastAsia="Calibri" w:hAnsi="Calibri"/>
                <w:sz w:val="18"/>
                <w:szCs w:val="18"/>
                <w:color w:val="3465B0"/>
                <w:w w:val="97"/>
              </w:rPr>
              <w:t>Consent of Ernst &amp; Young LLP, Independent Registered</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ind w:left="1200"/>
              <w:spacing w:after="0" w:line="196" w:lineRule="exact"/>
              <w:rPr>
                <w:sz w:val="20"/>
                <w:szCs w:val="20"/>
                <w:color w:val="auto"/>
              </w:rPr>
            </w:pPr>
            <w:r>
              <w:rPr>
                <w:rFonts w:ascii="Calibri" w:cs="Calibri" w:eastAsia="Calibri" w:hAnsi="Calibri"/>
                <w:sz w:val="18"/>
                <w:szCs w:val="18"/>
                <w:color w:val="auto"/>
              </w:rPr>
              <w:t>X</w:t>
            </w:r>
          </w:p>
        </w:tc>
      </w:tr>
      <w:tr>
        <w:trPr>
          <w:trHeight w:val="196"/>
        </w:trPr>
        <w:tc>
          <w:tcPr>
            <w:tcW w:w="1260" w:type="dxa"/>
            <w:vAlign w:val="bottom"/>
          </w:tcPr>
          <w:p>
            <w:pPr>
              <w:spacing w:after="0"/>
              <w:rPr>
                <w:sz w:val="17"/>
                <w:szCs w:val="17"/>
                <w:color w:val="auto"/>
              </w:rPr>
            </w:pPr>
          </w:p>
        </w:tc>
        <w:tc>
          <w:tcPr>
            <w:tcW w:w="1680" w:type="dxa"/>
            <w:vAlign w:val="bottom"/>
            <w:tcBorders>
              <w:bottom w:val="single" w:sz="8" w:color="3465B0"/>
            </w:tcBorders>
            <w:gridSpan w:val="3"/>
          </w:tcPr>
          <w:p>
            <w:pPr>
              <w:spacing w:after="0" w:line="196" w:lineRule="exact"/>
              <w:rPr>
                <w:sz w:val="20"/>
                <w:szCs w:val="20"/>
                <w:color w:val="auto"/>
              </w:rPr>
            </w:pPr>
            <w:r>
              <w:rPr>
                <w:rFonts w:ascii="Calibri" w:cs="Calibri" w:eastAsia="Calibri" w:hAnsi="Calibri"/>
                <w:sz w:val="18"/>
                <w:szCs w:val="18"/>
                <w:color w:val="3465B0"/>
                <w:w w:val="98"/>
              </w:rPr>
              <w:t>Public Accountng Firm.</w:t>
            </w:r>
          </w:p>
        </w:tc>
        <w:tc>
          <w:tcPr>
            <w:tcW w:w="2280" w:type="dxa"/>
            <w:vAlign w:val="bottom"/>
            <w:gridSpan w:val="28"/>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rPr>
              <w:t>31.1</w:t>
            </w:r>
          </w:p>
        </w:tc>
        <w:tc>
          <w:tcPr>
            <w:tcW w:w="3860" w:type="dxa"/>
            <w:vAlign w:val="bottom"/>
            <w:tcBorders>
              <w:bottom w:val="single" w:sz="8" w:color="3465B0"/>
            </w:tcBorders>
            <w:gridSpan w:val="27"/>
          </w:tcPr>
          <w:p>
            <w:pPr>
              <w:spacing w:after="0" w:line="196" w:lineRule="exact"/>
              <w:rPr>
                <w:sz w:val="20"/>
                <w:szCs w:val="20"/>
                <w:color w:val="auto"/>
              </w:rPr>
            </w:pPr>
            <w:r>
              <w:rPr>
                <w:rFonts w:ascii="Calibri" w:cs="Calibri" w:eastAsia="Calibri" w:hAnsi="Calibri"/>
                <w:sz w:val="18"/>
                <w:szCs w:val="18"/>
                <w:color w:val="3465B0"/>
              </w:rPr>
              <w:t>Certfcaton of Principal Executve Ofcer Pursuant to</w:t>
            </w:r>
          </w:p>
        </w:tc>
        <w:tc>
          <w:tcPr>
            <w:tcW w:w="1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ind w:left="1200"/>
              <w:spacing w:after="0" w:line="196" w:lineRule="exact"/>
              <w:rPr>
                <w:sz w:val="20"/>
                <w:szCs w:val="20"/>
                <w:color w:val="auto"/>
              </w:rPr>
            </w:pPr>
            <w:r>
              <w:rPr>
                <w:rFonts w:ascii="Calibri" w:cs="Calibri" w:eastAsia="Calibri" w:hAnsi="Calibri"/>
                <w:sz w:val="18"/>
                <w:szCs w:val="18"/>
                <w:color w:val="auto"/>
              </w:rPr>
              <w:t>X</w:t>
            </w:r>
          </w:p>
        </w:tc>
      </w:tr>
      <w:tr>
        <w:trPr>
          <w:trHeight w:val="196"/>
        </w:trPr>
        <w:tc>
          <w:tcPr>
            <w:tcW w:w="1260" w:type="dxa"/>
            <w:vAlign w:val="bottom"/>
          </w:tcPr>
          <w:p>
            <w:pPr>
              <w:spacing w:after="0"/>
              <w:rPr>
                <w:sz w:val="17"/>
                <w:szCs w:val="17"/>
                <w:color w:val="auto"/>
              </w:rPr>
            </w:pPr>
          </w:p>
        </w:tc>
        <w:tc>
          <w:tcPr>
            <w:tcW w:w="3660" w:type="dxa"/>
            <w:vAlign w:val="bottom"/>
            <w:tcBorders>
              <w:bottom w:val="single" w:sz="8" w:color="3465B0"/>
            </w:tcBorders>
            <w:gridSpan w:val="17"/>
          </w:tcPr>
          <w:p>
            <w:pPr>
              <w:spacing w:after="0" w:line="196" w:lineRule="exact"/>
              <w:rPr>
                <w:sz w:val="20"/>
                <w:szCs w:val="20"/>
                <w:color w:val="auto"/>
              </w:rPr>
            </w:pPr>
            <w:r>
              <w:rPr>
                <w:rFonts w:ascii="Calibri" w:cs="Calibri" w:eastAsia="Calibri" w:hAnsi="Calibri"/>
                <w:sz w:val="18"/>
                <w:szCs w:val="18"/>
                <w:color w:val="3465B0"/>
                <w:w w:val="99"/>
              </w:rPr>
              <w:t>Rules 13a-14(a) and 15d-14(a) under the Securites</w:t>
            </w:r>
          </w:p>
        </w:tc>
        <w:tc>
          <w:tcPr>
            <w:tcW w:w="30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00" w:type="dxa"/>
            <w:vAlign w:val="bottom"/>
            <w:tcBorders>
              <w:bottom w:val="single" w:sz="8" w:color="3465B0"/>
            </w:tcBorders>
            <w:gridSpan w:val="28"/>
          </w:tcPr>
          <w:p>
            <w:pPr>
              <w:spacing w:after="0" w:line="196" w:lineRule="exact"/>
              <w:rPr>
                <w:sz w:val="20"/>
                <w:szCs w:val="20"/>
                <w:color w:val="auto"/>
              </w:rPr>
            </w:pPr>
            <w:r>
              <w:rPr>
                <w:rFonts w:ascii="Calibri" w:cs="Calibri" w:eastAsia="Calibri" w:hAnsi="Calibri"/>
                <w:sz w:val="18"/>
                <w:szCs w:val="18"/>
                <w:color w:val="3465B0"/>
                <w:w w:val="99"/>
              </w:rPr>
              <w:t>Exchange Act of 1934, as Adopted Pursuant to Secton</w:t>
            </w:r>
          </w:p>
        </w:tc>
        <w:tc>
          <w:tcPr>
            <w:tcW w:w="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1"/>
          </w:tcPr>
          <w:p>
            <w:pPr>
              <w:spacing w:after="0" w:line="196" w:lineRule="exact"/>
              <w:rPr>
                <w:sz w:val="20"/>
                <w:szCs w:val="20"/>
                <w:color w:val="auto"/>
              </w:rPr>
            </w:pPr>
            <w:r>
              <w:rPr>
                <w:rFonts w:ascii="Calibri" w:cs="Calibri" w:eastAsia="Calibri" w:hAnsi="Calibri"/>
                <w:sz w:val="18"/>
                <w:szCs w:val="18"/>
                <w:color w:val="3465B0"/>
              </w:rPr>
              <w:t>302 of the Sarbanes-Oxley Act of 2002.</w:t>
            </w: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780" w:type="dxa"/>
            <w:vAlign w:val="bottom"/>
            <w:tcBorders>
              <w:right w:val="single" w:sz="8" w:color="0000EE"/>
            </w:tcBorders>
            <w:gridSpan w:val="10"/>
            <w:shd w:val="clear" w:color="auto" w:fill="3465B0"/>
          </w:tcPr>
          <w:p>
            <w:pPr>
              <w:spacing w:after="0" w:line="20" w:lineRule="exact"/>
              <w:rPr>
                <w:sz w:val="1"/>
                <w:szCs w:val="1"/>
                <w:color w:val="auto"/>
              </w:rPr>
            </w:pPr>
          </w:p>
        </w:tc>
        <w:tc>
          <w:tcPr>
            <w:tcW w:w="1020" w:type="dxa"/>
            <w:vAlign w:val="bottom"/>
            <w:gridSpan w:val="1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rPr>
              <w:t>31.2</w:t>
            </w:r>
          </w:p>
        </w:tc>
        <w:tc>
          <w:tcPr>
            <w:tcW w:w="3800" w:type="dxa"/>
            <w:vAlign w:val="bottom"/>
            <w:tcBorders>
              <w:bottom w:val="single" w:sz="8" w:color="3465B0"/>
            </w:tcBorders>
            <w:gridSpan w:val="24"/>
          </w:tcPr>
          <w:p>
            <w:pPr>
              <w:spacing w:after="0" w:line="196" w:lineRule="exact"/>
              <w:rPr>
                <w:sz w:val="20"/>
                <w:szCs w:val="20"/>
                <w:color w:val="auto"/>
              </w:rPr>
            </w:pPr>
            <w:r>
              <w:rPr>
                <w:rFonts w:ascii="Calibri" w:cs="Calibri" w:eastAsia="Calibri" w:hAnsi="Calibri"/>
                <w:sz w:val="18"/>
                <w:szCs w:val="18"/>
                <w:color w:val="3465B0"/>
              </w:rPr>
              <w:t>Certfcaton of Principal Financial Ofcer Pursuant to</w:t>
            </w:r>
          </w:p>
        </w:tc>
        <w:tc>
          <w:tcPr>
            <w:tcW w:w="16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ind w:left="1200"/>
              <w:spacing w:after="0" w:line="196" w:lineRule="exact"/>
              <w:rPr>
                <w:sz w:val="20"/>
                <w:szCs w:val="20"/>
                <w:color w:val="auto"/>
              </w:rPr>
            </w:pPr>
            <w:r>
              <w:rPr>
                <w:rFonts w:ascii="Calibri" w:cs="Calibri" w:eastAsia="Calibri" w:hAnsi="Calibri"/>
                <w:sz w:val="18"/>
                <w:szCs w:val="18"/>
                <w:color w:val="auto"/>
              </w:rPr>
              <w:t>X</w:t>
            </w:r>
          </w:p>
        </w:tc>
      </w:tr>
      <w:tr>
        <w:trPr>
          <w:trHeight w:val="196"/>
        </w:trPr>
        <w:tc>
          <w:tcPr>
            <w:tcW w:w="1260" w:type="dxa"/>
            <w:vAlign w:val="bottom"/>
          </w:tcPr>
          <w:p>
            <w:pPr>
              <w:spacing w:after="0"/>
              <w:rPr>
                <w:sz w:val="17"/>
                <w:szCs w:val="17"/>
                <w:color w:val="auto"/>
              </w:rPr>
            </w:pPr>
          </w:p>
        </w:tc>
        <w:tc>
          <w:tcPr>
            <w:tcW w:w="3660" w:type="dxa"/>
            <w:vAlign w:val="bottom"/>
            <w:tcBorders>
              <w:bottom w:val="single" w:sz="8" w:color="3465B0"/>
            </w:tcBorders>
            <w:gridSpan w:val="17"/>
          </w:tcPr>
          <w:p>
            <w:pPr>
              <w:spacing w:after="0" w:line="196" w:lineRule="exact"/>
              <w:rPr>
                <w:sz w:val="20"/>
                <w:szCs w:val="20"/>
                <w:color w:val="auto"/>
              </w:rPr>
            </w:pPr>
            <w:r>
              <w:rPr>
                <w:rFonts w:ascii="Calibri" w:cs="Calibri" w:eastAsia="Calibri" w:hAnsi="Calibri"/>
                <w:sz w:val="18"/>
                <w:szCs w:val="18"/>
                <w:color w:val="3465B0"/>
                <w:w w:val="99"/>
              </w:rPr>
              <w:t>Rules 13a-14(a) and 15d-14(a) under the Securites</w:t>
            </w:r>
          </w:p>
        </w:tc>
        <w:tc>
          <w:tcPr>
            <w:tcW w:w="30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00" w:type="dxa"/>
            <w:vAlign w:val="bottom"/>
            <w:tcBorders>
              <w:bottom w:val="single" w:sz="8" w:color="3465B0"/>
            </w:tcBorders>
            <w:gridSpan w:val="28"/>
          </w:tcPr>
          <w:p>
            <w:pPr>
              <w:spacing w:after="0" w:line="196" w:lineRule="exact"/>
              <w:rPr>
                <w:sz w:val="20"/>
                <w:szCs w:val="20"/>
                <w:color w:val="auto"/>
              </w:rPr>
            </w:pPr>
            <w:r>
              <w:rPr>
                <w:rFonts w:ascii="Calibri" w:cs="Calibri" w:eastAsia="Calibri" w:hAnsi="Calibri"/>
                <w:sz w:val="18"/>
                <w:szCs w:val="18"/>
                <w:color w:val="3465B0"/>
                <w:w w:val="99"/>
              </w:rPr>
              <w:t>Exchange Act of 1934, as Adopted Pursuant to Secton</w:t>
            </w:r>
          </w:p>
        </w:tc>
        <w:tc>
          <w:tcPr>
            <w:tcW w:w="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1"/>
          </w:tcPr>
          <w:p>
            <w:pPr>
              <w:spacing w:after="0" w:line="196" w:lineRule="exact"/>
              <w:rPr>
                <w:sz w:val="20"/>
                <w:szCs w:val="20"/>
                <w:color w:val="auto"/>
              </w:rPr>
            </w:pPr>
            <w:r>
              <w:rPr>
                <w:rFonts w:ascii="Calibri" w:cs="Calibri" w:eastAsia="Calibri" w:hAnsi="Calibri"/>
                <w:sz w:val="18"/>
                <w:szCs w:val="18"/>
                <w:color w:val="3465B0"/>
              </w:rPr>
              <w:t>302 of the Sarbanes-Oxley Act of 2002.</w:t>
            </w: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780" w:type="dxa"/>
            <w:vAlign w:val="bottom"/>
            <w:tcBorders>
              <w:right w:val="single" w:sz="8" w:color="0000EE"/>
            </w:tcBorders>
            <w:gridSpan w:val="10"/>
            <w:shd w:val="clear" w:color="auto" w:fill="3465B0"/>
          </w:tcPr>
          <w:p>
            <w:pPr>
              <w:spacing w:after="0" w:line="20" w:lineRule="exact"/>
              <w:rPr>
                <w:sz w:val="1"/>
                <w:szCs w:val="1"/>
                <w:color w:val="auto"/>
              </w:rPr>
            </w:pPr>
          </w:p>
        </w:tc>
        <w:tc>
          <w:tcPr>
            <w:tcW w:w="1180" w:type="dxa"/>
            <w:vAlign w:val="bottom"/>
            <w:gridSpan w:val="2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60" w:type="dxa"/>
            <w:vAlign w:val="bottom"/>
          </w:tcPr>
          <w:p>
            <w:pPr>
              <w:jc w:val="center"/>
              <w:ind w:left="210"/>
              <w:spacing w:after="0" w:line="196" w:lineRule="exact"/>
              <w:rPr>
                <w:sz w:val="20"/>
                <w:szCs w:val="20"/>
                <w:color w:val="auto"/>
              </w:rPr>
            </w:pPr>
            <w:r>
              <w:rPr>
                <w:rFonts w:ascii="Calibri" w:cs="Calibri" w:eastAsia="Calibri" w:hAnsi="Calibri"/>
                <w:sz w:val="18"/>
                <w:szCs w:val="18"/>
                <w:color w:val="auto"/>
                <w:w w:val="96"/>
              </w:rPr>
              <w:t>32.1**</w:t>
            </w:r>
          </w:p>
        </w:tc>
        <w:tc>
          <w:tcPr>
            <w:tcW w:w="3860" w:type="dxa"/>
            <w:vAlign w:val="bottom"/>
            <w:tcBorders>
              <w:bottom w:val="single" w:sz="8" w:color="3465B0"/>
            </w:tcBorders>
            <w:gridSpan w:val="27"/>
          </w:tcPr>
          <w:p>
            <w:pPr>
              <w:spacing w:after="0" w:line="196" w:lineRule="exact"/>
              <w:rPr>
                <w:sz w:val="20"/>
                <w:szCs w:val="20"/>
                <w:color w:val="auto"/>
              </w:rPr>
            </w:pPr>
            <w:r>
              <w:rPr>
                <w:rFonts w:ascii="Calibri" w:cs="Calibri" w:eastAsia="Calibri" w:hAnsi="Calibri"/>
                <w:sz w:val="18"/>
                <w:szCs w:val="18"/>
                <w:color w:val="3465B0"/>
              </w:rPr>
              <w:t>Certfcaton of Principal Executve Ofcer Pursuant to</w:t>
            </w:r>
          </w:p>
        </w:tc>
        <w:tc>
          <w:tcPr>
            <w:tcW w:w="1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ind w:left="1200"/>
              <w:spacing w:after="0" w:line="196" w:lineRule="exact"/>
              <w:rPr>
                <w:sz w:val="20"/>
                <w:szCs w:val="20"/>
                <w:color w:val="auto"/>
              </w:rPr>
            </w:pPr>
            <w:r>
              <w:rPr>
                <w:rFonts w:ascii="Calibri" w:cs="Calibri" w:eastAsia="Calibri" w:hAnsi="Calibri"/>
                <w:sz w:val="18"/>
                <w:szCs w:val="18"/>
                <w:color w:val="auto"/>
              </w:rPr>
              <w:t>X</w:t>
            </w:r>
          </w:p>
        </w:tc>
      </w:tr>
      <w:tr>
        <w:trPr>
          <w:trHeight w:val="196"/>
        </w:trPr>
        <w:tc>
          <w:tcPr>
            <w:tcW w:w="1260" w:type="dxa"/>
            <w:vAlign w:val="bottom"/>
          </w:tcPr>
          <w:p>
            <w:pPr>
              <w:spacing w:after="0"/>
              <w:rPr>
                <w:sz w:val="17"/>
                <w:szCs w:val="17"/>
                <w:color w:val="auto"/>
              </w:rPr>
            </w:pPr>
          </w:p>
        </w:tc>
        <w:tc>
          <w:tcPr>
            <w:tcW w:w="3960" w:type="dxa"/>
            <w:vAlign w:val="bottom"/>
            <w:tcBorders>
              <w:bottom w:val="single" w:sz="8" w:color="3465B0"/>
            </w:tcBorders>
            <w:gridSpan w:val="31"/>
          </w:tcPr>
          <w:p>
            <w:pPr>
              <w:spacing w:after="0" w:line="196" w:lineRule="exact"/>
              <w:rPr>
                <w:sz w:val="20"/>
                <w:szCs w:val="20"/>
                <w:color w:val="auto"/>
              </w:rPr>
            </w:pPr>
            <w:r>
              <w:rPr>
                <w:rFonts w:ascii="Calibri" w:cs="Calibri" w:eastAsia="Calibri" w:hAnsi="Calibri"/>
                <w:sz w:val="18"/>
                <w:szCs w:val="18"/>
                <w:color w:val="3465B0"/>
                <w:w w:val="99"/>
              </w:rPr>
              <w:t>18 U.S.C. Secton 1350, as Adopted Pursuant to Secton</w:t>
            </w: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960" w:type="dxa"/>
            <w:vAlign w:val="bottom"/>
            <w:gridSpan w:val="31"/>
          </w:tcPr>
          <w:p>
            <w:pPr>
              <w:spacing w:after="0" w:line="196" w:lineRule="exact"/>
              <w:rPr>
                <w:sz w:val="20"/>
                <w:szCs w:val="20"/>
                <w:color w:val="auto"/>
              </w:rPr>
            </w:pPr>
            <w:r>
              <w:rPr>
                <w:rFonts w:ascii="Calibri" w:cs="Calibri" w:eastAsia="Calibri" w:hAnsi="Calibri"/>
                <w:sz w:val="18"/>
                <w:szCs w:val="18"/>
                <w:color w:val="3465B0"/>
              </w:rPr>
              <w:t>906 of the Sarbanes-Oxley Act of 2002.</w:t>
            </w: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43"/>
        </w:trPr>
        <w:tc>
          <w:tcPr>
            <w:tcW w:w="1260" w:type="dxa"/>
            <w:vAlign w:val="bottom"/>
          </w:tcPr>
          <w:p>
            <w:pPr>
              <w:spacing w:after="0"/>
              <w:rPr>
                <w:sz w:val="24"/>
                <w:szCs w:val="24"/>
                <w:color w:val="auto"/>
              </w:rPr>
            </w:pPr>
          </w:p>
        </w:tc>
        <w:tc>
          <w:tcPr>
            <w:tcW w:w="1060" w:type="dxa"/>
            <w:vAlign w:val="bottom"/>
            <w:tcBorders>
              <w:top w:val="single" w:sz="8" w:color="3465B0"/>
            </w:tcBorders>
          </w:tcPr>
          <w:p>
            <w:pPr>
              <w:spacing w:after="0"/>
              <w:rPr>
                <w:sz w:val="24"/>
                <w:szCs w:val="24"/>
                <w:color w:val="auto"/>
              </w:rPr>
            </w:pPr>
          </w:p>
        </w:tc>
        <w:tc>
          <w:tcPr>
            <w:tcW w:w="440" w:type="dxa"/>
            <w:vAlign w:val="bottom"/>
            <w:tcBorders>
              <w:top w:val="single" w:sz="8" w:color="3465B0"/>
            </w:tcBorders>
          </w:tcPr>
          <w:p>
            <w:pPr>
              <w:spacing w:after="0"/>
              <w:rPr>
                <w:sz w:val="24"/>
                <w:szCs w:val="24"/>
                <w:color w:val="auto"/>
              </w:rPr>
            </w:pPr>
          </w:p>
        </w:tc>
        <w:tc>
          <w:tcPr>
            <w:tcW w:w="180" w:type="dxa"/>
            <w:vAlign w:val="bottom"/>
            <w:tcBorders>
              <w:top w:val="single" w:sz="8" w:color="3465B0"/>
            </w:tcBorders>
          </w:tcPr>
          <w:p>
            <w:pPr>
              <w:spacing w:after="0"/>
              <w:rPr>
                <w:sz w:val="24"/>
                <w:szCs w:val="24"/>
                <w:color w:val="auto"/>
              </w:rPr>
            </w:pPr>
          </w:p>
        </w:tc>
        <w:tc>
          <w:tcPr>
            <w:tcW w:w="80" w:type="dxa"/>
            <w:vAlign w:val="bottom"/>
            <w:tcBorders>
              <w:top w:val="single" w:sz="8" w:color="3465B0"/>
            </w:tcBorders>
          </w:tcPr>
          <w:p>
            <w:pPr>
              <w:spacing w:after="0"/>
              <w:rPr>
                <w:sz w:val="24"/>
                <w:szCs w:val="24"/>
                <w:color w:val="auto"/>
              </w:rPr>
            </w:pPr>
          </w:p>
        </w:tc>
        <w:tc>
          <w:tcPr>
            <w:tcW w:w="460" w:type="dxa"/>
            <w:vAlign w:val="bottom"/>
            <w:tcBorders>
              <w:top w:val="single" w:sz="8" w:color="3465B0"/>
            </w:tcBorders>
          </w:tcPr>
          <w:p>
            <w:pPr>
              <w:spacing w:after="0"/>
              <w:rPr>
                <w:sz w:val="24"/>
                <w:szCs w:val="24"/>
                <w:color w:val="auto"/>
              </w:rPr>
            </w:pPr>
          </w:p>
        </w:tc>
        <w:tc>
          <w:tcPr>
            <w:tcW w:w="100" w:type="dxa"/>
            <w:vAlign w:val="bottom"/>
            <w:tcBorders>
              <w:top w:val="single" w:sz="8" w:color="3465B0"/>
            </w:tcBorders>
          </w:tcPr>
          <w:p>
            <w:pPr>
              <w:spacing w:after="0"/>
              <w:rPr>
                <w:sz w:val="24"/>
                <w:szCs w:val="24"/>
                <w:color w:val="auto"/>
              </w:rPr>
            </w:pPr>
          </w:p>
        </w:tc>
        <w:tc>
          <w:tcPr>
            <w:tcW w:w="260" w:type="dxa"/>
            <w:vAlign w:val="bottom"/>
            <w:tcBorders>
              <w:top w:val="single" w:sz="8" w:color="3465B0"/>
            </w:tcBorders>
          </w:tcPr>
          <w:p>
            <w:pPr>
              <w:spacing w:after="0"/>
              <w:rPr>
                <w:sz w:val="24"/>
                <w:szCs w:val="24"/>
                <w:color w:val="auto"/>
              </w:rPr>
            </w:pPr>
          </w:p>
        </w:tc>
        <w:tc>
          <w:tcPr>
            <w:tcW w:w="20" w:type="dxa"/>
            <w:vAlign w:val="bottom"/>
            <w:tcBorders>
              <w:top w:val="single" w:sz="8" w:color="3465B0"/>
            </w:tcBorders>
          </w:tcPr>
          <w:p>
            <w:pPr>
              <w:spacing w:after="0"/>
              <w:rPr>
                <w:sz w:val="24"/>
                <w:szCs w:val="24"/>
                <w:color w:val="auto"/>
              </w:rPr>
            </w:pPr>
          </w:p>
        </w:tc>
        <w:tc>
          <w:tcPr>
            <w:tcW w:w="120" w:type="dxa"/>
            <w:vAlign w:val="bottom"/>
            <w:tcBorders>
              <w:top w:val="single" w:sz="8" w:color="3465B0"/>
            </w:tcBorders>
          </w:tcPr>
          <w:p>
            <w:pPr>
              <w:spacing w:after="0"/>
              <w:rPr>
                <w:sz w:val="24"/>
                <w:szCs w:val="24"/>
                <w:color w:val="auto"/>
              </w:rPr>
            </w:pPr>
          </w:p>
        </w:tc>
        <w:tc>
          <w:tcPr>
            <w:tcW w:w="60" w:type="dxa"/>
            <w:vAlign w:val="bottom"/>
            <w:tcBorders>
              <w:top w:val="single" w:sz="8" w:color="3465B0"/>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ind w:left="280"/>
              <w:spacing w:after="0"/>
              <w:rPr>
                <w:sz w:val="20"/>
                <w:szCs w:val="20"/>
                <w:color w:val="auto"/>
              </w:rPr>
            </w:pPr>
            <w:r>
              <w:rPr>
                <w:rFonts w:ascii="Calibri" w:cs="Calibri" w:eastAsia="Calibri" w:hAnsi="Calibri"/>
                <w:sz w:val="18"/>
                <w:szCs w:val="18"/>
                <w:color w:val="auto"/>
              </w:rPr>
              <w:t>131</w:t>
            </w: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86"/>
        </w:trPr>
        <w:tc>
          <w:tcPr>
            <w:tcW w:w="1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3" w:name="page134"/>
    <w:bookmarkEnd w:id="133"/>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80" w:type="dxa"/>
        <w:tblCellMar>
          <w:top w:w="0" w:type="dxa"/>
          <w:left w:w="0" w:type="dxa"/>
          <w:bottom w:w="0" w:type="dxa"/>
          <w:right w:w="0" w:type="dxa"/>
        </w:tblCellMar>
      </w:tblPr>
      <w:tr>
        <w:trPr>
          <w:trHeight w:val="220"/>
        </w:trPr>
        <w:tc>
          <w:tcPr>
            <w:tcW w:w="780" w:type="dxa"/>
            <w:vAlign w:val="bottom"/>
          </w:tcPr>
          <w:p>
            <w:pPr>
              <w:jc w:val="center"/>
              <w:ind w:right="90"/>
              <w:spacing w:after="0"/>
              <w:rPr>
                <w:sz w:val="20"/>
                <w:szCs w:val="20"/>
                <w:color w:val="auto"/>
              </w:rPr>
            </w:pPr>
            <w:r>
              <w:rPr>
                <w:rFonts w:ascii="Calibri" w:cs="Calibri" w:eastAsia="Calibri" w:hAnsi="Calibri"/>
                <w:sz w:val="18"/>
                <w:szCs w:val="18"/>
                <w:color w:val="auto"/>
                <w:w w:val="96"/>
              </w:rPr>
              <w:t>32.2**</w:t>
            </w:r>
          </w:p>
        </w:tc>
        <w:tc>
          <w:tcPr>
            <w:tcW w:w="3800" w:type="dxa"/>
            <w:vAlign w:val="bottom"/>
            <w:tcBorders>
              <w:bottom w:val="single" w:sz="8" w:color="3465B0"/>
            </w:tcBorders>
            <w:gridSpan w:val="3"/>
          </w:tcPr>
          <w:p>
            <w:pPr>
              <w:spacing w:after="0"/>
              <w:rPr>
                <w:sz w:val="20"/>
                <w:szCs w:val="20"/>
                <w:color w:val="auto"/>
              </w:rPr>
            </w:pPr>
            <w:r>
              <w:rPr>
                <w:rFonts w:ascii="Calibri" w:cs="Calibri" w:eastAsia="Calibri" w:hAnsi="Calibri"/>
                <w:sz w:val="18"/>
                <w:szCs w:val="18"/>
                <w:color w:val="3465B0"/>
              </w:rPr>
              <w:t>Certfcaton of Principal Financial Ofcer Pursuant to</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96"/>
        </w:trPr>
        <w:tc>
          <w:tcPr>
            <w:tcW w:w="780" w:type="dxa"/>
            <w:vAlign w:val="bottom"/>
          </w:tcPr>
          <w:p>
            <w:pPr>
              <w:spacing w:after="0"/>
              <w:rPr>
                <w:sz w:val="17"/>
                <w:szCs w:val="17"/>
                <w:color w:val="auto"/>
              </w:rPr>
            </w:pPr>
          </w:p>
        </w:tc>
        <w:tc>
          <w:tcPr>
            <w:tcW w:w="3960" w:type="dxa"/>
            <w:vAlign w:val="bottom"/>
            <w:tcBorders>
              <w:bottom w:val="single" w:sz="8" w:color="3465B0"/>
            </w:tcBorders>
            <w:gridSpan w:val="4"/>
          </w:tcPr>
          <w:p>
            <w:pPr>
              <w:spacing w:after="0" w:line="196" w:lineRule="exact"/>
              <w:rPr>
                <w:sz w:val="20"/>
                <w:szCs w:val="20"/>
                <w:color w:val="auto"/>
              </w:rPr>
            </w:pPr>
            <w:r>
              <w:rPr>
                <w:rFonts w:ascii="Calibri" w:cs="Calibri" w:eastAsia="Calibri" w:hAnsi="Calibri"/>
                <w:sz w:val="18"/>
                <w:szCs w:val="18"/>
                <w:color w:val="3465B0"/>
                <w:w w:val="99"/>
              </w:rPr>
              <w:t>18 U.S.C. Secton 1350, as Adopted Pursuant to Secton</w:t>
            </w: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960" w:type="dxa"/>
            <w:vAlign w:val="bottom"/>
            <w:gridSpan w:val="4"/>
          </w:tcPr>
          <w:p>
            <w:pPr>
              <w:spacing w:after="0" w:line="196" w:lineRule="exact"/>
              <w:rPr>
                <w:sz w:val="20"/>
                <w:szCs w:val="20"/>
                <w:color w:val="auto"/>
              </w:rPr>
            </w:pPr>
            <w:r>
              <w:rPr>
                <w:rFonts w:ascii="Calibri" w:cs="Calibri" w:eastAsia="Calibri" w:hAnsi="Calibri"/>
                <w:sz w:val="18"/>
                <w:szCs w:val="18"/>
                <w:color w:val="3465B0"/>
              </w:rPr>
              <w:t>906 of the Sarbanes-Oxley Act of 2002.</w:t>
            </w: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780" w:type="dxa"/>
            <w:vAlign w:val="bottom"/>
            <w:tcBorders>
              <w:right w:val="single" w:sz="8" w:color="0000EE"/>
            </w:tcBorders>
            <w:shd w:val="clear" w:color="auto" w:fill="3465B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80" w:type="dxa"/>
            <w:vAlign w:val="bottom"/>
          </w:tcPr>
          <w:p>
            <w:pPr>
              <w:jc w:val="center"/>
              <w:ind w:right="90"/>
              <w:spacing w:after="0" w:line="196" w:lineRule="exact"/>
              <w:rPr>
                <w:sz w:val="20"/>
                <w:szCs w:val="20"/>
                <w:color w:val="auto"/>
              </w:rPr>
            </w:pPr>
            <w:r>
              <w:rPr>
                <w:rFonts w:ascii="Calibri" w:cs="Calibri" w:eastAsia="Calibri" w:hAnsi="Calibri"/>
                <w:sz w:val="18"/>
                <w:szCs w:val="18"/>
                <w:color w:val="auto"/>
              </w:rPr>
              <w:t>97.1</w:t>
            </w:r>
          </w:p>
        </w:tc>
        <w:tc>
          <w:tcPr>
            <w:tcW w:w="3960" w:type="dxa"/>
            <w:vAlign w:val="bottom"/>
            <w:gridSpan w:val="4"/>
          </w:tcPr>
          <w:p>
            <w:pPr>
              <w:spacing w:after="0" w:line="196" w:lineRule="exact"/>
              <w:rPr>
                <w:rFonts w:ascii="Calibri" w:cs="Calibri" w:eastAsia="Calibri" w:hAnsi="Calibri"/>
                <w:sz w:val="18"/>
                <w:szCs w:val="18"/>
                <w:color w:val="3465B0"/>
              </w:rPr>
            </w:pPr>
            <w:hyperlink r:id="rId538">
              <w:r>
                <w:rPr>
                  <w:rFonts w:ascii="Calibri" w:cs="Calibri" w:eastAsia="Calibri" w:hAnsi="Calibri"/>
                  <w:sz w:val="18"/>
                  <w:szCs w:val="18"/>
                  <w:color w:val="3465B0"/>
                </w:rPr>
                <w:t>CarGurus, Inc. Compensaton Clawback Policy.</w:t>
              </w:r>
            </w:hyperlink>
          </w:p>
        </w:tc>
        <w:tc>
          <w:tcPr>
            <w:tcW w:w="880" w:type="dxa"/>
            <w:vAlign w:val="bottom"/>
          </w:tcPr>
          <w:p>
            <w:pPr>
              <w:ind w:left="300"/>
              <w:spacing w:after="0" w:line="196" w:lineRule="exact"/>
              <w:rPr>
                <w:sz w:val="20"/>
                <w:szCs w:val="20"/>
                <w:color w:val="auto"/>
              </w:rPr>
            </w:pPr>
            <w:r>
              <w:rPr>
                <w:rFonts w:ascii="Calibri" w:cs="Calibri" w:eastAsia="Calibri" w:hAnsi="Calibri"/>
                <w:sz w:val="18"/>
                <w:szCs w:val="18"/>
                <w:color w:val="auto"/>
              </w:rPr>
              <w:t>10-K</w:t>
            </w:r>
          </w:p>
        </w:tc>
        <w:tc>
          <w:tcPr>
            <w:tcW w:w="1260" w:type="dxa"/>
            <w:vAlign w:val="bottom"/>
          </w:tcPr>
          <w:p>
            <w:pPr>
              <w:jc w:val="right"/>
              <w:ind w:right="170"/>
              <w:spacing w:after="0" w:line="196" w:lineRule="exact"/>
              <w:rPr>
                <w:sz w:val="20"/>
                <w:szCs w:val="20"/>
                <w:color w:val="auto"/>
              </w:rPr>
            </w:pPr>
            <w:r>
              <w:rPr>
                <w:rFonts w:ascii="Calibri" w:cs="Calibri" w:eastAsia="Calibri" w:hAnsi="Calibri"/>
                <w:sz w:val="18"/>
                <w:szCs w:val="18"/>
                <w:color w:val="auto"/>
              </w:rPr>
              <w:t>001-38233</w:t>
            </w:r>
          </w:p>
        </w:tc>
        <w:tc>
          <w:tcPr>
            <w:tcW w:w="1840" w:type="dxa"/>
            <w:vAlign w:val="bottom"/>
          </w:tcPr>
          <w:p>
            <w:pPr>
              <w:ind w:left="280"/>
              <w:spacing w:after="0" w:line="196" w:lineRule="exact"/>
              <w:rPr>
                <w:sz w:val="20"/>
                <w:szCs w:val="20"/>
                <w:color w:val="auto"/>
              </w:rPr>
            </w:pPr>
            <w:r>
              <w:rPr>
                <w:rFonts w:ascii="Calibri" w:cs="Calibri" w:eastAsia="Calibri" w:hAnsi="Calibri"/>
                <w:sz w:val="18"/>
                <w:szCs w:val="18"/>
                <w:color w:val="auto"/>
              </w:rPr>
              <w:t>February 26, 2024</w:t>
            </w:r>
          </w:p>
        </w:tc>
        <w:tc>
          <w:tcPr>
            <w:tcW w:w="1320" w:type="dxa"/>
            <w:vAlign w:val="bottom"/>
          </w:tcPr>
          <w:p>
            <w:pPr>
              <w:jc w:val="right"/>
              <w:ind w:right="630"/>
              <w:spacing w:after="0" w:line="196" w:lineRule="exact"/>
              <w:rPr>
                <w:sz w:val="20"/>
                <w:szCs w:val="20"/>
                <w:color w:val="auto"/>
              </w:rPr>
            </w:pPr>
            <w:r>
              <w:rPr>
                <w:rFonts w:ascii="Calibri" w:cs="Calibri" w:eastAsia="Calibri" w:hAnsi="Calibri"/>
                <w:sz w:val="18"/>
                <w:szCs w:val="18"/>
                <w:color w:val="auto"/>
              </w:rPr>
              <w:t>97.1</w:t>
            </w:r>
          </w:p>
        </w:tc>
      </w:tr>
      <w:tr>
        <w:trPr>
          <w:trHeight w:val="227"/>
        </w:trPr>
        <w:tc>
          <w:tcPr>
            <w:tcW w:w="780" w:type="dxa"/>
            <w:vAlign w:val="bottom"/>
          </w:tcPr>
          <w:p>
            <w:pPr>
              <w:ind w:left="20"/>
              <w:spacing w:after="0"/>
              <w:rPr>
                <w:sz w:val="20"/>
                <w:szCs w:val="20"/>
                <w:color w:val="auto"/>
              </w:rPr>
            </w:pPr>
            <w:r>
              <w:rPr>
                <w:rFonts w:ascii="Calibri" w:cs="Calibri" w:eastAsia="Calibri" w:hAnsi="Calibri"/>
                <w:sz w:val="18"/>
                <w:szCs w:val="18"/>
                <w:color w:val="auto"/>
              </w:rPr>
              <w:t>101.INS</w:t>
            </w:r>
          </w:p>
        </w:tc>
        <w:tc>
          <w:tcPr>
            <w:tcW w:w="3280" w:type="dxa"/>
            <w:vAlign w:val="bottom"/>
            <w:tcBorders>
              <w:top w:val="single" w:sz="8" w:color="3465B0"/>
            </w:tcBorders>
            <w:gridSpan w:val="2"/>
          </w:tcPr>
          <w:p>
            <w:pPr>
              <w:spacing w:after="0"/>
              <w:rPr>
                <w:sz w:val="20"/>
                <w:szCs w:val="20"/>
                <w:color w:val="auto"/>
              </w:rPr>
            </w:pPr>
            <w:r>
              <w:rPr>
                <w:rFonts w:ascii="Calibri" w:cs="Calibri" w:eastAsia="Calibri" w:hAnsi="Calibri"/>
                <w:sz w:val="18"/>
                <w:szCs w:val="18"/>
                <w:color w:val="auto"/>
                <w:w w:val="99"/>
              </w:rPr>
              <w:t>Inline XBRL Instance Document- the instance</w:t>
            </w:r>
          </w:p>
        </w:tc>
        <w:tc>
          <w:tcPr>
            <w:tcW w:w="68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20" w:type="dxa"/>
            <w:vAlign w:val="bottom"/>
          </w:tcPr>
          <w:p>
            <w:pPr>
              <w:ind w:left="1220"/>
              <w:spacing w:after="0"/>
              <w:rPr>
                <w:sz w:val="20"/>
                <w:szCs w:val="20"/>
                <w:color w:val="auto"/>
              </w:rPr>
            </w:pPr>
            <w:r>
              <w:rPr>
                <w:rFonts w:ascii="Calibri" w:cs="Calibri" w:eastAsia="Calibri" w:hAnsi="Calibri"/>
                <w:sz w:val="18"/>
                <w:szCs w:val="18"/>
                <w:color w:val="auto"/>
                <w:w w:val="85"/>
              </w:rPr>
              <w:t>X</w:t>
            </w:r>
          </w:p>
        </w:tc>
      </w:tr>
      <w:tr>
        <w:trPr>
          <w:trHeight w:val="216"/>
        </w:trPr>
        <w:tc>
          <w:tcPr>
            <w:tcW w:w="780" w:type="dxa"/>
            <w:vAlign w:val="bottom"/>
          </w:tcPr>
          <w:p>
            <w:pPr>
              <w:spacing w:after="0"/>
              <w:rPr>
                <w:sz w:val="18"/>
                <w:szCs w:val="18"/>
                <w:color w:val="auto"/>
              </w:rPr>
            </w:pPr>
          </w:p>
        </w:tc>
        <w:tc>
          <w:tcPr>
            <w:tcW w:w="3960" w:type="dxa"/>
            <w:vAlign w:val="bottom"/>
            <w:gridSpan w:val="4"/>
          </w:tcPr>
          <w:p>
            <w:pPr>
              <w:spacing w:after="0" w:line="216" w:lineRule="exact"/>
              <w:rPr>
                <w:sz w:val="20"/>
                <w:szCs w:val="20"/>
                <w:color w:val="auto"/>
              </w:rPr>
            </w:pPr>
            <w:r>
              <w:rPr>
                <w:rFonts w:ascii="Calibri" w:cs="Calibri" w:eastAsia="Calibri" w:hAnsi="Calibri"/>
                <w:sz w:val="18"/>
                <w:szCs w:val="18"/>
                <w:color w:val="auto"/>
              </w:rPr>
              <w:t>document does not appear in the Interactve Data File</w:t>
            </w: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960" w:type="dxa"/>
            <w:vAlign w:val="bottom"/>
            <w:gridSpan w:val="4"/>
          </w:tcPr>
          <w:p>
            <w:pPr>
              <w:spacing w:after="0" w:line="216" w:lineRule="exact"/>
              <w:rPr>
                <w:sz w:val="20"/>
                <w:szCs w:val="20"/>
                <w:color w:val="auto"/>
              </w:rPr>
            </w:pPr>
            <w:r>
              <w:rPr>
                <w:rFonts w:ascii="Calibri" w:cs="Calibri" w:eastAsia="Calibri" w:hAnsi="Calibri"/>
                <w:sz w:val="18"/>
                <w:szCs w:val="18"/>
                <w:color w:val="auto"/>
              </w:rPr>
              <w:t>because its XBRL tags are embedded within the Inline</w:t>
            </w: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960" w:type="dxa"/>
            <w:vAlign w:val="bottom"/>
            <w:gridSpan w:val="4"/>
          </w:tcPr>
          <w:p>
            <w:pPr>
              <w:spacing w:after="0" w:line="216" w:lineRule="exact"/>
              <w:rPr>
                <w:sz w:val="20"/>
                <w:szCs w:val="20"/>
                <w:color w:val="auto"/>
              </w:rPr>
            </w:pPr>
            <w:r>
              <w:rPr>
                <w:rFonts w:ascii="Calibri" w:cs="Calibri" w:eastAsia="Calibri" w:hAnsi="Calibri"/>
                <w:sz w:val="18"/>
                <w:szCs w:val="18"/>
                <w:color w:val="auto"/>
              </w:rPr>
              <w:t>XBRL document.</w:t>
            </w: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80" w:type="dxa"/>
            <w:vAlign w:val="bottom"/>
          </w:tcPr>
          <w:p>
            <w:pPr>
              <w:spacing w:after="0" w:line="216" w:lineRule="exact"/>
              <w:rPr>
                <w:sz w:val="20"/>
                <w:szCs w:val="20"/>
                <w:color w:val="auto"/>
              </w:rPr>
            </w:pPr>
            <w:r>
              <w:rPr>
                <w:rFonts w:ascii="Calibri" w:cs="Calibri" w:eastAsia="Calibri" w:hAnsi="Calibri"/>
                <w:sz w:val="18"/>
                <w:szCs w:val="18"/>
                <w:color w:val="auto"/>
              </w:rPr>
              <w:t>101.SCH</w:t>
            </w:r>
          </w:p>
        </w:tc>
        <w:tc>
          <w:tcPr>
            <w:tcW w:w="3960" w:type="dxa"/>
            <w:vAlign w:val="bottom"/>
            <w:gridSpan w:val="4"/>
          </w:tcPr>
          <w:p>
            <w:pPr>
              <w:spacing w:after="0" w:line="216" w:lineRule="exact"/>
              <w:rPr>
                <w:sz w:val="20"/>
                <w:szCs w:val="20"/>
                <w:color w:val="auto"/>
              </w:rPr>
            </w:pPr>
            <w:r>
              <w:rPr>
                <w:rFonts w:ascii="Calibri" w:cs="Calibri" w:eastAsia="Calibri" w:hAnsi="Calibri"/>
                <w:sz w:val="18"/>
                <w:szCs w:val="18"/>
                <w:color w:val="auto"/>
              </w:rPr>
              <w:t>Inline XBRL Taxonomy Extension Schema With</w:t>
            </w: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ind w:left="1220"/>
              <w:spacing w:after="0" w:line="216" w:lineRule="exact"/>
              <w:rPr>
                <w:sz w:val="20"/>
                <w:szCs w:val="20"/>
                <w:color w:val="auto"/>
              </w:rPr>
            </w:pPr>
            <w:r>
              <w:rPr>
                <w:rFonts w:ascii="Calibri" w:cs="Calibri" w:eastAsia="Calibri" w:hAnsi="Calibri"/>
                <w:sz w:val="18"/>
                <w:szCs w:val="18"/>
                <w:color w:val="auto"/>
                <w:w w:val="85"/>
              </w:rPr>
              <w:t>X</w:t>
            </w:r>
          </w:p>
        </w:tc>
      </w:tr>
      <w:tr>
        <w:trPr>
          <w:trHeight w:val="216"/>
        </w:trPr>
        <w:tc>
          <w:tcPr>
            <w:tcW w:w="780" w:type="dxa"/>
            <w:vAlign w:val="bottom"/>
          </w:tcPr>
          <w:p>
            <w:pPr>
              <w:spacing w:after="0"/>
              <w:rPr>
                <w:sz w:val="18"/>
                <w:szCs w:val="18"/>
                <w:color w:val="auto"/>
              </w:rPr>
            </w:pPr>
          </w:p>
        </w:tc>
        <w:tc>
          <w:tcPr>
            <w:tcW w:w="3960" w:type="dxa"/>
            <w:vAlign w:val="bottom"/>
            <w:gridSpan w:val="4"/>
          </w:tcPr>
          <w:p>
            <w:pPr>
              <w:spacing w:after="0" w:line="216" w:lineRule="exact"/>
              <w:rPr>
                <w:sz w:val="20"/>
                <w:szCs w:val="20"/>
                <w:color w:val="auto"/>
              </w:rPr>
            </w:pPr>
            <w:r>
              <w:rPr>
                <w:rFonts w:ascii="Calibri" w:cs="Calibri" w:eastAsia="Calibri" w:hAnsi="Calibri"/>
                <w:sz w:val="18"/>
                <w:szCs w:val="18"/>
                <w:color w:val="auto"/>
              </w:rPr>
              <w:t>Embedded Linkbase Documents.</w:t>
            </w: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80" w:type="dxa"/>
            <w:vAlign w:val="bottom"/>
          </w:tcPr>
          <w:p>
            <w:pPr>
              <w:jc w:val="center"/>
              <w:ind w:right="90"/>
              <w:spacing w:after="0" w:line="216" w:lineRule="exact"/>
              <w:rPr>
                <w:sz w:val="20"/>
                <w:szCs w:val="20"/>
                <w:color w:val="auto"/>
              </w:rPr>
            </w:pPr>
            <w:r>
              <w:rPr>
                <w:rFonts w:ascii="Calibri" w:cs="Calibri" w:eastAsia="Calibri" w:hAnsi="Calibri"/>
                <w:sz w:val="18"/>
                <w:szCs w:val="18"/>
                <w:color w:val="auto"/>
              </w:rPr>
              <w:t>104</w:t>
            </w:r>
          </w:p>
        </w:tc>
        <w:tc>
          <w:tcPr>
            <w:tcW w:w="3960" w:type="dxa"/>
            <w:vAlign w:val="bottom"/>
            <w:gridSpan w:val="4"/>
          </w:tcPr>
          <w:p>
            <w:pPr>
              <w:spacing w:after="0" w:line="216" w:lineRule="exact"/>
              <w:rPr>
                <w:sz w:val="20"/>
                <w:szCs w:val="20"/>
                <w:color w:val="auto"/>
              </w:rPr>
            </w:pPr>
            <w:r>
              <w:rPr>
                <w:rFonts w:ascii="Calibri" w:cs="Calibri" w:eastAsia="Calibri" w:hAnsi="Calibri"/>
                <w:sz w:val="18"/>
                <w:szCs w:val="18"/>
                <w:color w:val="auto"/>
                <w:w w:val="99"/>
              </w:rPr>
              <w:t>The cover page from the Company’s Annual Report on</w:t>
            </w: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ind w:left="1220"/>
              <w:spacing w:after="0" w:line="216" w:lineRule="exact"/>
              <w:rPr>
                <w:sz w:val="20"/>
                <w:szCs w:val="20"/>
                <w:color w:val="auto"/>
              </w:rPr>
            </w:pPr>
            <w:r>
              <w:rPr>
                <w:rFonts w:ascii="Calibri" w:cs="Calibri" w:eastAsia="Calibri" w:hAnsi="Calibri"/>
                <w:sz w:val="18"/>
                <w:szCs w:val="18"/>
                <w:color w:val="auto"/>
                <w:w w:val="85"/>
              </w:rPr>
              <w:t>X</w:t>
            </w:r>
          </w:p>
        </w:tc>
      </w:tr>
      <w:tr>
        <w:trPr>
          <w:trHeight w:val="216"/>
        </w:trPr>
        <w:tc>
          <w:tcPr>
            <w:tcW w:w="780" w:type="dxa"/>
            <w:vAlign w:val="bottom"/>
          </w:tcPr>
          <w:p>
            <w:pPr>
              <w:spacing w:after="0"/>
              <w:rPr>
                <w:sz w:val="18"/>
                <w:szCs w:val="18"/>
                <w:color w:val="auto"/>
              </w:rPr>
            </w:pPr>
          </w:p>
        </w:tc>
        <w:tc>
          <w:tcPr>
            <w:tcW w:w="3960" w:type="dxa"/>
            <w:vAlign w:val="bottom"/>
            <w:gridSpan w:val="4"/>
          </w:tcPr>
          <w:p>
            <w:pPr>
              <w:spacing w:after="0" w:line="216" w:lineRule="exact"/>
              <w:rPr>
                <w:sz w:val="20"/>
                <w:szCs w:val="20"/>
                <w:color w:val="auto"/>
              </w:rPr>
            </w:pPr>
            <w:r>
              <w:rPr>
                <w:rFonts w:ascii="Calibri" w:cs="Calibri" w:eastAsia="Calibri" w:hAnsi="Calibri"/>
                <w:sz w:val="18"/>
                <w:szCs w:val="18"/>
                <w:color w:val="auto"/>
              </w:rPr>
              <w:t>Form 10-K for the year ended December 31, 2024 has</w:t>
            </w: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960" w:type="dxa"/>
            <w:vAlign w:val="bottom"/>
            <w:gridSpan w:val="4"/>
          </w:tcPr>
          <w:p>
            <w:pPr>
              <w:spacing w:after="0" w:line="216" w:lineRule="exact"/>
              <w:rPr>
                <w:sz w:val="20"/>
                <w:szCs w:val="20"/>
                <w:color w:val="auto"/>
              </w:rPr>
            </w:pPr>
            <w:r>
              <w:rPr>
                <w:rFonts w:ascii="Calibri" w:cs="Calibri" w:eastAsia="Calibri" w:hAnsi="Calibri"/>
                <w:sz w:val="18"/>
                <w:szCs w:val="18"/>
                <w:color w:val="auto"/>
              </w:rPr>
              <w:t>been formated in Inline XBRL.</w:t>
            </w: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 Indicates a management contract or compensatory plan.</w:t>
      </w:r>
    </w:p>
    <w:p>
      <w:pPr>
        <w:spacing w:after="0" w:line="217" w:lineRule="exact"/>
        <w:rPr>
          <w:sz w:val="20"/>
          <w:szCs w:val="20"/>
          <w:color w:val="auto"/>
        </w:rPr>
      </w:pPr>
    </w:p>
    <w:p>
      <w:pPr>
        <w:ind w:firstLine="8"/>
        <w:spacing w:after="0" w:line="235" w:lineRule="auto"/>
        <w:tabs>
          <w:tab w:leader="none" w:pos="16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The exhibits and schedules to this agreement have been omited pursuant to Item 601(b)(2) of Regulaton S-K and the Company agrees to furnish supplementally a copy of any omited schedule to the staf of the SEC upon request.</w:t>
      </w:r>
    </w:p>
    <w:p>
      <w:pPr>
        <w:spacing w:after="0" w:line="218" w:lineRule="exact"/>
        <w:rPr>
          <w:sz w:val="20"/>
          <w:szCs w:val="20"/>
          <w:color w:val="auto"/>
        </w:rPr>
      </w:pPr>
    </w:p>
    <w:p>
      <w:pPr>
        <w:ind w:right="20" w:firstLine="8"/>
        <w:spacing w:after="0" w:line="235" w:lineRule="auto"/>
        <w:tabs>
          <w:tab w:leader="none" w:pos="236"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The certfcatons furnished in Exhibit 32.1 and Exhibit 32.2 hereto are deemed to accompany this Annual Report and will not be deemed “fled” for purposes of Secton 18 of the Exchange Act, except to the extent that the registrant specifcally incorporates it by reference.</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4" w:name="page135"/>
    <w:bookmarkEnd w:id="134"/>
    <w:p>
      <w:pPr>
        <w:spacing w:after="0"/>
        <w:rPr>
          <w:sz w:val="20"/>
          <w:szCs w:val="20"/>
          <w:color w:val="auto"/>
        </w:rPr>
      </w:pPr>
      <w:r>
        <w:rPr>
          <w:rFonts w:ascii="Calibri" w:cs="Calibri" w:eastAsia="Calibri" w:hAnsi="Calibri"/>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00002D"/>
        </w:rPr>
        <w:t>SIGNATURES</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Pursuant to the requirements of Secton 13 or 15(d) of the Securites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20" w:type="dxa"/>
            <w:vAlign w:val="bottom"/>
          </w:tcPr>
          <w:p>
            <w:pPr>
              <w:spacing w:after="0"/>
              <w:rPr>
                <w:sz w:val="19"/>
                <w:szCs w:val="19"/>
                <w:color w:val="auto"/>
              </w:rPr>
            </w:pPr>
          </w:p>
        </w:tc>
        <w:tc>
          <w:tcPr>
            <w:tcW w:w="6120" w:type="dxa"/>
            <w:vAlign w:val="bottom"/>
            <w:gridSpan w:val="2"/>
          </w:tcPr>
          <w:p>
            <w:pPr>
              <w:ind w:left="580"/>
              <w:spacing w:after="0"/>
              <w:rPr>
                <w:sz w:val="20"/>
                <w:szCs w:val="20"/>
                <w:color w:val="auto"/>
              </w:rPr>
            </w:pPr>
            <w:r>
              <w:rPr>
                <w:rFonts w:ascii="Calibri" w:cs="Calibri" w:eastAsia="Calibri" w:hAnsi="Calibri"/>
                <w:sz w:val="18"/>
                <w:szCs w:val="18"/>
                <w:b w:val="1"/>
                <w:bCs w:val="1"/>
                <w:color w:val="auto"/>
              </w:rPr>
              <w:t>CarGurus, Inc.</w:t>
            </w:r>
          </w:p>
        </w:tc>
        <w:tc>
          <w:tcPr>
            <w:tcW w:w="0" w:type="dxa"/>
            <w:vAlign w:val="bottom"/>
          </w:tcPr>
          <w:p>
            <w:pPr>
              <w:spacing w:after="0"/>
              <w:rPr>
                <w:sz w:val="1"/>
                <w:szCs w:val="1"/>
                <w:color w:val="auto"/>
              </w:rPr>
            </w:pPr>
          </w:p>
        </w:tc>
      </w:tr>
      <w:tr>
        <w:trPr>
          <w:trHeight w:val="432"/>
        </w:trPr>
        <w:tc>
          <w:tcPr>
            <w:tcW w:w="5120" w:type="dxa"/>
            <w:vAlign w:val="bottom"/>
          </w:tcPr>
          <w:p>
            <w:pPr>
              <w:ind w:left="20"/>
              <w:spacing w:after="0"/>
              <w:rPr>
                <w:sz w:val="20"/>
                <w:szCs w:val="20"/>
                <w:color w:val="auto"/>
              </w:rPr>
            </w:pPr>
            <w:r>
              <w:rPr>
                <w:rFonts w:ascii="Calibri" w:cs="Calibri" w:eastAsia="Calibri" w:hAnsi="Calibri"/>
                <w:sz w:val="18"/>
                <w:szCs w:val="18"/>
                <w:color w:val="00002D"/>
              </w:rPr>
              <w:t>Date: February 20, 2025</w:t>
            </w:r>
          </w:p>
        </w:tc>
        <w:tc>
          <w:tcPr>
            <w:tcW w:w="6120" w:type="dxa"/>
            <w:vAlign w:val="bottom"/>
            <w:gridSpan w:val="2"/>
          </w:tcPr>
          <w:p>
            <w:pPr>
              <w:ind w:left="580"/>
              <w:spacing w:after="0"/>
              <w:rPr>
                <w:sz w:val="20"/>
                <w:szCs w:val="20"/>
                <w:color w:val="auto"/>
              </w:rPr>
            </w:pPr>
            <w:r>
              <w:rPr>
                <w:rFonts w:ascii="Calibri" w:cs="Calibri" w:eastAsia="Calibri" w:hAnsi="Calibri"/>
                <w:sz w:val="18"/>
                <w:szCs w:val="18"/>
                <w:color w:val="00002D"/>
              </w:rPr>
              <w:t>By:   /s/ Jason Trevisan</w:t>
            </w:r>
          </w:p>
        </w:tc>
        <w:tc>
          <w:tcPr>
            <w:tcW w:w="0" w:type="dxa"/>
            <w:vAlign w:val="bottom"/>
          </w:tcPr>
          <w:p>
            <w:pPr>
              <w:spacing w:after="0"/>
              <w:rPr>
                <w:sz w:val="1"/>
                <w:szCs w:val="1"/>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1020" w:type="dxa"/>
            <w:vAlign w:val="bottom"/>
            <w:vMerge w:val="restart"/>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100" w:type="dxa"/>
            <w:vAlign w:val="bottom"/>
          </w:tcPr>
          <w:p>
            <w:pPr>
              <w:ind w:left="20"/>
              <w:spacing w:after="0" w:line="187" w:lineRule="exact"/>
              <w:rPr>
                <w:sz w:val="20"/>
                <w:szCs w:val="20"/>
                <w:color w:val="auto"/>
              </w:rPr>
            </w:pPr>
            <w:r>
              <w:rPr>
                <w:rFonts w:ascii="Calibri" w:cs="Calibri" w:eastAsia="Calibri" w:hAnsi="Calibri"/>
                <w:sz w:val="18"/>
                <w:szCs w:val="18"/>
                <w:color w:val="00002D"/>
              </w:rPr>
              <w:t>Jason Trevisan</w:t>
            </w:r>
          </w:p>
        </w:tc>
        <w:tc>
          <w:tcPr>
            <w:tcW w:w="0" w:type="dxa"/>
            <w:vAlign w:val="bottom"/>
          </w:tcPr>
          <w:p>
            <w:pPr>
              <w:spacing w:after="0"/>
              <w:rPr>
                <w:sz w:val="1"/>
                <w:szCs w:val="1"/>
                <w:color w:val="auto"/>
              </w:rPr>
            </w:pPr>
          </w:p>
        </w:tc>
      </w:tr>
      <w:tr>
        <w:trPr>
          <w:trHeight w:val="215"/>
        </w:trPr>
        <w:tc>
          <w:tcPr>
            <w:tcW w:w="5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00" w:type="dxa"/>
            <w:vAlign w:val="bottom"/>
          </w:tcPr>
          <w:p>
            <w:pPr>
              <w:ind w:left="20"/>
              <w:spacing w:after="0" w:line="215" w:lineRule="exact"/>
              <w:rPr>
                <w:sz w:val="20"/>
                <w:szCs w:val="20"/>
                <w:color w:val="auto"/>
              </w:rPr>
            </w:pPr>
            <w:r>
              <w:rPr>
                <w:rFonts w:ascii="Calibri" w:cs="Calibri" w:eastAsia="Calibri" w:hAnsi="Calibri"/>
                <w:sz w:val="18"/>
                <w:szCs w:val="18"/>
                <w:color w:val="00002D"/>
              </w:rPr>
              <w:t>Chief Executve Ofcer</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00" w:type="dxa"/>
            <w:vAlign w:val="bottom"/>
          </w:tcPr>
          <w:p>
            <w:pPr>
              <w:ind w:left="20"/>
              <w:spacing w:after="0" w:line="216" w:lineRule="exact"/>
              <w:rPr>
                <w:sz w:val="20"/>
                <w:szCs w:val="20"/>
                <w:color w:val="auto"/>
              </w:rPr>
            </w:pPr>
            <w:r>
              <w:rPr>
                <w:rFonts w:ascii="Calibri" w:cs="Calibri" w:eastAsia="Calibri" w:hAnsi="Calibri"/>
                <w:sz w:val="18"/>
                <w:szCs w:val="18"/>
                <w:i w:val="1"/>
                <w:iCs w:val="1"/>
                <w:color w:val="00002D"/>
              </w:rPr>
              <w:t>(Principal Executve Ofcer)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Calibri" w:cs="Calibri" w:eastAsia="Calibri" w:hAnsi="Calibri"/>
          <w:sz w:val="29"/>
          <w:szCs w:val="29"/>
          <w:b w:val="1"/>
          <w:bCs w:val="1"/>
          <w:color w:val="00002D"/>
        </w:rPr>
        <w:t>POWER OF ATTORNEY</w:t>
      </w:r>
    </w:p>
    <w:p>
      <w:pPr>
        <w:spacing w:after="0" w:line="2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Each person whose individual signature appears below hereby consttutes and appoints Jason Trevisan and Elisa Palazzo, and each of them, with full power of substtuton and resubsttuton and full power to act without the other, as his or her true and lawful atorney-in-fact and agent to act in his or her name, place, and stead and to execute in the name and on behalf of each person, individually and in each capacity stated below, and to fle any and all amendments to this Annual Report on Form 10-K, and to fle the same, with all exhibits thereto, and other documents in connecton therewith, with the U.S. Securites and Exchange Commission, grantng unto said atorneys-in-fact and agents, and each of them, full power and authority to do and perform each and every act and thing, ratfying and confrming all that said atorneys-in-fact and agents or any of them or their substtute or substtutes may lawfully do or cause to be done by virtue thereof.</w:t>
      </w:r>
    </w:p>
    <w:p>
      <w:pPr>
        <w:spacing w:after="0" w:line="2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00002D"/>
        </w:rPr>
        <w:t>Pursuant to the requirements of the Securites Exchange Act of 1934, as amended, this report has been signed below by the following persons on behalf of the registrant in the capacites and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00002D"/>
              </w:rPr>
              <w:t>Name</w:t>
            </w:r>
          </w:p>
        </w:tc>
        <w:tc>
          <w:tcPr>
            <w:tcW w:w="120" w:type="dxa"/>
            <w:vAlign w:val="bottom"/>
          </w:tcPr>
          <w:p>
            <w:pPr>
              <w:spacing w:after="0"/>
              <w:rPr>
                <w:sz w:val="16"/>
                <w:szCs w:val="16"/>
                <w:color w:val="auto"/>
              </w:rPr>
            </w:pPr>
          </w:p>
        </w:tc>
        <w:tc>
          <w:tcPr>
            <w:tcW w:w="582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00002D"/>
              </w:rPr>
              <w:t>Title</w:t>
            </w:r>
          </w:p>
        </w:tc>
        <w:tc>
          <w:tcPr>
            <w:tcW w:w="120" w:type="dxa"/>
            <w:vAlign w:val="bottom"/>
          </w:tcPr>
          <w:p>
            <w:pPr>
              <w:spacing w:after="0"/>
              <w:rPr>
                <w:sz w:val="16"/>
                <w:szCs w:val="16"/>
                <w:color w:val="auto"/>
              </w:rPr>
            </w:pPr>
          </w:p>
        </w:tc>
        <w:tc>
          <w:tcPr>
            <w:tcW w:w="236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00002D"/>
              </w:rPr>
              <w:t>Date</w:t>
            </w:r>
          </w:p>
        </w:tc>
        <w:tc>
          <w:tcPr>
            <w:tcW w:w="0" w:type="dxa"/>
            <w:vAlign w:val="bottom"/>
          </w:tcPr>
          <w:p>
            <w:pPr>
              <w:spacing w:after="0"/>
              <w:rPr>
                <w:sz w:val="1"/>
                <w:szCs w:val="1"/>
                <w:color w:val="auto"/>
              </w:rPr>
            </w:pPr>
          </w:p>
        </w:tc>
      </w:tr>
      <w:tr>
        <w:trPr>
          <w:trHeight w:val="274"/>
        </w:trPr>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20" w:type="dxa"/>
            <w:vAlign w:val="bottom"/>
          </w:tcPr>
          <w:p>
            <w:pPr>
              <w:ind w:left="20"/>
              <w:spacing w:after="0"/>
              <w:rPr>
                <w:sz w:val="20"/>
                <w:szCs w:val="20"/>
                <w:color w:val="auto"/>
              </w:rPr>
            </w:pPr>
            <w:r>
              <w:rPr>
                <w:rFonts w:ascii="Calibri" w:cs="Calibri" w:eastAsia="Calibri" w:hAnsi="Calibri"/>
                <w:sz w:val="18"/>
                <w:szCs w:val="18"/>
                <w:color w:val="00002D"/>
              </w:rPr>
              <w:t>Chief Executve Ofcer and Director</w:t>
            </w:r>
          </w:p>
        </w:tc>
        <w:tc>
          <w:tcPr>
            <w:tcW w:w="1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820" w:type="dxa"/>
            <w:vAlign w:val="bottom"/>
            <w:tcBorders>
              <w:bottom w:val="single" w:sz="8" w:color="auto"/>
            </w:tcBorders>
          </w:tcPr>
          <w:p>
            <w:pPr>
              <w:ind w:left="20"/>
              <w:spacing w:after="0" w:line="216" w:lineRule="exact"/>
              <w:rPr>
                <w:sz w:val="20"/>
                <w:szCs w:val="20"/>
                <w:color w:val="auto"/>
              </w:rPr>
            </w:pPr>
            <w:r>
              <w:rPr>
                <w:rFonts w:ascii="Calibri" w:cs="Calibri" w:eastAsia="Calibri" w:hAnsi="Calibri"/>
                <w:sz w:val="18"/>
                <w:szCs w:val="18"/>
                <w:color w:val="00002D"/>
              </w:rPr>
              <w:t>/s/ Jason Trevisan</w:t>
            </w:r>
          </w:p>
        </w:tc>
        <w:tc>
          <w:tcPr>
            <w:tcW w:w="120" w:type="dxa"/>
            <w:vAlign w:val="bottom"/>
          </w:tcPr>
          <w:p>
            <w:pPr>
              <w:spacing w:after="0"/>
              <w:rPr>
                <w:sz w:val="20"/>
                <w:szCs w:val="20"/>
                <w:color w:val="auto"/>
              </w:rPr>
            </w:pPr>
          </w:p>
        </w:tc>
        <w:tc>
          <w:tcPr>
            <w:tcW w:w="5820" w:type="dxa"/>
            <w:vAlign w:val="bottom"/>
          </w:tcPr>
          <w:p>
            <w:pPr>
              <w:ind w:left="20"/>
              <w:spacing w:after="0" w:line="216" w:lineRule="exact"/>
              <w:rPr>
                <w:sz w:val="20"/>
                <w:szCs w:val="20"/>
                <w:color w:val="auto"/>
              </w:rPr>
            </w:pPr>
            <w:r>
              <w:rPr>
                <w:rFonts w:ascii="Calibri" w:cs="Calibri" w:eastAsia="Calibri" w:hAnsi="Calibri"/>
                <w:sz w:val="18"/>
                <w:szCs w:val="18"/>
                <w:i w:val="1"/>
                <w:iCs w:val="1"/>
                <w:color w:val="00002D"/>
              </w:rPr>
              <w:t>(Principal Executve Ofcer)</w:t>
            </w:r>
          </w:p>
        </w:tc>
        <w:tc>
          <w:tcPr>
            <w:tcW w:w="120" w:type="dxa"/>
            <w:vAlign w:val="bottom"/>
          </w:tcPr>
          <w:p>
            <w:pPr>
              <w:spacing w:after="0"/>
              <w:rPr>
                <w:sz w:val="20"/>
                <w:szCs w:val="20"/>
                <w:color w:val="auto"/>
              </w:rPr>
            </w:pPr>
          </w:p>
        </w:tc>
        <w:tc>
          <w:tcPr>
            <w:tcW w:w="2360" w:type="dxa"/>
            <w:vAlign w:val="bottom"/>
          </w:tcPr>
          <w:p>
            <w:pPr>
              <w:ind w:left="20"/>
              <w:spacing w:after="0"/>
              <w:rPr>
                <w:sz w:val="20"/>
                <w:szCs w:val="20"/>
                <w:color w:val="auto"/>
              </w:rPr>
            </w:pPr>
            <w:r>
              <w:rPr>
                <w:rFonts w:ascii="Calibri" w:cs="Calibri" w:eastAsia="Calibri" w:hAnsi="Calibri"/>
                <w:sz w:val="18"/>
                <w:szCs w:val="18"/>
                <w:color w:val="00002D"/>
              </w:rPr>
              <w:t>February 20, 2025</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line="214" w:lineRule="exact"/>
              <w:rPr>
                <w:sz w:val="20"/>
                <w:szCs w:val="20"/>
                <w:color w:val="auto"/>
              </w:rPr>
            </w:pPr>
            <w:r>
              <w:rPr>
                <w:rFonts w:ascii="Calibri" w:cs="Calibri" w:eastAsia="Calibri" w:hAnsi="Calibri"/>
                <w:sz w:val="18"/>
                <w:szCs w:val="18"/>
                <w:color w:val="00002D"/>
              </w:rPr>
              <w:t>Jason Trevisan</w:t>
            </w: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20" w:type="dxa"/>
            <w:vAlign w:val="bottom"/>
            <w:vMerge w:val="restart"/>
          </w:tcPr>
          <w:p>
            <w:pPr>
              <w:ind w:left="20"/>
              <w:spacing w:after="0"/>
              <w:rPr>
                <w:sz w:val="20"/>
                <w:szCs w:val="20"/>
                <w:color w:val="auto"/>
              </w:rPr>
            </w:pPr>
            <w:r>
              <w:rPr>
                <w:rFonts w:ascii="Calibri" w:cs="Calibri" w:eastAsia="Calibri" w:hAnsi="Calibri"/>
                <w:sz w:val="18"/>
                <w:szCs w:val="18"/>
                <w:color w:val="00002D"/>
              </w:rPr>
              <w:t>/s/ Elisa Palazzo</w:t>
            </w:r>
          </w:p>
        </w:tc>
        <w:tc>
          <w:tcPr>
            <w:tcW w:w="120" w:type="dxa"/>
            <w:vAlign w:val="bottom"/>
          </w:tcPr>
          <w:p>
            <w:pPr>
              <w:spacing w:after="0"/>
              <w:rPr>
                <w:sz w:val="23"/>
                <w:szCs w:val="23"/>
                <w:color w:val="auto"/>
              </w:rPr>
            </w:pPr>
          </w:p>
        </w:tc>
        <w:tc>
          <w:tcPr>
            <w:tcW w:w="5820" w:type="dxa"/>
            <w:vAlign w:val="bottom"/>
          </w:tcPr>
          <w:p>
            <w:pPr>
              <w:ind w:left="20"/>
              <w:spacing w:after="0"/>
              <w:rPr>
                <w:sz w:val="20"/>
                <w:szCs w:val="20"/>
                <w:color w:val="auto"/>
              </w:rPr>
            </w:pPr>
            <w:r>
              <w:rPr>
                <w:rFonts w:ascii="Calibri" w:cs="Calibri" w:eastAsia="Calibri" w:hAnsi="Calibri"/>
                <w:sz w:val="18"/>
                <w:szCs w:val="18"/>
                <w:color w:val="00002D"/>
              </w:rPr>
              <w:t>Chief Financial Ofcer</w:t>
            </w:r>
          </w:p>
        </w:tc>
        <w:tc>
          <w:tcPr>
            <w:tcW w:w="1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28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820" w:type="dxa"/>
            <w:vAlign w:val="bottom"/>
          </w:tcPr>
          <w:p>
            <w:pPr>
              <w:ind w:left="20"/>
              <w:spacing w:after="0" w:line="216" w:lineRule="exact"/>
              <w:rPr>
                <w:sz w:val="20"/>
                <w:szCs w:val="20"/>
                <w:color w:val="auto"/>
              </w:rPr>
            </w:pPr>
            <w:r>
              <w:rPr>
                <w:rFonts w:ascii="Calibri" w:cs="Calibri" w:eastAsia="Calibri" w:hAnsi="Calibri"/>
                <w:sz w:val="18"/>
                <w:szCs w:val="18"/>
                <w:i w:val="1"/>
                <w:iCs w:val="1"/>
                <w:color w:val="00002D"/>
              </w:rPr>
              <w:t>(Principal Financial Ofcer and Principal Accountng Ofcer)</w:t>
            </w:r>
          </w:p>
        </w:tc>
        <w:tc>
          <w:tcPr>
            <w:tcW w:w="120" w:type="dxa"/>
            <w:vAlign w:val="bottom"/>
          </w:tcPr>
          <w:p>
            <w:pPr>
              <w:spacing w:after="0"/>
              <w:rPr>
                <w:sz w:val="19"/>
                <w:szCs w:val="19"/>
                <w:color w:val="auto"/>
              </w:rPr>
            </w:pPr>
          </w:p>
        </w:tc>
        <w:tc>
          <w:tcPr>
            <w:tcW w:w="2360" w:type="dxa"/>
            <w:vAlign w:val="bottom"/>
          </w:tcPr>
          <w:p>
            <w:pPr>
              <w:ind w:left="20"/>
              <w:spacing w:after="0" w:line="216" w:lineRule="exact"/>
              <w:rPr>
                <w:sz w:val="20"/>
                <w:szCs w:val="20"/>
                <w:color w:val="auto"/>
              </w:rPr>
            </w:pPr>
            <w:r>
              <w:rPr>
                <w:rFonts w:ascii="Calibri" w:cs="Calibri" w:eastAsia="Calibri" w:hAnsi="Calibri"/>
                <w:sz w:val="18"/>
                <w:szCs w:val="18"/>
                <w:color w:val="00002D"/>
              </w:rPr>
              <w:t>February 20, 2025</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line="214" w:lineRule="exact"/>
              <w:rPr>
                <w:sz w:val="20"/>
                <w:szCs w:val="20"/>
                <w:color w:val="auto"/>
              </w:rPr>
            </w:pPr>
            <w:r>
              <w:rPr>
                <w:rFonts w:ascii="Calibri" w:cs="Calibri" w:eastAsia="Calibri" w:hAnsi="Calibri"/>
                <w:sz w:val="18"/>
                <w:szCs w:val="18"/>
                <w:color w:val="00002D"/>
              </w:rPr>
              <w:t>Elisa Palazzo</w:t>
            </w: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820" w:type="dxa"/>
            <w:vAlign w:val="bottom"/>
            <w:tcBorders>
              <w:bottom w:val="single" w:sz="8" w:color="auto"/>
            </w:tcBorders>
          </w:tcPr>
          <w:p>
            <w:pPr>
              <w:ind w:left="20"/>
              <w:spacing w:after="0"/>
              <w:rPr>
                <w:sz w:val="20"/>
                <w:szCs w:val="20"/>
                <w:color w:val="auto"/>
              </w:rPr>
            </w:pPr>
            <w:r>
              <w:rPr>
                <w:rFonts w:ascii="Calibri" w:cs="Calibri" w:eastAsia="Calibri" w:hAnsi="Calibri"/>
                <w:sz w:val="18"/>
                <w:szCs w:val="18"/>
                <w:color w:val="00002D"/>
              </w:rPr>
              <w:t>/s/ Langley Steinert</w:t>
            </w:r>
          </w:p>
        </w:tc>
        <w:tc>
          <w:tcPr>
            <w:tcW w:w="120" w:type="dxa"/>
            <w:vAlign w:val="bottom"/>
          </w:tcPr>
          <w:p>
            <w:pPr>
              <w:spacing w:after="0"/>
              <w:rPr>
                <w:sz w:val="24"/>
                <w:szCs w:val="24"/>
                <w:color w:val="auto"/>
              </w:rPr>
            </w:pPr>
          </w:p>
        </w:tc>
        <w:tc>
          <w:tcPr>
            <w:tcW w:w="5820" w:type="dxa"/>
            <w:vAlign w:val="bottom"/>
          </w:tcPr>
          <w:p>
            <w:pPr>
              <w:ind w:left="20"/>
              <w:spacing w:after="0"/>
              <w:rPr>
                <w:sz w:val="20"/>
                <w:szCs w:val="20"/>
                <w:color w:val="auto"/>
              </w:rPr>
            </w:pPr>
            <w:r>
              <w:rPr>
                <w:rFonts w:ascii="Calibri" w:cs="Calibri" w:eastAsia="Calibri" w:hAnsi="Calibri"/>
                <w:sz w:val="18"/>
                <w:szCs w:val="18"/>
                <w:color w:val="00002D"/>
              </w:rPr>
              <w:t>Executve Chair and Chair of the Board of Directors</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Calibri" w:cs="Calibri" w:eastAsia="Calibri" w:hAnsi="Calibri"/>
                <w:sz w:val="18"/>
                <w:szCs w:val="18"/>
                <w:color w:val="00002D"/>
              </w:rPr>
              <w:t>February 20, 2025</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line="214" w:lineRule="exact"/>
              <w:rPr>
                <w:sz w:val="20"/>
                <w:szCs w:val="20"/>
                <w:color w:val="auto"/>
              </w:rPr>
            </w:pPr>
            <w:r>
              <w:rPr>
                <w:rFonts w:ascii="Calibri" w:cs="Calibri" w:eastAsia="Calibri" w:hAnsi="Calibri"/>
                <w:sz w:val="18"/>
                <w:szCs w:val="18"/>
                <w:color w:val="00002D"/>
              </w:rPr>
              <w:t>Langley Steinert</w:t>
            </w: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820" w:type="dxa"/>
            <w:vAlign w:val="bottom"/>
            <w:tcBorders>
              <w:bottom w:val="single" w:sz="8" w:color="auto"/>
            </w:tcBorders>
          </w:tcPr>
          <w:p>
            <w:pPr>
              <w:ind w:left="20"/>
              <w:spacing w:after="0"/>
              <w:rPr>
                <w:sz w:val="20"/>
                <w:szCs w:val="20"/>
                <w:color w:val="auto"/>
              </w:rPr>
            </w:pPr>
            <w:r>
              <w:rPr>
                <w:rFonts w:ascii="Calibri" w:cs="Calibri" w:eastAsia="Calibri" w:hAnsi="Calibri"/>
                <w:sz w:val="18"/>
                <w:szCs w:val="18"/>
                <w:color w:val="00002D"/>
              </w:rPr>
              <w:t>/s/ Steven Conine</w:t>
            </w:r>
          </w:p>
        </w:tc>
        <w:tc>
          <w:tcPr>
            <w:tcW w:w="120" w:type="dxa"/>
            <w:vAlign w:val="bottom"/>
          </w:tcPr>
          <w:p>
            <w:pPr>
              <w:spacing w:after="0"/>
              <w:rPr>
                <w:sz w:val="24"/>
                <w:szCs w:val="24"/>
                <w:color w:val="auto"/>
              </w:rPr>
            </w:pPr>
          </w:p>
        </w:tc>
        <w:tc>
          <w:tcPr>
            <w:tcW w:w="5820" w:type="dxa"/>
            <w:vAlign w:val="bottom"/>
          </w:tcPr>
          <w:p>
            <w:pPr>
              <w:ind w:left="20"/>
              <w:spacing w:after="0"/>
              <w:rPr>
                <w:sz w:val="20"/>
                <w:szCs w:val="20"/>
                <w:color w:val="auto"/>
              </w:rPr>
            </w:pPr>
            <w:r>
              <w:rPr>
                <w:rFonts w:ascii="Calibri" w:cs="Calibri" w:eastAsia="Calibri" w:hAnsi="Calibri"/>
                <w:sz w:val="18"/>
                <w:szCs w:val="18"/>
                <w:color w:val="00002D"/>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Calibri" w:cs="Calibri" w:eastAsia="Calibri" w:hAnsi="Calibri"/>
                <w:sz w:val="18"/>
                <w:szCs w:val="18"/>
                <w:color w:val="00002D"/>
              </w:rPr>
              <w:t>February 20, 2025</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line="214" w:lineRule="exact"/>
              <w:rPr>
                <w:sz w:val="20"/>
                <w:szCs w:val="20"/>
                <w:color w:val="auto"/>
              </w:rPr>
            </w:pPr>
            <w:r>
              <w:rPr>
                <w:rFonts w:ascii="Calibri" w:cs="Calibri" w:eastAsia="Calibri" w:hAnsi="Calibri"/>
                <w:sz w:val="18"/>
                <w:szCs w:val="18"/>
                <w:color w:val="00002D"/>
              </w:rPr>
              <w:t>Steven Conine</w:t>
            </w: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820" w:type="dxa"/>
            <w:vAlign w:val="bottom"/>
            <w:tcBorders>
              <w:bottom w:val="single" w:sz="8" w:color="auto"/>
            </w:tcBorders>
          </w:tcPr>
          <w:p>
            <w:pPr>
              <w:ind w:left="20"/>
              <w:spacing w:after="0"/>
              <w:rPr>
                <w:sz w:val="20"/>
                <w:szCs w:val="20"/>
                <w:color w:val="auto"/>
              </w:rPr>
            </w:pPr>
            <w:r>
              <w:rPr>
                <w:rFonts w:ascii="Calibri" w:cs="Calibri" w:eastAsia="Calibri" w:hAnsi="Calibri"/>
                <w:sz w:val="18"/>
                <w:szCs w:val="18"/>
                <w:color w:val="00002D"/>
              </w:rPr>
              <w:t>/s/ Manik Gupta</w:t>
            </w:r>
          </w:p>
        </w:tc>
        <w:tc>
          <w:tcPr>
            <w:tcW w:w="120" w:type="dxa"/>
            <w:vAlign w:val="bottom"/>
          </w:tcPr>
          <w:p>
            <w:pPr>
              <w:spacing w:after="0"/>
              <w:rPr>
                <w:sz w:val="24"/>
                <w:szCs w:val="24"/>
                <w:color w:val="auto"/>
              </w:rPr>
            </w:pPr>
          </w:p>
        </w:tc>
        <w:tc>
          <w:tcPr>
            <w:tcW w:w="5820" w:type="dxa"/>
            <w:vAlign w:val="bottom"/>
          </w:tcPr>
          <w:p>
            <w:pPr>
              <w:ind w:left="20"/>
              <w:spacing w:after="0"/>
              <w:rPr>
                <w:sz w:val="20"/>
                <w:szCs w:val="20"/>
                <w:color w:val="auto"/>
              </w:rPr>
            </w:pPr>
            <w:r>
              <w:rPr>
                <w:rFonts w:ascii="Calibri" w:cs="Calibri" w:eastAsia="Calibri" w:hAnsi="Calibri"/>
                <w:sz w:val="18"/>
                <w:szCs w:val="18"/>
                <w:color w:val="00002D"/>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Calibri" w:cs="Calibri" w:eastAsia="Calibri" w:hAnsi="Calibri"/>
                <w:sz w:val="18"/>
                <w:szCs w:val="18"/>
                <w:color w:val="00002D"/>
              </w:rPr>
              <w:t>February 20, 2025</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line="214" w:lineRule="exact"/>
              <w:rPr>
                <w:sz w:val="20"/>
                <w:szCs w:val="20"/>
                <w:color w:val="auto"/>
              </w:rPr>
            </w:pPr>
            <w:r>
              <w:rPr>
                <w:rFonts w:ascii="Calibri" w:cs="Calibri" w:eastAsia="Calibri" w:hAnsi="Calibri"/>
                <w:sz w:val="18"/>
                <w:szCs w:val="18"/>
                <w:color w:val="00002D"/>
              </w:rPr>
              <w:t>Manik Gupta</w:t>
            </w: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820" w:type="dxa"/>
            <w:vAlign w:val="bottom"/>
            <w:tcBorders>
              <w:bottom w:val="single" w:sz="8" w:color="auto"/>
            </w:tcBorders>
          </w:tcPr>
          <w:p>
            <w:pPr>
              <w:ind w:left="20"/>
              <w:spacing w:after="0"/>
              <w:rPr>
                <w:sz w:val="20"/>
                <w:szCs w:val="20"/>
                <w:color w:val="auto"/>
              </w:rPr>
            </w:pPr>
            <w:r>
              <w:rPr>
                <w:rFonts w:ascii="Calibri" w:cs="Calibri" w:eastAsia="Calibri" w:hAnsi="Calibri"/>
                <w:sz w:val="18"/>
                <w:szCs w:val="18"/>
                <w:color w:val="00002D"/>
              </w:rPr>
              <w:t>/s/ Lori Hickok</w:t>
            </w:r>
          </w:p>
        </w:tc>
        <w:tc>
          <w:tcPr>
            <w:tcW w:w="120" w:type="dxa"/>
            <w:vAlign w:val="bottom"/>
          </w:tcPr>
          <w:p>
            <w:pPr>
              <w:spacing w:after="0"/>
              <w:rPr>
                <w:sz w:val="24"/>
                <w:szCs w:val="24"/>
                <w:color w:val="auto"/>
              </w:rPr>
            </w:pPr>
          </w:p>
        </w:tc>
        <w:tc>
          <w:tcPr>
            <w:tcW w:w="5820" w:type="dxa"/>
            <w:vAlign w:val="bottom"/>
          </w:tcPr>
          <w:p>
            <w:pPr>
              <w:ind w:left="20"/>
              <w:spacing w:after="0"/>
              <w:rPr>
                <w:sz w:val="20"/>
                <w:szCs w:val="20"/>
                <w:color w:val="auto"/>
              </w:rPr>
            </w:pPr>
            <w:r>
              <w:rPr>
                <w:rFonts w:ascii="Calibri" w:cs="Calibri" w:eastAsia="Calibri" w:hAnsi="Calibri"/>
                <w:sz w:val="18"/>
                <w:szCs w:val="18"/>
                <w:color w:val="00002D"/>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Calibri" w:cs="Calibri" w:eastAsia="Calibri" w:hAnsi="Calibri"/>
                <w:sz w:val="18"/>
                <w:szCs w:val="18"/>
                <w:color w:val="00002D"/>
              </w:rPr>
              <w:t>February 20, 2025</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line="214" w:lineRule="exact"/>
              <w:rPr>
                <w:sz w:val="20"/>
                <w:szCs w:val="20"/>
                <w:color w:val="auto"/>
              </w:rPr>
            </w:pPr>
            <w:r>
              <w:rPr>
                <w:rFonts w:ascii="Calibri" w:cs="Calibri" w:eastAsia="Calibri" w:hAnsi="Calibri"/>
                <w:sz w:val="18"/>
                <w:szCs w:val="18"/>
                <w:color w:val="00002D"/>
              </w:rPr>
              <w:t>Lori Hickok</w:t>
            </w: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820" w:type="dxa"/>
            <w:vAlign w:val="bottom"/>
            <w:tcBorders>
              <w:bottom w:val="single" w:sz="8" w:color="auto"/>
            </w:tcBorders>
          </w:tcPr>
          <w:p>
            <w:pPr>
              <w:ind w:left="20"/>
              <w:spacing w:after="0"/>
              <w:rPr>
                <w:sz w:val="20"/>
                <w:szCs w:val="20"/>
                <w:color w:val="auto"/>
              </w:rPr>
            </w:pPr>
            <w:r>
              <w:rPr>
                <w:rFonts w:ascii="Calibri" w:cs="Calibri" w:eastAsia="Calibri" w:hAnsi="Calibri"/>
                <w:sz w:val="18"/>
                <w:szCs w:val="18"/>
                <w:color w:val="00002D"/>
              </w:rPr>
              <w:t>/s/ Stephen Kaufer</w:t>
            </w:r>
          </w:p>
        </w:tc>
        <w:tc>
          <w:tcPr>
            <w:tcW w:w="120" w:type="dxa"/>
            <w:vAlign w:val="bottom"/>
          </w:tcPr>
          <w:p>
            <w:pPr>
              <w:spacing w:after="0"/>
              <w:rPr>
                <w:sz w:val="24"/>
                <w:szCs w:val="24"/>
                <w:color w:val="auto"/>
              </w:rPr>
            </w:pPr>
          </w:p>
        </w:tc>
        <w:tc>
          <w:tcPr>
            <w:tcW w:w="5820" w:type="dxa"/>
            <w:vAlign w:val="bottom"/>
          </w:tcPr>
          <w:p>
            <w:pPr>
              <w:ind w:left="20"/>
              <w:spacing w:after="0"/>
              <w:rPr>
                <w:sz w:val="20"/>
                <w:szCs w:val="20"/>
                <w:color w:val="auto"/>
              </w:rPr>
            </w:pPr>
            <w:r>
              <w:rPr>
                <w:rFonts w:ascii="Calibri" w:cs="Calibri" w:eastAsia="Calibri" w:hAnsi="Calibri"/>
                <w:sz w:val="18"/>
                <w:szCs w:val="18"/>
                <w:color w:val="00002D"/>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Calibri" w:cs="Calibri" w:eastAsia="Calibri" w:hAnsi="Calibri"/>
                <w:sz w:val="18"/>
                <w:szCs w:val="18"/>
                <w:color w:val="00002D"/>
              </w:rPr>
              <w:t>February 20, 2025</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line="214" w:lineRule="exact"/>
              <w:rPr>
                <w:sz w:val="20"/>
                <w:szCs w:val="20"/>
                <w:color w:val="auto"/>
              </w:rPr>
            </w:pPr>
            <w:r>
              <w:rPr>
                <w:rFonts w:ascii="Calibri" w:cs="Calibri" w:eastAsia="Calibri" w:hAnsi="Calibri"/>
                <w:sz w:val="18"/>
                <w:szCs w:val="18"/>
                <w:color w:val="00002D"/>
              </w:rPr>
              <w:t>Stephen Kaufer</w:t>
            </w: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820" w:type="dxa"/>
            <w:vAlign w:val="bottom"/>
            <w:tcBorders>
              <w:bottom w:val="single" w:sz="8" w:color="auto"/>
            </w:tcBorders>
          </w:tcPr>
          <w:p>
            <w:pPr>
              <w:ind w:left="20"/>
              <w:spacing w:after="0"/>
              <w:rPr>
                <w:sz w:val="20"/>
                <w:szCs w:val="20"/>
                <w:color w:val="auto"/>
              </w:rPr>
            </w:pPr>
            <w:r>
              <w:rPr>
                <w:rFonts w:ascii="Calibri" w:cs="Calibri" w:eastAsia="Calibri" w:hAnsi="Calibri"/>
                <w:sz w:val="18"/>
                <w:szCs w:val="18"/>
                <w:color w:val="00002D"/>
              </w:rPr>
              <w:t>/s/ Greg Schwartz</w:t>
            </w:r>
          </w:p>
        </w:tc>
        <w:tc>
          <w:tcPr>
            <w:tcW w:w="120" w:type="dxa"/>
            <w:vAlign w:val="bottom"/>
          </w:tcPr>
          <w:p>
            <w:pPr>
              <w:spacing w:after="0"/>
              <w:rPr>
                <w:sz w:val="24"/>
                <w:szCs w:val="24"/>
                <w:color w:val="auto"/>
              </w:rPr>
            </w:pPr>
          </w:p>
        </w:tc>
        <w:tc>
          <w:tcPr>
            <w:tcW w:w="5820" w:type="dxa"/>
            <w:vAlign w:val="bottom"/>
          </w:tcPr>
          <w:p>
            <w:pPr>
              <w:ind w:left="20"/>
              <w:spacing w:after="0"/>
              <w:rPr>
                <w:sz w:val="20"/>
                <w:szCs w:val="20"/>
                <w:color w:val="auto"/>
              </w:rPr>
            </w:pPr>
            <w:r>
              <w:rPr>
                <w:rFonts w:ascii="Calibri" w:cs="Calibri" w:eastAsia="Calibri" w:hAnsi="Calibri"/>
                <w:sz w:val="18"/>
                <w:szCs w:val="18"/>
                <w:color w:val="00002D"/>
              </w:rPr>
              <w:t>Director</w:t>
            </w:r>
          </w:p>
        </w:tc>
        <w:tc>
          <w:tcPr>
            <w:tcW w:w="12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Calibri" w:cs="Calibri" w:eastAsia="Calibri" w:hAnsi="Calibri"/>
                <w:sz w:val="18"/>
                <w:szCs w:val="18"/>
                <w:color w:val="00002D"/>
              </w:rPr>
              <w:t>February 20, 2025</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line="214" w:lineRule="exact"/>
              <w:rPr>
                <w:sz w:val="20"/>
                <w:szCs w:val="20"/>
                <w:color w:val="auto"/>
              </w:rPr>
            </w:pPr>
            <w:r>
              <w:rPr>
                <w:rFonts w:ascii="Calibri" w:cs="Calibri" w:eastAsia="Calibri" w:hAnsi="Calibri"/>
                <w:sz w:val="18"/>
                <w:szCs w:val="18"/>
                <w:color w:val="00002D"/>
              </w:rPr>
              <w:t>Greg Schwartz</w:t>
            </w:r>
          </w:p>
        </w:tc>
        <w:tc>
          <w:tcPr>
            <w:tcW w:w="1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6"/>
        </w:trPr>
        <w:tc>
          <w:tcPr>
            <w:tcW w:w="2820" w:type="dxa"/>
            <w:vAlign w:val="bottom"/>
          </w:tcPr>
          <w:p>
            <w:pPr>
              <w:spacing w:after="0"/>
              <w:rPr>
                <w:sz w:val="24"/>
                <w:szCs w:val="24"/>
                <w:color w:val="auto"/>
              </w:rPr>
            </w:pPr>
          </w:p>
        </w:tc>
        <w:tc>
          <w:tcPr>
            <w:tcW w:w="5940" w:type="dxa"/>
            <w:vAlign w:val="bottom"/>
            <w:gridSpan w:val="2"/>
          </w:tcPr>
          <w:p>
            <w:pPr>
              <w:jc w:val="right"/>
              <w:ind w:right="2912"/>
              <w:spacing w:after="0"/>
              <w:rPr>
                <w:sz w:val="20"/>
                <w:szCs w:val="20"/>
                <w:color w:val="auto"/>
              </w:rPr>
            </w:pPr>
            <w:r>
              <w:rPr>
                <w:rFonts w:ascii="Calibri" w:cs="Calibri" w:eastAsia="Calibri" w:hAnsi="Calibri"/>
                <w:sz w:val="18"/>
                <w:szCs w:val="18"/>
                <w:color w:val="auto"/>
              </w:rPr>
              <w:t>133</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2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5" w:name="page136"/>
    <w:bookmarkEnd w:id="135"/>
    <w:p>
      <w:pPr>
        <w:ind w:left="10260"/>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CARGURUS,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INSIDER TRADING POLICY</w:t>
      </w:r>
    </w:p>
    <w:p>
      <w:pPr>
        <w:spacing w:after="0" w:line="229" w:lineRule="exact"/>
        <w:rPr>
          <w:sz w:val="20"/>
          <w:szCs w:val="20"/>
          <w:color w:val="auto"/>
        </w:rPr>
      </w:pPr>
    </w:p>
    <w:p>
      <w:pPr>
        <w:ind w:left="840" w:hanging="743"/>
        <w:spacing w:after="0"/>
        <w:tabs>
          <w:tab w:leader="none" w:pos="84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w:t>
      </w:r>
    </w:p>
    <w:p>
      <w:pPr>
        <w:spacing w:after="0" w:line="191" w:lineRule="exact"/>
        <w:rPr>
          <w:sz w:val="20"/>
          <w:szCs w:val="20"/>
          <w:color w:val="auto"/>
        </w:rPr>
      </w:pPr>
    </w:p>
    <w:p>
      <w:pPr>
        <w:jc w:val="both"/>
        <w:ind w:firstLine="823"/>
        <w:spacing w:after="0" w:line="233" w:lineRule="auto"/>
        <w:rPr>
          <w:sz w:val="20"/>
          <w:szCs w:val="20"/>
          <w:color w:val="auto"/>
        </w:rPr>
      </w:pPr>
      <w:r>
        <w:rPr>
          <w:rFonts w:ascii="Arial" w:cs="Arial" w:eastAsia="Arial" w:hAnsi="Arial"/>
          <w:sz w:val="20"/>
          <w:szCs w:val="20"/>
          <w:color w:val="auto"/>
        </w:rPr>
        <w:t>This Insider Trading Policy (the “Policy”) provides guidelines with respect to transactions in the securities of CarGurus, Inc. (together with its subsidiaries, the “Company”) and the handling of confidential information about the Company and the companies with which the Company does business. The Company’s Board of Directors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97" w:lineRule="exact"/>
        <w:rPr>
          <w:sz w:val="20"/>
          <w:szCs w:val="20"/>
          <w:color w:val="auto"/>
        </w:rPr>
      </w:pPr>
    </w:p>
    <w:p>
      <w:pPr>
        <w:ind w:left="840" w:hanging="743"/>
        <w:spacing w:after="0"/>
        <w:tabs>
          <w:tab w:leader="none" w:pos="84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PERSONS SUBJECT TO THIS POLICY</w:t>
      </w:r>
    </w:p>
    <w:p>
      <w:pPr>
        <w:spacing w:after="0" w:line="204" w:lineRule="exact"/>
        <w:rPr>
          <w:sz w:val="20"/>
          <w:szCs w:val="20"/>
          <w:color w:val="auto"/>
        </w:rPr>
      </w:pPr>
    </w:p>
    <w:p>
      <w:pPr>
        <w:jc w:val="both"/>
        <w:ind w:firstLine="823"/>
        <w:spacing w:after="0" w:line="241" w:lineRule="auto"/>
        <w:rPr>
          <w:sz w:val="20"/>
          <w:szCs w:val="20"/>
          <w:color w:val="auto"/>
        </w:rPr>
      </w:pPr>
      <w:r>
        <w:rPr>
          <w:rFonts w:ascii="Arial" w:cs="Arial" w:eastAsia="Arial" w:hAnsi="Arial"/>
          <w:sz w:val="20"/>
          <w:szCs w:val="20"/>
          <w:color w:val="auto"/>
        </w:rPr>
        <w:t>This Policy applies to all employees of the Company and all members of the Company’s Board of Directors. This Policy also applies to any persons that the Compliance Officer (as defined below) determines should be subject to this Policy, such as contractors or consultants who have access to material nonpublic information.</w:t>
      </w:r>
    </w:p>
    <w:p>
      <w:pPr>
        <w:spacing w:after="0" w:line="158" w:lineRule="exact"/>
        <w:rPr>
          <w:sz w:val="20"/>
          <w:szCs w:val="20"/>
          <w:color w:val="auto"/>
        </w:rPr>
      </w:pPr>
    </w:p>
    <w:p>
      <w:pPr>
        <w:jc w:val="both"/>
        <w:ind w:firstLine="823"/>
        <w:spacing w:after="0" w:line="231" w:lineRule="auto"/>
        <w:rPr>
          <w:sz w:val="20"/>
          <w:szCs w:val="20"/>
          <w:color w:val="auto"/>
        </w:rPr>
      </w:pPr>
      <w:r>
        <w:rPr>
          <w:rFonts w:ascii="Arial" w:cs="Arial" w:eastAsia="Arial" w:hAnsi="Arial"/>
          <w:sz w:val="20"/>
          <w:szCs w:val="20"/>
          <w:color w:val="auto"/>
        </w:rPr>
        <w:t>This Policy applies to family members who reside with a person covered by this Policy (including a spouse, a child, a child away at college, stepchildren, grandchildren, parents, stepparents, grandparents, siblings and in-laws), anyone else who lives in the household of a person covered by this Policy (other than (a) an employee or tenant of the person covered by this Policy or (b) another unrelated person whom the Compliance Officer determines should not be covered by this Policy), and any family members who do not live in the household of a person covered by this Policy, but whose transactions in Company Securities (as defined below) are directed by a person covered by this Policy or are subject to the influence or control of a person covered by this Policy, such as parents or children who consult with a person covered by this Policy before they trade in Company Securities (collectively referred to as “Family Members”).</w:t>
      </w:r>
    </w:p>
    <w:p>
      <w:pPr>
        <w:spacing w:after="0" w:line="160" w:lineRule="exact"/>
        <w:rPr>
          <w:sz w:val="20"/>
          <w:szCs w:val="20"/>
          <w:color w:val="auto"/>
        </w:rPr>
      </w:pPr>
    </w:p>
    <w:p>
      <w:pPr>
        <w:jc w:val="both"/>
        <w:ind w:firstLine="823"/>
        <w:spacing w:after="0" w:line="257" w:lineRule="auto"/>
        <w:rPr>
          <w:sz w:val="20"/>
          <w:szCs w:val="20"/>
          <w:color w:val="auto"/>
        </w:rPr>
      </w:pPr>
      <w:r>
        <w:rPr>
          <w:rFonts w:ascii="Arial" w:cs="Arial" w:eastAsia="Arial" w:hAnsi="Arial"/>
          <w:sz w:val="20"/>
          <w:szCs w:val="20"/>
          <w:color w:val="auto"/>
        </w:rPr>
        <w:t>This Policy also applies to any entities that a person covered by this Policy influences or controls, including any corporations, partnerships or trusts (collectively referred to as “Controlled Entities”).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Throughout this Policy, persons subject to this Policy may be referred to as “you” or “Covered Persons”.</w:t>
      </w:r>
    </w:p>
    <w:p>
      <w:pPr>
        <w:spacing w:after="0" w:line="227" w:lineRule="exact"/>
        <w:rPr>
          <w:sz w:val="20"/>
          <w:szCs w:val="20"/>
          <w:color w:val="auto"/>
        </w:rPr>
      </w:pPr>
    </w:p>
    <w:p>
      <w:pPr>
        <w:ind w:left="840" w:hanging="743"/>
        <w:spacing w:after="0"/>
        <w:tabs>
          <w:tab w:leader="none" w:pos="84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TRANSACTIONS SUBJECT TO THIS POLICY</w:t>
      </w:r>
    </w:p>
    <w:p>
      <w:pPr>
        <w:spacing w:after="0" w:line="204" w:lineRule="exact"/>
        <w:rPr>
          <w:sz w:val="20"/>
          <w:szCs w:val="20"/>
          <w:color w:val="auto"/>
        </w:rPr>
      </w:pPr>
    </w:p>
    <w:p>
      <w:pPr>
        <w:jc w:val="both"/>
        <w:ind w:firstLine="823"/>
        <w:spacing w:after="0" w:line="231" w:lineRule="auto"/>
        <w:rPr>
          <w:sz w:val="20"/>
          <w:szCs w:val="20"/>
          <w:color w:val="auto"/>
        </w:rPr>
      </w:pPr>
      <w:r>
        <w:rPr>
          <w:rFonts w:ascii="Arial" w:cs="Arial" w:eastAsia="Arial" w:hAnsi="Arial"/>
          <w:sz w:val="20"/>
          <w:szCs w:val="20"/>
          <w:color w:val="auto"/>
        </w:rPr>
        <w:t>This Policy applies to transactions, including purchases, sales, gifts (which term, as used in this policy, includes charitable donations) or offers to purchase or sell, in the Company’s securities (collectively referred to as “Company Securities”), including the Company’s Class A and Class B common stock (collectively,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Company Securities.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6" w:name="page137"/>
    <w:bookmarkEnd w:id="136"/>
    <w:p>
      <w:pPr>
        <w:ind w:left="10260"/>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firstLine="440"/>
        <w:spacing w:after="0" w:line="241" w:lineRule="auto"/>
        <w:rPr>
          <w:sz w:val="20"/>
          <w:szCs w:val="20"/>
          <w:color w:val="auto"/>
        </w:rPr>
      </w:pPr>
      <w:r>
        <w:rPr>
          <w:rFonts w:ascii="Arial" w:cs="Arial" w:eastAsia="Arial" w:hAnsi="Arial"/>
          <w:sz w:val="20"/>
          <w:szCs w:val="20"/>
          <w:color w:val="auto"/>
        </w:rPr>
        <w:t>This Policy also applies to tipping or otherwise disclosing to any other person any material nonpublic information concerning the Company if such person may misuse that information, such as by engaging in transactions in Company Securities or tipping that information to others.</w:t>
      </w:r>
    </w:p>
    <w:p>
      <w:pPr>
        <w:spacing w:after="0" w:line="225" w:lineRule="exact"/>
        <w:rPr>
          <w:sz w:val="20"/>
          <w:szCs w:val="20"/>
          <w:color w:val="auto"/>
        </w:rPr>
      </w:pPr>
    </w:p>
    <w:p>
      <w:pPr>
        <w:ind w:left="840" w:hanging="757"/>
        <w:spacing w:after="0"/>
        <w:tabs>
          <w:tab w:leader="none" w:pos="8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Transactions by Family Members and Others</w:t>
      </w:r>
    </w:p>
    <w:p>
      <w:pPr>
        <w:spacing w:after="0" w:line="202" w:lineRule="exact"/>
        <w:rPr>
          <w:sz w:val="20"/>
          <w:szCs w:val="20"/>
          <w:color w:val="auto"/>
        </w:rPr>
      </w:pPr>
    </w:p>
    <w:p>
      <w:pPr>
        <w:jc w:val="both"/>
        <w:ind w:left="80" w:firstLine="749"/>
        <w:spacing w:after="0" w:line="234" w:lineRule="auto"/>
        <w:rPr>
          <w:sz w:val="20"/>
          <w:szCs w:val="20"/>
          <w:color w:val="auto"/>
        </w:rPr>
      </w:pPr>
      <w:r>
        <w:rPr>
          <w:rFonts w:ascii="Arial" w:cs="Arial" w:eastAsia="Arial" w:hAnsi="Arial"/>
          <w:sz w:val="20"/>
          <w:szCs w:val="20"/>
          <w:color w:val="auto"/>
        </w:rPr>
        <w:t>This Policy applies to your Family Members. You are responsible for the transactions of your Family Members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when the purchase or sale decision is made by a third party not controlled by, influenced by or related to you or your Family Members.</w:t>
      </w:r>
    </w:p>
    <w:p>
      <w:pPr>
        <w:spacing w:after="0" w:line="229" w:lineRule="exact"/>
        <w:rPr>
          <w:sz w:val="20"/>
          <w:szCs w:val="20"/>
          <w:color w:val="auto"/>
        </w:rPr>
      </w:pPr>
    </w:p>
    <w:p>
      <w:pPr>
        <w:ind w:left="840" w:hanging="757"/>
        <w:spacing w:after="0"/>
        <w:tabs>
          <w:tab w:leader="none" w:pos="8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Transactions by Entities that You Influence or Control</w:t>
      </w:r>
    </w:p>
    <w:p>
      <w:pPr>
        <w:spacing w:after="0" w:line="202" w:lineRule="exact"/>
        <w:rPr>
          <w:sz w:val="20"/>
          <w:szCs w:val="20"/>
          <w:color w:val="auto"/>
        </w:rPr>
      </w:pPr>
    </w:p>
    <w:p>
      <w:pPr>
        <w:ind w:left="80" w:firstLine="749"/>
        <w:spacing w:after="0" w:line="257" w:lineRule="auto"/>
        <w:rPr>
          <w:sz w:val="20"/>
          <w:szCs w:val="20"/>
          <w:color w:val="auto"/>
        </w:rPr>
      </w:pPr>
      <w:r>
        <w:rPr>
          <w:rFonts w:ascii="Arial" w:cs="Arial" w:eastAsia="Arial" w:hAnsi="Arial"/>
          <w:sz w:val="20"/>
          <w:szCs w:val="20"/>
          <w:color w:val="auto"/>
        </w:rPr>
        <w:t>This Policy applies to Controlled Entities and transactions by these Controlled Entities should be treated for the purposes of this Policy and applicable securities laws as if the transactions were for your own account.</w:t>
      </w:r>
    </w:p>
    <w:p>
      <w:pPr>
        <w:spacing w:after="0" w:line="250" w:lineRule="exact"/>
        <w:rPr>
          <w:sz w:val="20"/>
          <w:szCs w:val="20"/>
          <w:color w:val="auto"/>
        </w:rPr>
      </w:pPr>
    </w:p>
    <w:p>
      <w:pPr>
        <w:ind w:left="840" w:hanging="757"/>
        <w:spacing w:after="0"/>
        <w:tabs>
          <w:tab w:leader="none" w:pos="8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Transactions Under Company Plans</w:t>
      </w:r>
    </w:p>
    <w:p>
      <w:pPr>
        <w:spacing w:after="0" w:line="242" w:lineRule="exact"/>
        <w:rPr>
          <w:rFonts w:ascii="Arial" w:cs="Arial" w:eastAsia="Arial" w:hAnsi="Arial"/>
          <w:sz w:val="20"/>
          <w:szCs w:val="20"/>
          <w:color w:val="auto"/>
        </w:rPr>
      </w:pPr>
    </w:p>
    <w:p>
      <w:pPr>
        <w:ind w:left="860"/>
        <w:spacing w:after="0"/>
        <w:rPr>
          <w:rFonts w:ascii="Arial" w:cs="Arial" w:eastAsia="Arial" w:hAnsi="Arial"/>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202" w:lineRule="exact"/>
        <w:rPr>
          <w:rFonts w:ascii="Arial" w:cs="Arial" w:eastAsia="Arial" w:hAnsi="Arial"/>
          <w:sz w:val="20"/>
          <w:szCs w:val="20"/>
          <w:color w:val="auto"/>
        </w:rPr>
      </w:pPr>
    </w:p>
    <w:p>
      <w:pPr>
        <w:jc w:val="both"/>
        <w:ind w:left="1500" w:hanging="369"/>
        <w:spacing w:after="0" w:line="244" w:lineRule="auto"/>
        <w:tabs>
          <w:tab w:leader="none" w:pos="1500" w:val="left"/>
        </w:tabs>
        <w:numPr>
          <w:ilvl w:val="1"/>
          <w:numId w:val="61"/>
        </w:numPr>
        <w:rPr>
          <w:rFonts w:ascii="Times New Roman" w:cs="Times New Roman" w:eastAsia="Times New Roman" w:hAnsi="Times New Roman"/>
          <w:sz w:val="19"/>
          <w:szCs w:val="19"/>
          <w:color w:val="auto"/>
        </w:rPr>
      </w:pPr>
      <w:r>
        <w:rPr>
          <w:rFonts w:ascii="Arial" w:cs="Arial" w:eastAsia="Arial" w:hAnsi="Arial"/>
          <w:sz w:val="19"/>
          <w:szCs w:val="19"/>
          <w:u w:val="single" w:color="auto"/>
          <w:color w:val="auto"/>
        </w:rPr>
        <w:t>Stock Option Exercises and Restricted Stock Unit Award Settlement</w:t>
      </w:r>
      <w:r>
        <w:rPr>
          <w:rFonts w:ascii="Arial" w:cs="Arial" w:eastAsia="Arial" w:hAnsi="Arial"/>
          <w:sz w:val="19"/>
          <w:szCs w:val="19"/>
          <w:color w:val="auto"/>
        </w:rPr>
        <w:t>. This Policy does not apply to the exercise of an employee stock option or settlement of a restricted stock unit acquired pursuant to the Company’s plans, or to the exercise of a tax withholding right pursuant to which a person has elected to have the Company withhold shares subject to an option or underlying a restricted stock unit to satisfy tax withholding requirements. This Policy does apply, however, to any sale of stock as part of a broker-assisted cashless exercise of an option or settlement of a restricted stock unit, or any other market sale for the purpose of generating the cash needed to pay the exercise price of an option or settlement price of a restricted stock unit.</w:t>
      </w:r>
    </w:p>
    <w:p>
      <w:pPr>
        <w:spacing w:after="0" w:line="172" w:lineRule="exact"/>
        <w:rPr>
          <w:rFonts w:ascii="Times New Roman" w:cs="Times New Roman" w:eastAsia="Times New Roman" w:hAnsi="Times New Roman"/>
          <w:sz w:val="19"/>
          <w:szCs w:val="19"/>
          <w:color w:val="auto"/>
        </w:rPr>
      </w:pPr>
    </w:p>
    <w:p>
      <w:pPr>
        <w:jc w:val="both"/>
        <w:ind w:left="1500" w:right="20" w:hanging="369"/>
        <w:spacing w:after="0" w:line="245" w:lineRule="auto"/>
        <w:tabs>
          <w:tab w:leader="none" w:pos="1500" w:val="left"/>
        </w:tabs>
        <w:numPr>
          <w:ilvl w:val="1"/>
          <w:numId w:val="61"/>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Restricted Stock Awards</w:t>
      </w:r>
      <w:r>
        <w:rPr>
          <w:rFonts w:ascii="Arial" w:cs="Arial" w:eastAsia="Arial" w:hAnsi="Arial"/>
          <w:sz w:val="20"/>
          <w:szCs w:val="20"/>
          <w:color w:val="auto"/>
        </w:rPr>
        <w:t>. This Policy does not apply to the vesting of restricted stock or the exercise of a tax withholding right pursuant to which a person has elected to have the Company withhold shares of stock to satisfy tax withholding requirements upon the vesting of restricted stock. This Policy does apply, however, to any market sale of restricted stock.</w:t>
      </w:r>
    </w:p>
    <w:p>
      <w:pPr>
        <w:spacing w:after="0" w:line="207" w:lineRule="exact"/>
        <w:rPr>
          <w:rFonts w:ascii="Times New Roman" w:cs="Times New Roman" w:eastAsia="Times New Roman" w:hAnsi="Times New Roman"/>
          <w:sz w:val="20"/>
          <w:szCs w:val="20"/>
          <w:color w:val="auto"/>
        </w:rPr>
      </w:pPr>
    </w:p>
    <w:p>
      <w:pPr>
        <w:ind w:left="840" w:hanging="757"/>
        <w:spacing w:after="0"/>
        <w:tabs>
          <w:tab w:leader="none" w:pos="8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Transactions Not Involving a Purchase or Sale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189" w:lineRule="exact"/>
        <w:rPr>
          <w:sz w:val="20"/>
          <w:szCs w:val="20"/>
          <w:color w:val="auto"/>
        </w:rPr>
      </w:pPr>
    </w:p>
    <w:p>
      <w:pPr>
        <w:ind w:left="1500" w:hanging="369"/>
        <w:spacing w:after="0" w:line="235" w:lineRule="auto"/>
        <w:tabs>
          <w:tab w:leader="none" w:pos="150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20"/>
          <w:szCs w:val="20"/>
          <w:color w:val="auto"/>
        </w:rPr>
        <w:t>Bona fide gifts of Company Securities either to a Covered Person or that are approved in advance by the Compliance Officer.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7" w:name="page138"/>
    <w:bookmarkEnd w:id="137"/>
    <w:p>
      <w:pPr>
        <w:ind w:left="10260"/>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00" w:hanging="369"/>
        <w:spacing w:after="0"/>
        <w:tabs>
          <w:tab w:leader="none" w:pos="1500" w:val="left"/>
        </w:tabs>
        <w:numPr>
          <w:ilvl w:val="1"/>
          <w:numId w:val="63"/>
        </w:numPr>
        <w:rPr>
          <w:rFonts w:ascii="Times New Roman" w:cs="Times New Roman" w:eastAsia="Times New Roman" w:hAnsi="Times New Roman"/>
          <w:sz w:val="20"/>
          <w:szCs w:val="20"/>
          <w:color w:val="auto"/>
        </w:rPr>
      </w:pPr>
      <w:r>
        <w:rPr>
          <w:rFonts w:ascii="Arial" w:cs="Arial" w:eastAsia="Arial" w:hAnsi="Arial"/>
          <w:sz w:val="20"/>
          <w:szCs w:val="20"/>
          <w:color w:val="auto"/>
        </w:rPr>
        <w:t>Transactions in mutual funds that are invested in Company Securities.</w:t>
      </w:r>
    </w:p>
    <w:p>
      <w:pPr>
        <w:spacing w:after="0" w:line="24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Other Transactions</w:t>
      </w:r>
    </w:p>
    <w:p>
      <w:pPr>
        <w:spacing w:after="0" w:line="188"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188" w:lineRule="exact"/>
        <w:rPr>
          <w:rFonts w:ascii="Arial" w:cs="Arial" w:eastAsia="Arial" w:hAnsi="Arial"/>
          <w:sz w:val="20"/>
          <w:szCs w:val="20"/>
          <w:color w:val="auto"/>
        </w:rPr>
      </w:pPr>
    </w:p>
    <w:p>
      <w:pPr>
        <w:jc w:val="both"/>
        <w:ind w:left="1500" w:hanging="369"/>
        <w:spacing w:after="0" w:line="231" w:lineRule="auto"/>
        <w:tabs>
          <w:tab w:leader="none" w:pos="1500" w:val="left"/>
        </w:tabs>
        <w:numPr>
          <w:ilvl w:val="1"/>
          <w:numId w:val="63"/>
        </w:numPr>
        <w:rPr>
          <w:rFonts w:ascii="Times New Roman" w:cs="Times New Roman" w:eastAsia="Times New Roman" w:hAnsi="Times New Roman"/>
          <w:sz w:val="20"/>
          <w:szCs w:val="20"/>
          <w:color w:val="auto"/>
        </w:rPr>
      </w:pPr>
      <w:r>
        <w:rPr>
          <w:rFonts w:ascii="Arial" w:cs="Arial" w:eastAsia="Arial" w:hAnsi="Arial"/>
          <w:sz w:val="20"/>
          <w:szCs w:val="20"/>
          <w:color w:val="auto"/>
        </w:rPr>
        <w:t>Purchases, sales or gifts made pursuant to a binding contract, written plan or specific instruction which satisfies the applicable affirmative defense conditions of Rule 10b5-1(c), including as applicable the requirements applicable to an eligible sell-to-cover transaction as defined in Rule 10b5-1(c)(1)(ii)(D)(3), or for which the affirmative defense is available under Rule 10b5-1(c) because such plan was adopted prior to February 27, 2023, met the affirmative defense conditions in effect at the time of adoption, and was not modified or changed on or after February 27, 2023 (a “trading plan”); provided such trading plan: (1) is in writing and (2) was submitted to the Company for review prior to its adoption in accordance with the provisions of Section IX., “Rule 10b5-1 Plans” below.</w:t>
      </w:r>
    </w:p>
    <w:p>
      <w:pPr>
        <w:spacing w:after="0" w:line="158" w:lineRule="exact"/>
        <w:rPr>
          <w:rFonts w:ascii="Times New Roman" w:cs="Times New Roman" w:eastAsia="Times New Roman" w:hAnsi="Times New Roman"/>
          <w:sz w:val="20"/>
          <w:szCs w:val="20"/>
          <w:color w:val="auto"/>
        </w:rPr>
      </w:pPr>
    </w:p>
    <w:p>
      <w:pPr>
        <w:jc w:val="both"/>
        <w:ind w:left="1500" w:hanging="369"/>
        <w:spacing w:after="0" w:line="236" w:lineRule="auto"/>
        <w:tabs>
          <w:tab w:leader="none" w:pos="1500" w:val="left"/>
        </w:tabs>
        <w:numPr>
          <w:ilvl w:val="1"/>
          <w:numId w:val="63"/>
        </w:numPr>
        <w:rPr>
          <w:rFonts w:ascii="Times New Roman" w:cs="Times New Roman" w:eastAsia="Times New Roman" w:hAnsi="Times New Roman"/>
          <w:sz w:val="20"/>
          <w:szCs w:val="20"/>
          <w:color w:val="auto"/>
        </w:rPr>
      </w:pPr>
      <w:r>
        <w:rPr>
          <w:rFonts w:ascii="Arial" w:cs="Arial" w:eastAsia="Arial" w:hAnsi="Arial"/>
          <w:sz w:val="20"/>
          <w:szCs w:val="20"/>
          <w:color w:val="auto"/>
        </w:rPr>
        <w:t>Purchases, sales or gifts made pursuant to a binding contract, written plan or specific instruction which satisfies the definition of a “non-Rule 10b5-1 trading arrangement” as such term is defined in Item 408(c) of Regulation S-K, provided such non-Rule 10b5-1 trading arrangement: (1) is in writing and (2) was submitted to the Company for review prior to its adoption.</w:t>
      </w:r>
    </w:p>
    <w:p>
      <w:pPr>
        <w:spacing w:after="0" w:line="200"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color w:val="auto"/>
        </w:rPr>
        <w:t>INDIVIDUAL RESPONSIBILITY</w:t>
      </w:r>
    </w:p>
    <w:p>
      <w:pPr>
        <w:spacing w:after="0" w:line="204" w:lineRule="exact"/>
        <w:rPr>
          <w:sz w:val="20"/>
          <w:szCs w:val="20"/>
          <w:color w:val="auto"/>
        </w:rPr>
      </w:pPr>
    </w:p>
    <w:p>
      <w:pPr>
        <w:jc w:val="both"/>
        <w:ind w:firstLine="823"/>
        <w:spacing w:after="0" w:line="230" w:lineRule="auto"/>
        <w:rPr>
          <w:sz w:val="20"/>
          <w:szCs w:val="20"/>
          <w:color w:val="auto"/>
        </w:rPr>
      </w:pPr>
      <w:r>
        <w:rPr>
          <w:rFonts w:ascii="Arial" w:cs="Arial" w:eastAsia="Arial" w:hAnsi="Arial"/>
          <w:sz w:val="20"/>
          <w:szCs w:val="20"/>
          <w:color w:val="auto"/>
        </w:rPr>
        <w:t>Covered Persons have ethical and legal obligations to maintain the confidentiality of information about the Company and to not engage in transactions in Company Securities while in possession of material nonpublic information. All individuals are responsible for making sure that they comply with this Policy, and that every Family Member or Controlled Entity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An individual could be subject to severe legal penalties and disciplinary action by the Company for any conduct prohibited by this Policy or applicable securities laws, as described below in more detail under the heading “Consequences of Violations.”</w:t>
      </w:r>
    </w:p>
    <w:p>
      <w:pPr>
        <w:spacing w:after="0" w:line="201" w:lineRule="exact"/>
        <w:rPr>
          <w:sz w:val="20"/>
          <w:szCs w:val="20"/>
          <w:color w:val="auto"/>
        </w:rPr>
      </w:pPr>
    </w:p>
    <w:p>
      <w:pPr>
        <w:ind w:left="840" w:hanging="743"/>
        <w:spacing w:after="0"/>
        <w:tabs>
          <w:tab w:leader="none" w:pos="84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 OF THIS POLICY</w:t>
      </w:r>
    </w:p>
    <w:p>
      <w:pPr>
        <w:spacing w:after="0" w:line="204" w:lineRule="exact"/>
        <w:rPr>
          <w:sz w:val="20"/>
          <w:szCs w:val="20"/>
          <w:color w:val="auto"/>
        </w:rPr>
      </w:pPr>
    </w:p>
    <w:p>
      <w:pPr>
        <w:jc w:val="both"/>
        <w:ind w:left="80" w:firstLine="749"/>
        <w:spacing w:after="0" w:line="241" w:lineRule="auto"/>
        <w:rPr>
          <w:sz w:val="20"/>
          <w:szCs w:val="20"/>
          <w:color w:val="auto"/>
        </w:rPr>
      </w:pPr>
      <w:r>
        <w:rPr>
          <w:rFonts w:ascii="Arial" w:cs="Arial" w:eastAsia="Arial" w:hAnsi="Arial"/>
          <w:sz w:val="20"/>
          <w:szCs w:val="20"/>
          <w:color w:val="auto"/>
        </w:rPr>
        <w:t>The General Counsel shall serve as the Compliance Officer for the purposes of this Policy, and in their absence, another employee designated by the Compliance Officer shall be responsible for administration of this Policy. All determinations and interpretations by the Compliance Officer shall be final and not subject to further review.</w:t>
      </w:r>
    </w:p>
    <w:p>
      <w:pPr>
        <w:spacing w:after="0" w:line="196"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20"/>
          <w:szCs w:val="20"/>
          <w:b w:val="1"/>
          <w:bCs w:val="1"/>
          <w:color w:val="auto"/>
        </w:rPr>
        <w:t>STATEMENT OF POLICY</w:t>
      </w:r>
    </w:p>
    <w:p>
      <w:pPr>
        <w:spacing w:after="0" w:line="191" w:lineRule="exact"/>
        <w:rPr>
          <w:sz w:val="20"/>
          <w:szCs w:val="20"/>
          <w:color w:val="auto"/>
        </w:rPr>
      </w:pPr>
    </w:p>
    <w:p>
      <w:pPr>
        <w:jc w:val="both"/>
        <w:ind w:left="80" w:firstLine="749"/>
        <w:spacing w:after="0" w:line="236" w:lineRule="auto"/>
        <w:rPr>
          <w:sz w:val="20"/>
          <w:szCs w:val="20"/>
          <w:color w:val="auto"/>
        </w:rPr>
      </w:pPr>
      <w:r>
        <w:rPr>
          <w:rFonts w:ascii="Arial" w:cs="Arial" w:eastAsia="Arial" w:hAnsi="Arial"/>
          <w:sz w:val="20"/>
          <w:szCs w:val="20"/>
          <w:color w:val="auto"/>
        </w:rPr>
        <w:t>No Covered Person who is aware of material nonpublic information relating to the Company may, directly, or indirectly through family members or other persons or entities:</w:t>
      </w: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8" w:name="page139"/>
    <w:bookmarkEnd w:id="138"/>
    <w:p>
      <w:pPr>
        <w:ind w:left="10180"/>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580" w:hanging="754"/>
        <w:spacing w:after="0" w:line="241" w:lineRule="auto"/>
        <w:tabs>
          <w:tab w:leader="none" w:pos="15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engage in transactions in Company Securities, except as otherwise specified in this Policy under the headings “Transactions Under Company Plans,” “Transactions Not Involving a Purchase or Sale”, “Other Transactions” and “Rule 10b5-1 Plans”;</w:t>
      </w:r>
    </w:p>
    <w:p>
      <w:pPr>
        <w:spacing w:after="0" w:line="211" w:lineRule="exact"/>
        <w:rPr>
          <w:rFonts w:ascii="Arial" w:cs="Arial" w:eastAsia="Arial" w:hAnsi="Arial"/>
          <w:sz w:val="20"/>
          <w:szCs w:val="20"/>
          <w:color w:val="auto"/>
        </w:rPr>
      </w:pPr>
    </w:p>
    <w:p>
      <w:pPr>
        <w:ind w:left="1580" w:hanging="754"/>
        <w:spacing w:after="0"/>
        <w:tabs>
          <w:tab w:leader="none" w:pos="15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recommend the purchase or sale of any Company Securities;</w:t>
      </w:r>
    </w:p>
    <w:p>
      <w:pPr>
        <w:spacing w:after="0" w:line="202" w:lineRule="exact"/>
        <w:rPr>
          <w:rFonts w:ascii="Arial" w:cs="Arial" w:eastAsia="Arial" w:hAnsi="Arial"/>
          <w:sz w:val="20"/>
          <w:szCs w:val="20"/>
          <w:color w:val="auto"/>
        </w:rPr>
      </w:pPr>
    </w:p>
    <w:p>
      <w:pPr>
        <w:jc w:val="both"/>
        <w:ind w:left="1580" w:hanging="754"/>
        <w:spacing w:after="0" w:line="234" w:lineRule="auto"/>
        <w:tabs>
          <w:tab w:leader="none" w:pos="15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communicate or disclose material nonpublic information to persons within the Company whose jobs do not require them to have that information, or outside of the Company to other persons, including, but not limited to, family, friends, business associates, investors and consulting firms, unless any such disclosure is made in accordance with the Company’s policies regarding the protection or authorized external disclosure of information regarding the Company; or</w:t>
      </w:r>
    </w:p>
    <w:p>
      <w:pPr>
        <w:spacing w:after="0" w:line="201" w:lineRule="exact"/>
        <w:rPr>
          <w:rFonts w:ascii="Arial" w:cs="Arial" w:eastAsia="Arial" w:hAnsi="Arial"/>
          <w:sz w:val="20"/>
          <w:szCs w:val="20"/>
          <w:color w:val="auto"/>
        </w:rPr>
      </w:pPr>
    </w:p>
    <w:p>
      <w:pPr>
        <w:ind w:left="1580" w:hanging="754"/>
        <w:spacing w:after="0"/>
        <w:tabs>
          <w:tab w:leader="none" w:pos="15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assist anyone engaged in the above activities.</w:t>
      </w:r>
    </w:p>
    <w:p>
      <w:pPr>
        <w:spacing w:after="0" w:line="21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 xml:space="preserve">In addition, it is the policy of the Company that no employee or director of the Company who learns of material nonpublic information about an entity with which the Company does business, including a customer, partner or supplier of the Company, may trade in that company’s securities until the information becomes public or is not material. No </w:t>
      </w:r>
      <w:r>
        <w:rPr>
          <w:rFonts w:ascii="Arial" w:cs="Arial" w:eastAsia="Arial" w:hAnsi="Arial"/>
          <w:sz w:val="20"/>
          <w:szCs w:val="20"/>
          <w:color w:val="212121"/>
        </w:rPr>
        <w:t>employee or</w:t>
      </w:r>
      <w:r>
        <w:rPr>
          <w:rFonts w:ascii="Arial" w:cs="Arial" w:eastAsia="Arial" w:hAnsi="Arial"/>
          <w:sz w:val="20"/>
          <w:szCs w:val="20"/>
          <w:color w:val="auto"/>
        </w:rPr>
        <w:t xml:space="preserve"> </w:t>
      </w:r>
      <w:r>
        <w:rPr>
          <w:rFonts w:ascii="Arial" w:cs="Arial" w:eastAsia="Arial" w:hAnsi="Arial"/>
          <w:sz w:val="20"/>
          <w:szCs w:val="20"/>
          <w:color w:val="212121"/>
        </w:rPr>
        <w:t>director of the Company who knows of any such material nonpublic information may communicate that information to, or tip, any other person, including family members and friends, or otherwise disclose such information without the Company's authorization.</w:t>
      </w:r>
    </w:p>
    <w:p>
      <w:pPr>
        <w:spacing w:after="0" w:line="17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There are no exceptions to this Policy, except as specifically noted herein. Transactions that may be necessary or justifiable for independent reasons (such as the need to raise money for an emergency expenditure), and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213"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20"/>
          <w:szCs w:val="20"/>
          <w:b w:val="1"/>
          <w:bCs w:val="1"/>
          <w:color w:val="auto"/>
        </w:rPr>
        <w:t>VII.</w:t>
      </w:r>
      <w:r>
        <w:rPr>
          <w:sz w:val="20"/>
          <w:szCs w:val="20"/>
          <w:color w:val="auto"/>
        </w:rPr>
        <w:tab/>
      </w:r>
      <w:r>
        <w:rPr>
          <w:rFonts w:ascii="Arial" w:cs="Arial" w:eastAsia="Arial" w:hAnsi="Arial"/>
          <w:sz w:val="20"/>
          <w:szCs w:val="20"/>
          <w:b w:val="1"/>
          <w:bCs w:val="1"/>
          <w:color w:val="auto"/>
        </w:rPr>
        <w:t>DEFINITION OF MATERIAL NONPUBLIC INFORMATION</w:t>
      </w:r>
    </w:p>
    <w:p>
      <w:pPr>
        <w:spacing w:after="0" w:line="231" w:lineRule="exact"/>
        <w:rPr>
          <w:sz w:val="20"/>
          <w:szCs w:val="20"/>
          <w:color w:val="auto"/>
        </w:rPr>
      </w:pPr>
    </w:p>
    <w:p>
      <w:pPr>
        <w:ind w:left="1260" w:hanging="434"/>
        <w:spacing w:after="0"/>
        <w:tabs>
          <w:tab w:leader="none" w:pos="12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Material Information.</w:t>
      </w:r>
    </w:p>
    <w:p>
      <w:pPr>
        <w:spacing w:after="0" w:line="189" w:lineRule="exact"/>
        <w:rPr>
          <w:sz w:val="20"/>
          <w:szCs w:val="20"/>
          <w:color w:val="auto"/>
        </w:rPr>
      </w:pPr>
    </w:p>
    <w:p>
      <w:pPr>
        <w:jc w:val="both"/>
        <w:ind w:firstLine="824"/>
        <w:spacing w:after="0" w:line="233" w:lineRule="auto"/>
        <w:rPr>
          <w:sz w:val="20"/>
          <w:szCs w:val="20"/>
          <w:color w:val="auto"/>
        </w:rPr>
      </w:pPr>
      <w:r>
        <w:rPr>
          <w:rFonts w:ascii="Arial" w:cs="Arial" w:eastAsia="Arial" w:hAnsi="Arial"/>
          <w:sz w:val="20"/>
          <w:szCs w:val="20"/>
          <w:color w:val="auto"/>
        </w:rPr>
        <w:t>Information is considered “material” if a reasonable investor would consider that information 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99" w:lineRule="exact"/>
        <w:rPr>
          <w:sz w:val="20"/>
          <w:szCs w:val="20"/>
          <w:color w:val="auto"/>
        </w:rPr>
      </w:pPr>
    </w:p>
    <w:p>
      <w:pPr>
        <w:ind w:left="1520" w:hanging="754"/>
        <w:spacing w:after="0"/>
        <w:tabs>
          <w:tab w:leader="none" w:pos="1520" w:val="left"/>
        </w:tabs>
        <w:numPr>
          <w:ilvl w:val="0"/>
          <w:numId w:val="67"/>
        </w:numPr>
        <w:rPr>
          <w:rFonts w:ascii="Times New Roman" w:cs="Times New Roman" w:eastAsia="Times New Roman" w:hAnsi="Times New Roman"/>
          <w:sz w:val="20"/>
          <w:szCs w:val="20"/>
          <w:color w:val="auto"/>
        </w:rPr>
      </w:pPr>
      <w:r>
        <w:rPr>
          <w:rFonts w:ascii="Arial" w:cs="Arial" w:eastAsia="Arial" w:hAnsi="Arial"/>
          <w:sz w:val="20"/>
          <w:szCs w:val="20"/>
          <w:color w:val="auto"/>
        </w:rPr>
        <w:t>projections of future earnings or losses and other earnings guidance;</w:t>
      </w:r>
    </w:p>
    <w:p>
      <w:pPr>
        <w:spacing w:after="0" w:line="16" w:lineRule="exact"/>
        <w:rPr>
          <w:rFonts w:ascii="Times New Roman" w:cs="Times New Roman" w:eastAsia="Times New Roman" w:hAnsi="Times New Roman"/>
          <w:sz w:val="20"/>
          <w:szCs w:val="20"/>
          <w:color w:val="auto"/>
        </w:rPr>
      </w:pPr>
    </w:p>
    <w:p>
      <w:pPr>
        <w:ind w:left="1520" w:hanging="754"/>
        <w:spacing w:after="0" w:line="238" w:lineRule="auto"/>
        <w:tabs>
          <w:tab w:leader="none" w:pos="1520" w:val="left"/>
        </w:tabs>
        <w:numPr>
          <w:ilvl w:val="0"/>
          <w:numId w:val="67"/>
        </w:numPr>
        <w:rPr>
          <w:rFonts w:ascii="Times New Roman" w:cs="Times New Roman" w:eastAsia="Times New Roman" w:hAnsi="Times New Roman"/>
          <w:sz w:val="20"/>
          <w:szCs w:val="20"/>
          <w:color w:val="auto"/>
        </w:rPr>
      </w:pPr>
      <w:r>
        <w:rPr>
          <w:rFonts w:ascii="Arial" w:cs="Arial" w:eastAsia="Arial" w:hAnsi="Arial"/>
          <w:sz w:val="20"/>
          <w:szCs w:val="20"/>
          <w:color w:val="auto"/>
        </w:rPr>
        <w:t>a pending or proposed merger, acquisition or tender offer;</w:t>
      </w:r>
    </w:p>
    <w:p>
      <w:pPr>
        <w:ind w:left="1520" w:hanging="754"/>
        <w:spacing w:after="0" w:line="238" w:lineRule="auto"/>
        <w:tabs>
          <w:tab w:leader="none" w:pos="1520" w:val="left"/>
        </w:tabs>
        <w:numPr>
          <w:ilvl w:val="0"/>
          <w:numId w:val="67"/>
        </w:numPr>
        <w:rPr>
          <w:rFonts w:ascii="Times New Roman" w:cs="Times New Roman" w:eastAsia="Times New Roman" w:hAnsi="Times New Roman"/>
          <w:sz w:val="20"/>
          <w:szCs w:val="20"/>
          <w:color w:val="auto"/>
        </w:rPr>
      </w:pPr>
      <w:r>
        <w:rPr>
          <w:rFonts w:ascii="Arial" w:cs="Arial" w:eastAsia="Arial" w:hAnsi="Arial"/>
          <w:sz w:val="20"/>
          <w:szCs w:val="20"/>
          <w:color w:val="auto"/>
        </w:rPr>
        <w:t>a pending or proposed acquisition or disposition of a significant asset;</w:t>
      </w:r>
    </w:p>
    <w:p>
      <w:pPr>
        <w:ind w:left="1520" w:hanging="754"/>
        <w:spacing w:after="0" w:line="238" w:lineRule="auto"/>
        <w:tabs>
          <w:tab w:leader="none" w:pos="1520" w:val="left"/>
        </w:tabs>
        <w:numPr>
          <w:ilvl w:val="0"/>
          <w:numId w:val="67"/>
        </w:numPr>
        <w:rPr>
          <w:rFonts w:ascii="Times New Roman" w:cs="Times New Roman" w:eastAsia="Times New Roman" w:hAnsi="Times New Roman"/>
          <w:sz w:val="20"/>
          <w:szCs w:val="20"/>
          <w:color w:val="auto"/>
        </w:rPr>
      </w:pPr>
      <w:r>
        <w:rPr>
          <w:rFonts w:ascii="Arial" w:cs="Arial" w:eastAsia="Arial" w:hAnsi="Arial"/>
          <w:sz w:val="20"/>
          <w:szCs w:val="20"/>
          <w:color w:val="auto"/>
        </w:rPr>
        <w:t>a pending or proposed joint venture or business development transaction;</w:t>
      </w:r>
    </w:p>
    <w:p>
      <w:pPr>
        <w:ind w:left="1520" w:hanging="754"/>
        <w:spacing w:after="0"/>
        <w:tabs>
          <w:tab w:leader="none" w:pos="1520" w:val="left"/>
        </w:tabs>
        <w:numPr>
          <w:ilvl w:val="0"/>
          <w:numId w:val="67"/>
        </w:numPr>
        <w:rPr>
          <w:rFonts w:ascii="Times New Roman" w:cs="Times New Roman" w:eastAsia="Times New Roman" w:hAnsi="Times New Roman"/>
          <w:sz w:val="20"/>
          <w:szCs w:val="20"/>
          <w:color w:val="auto"/>
        </w:rPr>
      </w:pPr>
      <w:r>
        <w:rPr>
          <w:rFonts w:ascii="Arial" w:cs="Arial" w:eastAsia="Arial" w:hAnsi="Arial"/>
          <w:sz w:val="20"/>
          <w:szCs w:val="20"/>
          <w:color w:val="auto"/>
        </w:rPr>
        <w:t>a Company restructuring;</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613410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3" w:right="339" w:bottom="1440" w:gutter="0" w:footer="0" w:header="0"/>
        </w:sectPr>
      </w:pPr>
    </w:p>
    <w:bookmarkStart w:id="139" w:name="page140"/>
    <w:bookmarkEnd w:id="139"/>
    <w:p>
      <w:pPr>
        <w:ind w:left="10180"/>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20" w:hanging="754"/>
        <w:spacing w:after="0"/>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related party transaction;</w:t>
      </w:r>
    </w:p>
    <w:p>
      <w:pPr>
        <w:spacing w:after="0" w:line="16" w:lineRule="exact"/>
        <w:rPr>
          <w:rFonts w:ascii="Times New Roman" w:cs="Times New Roman" w:eastAsia="Times New Roman" w:hAnsi="Times New Roman"/>
          <w:sz w:val="20"/>
          <w:szCs w:val="20"/>
          <w:color w:val="auto"/>
        </w:rPr>
      </w:pPr>
    </w:p>
    <w:p>
      <w:pPr>
        <w:ind w:left="1520" w:hanging="754"/>
        <w:spacing w:after="0" w:line="238" w:lineRule="auto"/>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an offering of additional securities;</w:t>
      </w:r>
    </w:p>
    <w:p>
      <w:pPr>
        <w:ind w:left="1520" w:hanging="754"/>
        <w:spacing w:after="0" w:line="238" w:lineRule="auto"/>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decision to establish a program to repurchase Company Securities;</w:t>
      </w:r>
    </w:p>
    <w:p>
      <w:pPr>
        <w:ind w:left="1520" w:hanging="754"/>
        <w:spacing w:after="0" w:line="238" w:lineRule="auto"/>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bank borrowings or other financing transactions out of the ordinary course;</w:t>
      </w:r>
    </w:p>
    <w:p>
      <w:pPr>
        <w:ind w:left="1520" w:hanging="754"/>
        <w:spacing w:after="0" w:line="238" w:lineRule="auto"/>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significant change in management;</w:t>
      </w:r>
    </w:p>
    <w:p>
      <w:pPr>
        <w:ind w:left="1520" w:hanging="754"/>
        <w:spacing w:after="0" w:line="238" w:lineRule="auto"/>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significant cybersecurity incident or investigation of a potential such incident;</w:t>
      </w:r>
    </w:p>
    <w:p>
      <w:pPr>
        <w:ind w:left="1520" w:hanging="754"/>
        <w:spacing w:after="0" w:line="224" w:lineRule="auto"/>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change in or significant dispute with auditors or notification that the auditor’s reports may no longer be relied upon;</w:t>
      </w:r>
    </w:p>
    <w:p>
      <w:pPr>
        <w:spacing w:after="0" w:line="1" w:lineRule="exact"/>
        <w:rPr>
          <w:rFonts w:ascii="Times New Roman" w:cs="Times New Roman" w:eastAsia="Times New Roman" w:hAnsi="Times New Roman"/>
          <w:sz w:val="20"/>
          <w:szCs w:val="20"/>
          <w:color w:val="auto"/>
        </w:rPr>
      </w:pPr>
    </w:p>
    <w:p>
      <w:pPr>
        <w:ind w:left="1520" w:hanging="754"/>
        <w:spacing w:after="0" w:line="238" w:lineRule="auto"/>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a new product release or a significant development, invention or discovery;</w:t>
      </w:r>
    </w:p>
    <w:p>
      <w:pPr>
        <w:ind w:left="1520" w:hanging="754"/>
        <w:spacing w:after="0" w:line="238" w:lineRule="auto"/>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pending or threatened significant litigation, or the resolution of such litigation;</w:t>
      </w:r>
    </w:p>
    <w:p>
      <w:pPr>
        <w:ind w:left="1520" w:hanging="754"/>
        <w:spacing w:after="0" w:line="238" w:lineRule="auto"/>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impending bankruptcy or the existence of severe liquidity problems;</w:t>
      </w:r>
    </w:p>
    <w:p>
      <w:pPr>
        <w:ind w:left="1520" w:hanging="754"/>
        <w:spacing w:after="0" w:line="238" w:lineRule="auto"/>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the gain or loss of a significant customer, partner or supplier; and</w:t>
      </w:r>
    </w:p>
    <w:p>
      <w:pPr>
        <w:ind w:left="1520" w:hanging="754"/>
        <w:spacing w:after="0"/>
        <w:tabs>
          <w:tab w:leader="none" w:pos="1520" w:val="left"/>
        </w:tabs>
        <w:numPr>
          <w:ilvl w:val="0"/>
          <w:numId w:val="68"/>
        </w:numPr>
        <w:rPr>
          <w:rFonts w:ascii="Times New Roman" w:cs="Times New Roman" w:eastAsia="Times New Roman" w:hAnsi="Times New Roman"/>
          <w:sz w:val="20"/>
          <w:szCs w:val="20"/>
          <w:color w:val="auto"/>
        </w:rPr>
      </w:pPr>
      <w:r>
        <w:rPr>
          <w:rFonts w:ascii="Arial" w:cs="Arial" w:eastAsia="Arial" w:hAnsi="Arial"/>
          <w:sz w:val="20"/>
          <w:szCs w:val="20"/>
          <w:color w:val="auto"/>
        </w:rPr>
        <w:t>the imposition of a ban on trading in Company Securities or the securities of another company.</w:t>
      </w:r>
    </w:p>
    <w:p>
      <w:pPr>
        <w:spacing w:after="0" w:line="264" w:lineRule="exact"/>
        <w:rPr>
          <w:sz w:val="20"/>
          <w:szCs w:val="20"/>
          <w:color w:val="auto"/>
        </w:rPr>
      </w:pPr>
    </w:p>
    <w:p>
      <w:pPr>
        <w:ind w:left="1200" w:hanging="449"/>
        <w:spacing w:after="0"/>
        <w:tabs>
          <w:tab w:leader="none" w:pos="1200" w:val="left"/>
        </w:tabs>
        <w:numPr>
          <w:ilvl w:val="0"/>
          <w:numId w:val="69"/>
        </w:numPr>
        <w:rPr>
          <w:rFonts w:ascii="Arial" w:cs="Arial" w:eastAsia="Arial" w:hAnsi="Arial"/>
          <w:sz w:val="20"/>
          <w:szCs w:val="20"/>
          <w:color w:val="auto"/>
        </w:rPr>
      </w:pPr>
      <w:r>
        <w:rPr>
          <w:rFonts w:ascii="Arial" w:cs="Arial" w:eastAsia="Arial" w:hAnsi="Arial"/>
          <w:sz w:val="20"/>
          <w:szCs w:val="20"/>
          <w:color w:val="auto"/>
        </w:rPr>
        <w:t>When Information is Considered Public.</w:t>
      </w:r>
    </w:p>
    <w:p>
      <w:pPr>
        <w:spacing w:after="0" w:line="21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U.S. Securities and Exchange Commission (“SEC”) that are available on the SEC’s website. By contrast, information would likely not be considered widely disseminated if it is available only to the Company’s employees, if it has received limited or local media coverage or if it is only available to a select group of analysts, brokers and institutional investors.</w:t>
      </w:r>
    </w:p>
    <w:p>
      <w:pPr>
        <w:spacing w:after="0" w:line="18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Once information is widely disseminated, it is still necessary to afford the investing public with sufficient time to absorb the information. As a general rule, information should not be considered fully absorbed by the marketplace until after the second full business day after the day on which the information is released. If, for example, the Company were to make an announcement on a Monday afternoon, you should not trade in Company Securities until Thursday. Depending on the particular circumstances, the Company may determine that a longer or shorter period should apply to the release of specific material nonpublic information.</w:t>
      </w:r>
    </w:p>
    <w:p>
      <w:pPr>
        <w:spacing w:after="0" w:line="197"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20"/>
          <w:szCs w:val="20"/>
          <w:b w:val="1"/>
          <w:bCs w:val="1"/>
          <w:color w:val="auto"/>
        </w:rPr>
        <w:t>VIII.</w:t>
      </w:r>
      <w:r>
        <w:rPr>
          <w:sz w:val="20"/>
          <w:szCs w:val="20"/>
          <w:color w:val="auto"/>
        </w:rPr>
        <w:tab/>
      </w:r>
      <w:r>
        <w:rPr>
          <w:rFonts w:ascii="Arial" w:cs="Arial" w:eastAsia="Arial" w:hAnsi="Arial"/>
          <w:sz w:val="20"/>
          <w:szCs w:val="20"/>
          <w:b w:val="1"/>
          <w:bCs w:val="1"/>
          <w:color w:val="auto"/>
        </w:rPr>
        <w:t>ADDITIONAL PROCEDURES</w:t>
      </w:r>
    </w:p>
    <w:p>
      <w:pPr>
        <w:spacing w:after="0" w:line="21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94" w:lineRule="exact"/>
        <w:rPr>
          <w:sz w:val="20"/>
          <w:szCs w:val="20"/>
          <w:color w:val="auto"/>
        </w:rPr>
      </w:pPr>
    </w:p>
    <w:p>
      <w:pPr>
        <w:ind w:left="760" w:hanging="757"/>
        <w:spacing w:after="0"/>
        <w:tabs>
          <w:tab w:leader="none" w:pos="7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Pre-Clearance Procedures.</w:t>
      </w:r>
    </w:p>
    <w:p>
      <w:pPr>
        <w:spacing w:after="0" w:line="229"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The directors, executive officers, Vice Presidents and above and any other persons designated by the Compliance Officer as being subject to these procedures (“Pre-Clearance Persons”), as well as the Family Members and Controlled Entities of Pre-Clearance Persons, may</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613410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3" w:right="339" w:bottom="1440" w:gutter="0" w:footer="0" w:header="0"/>
        </w:sectPr>
      </w:pPr>
    </w:p>
    <w:bookmarkStart w:id="140" w:name="page141"/>
    <w:bookmarkEnd w:id="140"/>
    <w:p>
      <w:pPr>
        <w:ind w:left="10260"/>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80"/>
        <w:spacing w:after="0" w:line="231" w:lineRule="auto"/>
        <w:rPr>
          <w:sz w:val="20"/>
          <w:szCs w:val="20"/>
          <w:color w:val="auto"/>
        </w:rPr>
      </w:pPr>
      <w:r>
        <w:rPr>
          <w:rFonts w:ascii="Arial" w:cs="Arial" w:eastAsia="Arial" w:hAnsi="Arial"/>
          <w:sz w:val="20"/>
          <w:szCs w:val="20"/>
          <w:color w:val="auto"/>
        </w:rPr>
        <w:t>not engage in any transaction in Company Securities without first obtaining pre-clearance of the transaction from the Compliance Officer; provided, that the Chief Financial Officer shall have sole discretion to decide whether to pre-clear transactions by the Compliance Officer. A request for pre-clearance should be submitted to the Compliance Officer or Chief Financial Officer, as applicable, at least two business days in advance of the proposed transaction. The Compliance Officer or Chief Financial Officer, as applicable, is under no obligation to approve a transaction submitted for pre-clearance, and may determine not to permit the transaction. If a person requests pre-clearance and permission to engage in the transaction is denied, then the requestor should refrain from initiating any transaction in Company Securities, and should not inform any other person of the restriction.</w:t>
      </w:r>
    </w:p>
    <w:p>
      <w:pPr>
        <w:spacing w:after="0" w:line="160" w:lineRule="exact"/>
        <w:rPr>
          <w:sz w:val="20"/>
          <w:szCs w:val="20"/>
          <w:color w:val="auto"/>
        </w:rPr>
      </w:pPr>
    </w:p>
    <w:p>
      <w:pPr>
        <w:jc w:val="both"/>
        <w:ind w:left="80" w:firstLine="749"/>
        <w:spacing w:after="0" w:line="236" w:lineRule="auto"/>
        <w:rPr>
          <w:sz w:val="20"/>
          <w:szCs w:val="20"/>
          <w:color w:val="auto"/>
        </w:rPr>
      </w:pPr>
      <w:r>
        <w:rPr>
          <w:rFonts w:ascii="Arial" w:cs="Arial" w:eastAsia="Arial" w:hAnsi="Arial"/>
          <w:sz w:val="20"/>
          <w:szCs w:val="20"/>
          <w:color w:val="212121"/>
        </w:rPr>
        <w:t xml:space="preserve">Unless revoked, a grant of permission will normally remain valid until the close of </w:t>
      </w:r>
      <w:r>
        <w:rPr>
          <w:rFonts w:ascii="Arial" w:cs="Arial" w:eastAsia="Arial" w:hAnsi="Arial"/>
          <w:sz w:val="20"/>
          <w:szCs w:val="20"/>
          <w:color w:val="252525"/>
        </w:rPr>
        <w:t>trading</w:t>
      </w:r>
      <w:r>
        <w:rPr>
          <w:rFonts w:ascii="Arial" w:cs="Arial" w:eastAsia="Arial" w:hAnsi="Arial"/>
          <w:sz w:val="20"/>
          <w:szCs w:val="20"/>
          <w:color w:val="212121"/>
        </w:rPr>
        <w:t xml:space="preserve"> two business days following the day on which it was granted. If the transaction does not occur during the two-day period, pre-clearance of the transaction must be re-requested</w:t>
      </w:r>
      <w:r>
        <w:rPr>
          <w:rFonts w:ascii="Arial" w:cs="Arial" w:eastAsia="Arial" w:hAnsi="Arial"/>
          <w:sz w:val="20"/>
          <w:szCs w:val="20"/>
          <w:color w:val="000000"/>
        </w:rPr>
        <w:t>.</w:t>
      </w:r>
      <w:r>
        <w:rPr>
          <w:rFonts w:ascii="Arial" w:cs="Arial" w:eastAsia="Arial" w:hAnsi="Arial"/>
          <w:sz w:val="20"/>
          <w:szCs w:val="20"/>
          <w:color w:val="212121"/>
        </w:rPr>
        <w:t xml:space="preserve"> </w:t>
      </w:r>
      <w:r>
        <w:rPr>
          <w:rFonts w:ascii="Arial" w:cs="Arial" w:eastAsia="Arial" w:hAnsi="Arial"/>
          <w:sz w:val="20"/>
          <w:szCs w:val="20"/>
          <w:b w:val="1"/>
          <w:bCs w:val="1"/>
          <w:color w:val="000000"/>
        </w:rPr>
        <w:t>Notwithstanding receipt of pre-clearance, if a Pre-Clearance Person becomes aware of material</w:t>
      </w:r>
      <w:r>
        <w:rPr>
          <w:rFonts w:ascii="Arial" w:cs="Arial" w:eastAsia="Arial" w:hAnsi="Arial"/>
          <w:sz w:val="20"/>
          <w:szCs w:val="20"/>
          <w:color w:val="212121"/>
        </w:rPr>
        <w:t xml:space="preserve"> </w:t>
      </w:r>
      <w:r>
        <w:rPr>
          <w:rFonts w:ascii="Arial" w:cs="Arial" w:eastAsia="Arial" w:hAnsi="Arial"/>
          <w:sz w:val="20"/>
          <w:szCs w:val="20"/>
          <w:b w:val="1"/>
          <w:bCs w:val="1"/>
          <w:color w:val="000000"/>
        </w:rPr>
        <w:t>nonpublic information or becomes subject to a blackout period before the transaction is effected, the transaction may not be completed.</w:t>
      </w:r>
    </w:p>
    <w:p>
      <w:pPr>
        <w:spacing w:after="0" w:line="179" w:lineRule="exact"/>
        <w:rPr>
          <w:sz w:val="20"/>
          <w:szCs w:val="20"/>
          <w:color w:val="auto"/>
        </w:rPr>
      </w:pPr>
    </w:p>
    <w:p>
      <w:pPr>
        <w:jc w:val="both"/>
        <w:ind w:left="80" w:firstLine="749"/>
        <w:spacing w:after="0" w:line="233" w:lineRule="auto"/>
        <w:rPr>
          <w:sz w:val="20"/>
          <w:szCs w:val="20"/>
          <w:color w:val="auto"/>
        </w:rPr>
      </w:pPr>
      <w:r>
        <w:rPr>
          <w:rFonts w:ascii="Arial" w:cs="Arial" w:eastAsia="Arial" w:hAnsi="Arial"/>
          <w:sz w:val="20"/>
          <w:szCs w:val="20"/>
          <w:color w:val="auto"/>
        </w:rPr>
        <w:t>When a request for pre-clearance is made, the requestor should carefully consider whether the requestor may be aware of any material nonpublic information about the Company, and should describe fully those circumstances to the Compliance Officer or Chief Financial Officer, as applicable. The requestor should also indicate whether the requestor has effected any non-exempt “opposite-way” transactions within the past six months, and should be prepared to report the proposed transaction on an appropriate Form 4 or Form 5 as applicable. The requestor should also be prepared to comply with SEC Rule 144 and file Form 144, if necessary, at the time of any sale.</w:t>
      </w:r>
    </w:p>
    <w:p>
      <w:pPr>
        <w:spacing w:after="0" w:line="213" w:lineRule="exact"/>
        <w:rPr>
          <w:sz w:val="20"/>
          <w:szCs w:val="20"/>
          <w:color w:val="auto"/>
        </w:rPr>
      </w:pPr>
    </w:p>
    <w:p>
      <w:pPr>
        <w:ind w:left="840" w:hanging="757"/>
        <w:spacing w:after="0"/>
        <w:tabs>
          <w:tab w:leader="none" w:pos="8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Additional Restrictions.</w:t>
      </w:r>
    </w:p>
    <w:p>
      <w:pPr>
        <w:spacing w:after="0" w:line="256" w:lineRule="exact"/>
        <w:rPr>
          <w:sz w:val="20"/>
          <w:szCs w:val="20"/>
          <w:color w:val="auto"/>
        </w:rPr>
      </w:pPr>
    </w:p>
    <w:p>
      <w:pPr>
        <w:ind w:right="60" w:firstLine="440"/>
        <w:spacing w:after="0" w:line="257" w:lineRule="auto"/>
        <w:rPr>
          <w:sz w:val="20"/>
          <w:szCs w:val="20"/>
          <w:color w:val="auto"/>
        </w:rPr>
      </w:pPr>
      <w:r>
        <w:rPr>
          <w:rFonts w:ascii="Arial" w:cs="Arial" w:eastAsia="Arial" w:hAnsi="Arial"/>
          <w:sz w:val="20"/>
          <w:szCs w:val="20"/>
          <w:color w:val="auto"/>
        </w:rPr>
        <w:t>Further, Covered Persons are prohibited from engaging in the following transactions in Company Securities unless advance approval is obtained from the Compliance Officer or Chief Financial Officer, as applicable:</w:t>
      </w:r>
    </w:p>
    <w:p>
      <w:pPr>
        <w:spacing w:after="0" w:line="155" w:lineRule="exact"/>
        <w:rPr>
          <w:sz w:val="20"/>
          <w:szCs w:val="20"/>
          <w:color w:val="auto"/>
        </w:rPr>
      </w:pPr>
    </w:p>
    <w:p>
      <w:pPr>
        <w:ind w:firstLine="445"/>
        <w:spacing w:after="0" w:line="257" w:lineRule="auto"/>
        <w:tabs>
          <w:tab w:leader="none" w:pos="681" w:val="left"/>
        </w:tabs>
        <w:numPr>
          <w:ilvl w:val="0"/>
          <w:numId w:val="72"/>
        </w:numPr>
        <w:rPr>
          <w:rFonts w:ascii="Arial" w:cs="Arial" w:eastAsia="Arial" w:hAnsi="Arial"/>
          <w:sz w:val="20"/>
          <w:szCs w:val="20"/>
          <w:color w:val="212121"/>
        </w:rPr>
      </w:pPr>
      <w:r>
        <w:rPr>
          <w:rFonts w:ascii="Arial" w:cs="Arial" w:eastAsia="Arial" w:hAnsi="Arial"/>
          <w:sz w:val="20"/>
          <w:szCs w:val="20"/>
          <w:u w:val="single" w:color="auto"/>
          <w:color w:val="212121"/>
        </w:rPr>
        <w:t>Short-term</w:t>
      </w:r>
      <w:r>
        <w:rPr>
          <w:rFonts w:ascii="Arial" w:cs="Arial" w:eastAsia="Arial" w:hAnsi="Arial"/>
          <w:sz w:val="20"/>
          <w:szCs w:val="20"/>
          <w:color w:val="212121"/>
        </w:rPr>
        <w:t xml:space="preserve"> </w:t>
      </w:r>
      <w:r>
        <w:rPr>
          <w:rFonts w:ascii="Arial" w:cs="Arial" w:eastAsia="Arial" w:hAnsi="Arial"/>
          <w:sz w:val="20"/>
          <w:szCs w:val="20"/>
          <w:u w:val="single" w:color="auto"/>
          <w:color w:val="252525"/>
        </w:rPr>
        <w:t>trading</w:t>
      </w:r>
      <w:r>
        <w:rPr>
          <w:rFonts w:ascii="Arial" w:cs="Arial" w:eastAsia="Arial" w:hAnsi="Arial"/>
          <w:sz w:val="20"/>
          <w:szCs w:val="20"/>
          <w:u w:val="single" w:color="auto"/>
          <w:color w:val="212121"/>
        </w:rPr>
        <w:t>.</w:t>
      </w:r>
      <w:r>
        <w:rPr>
          <w:rFonts w:ascii="Arial" w:cs="Arial" w:eastAsia="Arial" w:hAnsi="Arial"/>
          <w:sz w:val="20"/>
          <w:szCs w:val="20"/>
          <w:color w:val="212121"/>
        </w:rPr>
        <w:t xml:space="preserve"> Covered Persons who purchase Company Securities may not sell any Company Securities of the same class for at least six months after the purchase;</w:t>
      </w:r>
    </w:p>
    <w:p>
      <w:pPr>
        <w:spacing w:after="0" w:line="155" w:lineRule="exact"/>
        <w:rPr>
          <w:rFonts w:ascii="Arial" w:cs="Arial" w:eastAsia="Arial" w:hAnsi="Arial"/>
          <w:sz w:val="20"/>
          <w:szCs w:val="20"/>
          <w:color w:val="212121"/>
        </w:rPr>
      </w:pPr>
    </w:p>
    <w:p>
      <w:pPr>
        <w:ind w:left="720" w:hanging="275"/>
        <w:spacing w:after="0"/>
        <w:tabs>
          <w:tab w:leader="none" w:pos="720" w:val="left"/>
        </w:tabs>
        <w:numPr>
          <w:ilvl w:val="0"/>
          <w:numId w:val="72"/>
        </w:numPr>
        <w:rPr>
          <w:rFonts w:ascii="Arial" w:cs="Arial" w:eastAsia="Arial" w:hAnsi="Arial"/>
          <w:sz w:val="20"/>
          <w:szCs w:val="20"/>
          <w:color w:val="212121"/>
        </w:rPr>
      </w:pPr>
      <w:r>
        <w:rPr>
          <w:rFonts w:ascii="Arial" w:cs="Arial" w:eastAsia="Arial" w:hAnsi="Arial"/>
          <w:sz w:val="20"/>
          <w:szCs w:val="20"/>
          <w:u w:val="single" w:color="auto"/>
          <w:color w:val="212121"/>
        </w:rPr>
        <w:t>Short sales.</w:t>
      </w:r>
      <w:r>
        <w:rPr>
          <w:rFonts w:ascii="Arial" w:cs="Arial" w:eastAsia="Arial" w:hAnsi="Arial"/>
          <w:sz w:val="20"/>
          <w:szCs w:val="20"/>
          <w:color w:val="212121"/>
        </w:rPr>
        <w:t xml:space="preserve"> Covered Persons may not sell Company Securities short;</w:t>
      </w:r>
    </w:p>
    <w:p>
      <w:pPr>
        <w:spacing w:after="0" w:line="202" w:lineRule="exact"/>
        <w:rPr>
          <w:rFonts w:ascii="Arial" w:cs="Arial" w:eastAsia="Arial" w:hAnsi="Arial"/>
          <w:sz w:val="20"/>
          <w:szCs w:val="20"/>
          <w:color w:val="212121"/>
        </w:rPr>
      </w:pPr>
    </w:p>
    <w:p>
      <w:pPr>
        <w:ind w:firstLine="445"/>
        <w:spacing w:after="0" w:line="257" w:lineRule="auto"/>
        <w:tabs>
          <w:tab w:leader="none" w:pos="796" w:val="left"/>
        </w:tabs>
        <w:numPr>
          <w:ilvl w:val="0"/>
          <w:numId w:val="72"/>
        </w:numPr>
        <w:rPr>
          <w:rFonts w:ascii="Arial" w:cs="Arial" w:eastAsia="Arial" w:hAnsi="Arial"/>
          <w:sz w:val="20"/>
          <w:szCs w:val="20"/>
          <w:color w:val="212121"/>
        </w:rPr>
      </w:pPr>
      <w:r>
        <w:rPr>
          <w:rFonts w:ascii="Arial" w:cs="Arial" w:eastAsia="Arial" w:hAnsi="Arial"/>
          <w:sz w:val="20"/>
          <w:szCs w:val="20"/>
          <w:u w:val="single" w:color="auto"/>
          <w:color w:val="212121"/>
        </w:rPr>
        <w:t>Options</w:t>
      </w:r>
      <w:r>
        <w:rPr>
          <w:rFonts w:ascii="Arial" w:cs="Arial" w:eastAsia="Arial" w:hAnsi="Arial"/>
          <w:sz w:val="20"/>
          <w:szCs w:val="20"/>
          <w:color w:val="212121"/>
        </w:rPr>
        <w:t xml:space="preserve"> </w:t>
      </w:r>
      <w:r>
        <w:rPr>
          <w:rFonts w:ascii="Arial" w:cs="Arial" w:eastAsia="Arial" w:hAnsi="Arial"/>
          <w:sz w:val="20"/>
          <w:szCs w:val="20"/>
          <w:u w:val="single" w:color="auto"/>
          <w:color w:val="252525"/>
        </w:rPr>
        <w:t>trading</w:t>
      </w:r>
      <w:r>
        <w:rPr>
          <w:rFonts w:ascii="Arial" w:cs="Arial" w:eastAsia="Arial" w:hAnsi="Arial"/>
          <w:sz w:val="20"/>
          <w:szCs w:val="20"/>
          <w:u w:val="single" w:color="auto"/>
          <w:color w:val="212121"/>
        </w:rPr>
        <w:t>.</w:t>
      </w:r>
      <w:r>
        <w:rPr>
          <w:rFonts w:ascii="Arial" w:cs="Arial" w:eastAsia="Arial" w:hAnsi="Arial"/>
          <w:sz w:val="20"/>
          <w:szCs w:val="20"/>
          <w:color w:val="212121"/>
        </w:rPr>
        <w:t xml:space="preserve"> Covered Persons may not buy or sell puts or calls or other derivative securities on Company Securities;</w:t>
      </w:r>
    </w:p>
    <w:p>
      <w:pPr>
        <w:spacing w:after="0" w:line="155" w:lineRule="exact"/>
        <w:rPr>
          <w:rFonts w:ascii="Arial" w:cs="Arial" w:eastAsia="Arial" w:hAnsi="Arial"/>
          <w:sz w:val="20"/>
          <w:szCs w:val="20"/>
          <w:color w:val="212121"/>
        </w:rPr>
      </w:pPr>
    </w:p>
    <w:p>
      <w:pPr>
        <w:ind w:right="20" w:firstLine="445"/>
        <w:spacing w:after="0" w:line="257" w:lineRule="auto"/>
        <w:tabs>
          <w:tab w:leader="none" w:pos="794" w:val="left"/>
        </w:tabs>
        <w:numPr>
          <w:ilvl w:val="0"/>
          <w:numId w:val="72"/>
        </w:numPr>
        <w:rPr>
          <w:rFonts w:ascii="Arial" w:cs="Arial" w:eastAsia="Arial" w:hAnsi="Arial"/>
          <w:sz w:val="20"/>
          <w:szCs w:val="20"/>
          <w:color w:val="212121"/>
        </w:rPr>
      </w:pPr>
      <w:r>
        <w:rPr>
          <w:rFonts w:ascii="Arial" w:cs="Arial" w:eastAsia="Arial" w:hAnsi="Arial"/>
          <w:sz w:val="20"/>
          <w:szCs w:val="20"/>
          <w:u w:val="single" w:color="auto"/>
          <w:color w:val="252525"/>
        </w:rPr>
        <w:t>Trading</w:t>
      </w:r>
      <w:r>
        <w:rPr>
          <w:rFonts w:ascii="Arial" w:cs="Arial" w:eastAsia="Arial" w:hAnsi="Arial"/>
          <w:sz w:val="20"/>
          <w:szCs w:val="20"/>
          <w:color w:val="252525"/>
        </w:rPr>
        <w:t xml:space="preserve"> </w:t>
      </w:r>
      <w:r>
        <w:rPr>
          <w:rFonts w:ascii="Arial" w:cs="Arial" w:eastAsia="Arial" w:hAnsi="Arial"/>
          <w:sz w:val="20"/>
          <w:szCs w:val="20"/>
          <w:color w:val="212121"/>
        </w:rPr>
        <w:t>on margin or pledging. Covered Persons may not hold Company Securities in a margin account or pledge</w:t>
      </w:r>
      <w:r>
        <w:rPr>
          <w:rFonts w:ascii="Arial" w:cs="Arial" w:eastAsia="Arial" w:hAnsi="Arial"/>
          <w:sz w:val="20"/>
          <w:szCs w:val="20"/>
          <w:color w:val="252525"/>
        </w:rPr>
        <w:t xml:space="preserve"> </w:t>
      </w:r>
      <w:r>
        <w:rPr>
          <w:rFonts w:ascii="Arial" w:cs="Arial" w:eastAsia="Arial" w:hAnsi="Arial"/>
          <w:sz w:val="20"/>
          <w:szCs w:val="20"/>
          <w:color w:val="212121"/>
        </w:rPr>
        <w:t>Company securities as collateral for a loan; and</w:t>
      </w:r>
    </w:p>
    <w:p>
      <w:pPr>
        <w:spacing w:after="0" w:line="155" w:lineRule="exact"/>
        <w:rPr>
          <w:rFonts w:ascii="Arial" w:cs="Arial" w:eastAsia="Arial" w:hAnsi="Arial"/>
          <w:sz w:val="20"/>
          <w:szCs w:val="20"/>
          <w:color w:val="212121"/>
        </w:rPr>
      </w:pPr>
    </w:p>
    <w:p>
      <w:pPr>
        <w:ind w:firstLine="445"/>
        <w:spacing w:after="0" w:line="257" w:lineRule="auto"/>
        <w:tabs>
          <w:tab w:leader="none" w:pos="763" w:val="left"/>
        </w:tabs>
        <w:numPr>
          <w:ilvl w:val="0"/>
          <w:numId w:val="72"/>
        </w:numPr>
        <w:rPr>
          <w:rFonts w:ascii="Arial" w:cs="Arial" w:eastAsia="Arial" w:hAnsi="Arial"/>
          <w:sz w:val="20"/>
          <w:szCs w:val="20"/>
          <w:color w:val="212121"/>
        </w:rPr>
      </w:pPr>
      <w:r>
        <w:rPr>
          <w:rFonts w:ascii="Arial" w:cs="Arial" w:eastAsia="Arial" w:hAnsi="Arial"/>
          <w:sz w:val="20"/>
          <w:szCs w:val="20"/>
          <w:u w:val="single" w:color="auto"/>
          <w:color w:val="212121"/>
        </w:rPr>
        <w:t>Hedging.</w:t>
      </w:r>
      <w:r>
        <w:rPr>
          <w:rFonts w:ascii="Arial" w:cs="Arial" w:eastAsia="Arial" w:hAnsi="Arial"/>
          <w:sz w:val="20"/>
          <w:szCs w:val="20"/>
          <w:color w:val="212121"/>
        </w:rPr>
        <w:t xml:space="preserve"> Covered Persons may not enter into hedging or monetization transactions or similar arrangements with respect to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-589915</wp:posOffset>
            </wp:positionV>
            <wp:extent cx="13538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7">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176" w:lineRule="exact"/>
        <w:rPr>
          <w:sz w:val="20"/>
          <w:szCs w:val="20"/>
          <w:color w:val="auto"/>
        </w:rPr>
      </w:pPr>
    </w:p>
    <w:p>
      <w:pPr>
        <w:ind w:left="840" w:hanging="757"/>
        <w:spacing w:after="0"/>
        <w:tabs>
          <w:tab w:leader="none" w:pos="8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Post-Transaction Notice.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1" w:name="page142"/>
    <w:bookmarkEnd w:id="141"/>
    <w:p>
      <w:pPr>
        <w:ind w:left="10260"/>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40"/>
        <w:spacing w:after="0" w:line="230" w:lineRule="auto"/>
        <w:rPr>
          <w:sz w:val="20"/>
          <w:szCs w:val="20"/>
          <w:color w:val="auto"/>
        </w:rPr>
      </w:pPr>
      <w:r>
        <w:rPr>
          <w:rFonts w:ascii="Arial" w:cs="Arial" w:eastAsia="Arial" w:hAnsi="Arial"/>
          <w:sz w:val="20"/>
          <w:szCs w:val="20"/>
          <w:color w:val="auto"/>
        </w:rPr>
        <w:t>Each person or entity covered by this Section VIII who is subject to reporting obligations under Section 16 of the Securities Exchange Act of 1934, as amended (the “Exchange Act”), shall also notify the Compliance Officer (or their designee) of the occurrence of any purchase, sale, gift, transfer or other acquisition or disposition of Company Securities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(and if so, the date of adoption of such contract, instruction or written plan) or to constitute a non-Rule 10b5-1 trading arrangement (as defined in Item 408(c) of Regulation S-K).</w:t>
      </w:r>
    </w:p>
    <w:p>
      <w:pPr>
        <w:spacing w:after="0" w:line="217" w:lineRule="exact"/>
        <w:rPr>
          <w:sz w:val="20"/>
          <w:szCs w:val="20"/>
          <w:color w:val="auto"/>
        </w:rPr>
      </w:pPr>
    </w:p>
    <w:p>
      <w:pPr>
        <w:ind w:left="840" w:hanging="757"/>
        <w:spacing w:after="0"/>
        <w:tabs>
          <w:tab w:leader="none" w:pos="8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Quarterly Trading Restrictions.</w:t>
      </w:r>
    </w:p>
    <w:p>
      <w:pPr>
        <w:spacing w:after="0" w:line="202" w:lineRule="exact"/>
        <w:rPr>
          <w:sz w:val="20"/>
          <w:szCs w:val="20"/>
          <w:color w:val="auto"/>
        </w:rPr>
      </w:pPr>
    </w:p>
    <w:p>
      <w:pPr>
        <w:jc w:val="both"/>
        <w:ind w:left="80" w:firstLine="749"/>
        <w:spacing w:after="0" w:line="233" w:lineRule="auto"/>
        <w:rPr>
          <w:sz w:val="20"/>
          <w:szCs w:val="20"/>
          <w:color w:val="auto"/>
        </w:rPr>
      </w:pPr>
      <w:r>
        <w:rPr>
          <w:rFonts w:ascii="Arial" w:cs="Arial" w:eastAsia="Arial" w:hAnsi="Arial"/>
          <w:sz w:val="20"/>
          <w:szCs w:val="20"/>
          <w:color w:val="auto"/>
        </w:rPr>
        <w:t xml:space="preserve">Covered Persons may not conduct any transactions involving Company Securities (other than as specified by this Policy) during a “Blackout Period” beginning 15 days prior to the end of each fiscal quarter and ending after the second full business day following the date of the public release of the Company’s earnings results for that quarter. In other words, these persons may only conduct transactions in Company Securities during the “Window Period” beginning on the third business day following the public release of the Company’s quarterly earnings and ending approximately two weeks prior to the close of the next fiscal quarter. </w:t>
      </w:r>
      <w:r>
        <w:rPr>
          <w:rFonts w:ascii="Arial" w:cs="Arial" w:eastAsia="Arial" w:hAnsi="Arial"/>
          <w:sz w:val="20"/>
          <w:szCs w:val="20"/>
          <w:color w:val="212121"/>
        </w:rPr>
        <w:t>However, even during this</w:t>
      </w:r>
      <w:r>
        <w:rPr>
          <w:rFonts w:ascii="Arial" w:cs="Arial" w:eastAsia="Arial" w:hAnsi="Arial"/>
          <w:sz w:val="20"/>
          <w:szCs w:val="20"/>
          <w:color w:val="auto"/>
        </w:rPr>
        <w:t xml:space="preserve"> </w:t>
      </w:r>
      <w:r>
        <w:rPr>
          <w:rFonts w:ascii="Arial" w:cs="Arial" w:eastAsia="Arial" w:hAnsi="Arial"/>
          <w:sz w:val="20"/>
          <w:szCs w:val="20"/>
          <w:color w:val="252525"/>
        </w:rPr>
        <w:t>trading</w:t>
      </w:r>
      <w:r>
        <w:rPr>
          <w:rFonts w:ascii="Arial" w:cs="Arial" w:eastAsia="Arial" w:hAnsi="Arial"/>
          <w:sz w:val="20"/>
          <w:szCs w:val="20"/>
          <w:color w:val="auto"/>
        </w:rPr>
        <w:t xml:space="preserve"> </w:t>
      </w:r>
      <w:r>
        <w:rPr>
          <w:rFonts w:ascii="Arial" w:cs="Arial" w:eastAsia="Arial" w:hAnsi="Arial"/>
          <w:sz w:val="20"/>
          <w:szCs w:val="20"/>
          <w:color w:val="212121"/>
        </w:rPr>
        <w:t>window, a Covered Person who is in possession of any material</w:t>
      </w:r>
      <w:r>
        <w:rPr>
          <w:rFonts w:ascii="Arial" w:cs="Arial" w:eastAsia="Arial" w:hAnsi="Arial"/>
          <w:sz w:val="20"/>
          <w:szCs w:val="20"/>
          <w:color w:val="auto"/>
        </w:rPr>
        <w:t xml:space="preserve"> </w:t>
      </w:r>
      <w:r>
        <w:rPr>
          <w:rFonts w:ascii="Arial" w:cs="Arial" w:eastAsia="Arial" w:hAnsi="Arial"/>
          <w:sz w:val="20"/>
          <w:szCs w:val="20"/>
          <w:color w:val="212121"/>
        </w:rPr>
        <w:t>nonpublic information may not trade in Company's Securities except as otherwise may be permitted by this Policy until the information has been made publicly available or is no longer material.</w:t>
      </w:r>
    </w:p>
    <w:p>
      <w:pPr>
        <w:spacing w:after="0" w:line="225" w:lineRule="exact"/>
        <w:rPr>
          <w:sz w:val="20"/>
          <w:szCs w:val="20"/>
          <w:color w:val="auto"/>
        </w:rPr>
      </w:pPr>
    </w:p>
    <w:p>
      <w:pPr>
        <w:ind w:left="840" w:hanging="757"/>
        <w:spacing w:after="0"/>
        <w:tabs>
          <w:tab w:leader="none" w:pos="8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Event-Specific Trading Restriction Periods.</w:t>
      </w:r>
    </w:p>
    <w:p>
      <w:pPr>
        <w:spacing w:after="0" w:line="189" w:lineRule="exact"/>
        <w:rPr>
          <w:sz w:val="20"/>
          <w:szCs w:val="20"/>
          <w:color w:val="auto"/>
        </w:rPr>
      </w:pPr>
    </w:p>
    <w:p>
      <w:pPr>
        <w:jc w:val="both"/>
        <w:ind w:left="80" w:firstLine="749"/>
        <w:spacing w:after="0" w:line="232" w:lineRule="auto"/>
        <w:rPr>
          <w:sz w:val="20"/>
          <w:szCs w:val="20"/>
          <w:color w:val="auto"/>
        </w:rPr>
      </w:pPr>
      <w:r>
        <w:rPr>
          <w:rFonts w:ascii="Arial" w:cs="Arial" w:eastAsia="Arial" w:hAnsi="Arial"/>
          <w:sz w:val="20"/>
          <w:szCs w:val="20"/>
          <w:color w:val="auto"/>
        </w:rPr>
        <w:t>From time to time, an event may occur that is material to the Company and is known by only a few directors, officers and employees. For so long as the event remains material and nonpublic, the directors, officers and other employees designated by the Compliance Officer may not trade Company Securities. In addition, the Company’s financial results may be sufficiently material in a particular fiscal quarter that, in the judgment of the Compliance Officer, directors, officers and other employees designated by the Compliance Officer should refrain from trading in Company Securities even sooner than the typical Blackout Period described above. In that situation, the Compliance Officer may notify these persons that they should not trade in Company Securities, without disclosing the reason for the restriction. The existence of an event-specific trading restriction period or extension of a Blackout Period will not be announced to the Company as a whole, and should not be communicated to any other person. Exceptions will not be granted during an event-specific trading restriction period.</w:t>
      </w:r>
    </w:p>
    <w:p>
      <w:pPr>
        <w:spacing w:after="0" w:line="213" w:lineRule="exact"/>
        <w:rPr>
          <w:sz w:val="20"/>
          <w:szCs w:val="20"/>
          <w:color w:val="auto"/>
        </w:rPr>
      </w:pPr>
    </w:p>
    <w:p>
      <w:pPr>
        <w:ind w:left="840" w:hanging="757"/>
        <w:spacing w:after="0"/>
        <w:tabs>
          <w:tab w:leader="none" w:pos="8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Exceptions.</w:t>
      </w:r>
    </w:p>
    <w:p>
      <w:pPr>
        <w:spacing w:after="0" w:line="202" w:lineRule="exact"/>
        <w:rPr>
          <w:sz w:val="20"/>
          <w:szCs w:val="20"/>
          <w:color w:val="auto"/>
        </w:rPr>
      </w:pPr>
    </w:p>
    <w:p>
      <w:pPr>
        <w:jc w:val="both"/>
        <w:ind w:left="80" w:firstLine="749"/>
        <w:spacing w:after="0" w:line="241" w:lineRule="auto"/>
        <w:rPr>
          <w:sz w:val="20"/>
          <w:szCs w:val="20"/>
          <w:color w:val="auto"/>
        </w:rPr>
      </w:pPr>
      <w:r>
        <w:rPr>
          <w:rFonts w:ascii="Arial" w:cs="Arial" w:eastAsia="Arial" w:hAnsi="Arial"/>
          <w:sz w:val="20"/>
          <w:szCs w:val="20"/>
          <w:color w:val="auto"/>
        </w:rPr>
        <w:t>The quarterly trading restrictions and event-driven trading restrictions do not apply to those transactions to which this Policy does not apply, as described above under the headings “Transactions Under Company Plans”, “Transactions Not Involving a Purchase or Sale” and “Other Transactions”.</w:t>
      </w:r>
    </w:p>
    <w:p>
      <w:pPr>
        <w:spacing w:after="0" w:line="210"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20"/>
          <w:szCs w:val="20"/>
          <w:b w:val="1"/>
          <w:bCs w:val="1"/>
          <w:color w:val="auto"/>
        </w:rPr>
        <w:t>IX.</w:t>
      </w:r>
      <w:r>
        <w:rPr>
          <w:sz w:val="20"/>
          <w:szCs w:val="20"/>
          <w:color w:val="auto"/>
        </w:rPr>
        <w:tab/>
      </w:r>
      <w:r>
        <w:rPr>
          <w:rFonts w:ascii="Arial" w:cs="Arial" w:eastAsia="Arial" w:hAnsi="Arial"/>
          <w:sz w:val="20"/>
          <w:szCs w:val="20"/>
          <w:b w:val="1"/>
          <w:bCs w:val="1"/>
          <w:color w:val="auto"/>
        </w:rPr>
        <w:t>RULE 10B5-1 PLANS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2" w:name="page143"/>
    <w:bookmarkEnd w:id="142"/>
    <w:p>
      <w:pPr>
        <w:ind w:left="10180"/>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749"/>
        <w:spacing w:after="0" w:line="228" w:lineRule="auto"/>
        <w:rPr>
          <w:sz w:val="20"/>
          <w:szCs w:val="20"/>
          <w:color w:val="auto"/>
        </w:rPr>
      </w:pPr>
      <w:r>
        <w:rPr>
          <w:rFonts w:ascii="Arial" w:cs="Arial" w:eastAsia="Arial" w:hAnsi="Arial"/>
          <w:sz w:val="20"/>
          <w:szCs w:val="20"/>
          <w:color w:val="auto"/>
        </w:rPr>
        <w:t>Rule 10b5-1 under the Exchange Act, provides an affirmative defense from insider trading liability for persons who meet certain conditions enumerated in Rule 10b5-1. In order to be eligible to rely on this affirmative defense, a person subject to this Policy must enter into a Rule 10b5-1 plan for transactions in Company Securities that meets certain conditions specified in Rule 10b5-1 (a “Rule 10b5-1 Plan”). If the plan meets the requirements of Rule 10b5-1 (or if the affirmative defense is available under Rule 10b5-1(c) because such plan was adopted prior to February 27, 2023, met the affirmative defense conditions in effect at the time of adoption, and was not modified or changed on or after February 27, 2023), Company Securities may be purchased or sold without regard to certain insider trading restrictions. To comply with this Policy, a Rule 10b5-1 Plan must be (i) reviewed and approved by the Compliance Officer or their designee in advance of any trades thereunder (or, if revised or amended, such revisions or amendments have been reviewed and approved by the Compliance Officer or their designee in advance of any subsequent trades) and meet the requirements of Rule 10b5-1. The Compliance Officer can provide further guidance on Rule 10b5-1 Plans. In general, a Rule 10b5-1 Plan must be entered into in good faith at a time when the person entering into the Rule 10b5-1 Plan is not aware of material nonpublic information. Once the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 further pre-approval of transactions conducted pursuant to the Rule 10b5-1 Plan will be required.</w:t>
      </w:r>
    </w:p>
    <w:p>
      <w:pPr>
        <w:spacing w:after="0" w:line="227" w:lineRule="exact"/>
        <w:rPr>
          <w:sz w:val="20"/>
          <w:szCs w:val="20"/>
          <w:color w:val="auto"/>
        </w:rPr>
      </w:pPr>
    </w:p>
    <w:p>
      <w:pPr>
        <w:ind w:left="760" w:hanging="743"/>
        <w:spacing w:after="0"/>
        <w:tabs>
          <w:tab w:leader="none" w:pos="76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POST-TERMINATION TRANSACTIONS</w:t>
      </w:r>
    </w:p>
    <w:p>
      <w:pPr>
        <w:spacing w:after="0" w:line="204"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This Policy continues to apply to transactions in Company Securities even after termination of service to the Company. If an individual is in possession of material nonpublic information when their service terminates, that individual may not trade in Company Securities until that information has become public or is not material. The pre-clearance procedures specified under the heading “Additional Procedures” above, however, will cease to apply to transactions in Company Securities upon the expiration of the applicable Blackout Period or other Company-imposed trading restrictions applicable at the time of the termination of service.</w:t>
      </w:r>
    </w:p>
    <w:p>
      <w:pPr>
        <w:spacing w:after="0" w:line="21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20"/>
          <w:szCs w:val="20"/>
          <w:b w:val="1"/>
          <w:bCs w:val="1"/>
          <w:color w:val="auto"/>
        </w:rPr>
        <w:t>XI.</w:t>
      </w:r>
      <w:r>
        <w:rPr>
          <w:sz w:val="20"/>
          <w:szCs w:val="20"/>
          <w:color w:val="auto"/>
        </w:rPr>
        <w:tab/>
      </w:r>
      <w:r>
        <w:rPr>
          <w:rFonts w:ascii="Arial" w:cs="Arial" w:eastAsia="Arial" w:hAnsi="Arial"/>
          <w:sz w:val="20"/>
          <w:szCs w:val="20"/>
          <w:b w:val="1"/>
          <w:bCs w:val="1"/>
          <w:color w:val="auto"/>
        </w:rPr>
        <w:t>CONSEQUENCES OF VIOLATIONS</w:t>
      </w:r>
    </w:p>
    <w:p>
      <w:pPr>
        <w:spacing w:after="0" w:line="21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purchase or sale of securities while aware of material nonpublic information, or the disclosure of material nonpublic information to others who then trade in Company Securities, is prohibited by the federal and state laws. Insider trading violations are pursued vigorously by the SEC, U.S. Attorneys and state enforcement authorities within the United States and beyond its borders as well as by foreign governmental authorities.</w:t>
      </w:r>
    </w:p>
    <w:p>
      <w:pPr>
        <w:spacing w:after="0" w:line="15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58" w:lineRule="exact"/>
        <w:rPr>
          <w:sz w:val="20"/>
          <w:szCs w:val="20"/>
          <w:color w:val="auto"/>
        </w:rPr>
      </w:pPr>
    </w:p>
    <w:p>
      <w:pPr>
        <w:jc w:val="both"/>
        <w:ind w:right="20" w:firstLine="749"/>
        <w:spacing w:after="0" w:line="236" w:lineRule="auto"/>
        <w:rPr>
          <w:sz w:val="20"/>
          <w:szCs w:val="20"/>
          <w:color w:val="auto"/>
        </w:rPr>
      </w:pPr>
      <w:r>
        <w:rPr>
          <w:rFonts w:ascii="Arial" w:cs="Arial" w:eastAsia="Arial" w:hAnsi="Arial"/>
          <w:sz w:val="20"/>
          <w:szCs w:val="20"/>
          <w:color w:val="auto"/>
        </w:rPr>
        <w:t>In addition, an individual’s failure to comply with this Policy may subject the individual to Company-imposed sanctions, including dismissal, whether or not the employee’s failure to comply</w:t>
      </w:r>
    </w:p>
    <w:p>
      <w:pPr>
        <w:jc w:val="center"/>
        <w:ind w:right="8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613410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3" w:right="339" w:bottom="1440" w:gutter="0" w:footer="0" w:header="0"/>
        </w:sectPr>
      </w:pPr>
    </w:p>
    <w:bookmarkStart w:id="143" w:name="page144"/>
    <w:bookmarkEnd w:id="143"/>
    <w:p>
      <w:pPr>
        <w:ind w:left="10260"/>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80"/>
        <w:spacing w:after="0" w:line="257" w:lineRule="auto"/>
        <w:rPr>
          <w:sz w:val="20"/>
          <w:szCs w:val="20"/>
          <w:color w:val="auto"/>
        </w:rPr>
      </w:pPr>
      <w:r>
        <w:rPr>
          <w:rFonts w:ascii="Arial" w:cs="Arial" w:eastAsia="Arial" w:hAnsi="Arial"/>
          <w:sz w:val="20"/>
          <w:szCs w:val="20"/>
          <w:color w:val="auto"/>
        </w:rPr>
        <w:t>results in a violation of law. A violation of law, or even an SEC investigation that does not result in prosecution, can tarnish a person’s reputation and irreparably damage a career.</w:t>
      </w:r>
    </w:p>
    <w:p>
      <w:pPr>
        <w:spacing w:after="0" w:line="194"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20"/>
          <w:szCs w:val="20"/>
          <w:b w:val="1"/>
          <w:bCs w:val="1"/>
          <w:color w:val="auto"/>
        </w:rPr>
        <w:t>XII.</w:t>
      </w:r>
      <w:r>
        <w:rPr>
          <w:sz w:val="20"/>
          <w:szCs w:val="20"/>
          <w:color w:val="auto"/>
        </w:rPr>
        <w:tab/>
      </w:r>
      <w:r>
        <w:rPr>
          <w:rFonts w:ascii="Arial" w:cs="Arial" w:eastAsia="Arial" w:hAnsi="Arial"/>
          <w:sz w:val="20"/>
          <w:szCs w:val="20"/>
          <w:b w:val="1"/>
          <w:bCs w:val="1"/>
          <w:color w:val="auto"/>
        </w:rPr>
        <w:t>COMPANY ASSISTANCE</w:t>
      </w:r>
    </w:p>
    <w:p>
      <w:pPr>
        <w:spacing w:after="0" w:line="204" w:lineRule="exact"/>
        <w:rPr>
          <w:sz w:val="20"/>
          <w:szCs w:val="20"/>
          <w:color w:val="auto"/>
        </w:rPr>
      </w:pPr>
    </w:p>
    <w:p>
      <w:pPr>
        <w:jc w:val="both"/>
        <w:ind w:left="80" w:firstLine="749"/>
        <w:spacing w:after="0" w:line="257" w:lineRule="auto"/>
        <w:rPr>
          <w:sz w:val="20"/>
          <w:szCs w:val="20"/>
          <w:color w:val="auto"/>
        </w:rPr>
      </w:pPr>
      <w:r>
        <w:rPr>
          <w:rFonts w:ascii="Arial" w:cs="Arial" w:eastAsia="Arial" w:hAnsi="Arial"/>
          <w:sz w:val="20"/>
          <w:szCs w:val="20"/>
          <w:color w:val="auto"/>
        </w:rPr>
        <w:t>Any person who has a question about this Policy or its application to any proposed transaction may obtain additional guidance from the Compliance Officer, who can be reached by e-mail at legal@cargurus.com.</w:t>
      </w:r>
    </w:p>
    <w:p>
      <w:pPr>
        <w:spacing w:after="0" w:line="155" w:lineRule="exact"/>
        <w:rPr>
          <w:sz w:val="20"/>
          <w:szCs w:val="20"/>
          <w:color w:val="auto"/>
        </w:rPr>
      </w:pPr>
    </w:p>
    <w:p>
      <w:pPr>
        <w:jc w:val="both"/>
        <w:ind w:left="80" w:firstLine="749"/>
        <w:spacing w:after="0" w:line="233" w:lineRule="auto"/>
        <w:rPr>
          <w:sz w:val="20"/>
          <w:szCs w:val="20"/>
          <w:color w:val="auto"/>
        </w:rPr>
      </w:pPr>
      <w:r>
        <w:rPr>
          <w:rFonts w:ascii="Arial" w:cs="Arial" w:eastAsia="Arial" w:hAnsi="Arial"/>
          <w:sz w:val="20"/>
          <w:szCs w:val="20"/>
          <w:color w:val="auto"/>
        </w:rPr>
        <w:t>None of the Company, the Compliance Officer, the General Counsel or the Company’s other employees will have any liability for any delay in reviewing, or refusal of, a 10b5-1 Plan submitted pursuant to Section IX or a request for pre-clearance submitted pursuant to Section VIII(A). Notwithstanding any review of a 10b5-1 Plan pursuant to Section IX or pre-clearance of a transaction pursuant to Section VIII(A), none of the Company, the Compliance Officer, the General Counsel or the Company’s other employees assumes any liability for the legality or consequences of such trading plan or transaction to the person engaging in or adopting such trading plan or transaction.</w:t>
      </w:r>
    </w:p>
    <w:p>
      <w:pPr>
        <w:spacing w:after="0" w:line="172"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Date Adopted: October 11, 2017</w:t>
      </w:r>
    </w:p>
    <w:p>
      <w:pPr>
        <w:spacing w:after="0" w:line="229" w:lineRule="auto"/>
        <w:rPr>
          <w:sz w:val="20"/>
          <w:szCs w:val="20"/>
          <w:color w:val="auto"/>
        </w:rPr>
      </w:pPr>
      <w:r>
        <w:rPr>
          <w:rFonts w:ascii="Arial" w:cs="Arial" w:eastAsia="Arial" w:hAnsi="Arial"/>
          <w:sz w:val="20"/>
          <w:szCs w:val="20"/>
          <w:i w:val="1"/>
          <w:iCs w:val="1"/>
          <w:color w:val="auto"/>
        </w:rPr>
        <w:t>Date Revised: August 4, 2020</w:t>
      </w:r>
    </w:p>
    <w:p>
      <w:pPr>
        <w:spacing w:after="0" w:line="226" w:lineRule="auto"/>
        <w:rPr>
          <w:sz w:val="20"/>
          <w:szCs w:val="20"/>
          <w:color w:val="auto"/>
        </w:rPr>
      </w:pPr>
      <w:r>
        <w:rPr>
          <w:rFonts w:ascii="Arial" w:cs="Arial" w:eastAsia="Arial" w:hAnsi="Arial"/>
          <w:sz w:val="20"/>
          <w:szCs w:val="20"/>
          <w:i w:val="1"/>
          <w:iCs w:val="1"/>
          <w:color w:val="auto"/>
        </w:rPr>
        <w:t>Date Revised: August 3, 2021</w:t>
      </w:r>
    </w:p>
    <w:p>
      <w:pPr>
        <w:spacing w:after="0"/>
        <w:rPr>
          <w:sz w:val="20"/>
          <w:szCs w:val="20"/>
          <w:color w:val="auto"/>
        </w:rPr>
      </w:pPr>
      <w:r>
        <w:rPr>
          <w:rFonts w:ascii="Arial" w:cs="Arial" w:eastAsia="Arial" w:hAnsi="Arial"/>
          <w:sz w:val="20"/>
          <w:szCs w:val="20"/>
          <w:i w:val="1"/>
          <w:iCs w:val="1"/>
          <w:color w:val="auto"/>
        </w:rPr>
        <w:t>Date Revised: October 31,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4" w:name="page145"/>
    <w:bookmarkEnd w:id="144"/>
    <w:p>
      <w:pPr>
        <w:jc w:val="right"/>
        <w:spacing w:after="0"/>
        <w:rPr>
          <w:sz w:val="20"/>
          <w:szCs w:val="20"/>
          <w:color w:val="auto"/>
        </w:rPr>
      </w:pPr>
      <w:r>
        <w:rPr>
          <w:rFonts w:ascii="Calibri" w:cs="Calibri" w:eastAsia="Calibri" w:hAnsi="Calibri"/>
          <w:sz w:val="18"/>
          <w:szCs w:val="18"/>
          <w:b w:val="1"/>
          <w:bCs w:val="1"/>
          <w:color w:val="auto"/>
        </w:rPr>
        <w:t>Exhibit 21.1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Subsidiaries of CarGurus, Inc.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CarGurus Canada, Inc., a company incorporated under the laws of the Province of Britsh Columbia</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CarGurus Ireland Limited, an Irish Private Company Limited by Shares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CarGurus Securites Corp., a Massachusets corporaton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CarGurus UK Limited, a U.K. Private Limited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CarOfer, LLC, a Delaware limited liability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WPLE, Inc., a Delaware 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right"/>
        <w:spacing w:after="0"/>
        <w:rPr>
          <w:sz w:val="20"/>
          <w:szCs w:val="20"/>
          <w:color w:val="auto"/>
        </w:rPr>
      </w:pPr>
      <w:r>
        <w:rPr>
          <w:rFonts w:ascii="Calibri" w:cs="Calibri" w:eastAsia="Calibri" w:hAnsi="Calibri"/>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Consent of Independent Registered Public Accountng Firm</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We consent to the incorporaton by reference in the following Registraton Statements:</w:t>
      </w:r>
    </w:p>
    <w:p>
      <w:pPr>
        <w:spacing w:after="0" w:line="231" w:lineRule="exact"/>
        <w:rPr>
          <w:sz w:val="20"/>
          <w:szCs w:val="20"/>
          <w:color w:val="auto"/>
        </w:rPr>
      </w:pPr>
    </w:p>
    <w:p>
      <w:pPr>
        <w:ind w:left="1020" w:right="260" w:hanging="503"/>
        <w:spacing w:after="0" w:line="235" w:lineRule="auto"/>
        <w:tabs>
          <w:tab w:leader="none" w:pos="1020" w:val="left"/>
        </w:tabs>
        <w:numPr>
          <w:ilvl w:val="0"/>
          <w:numId w:val="7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Registraton Statement (Form S-8 No. 333-221090) pertaining to the Omnibus Incentve Compensaton Plan and the Amended and Restated 2015 Equity Incentve Plan of CarGurus, Inc., and</w:t>
      </w:r>
    </w:p>
    <w:p>
      <w:pPr>
        <w:spacing w:after="0" w:line="231"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0"/>
          <w:numId w:val="7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Registraton Statements (Form S-8 Nos. 333-263031, 333-270169 and 333-277359) pertaining to the Omnibus Incentve Compensaton Plan of CarGurus, Inc.;</w:t>
      </w:r>
    </w:p>
    <w:p>
      <w:pPr>
        <w:spacing w:after="0" w:line="218"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of our reports dated February 20, 2025, with respect to the consolidated fnancial statements of CarGurus, Inc. and the efectveness of internal control over fnancial reportng of CarGurus, Inc. included in this Annual Report (Form 10-K) of CarGurus, Inc. for the year ended December 31, 2024.</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Boston, Massachusets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1125220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Jason Trevisan, certfy that:</w:t>
      </w:r>
    </w:p>
    <w:p>
      <w:pPr>
        <w:spacing w:after="0" w:line="212" w:lineRule="exact"/>
        <w:rPr>
          <w:sz w:val="20"/>
          <w:szCs w:val="20"/>
          <w:color w:val="auto"/>
        </w:rPr>
      </w:pPr>
    </w:p>
    <w:p>
      <w:pPr>
        <w:ind w:left="520" w:hanging="512"/>
        <w:spacing w:after="0"/>
        <w:tabs>
          <w:tab w:leader="none" w:pos="520" w:val="left"/>
        </w:tabs>
        <w:numPr>
          <w:ilvl w:val="0"/>
          <w:numId w:val="79"/>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CarGurus, Inc.;</w:t>
      </w:r>
    </w:p>
    <w:p>
      <w:pPr>
        <w:spacing w:after="0" w:line="217" w:lineRule="exact"/>
        <w:rPr>
          <w:rFonts w:ascii="Calibri" w:cs="Calibri" w:eastAsia="Calibri" w:hAnsi="Calibri"/>
          <w:sz w:val="18"/>
          <w:szCs w:val="18"/>
          <w:color w:val="auto"/>
        </w:rPr>
      </w:pPr>
    </w:p>
    <w:p>
      <w:pPr>
        <w:jc w:val="both"/>
        <w:ind w:left="520" w:right="200" w:hanging="512"/>
        <w:spacing w:after="0" w:line="235" w:lineRule="auto"/>
        <w:tabs>
          <w:tab w:leader="none" w:pos="520" w:val="left"/>
        </w:tabs>
        <w:numPr>
          <w:ilvl w:val="0"/>
          <w:numId w:val="79"/>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520" w:right="300" w:hanging="512"/>
        <w:spacing w:after="0" w:line="235" w:lineRule="auto"/>
        <w:tabs>
          <w:tab w:leader="none" w:pos="520" w:val="left"/>
        </w:tabs>
        <w:numPr>
          <w:ilvl w:val="0"/>
          <w:numId w:val="79"/>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7" w:lineRule="exact"/>
        <w:rPr>
          <w:rFonts w:ascii="Calibri" w:cs="Calibri" w:eastAsia="Calibri" w:hAnsi="Calibri"/>
          <w:sz w:val="18"/>
          <w:szCs w:val="18"/>
          <w:color w:val="auto"/>
        </w:rPr>
      </w:pPr>
    </w:p>
    <w:p>
      <w:pPr>
        <w:ind w:left="520" w:right="200" w:hanging="512"/>
        <w:spacing w:after="0" w:line="235" w:lineRule="auto"/>
        <w:tabs>
          <w:tab w:leader="none" w:pos="520" w:val="left"/>
        </w:tabs>
        <w:numPr>
          <w:ilvl w:val="0"/>
          <w:numId w:val="79"/>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Calibri" w:cs="Calibri" w:eastAsia="Calibri" w:hAnsi="Calibri"/>
          <w:sz w:val="18"/>
          <w:szCs w:val="18"/>
          <w:color w:val="auto"/>
        </w:rPr>
      </w:pPr>
    </w:p>
    <w:p>
      <w:pPr>
        <w:ind w:left="1020" w:right="40" w:hanging="503"/>
        <w:spacing w:after="0" w:line="235" w:lineRule="auto"/>
        <w:tabs>
          <w:tab w:leader="none" w:pos="1020" w:val="left"/>
        </w:tabs>
        <w:numPr>
          <w:ilvl w:val="1"/>
          <w:numId w:val="79"/>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ind w:left="1020" w:right="380" w:hanging="503"/>
        <w:spacing w:after="0" w:line="235" w:lineRule="auto"/>
        <w:tabs>
          <w:tab w:leader="none" w:pos="1020" w:val="left"/>
        </w:tabs>
        <w:numPr>
          <w:ilvl w:val="1"/>
          <w:numId w:val="79"/>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jc w:val="both"/>
        <w:ind w:left="1020" w:right="480" w:hanging="503"/>
        <w:spacing w:after="0" w:line="258" w:lineRule="auto"/>
        <w:tabs>
          <w:tab w:leader="none" w:pos="1020" w:val="left"/>
        </w:tabs>
        <w:numPr>
          <w:ilvl w:val="1"/>
          <w:numId w:val="79"/>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1" w:lineRule="exact"/>
        <w:rPr>
          <w:rFonts w:ascii="Calibri" w:cs="Calibri" w:eastAsia="Calibri" w:hAnsi="Calibri"/>
          <w:sz w:val="17"/>
          <w:szCs w:val="17"/>
          <w:color w:val="auto"/>
        </w:rPr>
      </w:pPr>
    </w:p>
    <w:p>
      <w:pPr>
        <w:ind w:left="1020" w:right="60" w:hanging="503"/>
        <w:spacing w:after="0" w:line="235" w:lineRule="auto"/>
        <w:tabs>
          <w:tab w:leader="none" w:pos="1020" w:val="left"/>
        </w:tabs>
        <w:numPr>
          <w:ilvl w:val="1"/>
          <w:numId w:val="79"/>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520" w:right="80" w:hanging="512"/>
        <w:spacing w:after="0" w:line="235" w:lineRule="auto"/>
        <w:tabs>
          <w:tab w:leader="none" w:pos="520" w:val="left"/>
        </w:tabs>
        <w:numPr>
          <w:ilvl w:val="0"/>
          <w:numId w:val="79"/>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79"/>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460" w:hanging="503"/>
        <w:spacing w:after="0" w:line="235" w:lineRule="auto"/>
        <w:tabs>
          <w:tab w:leader="none" w:pos="1020" w:val="left"/>
        </w:tabs>
        <w:numPr>
          <w:ilvl w:val="1"/>
          <w:numId w:val="79"/>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ind w:left="20"/>
              <w:spacing w:after="0"/>
              <w:rPr>
                <w:sz w:val="20"/>
                <w:szCs w:val="20"/>
                <w:color w:val="auto"/>
              </w:rPr>
            </w:pPr>
            <w:r>
              <w:rPr>
                <w:rFonts w:ascii="Calibri" w:cs="Calibri" w:eastAsia="Calibri" w:hAnsi="Calibri"/>
                <w:sz w:val="18"/>
                <w:szCs w:val="18"/>
                <w:color w:val="auto"/>
              </w:rPr>
              <w:t>Date: February 20, 2025</w:t>
            </w:r>
          </w:p>
        </w:tc>
        <w:tc>
          <w:tcPr>
            <w:tcW w:w="7520" w:type="dxa"/>
            <w:vAlign w:val="bottom"/>
            <w:gridSpan w:val="2"/>
          </w:tcPr>
          <w:p>
            <w:pPr>
              <w:ind w:left="1980"/>
              <w:spacing w:after="0"/>
              <w:rPr>
                <w:sz w:val="20"/>
                <w:szCs w:val="20"/>
                <w:color w:val="auto"/>
              </w:rPr>
            </w:pPr>
            <w:r>
              <w:rPr>
                <w:rFonts w:ascii="Calibri" w:cs="Calibri" w:eastAsia="Calibri" w:hAnsi="Calibri"/>
                <w:sz w:val="18"/>
                <w:szCs w:val="18"/>
                <w:color w:val="auto"/>
              </w:rPr>
              <w:t>By:  /s/ Jason Trevisan</w:t>
            </w:r>
          </w:p>
        </w:tc>
      </w:tr>
      <w:tr>
        <w:trPr>
          <w:trHeight w:val="192"/>
        </w:trPr>
        <w:tc>
          <w:tcPr>
            <w:tcW w:w="37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Borders>
              <w:top w:val="single" w:sz="8" w:color="auto"/>
            </w:tcBorders>
          </w:tcPr>
          <w:p>
            <w:pPr>
              <w:ind w:left="20"/>
              <w:spacing w:after="0" w:line="192" w:lineRule="exact"/>
              <w:rPr>
                <w:sz w:val="20"/>
                <w:szCs w:val="20"/>
                <w:color w:val="auto"/>
              </w:rPr>
            </w:pPr>
            <w:r>
              <w:rPr>
                <w:rFonts w:ascii="Calibri" w:cs="Calibri" w:eastAsia="Calibri" w:hAnsi="Calibri"/>
                <w:sz w:val="18"/>
                <w:szCs w:val="18"/>
                <w:color w:val="auto"/>
              </w:rPr>
              <w:t>Jason Trevisan</w:t>
            </w:r>
          </w:p>
        </w:tc>
      </w:tr>
      <w:tr>
        <w:trPr>
          <w:trHeight w:val="215"/>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Chief Executve Ofcer</w:t>
            </w: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ind w:left="20"/>
              <w:spacing w:after="0" w:line="216" w:lineRule="exact"/>
              <w:rPr>
                <w:sz w:val="20"/>
                <w:szCs w:val="20"/>
                <w:color w:val="auto"/>
              </w:rPr>
            </w:pPr>
            <w:r>
              <w:rPr>
                <w:rFonts w:ascii="Calibri" w:cs="Calibri" w:eastAsia="Calibri" w:hAnsi="Calibri"/>
                <w:sz w:val="18"/>
                <w:szCs w:val="18"/>
                <w:i w:val="1"/>
                <w:iCs w:val="1"/>
                <w:color w:val="auto"/>
              </w:rPr>
              <w:t>(Principal Executve Ofcer)</w:t>
            </w:r>
          </w:p>
        </w:tc>
      </w:tr>
      <w:tr>
        <w:trPr>
          <w:trHeight w:val="1218"/>
        </w:trPr>
        <w:tc>
          <w:tcPr>
            <w:tcW w:w="37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47" w:name="page148"/>
    <w:bookmarkEnd w:id="147"/>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Elisa Palazzo, certfy that:</w:t>
      </w:r>
    </w:p>
    <w:p>
      <w:pPr>
        <w:spacing w:after="0" w:line="212" w:lineRule="exact"/>
        <w:rPr>
          <w:sz w:val="20"/>
          <w:szCs w:val="20"/>
          <w:color w:val="auto"/>
        </w:rPr>
      </w:pPr>
    </w:p>
    <w:p>
      <w:pPr>
        <w:ind w:left="520" w:hanging="512"/>
        <w:spacing w:after="0"/>
        <w:tabs>
          <w:tab w:leader="none" w:pos="520" w:val="left"/>
        </w:tabs>
        <w:numPr>
          <w:ilvl w:val="0"/>
          <w:numId w:val="80"/>
        </w:numPr>
        <w:rPr>
          <w:rFonts w:ascii="Calibri" w:cs="Calibri" w:eastAsia="Calibri" w:hAnsi="Calibri"/>
          <w:sz w:val="18"/>
          <w:szCs w:val="18"/>
          <w:color w:val="auto"/>
        </w:rPr>
      </w:pPr>
      <w:r>
        <w:rPr>
          <w:rFonts w:ascii="Calibri" w:cs="Calibri" w:eastAsia="Calibri" w:hAnsi="Calibri"/>
          <w:sz w:val="18"/>
          <w:szCs w:val="18"/>
          <w:color w:val="auto"/>
        </w:rPr>
        <w:t>I have reviewed this Annual Report on Form 10-K of CarGurus, Inc.;</w:t>
      </w:r>
    </w:p>
    <w:p>
      <w:pPr>
        <w:spacing w:after="0" w:line="217" w:lineRule="exact"/>
        <w:rPr>
          <w:rFonts w:ascii="Calibri" w:cs="Calibri" w:eastAsia="Calibri" w:hAnsi="Calibri"/>
          <w:sz w:val="18"/>
          <w:szCs w:val="18"/>
          <w:color w:val="auto"/>
        </w:rPr>
      </w:pPr>
    </w:p>
    <w:p>
      <w:pPr>
        <w:jc w:val="both"/>
        <w:ind w:left="520" w:right="200" w:hanging="512"/>
        <w:spacing w:after="0" w:line="235" w:lineRule="auto"/>
        <w:tabs>
          <w:tab w:leader="none" w:pos="520" w:val="left"/>
        </w:tabs>
        <w:numPr>
          <w:ilvl w:val="0"/>
          <w:numId w:val="80"/>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520" w:right="300" w:hanging="512"/>
        <w:spacing w:after="0" w:line="235" w:lineRule="auto"/>
        <w:tabs>
          <w:tab w:leader="none" w:pos="520" w:val="left"/>
        </w:tabs>
        <w:numPr>
          <w:ilvl w:val="0"/>
          <w:numId w:val="80"/>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7" w:lineRule="exact"/>
        <w:rPr>
          <w:rFonts w:ascii="Calibri" w:cs="Calibri" w:eastAsia="Calibri" w:hAnsi="Calibri"/>
          <w:sz w:val="18"/>
          <w:szCs w:val="18"/>
          <w:color w:val="auto"/>
        </w:rPr>
      </w:pPr>
    </w:p>
    <w:p>
      <w:pPr>
        <w:ind w:left="520" w:right="200" w:hanging="512"/>
        <w:spacing w:after="0" w:line="235" w:lineRule="auto"/>
        <w:tabs>
          <w:tab w:leader="none" w:pos="520" w:val="left"/>
        </w:tabs>
        <w:numPr>
          <w:ilvl w:val="0"/>
          <w:numId w:val="80"/>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Calibri" w:cs="Calibri" w:eastAsia="Calibri" w:hAnsi="Calibri"/>
          <w:sz w:val="18"/>
          <w:szCs w:val="18"/>
          <w:color w:val="auto"/>
        </w:rPr>
      </w:pPr>
    </w:p>
    <w:p>
      <w:pPr>
        <w:ind w:left="1020" w:right="40" w:hanging="503"/>
        <w:spacing w:after="0" w:line="235" w:lineRule="auto"/>
        <w:tabs>
          <w:tab w:leader="none" w:pos="1020" w:val="left"/>
        </w:tabs>
        <w:numPr>
          <w:ilvl w:val="1"/>
          <w:numId w:val="80"/>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ind w:left="1020" w:right="380" w:hanging="503"/>
        <w:spacing w:after="0" w:line="235" w:lineRule="auto"/>
        <w:tabs>
          <w:tab w:leader="none" w:pos="1020" w:val="left"/>
        </w:tabs>
        <w:numPr>
          <w:ilvl w:val="1"/>
          <w:numId w:val="80"/>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jc w:val="both"/>
        <w:ind w:left="1020" w:right="480" w:hanging="503"/>
        <w:spacing w:after="0" w:line="258" w:lineRule="auto"/>
        <w:tabs>
          <w:tab w:leader="none" w:pos="1020" w:val="left"/>
        </w:tabs>
        <w:numPr>
          <w:ilvl w:val="1"/>
          <w:numId w:val="80"/>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1" w:lineRule="exact"/>
        <w:rPr>
          <w:rFonts w:ascii="Calibri" w:cs="Calibri" w:eastAsia="Calibri" w:hAnsi="Calibri"/>
          <w:sz w:val="17"/>
          <w:szCs w:val="17"/>
          <w:color w:val="auto"/>
        </w:rPr>
      </w:pPr>
    </w:p>
    <w:p>
      <w:pPr>
        <w:ind w:left="1020" w:right="60" w:hanging="503"/>
        <w:spacing w:after="0" w:line="235" w:lineRule="auto"/>
        <w:tabs>
          <w:tab w:leader="none" w:pos="1020" w:val="left"/>
        </w:tabs>
        <w:numPr>
          <w:ilvl w:val="1"/>
          <w:numId w:val="80"/>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520" w:right="80" w:hanging="512"/>
        <w:spacing w:after="0" w:line="235" w:lineRule="auto"/>
        <w:tabs>
          <w:tab w:leader="none" w:pos="520" w:val="left"/>
        </w:tabs>
        <w:numPr>
          <w:ilvl w:val="0"/>
          <w:numId w:val="80"/>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Calibri" w:cs="Calibri" w:eastAsia="Calibri" w:hAnsi="Calibri"/>
          <w:sz w:val="18"/>
          <w:szCs w:val="18"/>
          <w:color w:val="auto"/>
        </w:rPr>
      </w:pPr>
    </w:p>
    <w:p>
      <w:pPr>
        <w:ind w:left="1020" w:right="80" w:hanging="503"/>
        <w:spacing w:after="0" w:line="235" w:lineRule="auto"/>
        <w:tabs>
          <w:tab w:leader="none" w:pos="1020" w:val="left"/>
        </w:tabs>
        <w:numPr>
          <w:ilvl w:val="1"/>
          <w:numId w:val="80"/>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09" w:lineRule="exact"/>
        <w:rPr>
          <w:rFonts w:ascii="Calibri" w:cs="Calibri" w:eastAsia="Calibri" w:hAnsi="Calibri"/>
          <w:sz w:val="18"/>
          <w:szCs w:val="18"/>
          <w:color w:val="auto"/>
        </w:rPr>
      </w:pPr>
    </w:p>
    <w:p>
      <w:pPr>
        <w:ind w:left="1020" w:right="460" w:hanging="503"/>
        <w:spacing w:after="0" w:line="235" w:lineRule="auto"/>
        <w:tabs>
          <w:tab w:leader="none" w:pos="1020" w:val="left"/>
        </w:tabs>
        <w:numPr>
          <w:ilvl w:val="1"/>
          <w:numId w:val="80"/>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ind w:left="20"/>
              <w:spacing w:after="0"/>
              <w:rPr>
                <w:sz w:val="20"/>
                <w:szCs w:val="20"/>
                <w:color w:val="auto"/>
              </w:rPr>
            </w:pPr>
            <w:r>
              <w:rPr>
                <w:rFonts w:ascii="Calibri" w:cs="Calibri" w:eastAsia="Calibri" w:hAnsi="Calibri"/>
                <w:sz w:val="18"/>
                <w:szCs w:val="18"/>
                <w:color w:val="auto"/>
              </w:rPr>
              <w:t>Date: February 20, 2025</w:t>
            </w:r>
          </w:p>
        </w:tc>
        <w:tc>
          <w:tcPr>
            <w:tcW w:w="7520" w:type="dxa"/>
            <w:vAlign w:val="bottom"/>
            <w:gridSpan w:val="2"/>
          </w:tcPr>
          <w:p>
            <w:pPr>
              <w:ind w:left="1980"/>
              <w:spacing w:after="0"/>
              <w:rPr>
                <w:sz w:val="20"/>
                <w:szCs w:val="20"/>
                <w:color w:val="auto"/>
              </w:rPr>
            </w:pPr>
            <w:r>
              <w:rPr>
                <w:rFonts w:ascii="Calibri" w:cs="Calibri" w:eastAsia="Calibri" w:hAnsi="Calibri"/>
                <w:sz w:val="18"/>
                <w:szCs w:val="18"/>
                <w:color w:val="auto"/>
              </w:rPr>
              <w:t>By:  /s/ Elisa Palazzo</w:t>
            </w:r>
          </w:p>
        </w:tc>
      </w:tr>
      <w:tr>
        <w:trPr>
          <w:trHeight w:val="192"/>
        </w:trPr>
        <w:tc>
          <w:tcPr>
            <w:tcW w:w="37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Borders>
              <w:top w:val="single" w:sz="8" w:color="auto"/>
            </w:tcBorders>
          </w:tcPr>
          <w:p>
            <w:pPr>
              <w:ind w:left="20"/>
              <w:spacing w:after="0" w:line="192" w:lineRule="exact"/>
              <w:rPr>
                <w:sz w:val="20"/>
                <w:szCs w:val="20"/>
                <w:color w:val="auto"/>
              </w:rPr>
            </w:pPr>
            <w:r>
              <w:rPr>
                <w:rFonts w:ascii="Calibri" w:cs="Calibri" w:eastAsia="Calibri" w:hAnsi="Calibri"/>
                <w:sz w:val="18"/>
                <w:szCs w:val="18"/>
                <w:color w:val="auto"/>
              </w:rPr>
              <w:t>Elisa Palazzo</w:t>
            </w:r>
          </w:p>
        </w:tc>
      </w:tr>
      <w:tr>
        <w:trPr>
          <w:trHeight w:val="215"/>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Chief Financial Ofcer</w:t>
            </w: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ind w:left="20"/>
              <w:spacing w:after="0" w:line="216" w:lineRule="exact"/>
              <w:rPr>
                <w:sz w:val="20"/>
                <w:szCs w:val="20"/>
                <w:color w:val="auto"/>
              </w:rPr>
            </w:pPr>
            <w:r>
              <w:rPr>
                <w:rFonts w:ascii="Calibri" w:cs="Calibri" w:eastAsia="Calibri" w:hAnsi="Calibri"/>
                <w:sz w:val="18"/>
                <w:szCs w:val="18"/>
                <w:i w:val="1"/>
                <w:iCs w:val="1"/>
                <w:color w:val="auto"/>
              </w:rPr>
              <w:t>(Principal Financial Ofcer and Principal Accountng Ofcer)</w:t>
            </w:r>
          </w:p>
        </w:tc>
      </w:tr>
      <w:tr>
        <w:trPr>
          <w:trHeight w:val="1002"/>
        </w:trPr>
        <w:tc>
          <w:tcPr>
            <w:tcW w:w="37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8" w:name="page149"/>
    <w:bookmarkEnd w:id="148"/>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00"/>
        <w:spacing w:after="0" w:line="235"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20"/>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connecton with the Annual Report on Form 10-K of CarGurus, Inc. (the “Company”) for the period ending December 31, 2024, as fled with the U.S. Securites and Exchange Commission on the date hereof (the “Report”), I, Jason Trevisan, Chief Executve Ofcer of the Company, certfy, pursuant to 18 U.S.C. § 1350, as adopted pursuant to § 906 of the Sarbanes-Oxley Act of 2002, that, based on my knowledge:</w:t>
      </w:r>
    </w:p>
    <w:p>
      <w:pPr>
        <w:spacing w:after="0" w:line="214" w:lineRule="exact"/>
        <w:rPr>
          <w:sz w:val="20"/>
          <w:szCs w:val="20"/>
          <w:color w:val="auto"/>
        </w:rPr>
      </w:pPr>
    </w:p>
    <w:p>
      <w:pPr>
        <w:ind w:left="1020" w:hanging="503"/>
        <w:spacing w:after="0"/>
        <w:tabs>
          <w:tab w:leader="none" w:pos="1020" w:val="left"/>
        </w:tabs>
        <w:numPr>
          <w:ilvl w:val="0"/>
          <w:numId w:val="81"/>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Calibri" w:cs="Calibri" w:eastAsia="Calibri" w:hAnsi="Calibri"/>
          <w:sz w:val="18"/>
          <w:szCs w:val="18"/>
          <w:color w:val="auto"/>
        </w:rPr>
      </w:pPr>
    </w:p>
    <w:p>
      <w:pPr>
        <w:ind w:left="1020" w:right="620" w:hanging="503"/>
        <w:spacing w:after="0" w:line="235" w:lineRule="auto"/>
        <w:tabs>
          <w:tab w:leader="none" w:pos="1020" w:val="left"/>
        </w:tabs>
        <w:numPr>
          <w:ilvl w:val="0"/>
          <w:numId w:val="81"/>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ind w:left="20"/>
              <w:spacing w:after="0"/>
              <w:rPr>
                <w:sz w:val="20"/>
                <w:szCs w:val="20"/>
                <w:color w:val="auto"/>
              </w:rPr>
            </w:pPr>
            <w:r>
              <w:rPr>
                <w:rFonts w:ascii="Calibri" w:cs="Calibri" w:eastAsia="Calibri" w:hAnsi="Calibri"/>
                <w:sz w:val="18"/>
                <w:szCs w:val="18"/>
                <w:color w:val="auto"/>
              </w:rPr>
              <w:t>Date: February 20, 2025</w:t>
            </w:r>
          </w:p>
        </w:tc>
        <w:tc>
          <w:tcPr>
            <w:tcW w:w="7520" w:type="dxa"/>
            <w:vAlign w:val="bottom"/>
            <w:gridSpan w:val="2"/>
          </w:tcPr>
          <w:p>
            <w:pPr>
              <w:ind w:left="1980"/>
              <w:spacing w:after="0"/>
              <w:rPr>
                <w:sz w:val="20"/>
                <w:szCs w:val="20"/>
                <w:color w:val="auto"/>
              </w:rPr>
            </w:pPr>
            <w:r>
              <w:rPr>
                <w:rFonts w:ascii="Calibri" w:cs="Calibri" w:eastAsia="Calibri" w:hAnsi="Calibri"/>
                <w:sz w:val="18"/>
                <w:szCs w:val="18"/>
                <w:color w:val="auto"/>
              </w:rPr>
              <w:t>By:  /s/ Jason Trevisan</w:t>
            </w:r>
          </w:p>
        </w:tc>
      </w:tr>
      <w:tr>
        <w:trPr>
          <w:trHeight w:val="192"/>
        </w:trPr>
        <w:tc>
          <w:tcPr>
            <w:tcW w:w="37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Borders>
              <w:top w:val="single" w:sz="8" w:color="auto"/>
            </w:tcBorders>
          </w:tcPr>
          <w:p>
            <w:pPr>
              <w:ind w:left="20"/>
              <w:spacing w:after="0" w:line="192" w:lineRule="exact"/>
              <w:rPr>
                <w:sz w:val="20"/>
                <w:szCs w:val="20"/>
                <w:color w:val="auto"/>
              </w:rPr>
            </w:pPr>
            <w:r>
              <w:rPr>
                <w:rFonts w:ascii="Calibri" w:cs="Calibri" w:eastAsia="Calibri" w:hAnsi="Calibri"/>
                <w:sz w:val="18"/>
                <w:szCs w:val="18"/>
                <w:color w:val="auto"/>
              </w:rPr>
              <w:t>Jason Trevisan</w:t>
            </w:r>
          </w:p>
        </w:tc>
      </w:tr>
      <w:tr>
        <w:trPr>
          <w:trHeight w:val="215"/>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Chief Executve Ofcer</w:t>
            </w: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ind w:left="20"/>
              <w:spacing w:after="0" w:line="216" w:lineRule="exact"/>
              <w:rPr>
                <w:sz w:val="20"/>
                <w:szCs w:val="20"/>
                <w:color w:val="auto"/>
              </w:rPr>
            </w:pPr>
            <w:r>
              <w:rPr>
                <w:rFonts w:ascii="Calibri" w:cs="Calibri" w:eastAsia="Calibri" w:hAnsi="Calibri"/>
                <w:sz w:val="18"/>
                <w:szCs w:val="18"/>
                <w:i w:val="1"/>
                <w:iCs w:val="1"/>
                <w:color w:val="auto"/>
              </w:rPr>
              <w:t>(Principal Executve Ofcer)</w:t>
            </w:r>
          </w:p>
        </w:tc>
      </w:tr>
      <w:tr>
        <w:trPr>
          <w:trHeight w:val="1218"/>
        </w:trPr>
        <w:tc>
          <w:tcPr>
            <w:tcW w:w="37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49" w:name="page150"/>
    <w:bookmarkEnd w:id="149"/>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00"/>
        <w:spacing w:after="0" w:line="235"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20"/>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In connecton with the Annual Report on Form 10-K of CarGurus, Inc. (the “Company”) for the period ending December 31, 2024, as fled with the U.S. Securites and Exchange Commission on the date hereof (the “Report”), I, Elisa Palazzo, Chief Financial Ofcer of the Company, certfy, pursuant to 18 U.S.C. § 1350, as adopted pursuant to § 906 of the Sarbanes-Oxley Act of 2002, that, based on my knowledge:</w:t>
      </w:r>
    </w:p>
    <w:p>
      <w:pPr>
        <w:spacing w:after="0" w:line="214" w:lineRule="exact"/>
        <w:rPr>
          <w:sz w:val="20"/>
          <w:szCs w:val="20"/>
          <w:color w:val="auto"/>
        </w:rPr>
      </w:pPr>
    </w:p>
    <w:p>
      <w:pPr>
        <w:ind w:left="1020" w:hanging="503"/>
        <w:spacing w:after="0"/>
        <w:tabs>
          <w:tab w:leader="none" w:pos="102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Calibri" w:cs="Calibri" w:eastAsia="Calibri" w:hAnsi="Calibri"/>
          <w:sz w:val="18"/>
          <w:szCs w:val="18"/>
          <w:color w:val="auto"/>
        </w:rPr>
      </w:pPr>
    </w:p>
    <w:p>
      <w:pPr>
        <w:ind w:left="1020" w:right="620" w:hanging="503"/>
        <w:spacing w:after="0" w:line="235" w:lineRule="auto"/>
        <w:tabs>
          <w:tab w:leader="none" w:pos="1020" w:val="left"/>
        </w:tabs>
        <w:numPr>
          <w:ilvl w:val="0"/>
          <w:numId w:val="82"/>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ind w:left="20"/>
              <w:spacing w:after="0"/>
              <w:rPr>
                <w:sz w:val="20"/>
                <w:szCs w:val="20"/>
                <w:color w:val="auto"/>
              </w:rPr>
            </w:pPr>
            <w:r>
              <w:rPr>
                <w:rFonts w:ascii="Calibri" w:cs="Calibri" w:eastAsia="Calibri" w:hAnsi="Calibri"/>
                <w:sz w:val="18"/>
                <w:szCs w:val="18"/>
                <w:color w:val="auto"/>
              </w:rPr>
              <w:t>Date: February 20, 2025</w:t>
            </w:r>
          </w:p>
        </w:tc>
        <w:tc>
          <w:tcPr>
            <w:tcW w:w="7520" w:type="dxa"/>
            <w:vAlign w:val="bottom"/>
            <w:gridSpan w:val="2"/>
          </w:tcPr>
          <w:p>
            <w:pPr>
              <w:ind w:left="1980"/>
              <w:spacing w:after="0"/>
              <w:rPr>
                <w:sz w:val="20"/>
                <w:szCs w:val="20"/>
                <w:color w:val="auto"/>
              </w:rPr>
            </w:pPr>
            <w:r>
              <w:rPr>
                <w:rFonts w:ascii="Calibri" w:cs="Calibri" w:eastAsia="Calibri" w:hAnsi="Calibri"/>
                <w:sz w:val="18"/>
                <w:szCs w:val="18"/>
                <w:color w:val="auto"/>
              </w:rPr>
              <w:t>By:  /s/ Elisa Palazzo</w:t>
            </w:r>
          </w:p>
        </w:tc>
      </w:tr>
      <w:tr>
        <w:trPr>
          <w:trHeight w:val="192"/>
        </w:trPr>
        <w:tc>
          <w:tcPr>
            <w:tcW w:w="37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Borders>
              <w:top w:val="single" w:sz="8" w:color="auto"/>
            </w:tcBorders>
          </w:tcPr>
          <w:p>
            <w:pPr>
              <w:ind w:left="20"/>
              <w:spacing w:after="0" w:line="192" w:lineRule="exact"/>
              <w:rPr>
                <w:sz w:val="20"/>
                <w:szCs w:val="20"/>
                <w:color w:val="auto"/>
              </w:rPr>
            </w:pPr>
            <w:r>
              <w:rPr>
                <w:rFonts w:ascii="Calibri" w:cs="Calibri" w:eastAsia="Calibri" w:hAnsi="Calibri"/>
                <w:sz w:val="18"/>
                <w:szCs w:val="18"/>
                <w:color w:val="auto"/>
              </w:rPr>
              <w:t>Elisa Palazzo</w:t>
            </w:r>
          </w:p>
        </w:tc>
      </w:tr>
      <w:tr>
        <w:trPr>
          <w:trHeight w:val="215"/>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ind w:left="20"/>
              <w:spacing w:after="0" w:line="215" w:lineRule="exact"/>
              <w:rPr>
                <w:sz w:val="20"/>
                <w:szCs w:val="20"/>
                <w:color w:val="auto"/>
              </w:rPr>
            </w:pPr>
            <w:r>
              <w:rPr>
                <w:rFonts w:ascii="Calibri" w:cs="Calibri" w:eastAsia="Calibri" w:hAnsi="Calibri"/>
                <w:sz w:val="18"/>
                <w:szCs w:val="18"/>
                <w:color w:val="auto"/>
              </w:rPr>
              <w:t>Chief Financial Ofcer</w:t>
            </w: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ind w:left="20"/>
              <w:spacing w:after="0" w:line="216" w:lineRule="exact"/>
              <w:rPr>
                <w:sz w:val="20"/>
                <w:szCs w:val="20"/>
                <w:color w:val="auto"/>
              </w:rPr>
            </w:pPr>
            <w:r>
              <w:rPr>
                <w:rFonts w:ascii="Calibri" w:cs="Calibri" w:eastAsia="Calibri" w:hAnsi="Calibri"/>
                <w:sz w:val="18"/>
                <w:szCs w:val="18"/>
                <w:i w:val="1"/>
                <w:iCs w:val="1"/>
                <w:color w:val="auto"/>
              </w:rPr>
              <w:t>(Principal Financial Ofcer and Principal Accountng Ofcer)</w:t>
            </w:r>
          </w:p>
        </w:tc>
      </w:tr>
      <w:tr>
        <w:trPr>
          <w:trHeight w:val="1003"/>
        </w:trPr>
        <w:tc>
          <w:tcPr>
            <w:tcW w:w="37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0" w:name="page151"/>
    <w:bookmarkEnd w:id="1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lowerRoman"/>
      <w:start w:val="2"/>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4"/>
    </w:lvl>
  </w:abstractNum>
  <w:abstractNum w:abstractNumId="40">
    <w:nsid w:val="3F6AB60F"/>
    <w:multiLevelType w:val="hybridMultilevel"/>
    <w:lvl w:ilvl="0">
      <w:lvlJc w:val="left"/>
      <w:lvlText w:val="(%1)"/>
      <w:numFmt w:val="lowerRoman"/>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lowerRoman"/>
      <w:start w:val="1"/>
    </w:lvl>
  </w:abstractNum>
  <w:abstractNum w:abstractNumId="48">
    <w:nsid w:val="25A70BF7"/>
    <w:multiLevelType w:val="hybridMultilevel"/>
    <w:lvl w:ilvl="0">
      <w:lvlJc w:val="left"/>
      <w:lvlText w:val="(%1)"/>
      <w:numFmt w:val="lowerRoman"/>
      <w:start w:val="2"/>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lowerLetter"/>
      <w:start w:val="1"/>
    </w:lvl>
    <w:lvl w:ilvl="1">
      <w:lvlJc w:val="left"/>
      <w:lvlText w:val="(%2)"/>
      <w:numFmt w:val="decimal"/>
      <w:start w:val="1"/>
    </w:lvl>
  </w:abstractNum>
  <w:abstractNum w:abstractNumId="51">
    <w:nsid w:val="1F48EAA1"/>
    <w:multiLevelType w:val="hybridMultilevel"/>
    <w:lvl w:ilvl="0">
      <w:lvlJc w:val="left"/>
      <w:lvlText w:val="(%1)"/>
      <w:numFmt w:val="decimal"/>
      <w:start w:val="2"/>
    </w:lvl>
  </w:abstractNum>
  <w:abstractNum w:abstractNumId="52">
    <w:nsid w:val="1381823A"/>
    <w:multiLevelType w:val="hybridMultilevel"/>
    <w:lvl w:ilvl="0">
      <w:lvlJc w:val="left"/>
      <w:lvlText w:val="(%1)"/>
      <w:numFmt w:val="decimal"/>
      <w:start w:val="3"/>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1."/>
      <w:numFmt w:val="upperLetter"/>
      <w:start w:val="9"/>
    </w:lvl>
  </w:abstractNum>
  <w:abstractNum w:abstractNumId="56">
    <w:nsid w:val="15014ACB"/>
    <w:multiLevelType w:val="hybridMultilevel"/>
    <w:lvl w:ilvl="0">
      <w:lvlJc w:val="left"/>
      <w:lvlText w:val="%1."/>
      <w:numFmt w:val="upperLetter"/>
      <w:start w:val="35"/>
    </w:lvl>
  </w:abstractNum>
  <w:abstractNum w:abstractNumId="57">
    <w:nsid w:val="5F5E7FD0"/>
    <w:multiLevelType w:val="hybridMultilevel"/>
    <w:lvl w:ilvl="0">
      <w:lvlJc w:val="left"/>
      <w:lvlText w:val="%1."/>
      <w:numFmt w:val="upperLetter"/>
      <w:start w:val="61"/>
    </w:lvl>
  </w:abstractNum>
  <w:abstractNum w:abstractNumId="58">
    <w:nsid w:val="98A3148"/>
    <w:multiLevelType w:val="hybridMultilevel"/>
    <w:lvl w:ilvl="0">
      <w:lvlJc w:val="left"/>
      <w:lvlText w:val="%1."/>
      <w:numFmt w:val="upperLetter"/>
      <w:start w:val="1"/>
    </w:lvl>
  </w:abstractNum>
  <w:abstractNum w:abstractNumId="59">
    <w:nsid w:val="799D0247"/>
    <w:multiLevelType w:val="hybridMultilevel"/>
    <w:lvl w:ilvl="0">
      <w:lvlJc w:val="left"/>
      <w:lvlText w:val="%1."/>
      <w:numFmt w:val="upperLetter"/>
      <w:start w:val="2"/>
    </w:lvl>
  </w:abstractNum>
  <w:abstractNum w:abstractNumId="60">
    <w:nsid w:val="6B94764"/>
    <w:multiLevelType w:val="hybridMultilevel"/>
    <w:lvl w:ilvl="0">
      <w:lvlJc w:val="left"/>
      <w:lvlText w:val="%1."/>
      <w:numFmt w:val="upperLetter"/>
      <w:start w:val="3"/>
    </w:lvl>
    <w:lvl w:ilvl="1">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upperLetter"/>
      <w:start w:val="4"/>
    </w:lvl>
    <w:lvl w:ilvl="1">
      <w:lvlJc w:val="left"/>
      <w:lvlText w:val="●"/>
      <w:numFmt w:val="bullet"/>
      <w:start w:val="1"/>
    </w:lvl>
  </w:abstractNum>
  <w:abstractNum w:abstractNumId="63">
    <w:nsid w:val="1EBA5D23"/>
    <w:multiLevelType w:val="hybridMultilevel"/>
    <w:lvl w:ilvl="0">
      <w:lvlJc w:val="left"/>
      <w:lvlText w:val="%1."/>
      <w:numFmt w:val="upperLetter"/>
      <w:start w:val="22"/>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upperLetter"/>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1."/>
      <w:numFmt w:val="upperLetter"/>
      <w:start w:val="2"/>
    </w:lvl>
  </w:abstractNum>
  <w:abstractNum w:abstractNumId="69">
    <w:nsid w:val="613EFDC5"/>
    <w:multiLevelType w:val="hybridMultilevel"/>
    <w:lvl w:ilvl="0">
      <w:lvlJc w:val="left"/>
      <w:lvlText w:val="%1."/>
      <w:numFmt w:val="upperLetter"/>
      <w:start w:val="1"/>
    </w:lvl>
  </w:abstractNum>
  <w:abstractNum w:abstractNumId="70">
    <w:nsid w:val="BF72B14"/>
    <w:multiLevelType w:val="hybridMultilevel"/>
    <w:lvl w:ilvl="0">
      <w:lvlJc w:val="left"/>
      <w:lvlText w:val="%1."/>
      <w:numFmt w:val="upperLetter"/>
      <w:start w:val="2"/>
    </w:lvl>
  </w:abstractNum>
  <w:abstractNum w:abstractNumId="71">
    <w:nsid w:val="11447B73"/>
    <w:multiLevelType w:val="hybridMultilevel"/>
    <w:lvl w:ilvl="0">
      <w:lvlJc w:val="left"/>
      <w:lvlText w:val="(%1)"/>
      <w:numFmt w:val="lowerRoman"/>
      <w:start w:val="1"/>
    </w:lvl>
  </w:abstractNum>
  <w:abstractNum w:abstractNumId="72">
    <w:nsid w:val="42963E5A"/>
    <w:multiLevelType w:val="hybridMultilevel"/>
    <w:lvl w:ilvl="0">
      <w:lvlJc w:val="left"/>
      <w:lvlText w:val="%1."/>
      <w:numFmt w:val="upperLetter"/>
      <w:start w:val="3"/>
    </w:lvl>
  </w:abstractNum>
  <w:abstractNum w:abstractNumId="73">
    <w:nsid w:val="A0382C5"/>
    <w:multiLevelType w:val="hybridMultilevel"/>
    <w:lvl w:ilvl="0">
      <w:lvlJc w:val="left"/>
      <w:lvlText w:val="%1."/>
      <w:numFmt w:val="upperLetter"/>
      <w:start w:val="4"/>
    </w:lvl>
  </w:abstractNum>
  <w:abstractNum w:abstractNumId="74">
    <w:nsid w:val="8F2B15E"/>
    <w:multiLevelType w:val="hybridMultilevel"/>
    <w:lvl w:ilvl="0">
      <w:lvlJc w:val="left"/>
      <w:lvlText w:val="%1."/>
      <w:numFmt w:val="upperLetter"/>
      <w:start w:val="5"/>
    </w:lvl>
  </w:abstractNum>
  <w:abstractNum w:abstractNumId="75">
    <w:nsid w:val="1A32234B"/>
    <w:multiLevelType w:val="hybridMultilevel"/>
    <w:lvl w:ilvl="0">
      <w:lvlJc w:val="left"/>
      <w:lvlText w:val="%1."/>
      <w:numFmt w:val="upperLetter"/>
      <w:start w:val="6"/>
    </w:lvl>
  </w:abstractNum>
  <w:abstractNum w:abstractNumId="76">
    <w:nsid w:val="3B0FD379"/>
    <w:multiLevelType w:val="hybridMultilevel"/>
    <w:lvl w:ilvl="0">
      <w:lvlJc w:val="left"/>
      <w:lvlText w:val="%1."/>
      <w:numFmt w:val="upperLetter"/>
      <w:start w:val="24"/>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505" Type="http://schemas.openxmlformats.org/officeDocument/2006/relationships/image" Target="media/image478.png"/><Relationship Id="rId506" Type="http://schemas.openxmlformats.org/officeDocument/2006/relationships/image" Target="media/image479.png"/><Relationship Id="rId525" Type="http://schemas.openxmlformats.org/officeDocument/2006/relationships/image" Target="media/image480.png"/><Relationship Id="rId526" Type="http://schemas.openxmlformats.org/officeDocument/2006/relationships/image" Target="media/image481.png"/><Relationship Id="rId536" Type="http://schemas.openxmlformats.org/officeDocument/2006/relationships/image" Target="media/image482.png"/><Relationship Id="rId537" Type="http://schemas.openxmlformats.org/officeDocument/2006/relationships/image" Target="media/image483.png"/><Relationship Id="rId539" Type="http://schemas.openxmlformats.org/officeDocument/2006/relationships/image" Target="media/image484.png"/><Relationship Id="rId540" Type="http://schemas.openxmlformats.org/officeDocument/2006/relationships/image" Target="media/image485.png"/><Relationship Id="rId541" Type="http://schemas.openxmlformats.org/officeDocument/2006/relationships/image" Target="media/image486.png"/><Relationship Id="rId542" Type="http://schemas.openxmlformats.org/officeDocument/2006/relationships/image" Target="media/image487.png"/><Relationship Id="rId543" Type="http://schemas.openxmlformats.org/officeDocument/2006/relationships/image" Target="media/image488.png"/><Relationship Id="rId544" Type="http://schemas.openxmlformats.org/officeDocument/2006/relationships/image" Target="media/image489.png"/><Relationship Id="rId545" Type="http://schemas.openxmlformats.org/officeDocument/2006/relationships/image" Target="media/image490.png"/><Relationship Id="rId546" Type="http://schemas.openxmlformats.org/officeDocument/2006/relationships/image" Target="media/image491.png"/><Relationship Id="rId547" Type="http://schemas.openxmlformats.org/officeDocument/2006/relationships/image" Target="media/image492.png"/><Relationship Id="rId548" Type="http://schemas.openxmlformats.org/officeDocument/2006/relationships/image" Target="media/image493.png"/><Relationship Id="rId549" Type="http://schemas.openxmlformats.org/officeDocument/2006/relationships/image" Target="media/image494.png"/><Relationship Id="rId550" Type="http://schemas.openxmlformats.org/officeDocument/2006/relationships/image" Target="media/image495.png"/><Relationship Id="rId551" Type="http://schemas.openxmlformats.org/officeDocument/2006/relationships/image" Target="media/image496.png"/><Relationship Id="rId552" Type="http://schemas.openxmlformats.org/officeDocument/2006/relationships/image" Target="media/image497.png"/><Relationship Id="rId553" Type="http://schemas.openxmlformats.org/officeDocument/2006/relationships/image" Target="media/image498.png"/><Relationship Id="rId554" Type="http://schemas.openxmlformats.org/officeDocument/2006/relationships/image" Target="media/image499.png"/><Relationship Id="rId555" Type="http://schemas.openxmlformats.org/officeDocument/2006/relationships/image" Target="media/image500.png"/><Relationship Id="rId556" Type="http://schemas.openxmlformats.org/officeDocument/2006/relationships/image" Target="media/image501.png"/><Relationship Id="rId557" Type="http://schemas.openxmlformats.org/officeDocument/2006/relationships/image" Target="media/image502.png"/><Relationship Id="rId558" Type="http://schemas.openxmlformats.org/officeDocument/2006/relationships/image" Target="media/image503.png"/><Relationship Id="rId559" Type="http://schemas.openxmlformats.org/officeDocument/2006/relationships/image" Target="media/image504.png"/><Relationship Id="rId560" Type="http://schemas.openxmlformats.org/officeDocument/2006/relationships/image" Target="media/image505.png"/><Relationship Id="rId561" Type="http://schemas.openxmlformats.org/officeDocument/2006/relationships/image" Target="media/image506.png"/><Relationship Id="rId485" Type="http://schemas.openxmlformats.org/officeDocument/2006/relationships/hyperlink" Target="https://www.sec.gov/Archives/edgar/data/1494259/000156459021005612/carg-ex21_246.htm" TargetMode="External"/><Relationship Id="rId486" Type="http://schemas.openxmlformats.org/officeDocument/2006/relationships/hyperlink" Target="https://www.sec.gov/Archives/edgar/data/1494259/000095017023060228/carg-ex2_1.htm" TargetMode="External"/><Relationship Id="rId487" Type="http://schemas.openxmlformats.org/officeDocument/2006/relationships/hyperlink" Target="https://www.sec.gov/Archives/edgar/data/1494259/000110465917062378/a17-24010_1ex3d1.htm" TargetMode="External"/><Relationship Id="rId488" Type="http://schemas.openxmlformats.org/officeDocument/2006/relationships/hyperlink" Target="https://www.sec.gov/Archives/edgar/data/1494259/000095017024069898/carg-ex3_1.htm" TargetMode="External"/><Relationship Id="rId489" Type="http://schemas.openxmlformats.org/officeDocument/2006/relationships/hyperlink" Target="https://www.sec.gov/Archives/edgar/data/1494259/000095017024069898/carg-ex3_2.htm" TargetMode="External"/><Relationship Id="rId490" Type="http://schemas.openxmlformats.org/officeDocument/2006/relationships/hyperlink" Target="https://www.sec.gov/Archives/edgar/data/1494259/000104746917006138/a2233329zex-4_1.htm" TargetMode="External"/><Relationship Id="rId491" Type="http://schemas.openxmlformats.org/officeDocument/2006/relationships/hyperlink" Target="https://www.sec.gov/Archives/edgar/data/1494259/000095017024020157/carg-ex4_2.htm" TargetMode="External"/><Relationship Id="rId492" Type="http://schemas.openxmlformats.org/officeDocument/2006/relationships/hyperlink" Target="https://www.sec.gov/Archives/edgar/data/1494259/000104746917005904/a2233230zex-10_1.htm" TargetMode="External"/><Relationship Id="rId493" Type="http://schemas.openxmlformats.org/officeDocument/2006/relationships/hyperlink" Target="https://www.sec.gov/Archives/edgar/data/1494259/000104746917005904/a2233230zex-10_2.htm" TargetMode="External"/><Relationship Id="rId494" Type="http://schemas.openxmlformats.org/officeDocument/2006/relationships/hyperlink" Target="https://www.sec.gov/Archives/edgar/data/1494259/000104746917006138/a2233329zex-10_3.htm" TargetMode="External"/><Relationship Id="rId495" Type="http://schemas.openxmlformats.org/officeDocument/2006/relationships/hyperlink" Target="https://www.sec.gov/Archives/edgar/data/1494259/000156459021005612/carg-ex104_400.htm" TargetMode="External"/><Relationship Id="rId496" Type="http://schemas.openxmlformats.org/officeDocument/2006/relationships/hyperlink" Target="https://www.sec.gov/Archives/edgar/data/1494259/000156459021005612/carg-ex1041_401.htm" TargetMode="External"/><Relationship Id="rId497" Type="http://schemas.openxmlformats.org/officeDocument/2006/relationships/hyperlink" Target="https://www.sec.gov/Archives/edgar/data/1494259/000156459018010708/carg-ex103_187.htm" TargetMode="External"/><Relationship Id="rId498" Type="http://schemas.openxmlformats.org/officeDocument/2006/relationships/hyperlink" Target="https://www.sec.gov/Archives/edgar/data/1494259/000156459021005612/carg-ex1043_1104.htm" TargetMode="External"/><Relationship Id="rId499" Type="http://schemas.openxmlformats.org/officeDocument/2006/relationships/hyperlink" Target="https://www.sec.gov/Archives/edgar/data/1494259/000095017022002023/carg-ex10_31.htm" TargetMode="External"/><Relationship Id="rId500" Type="http://schemas.openxmlformats.org/officeDocument/2006/relationships/hyperlink" Target="https://www.sec.gov/Archives/edgar/data/1494259/000119312518096041/d557263dex101.htm" TargetMode="External"/><Relationship Id="rId501" Type="http://schemas.openxmlformats.org/officeDocument/2006/relationships/hyperlink" Target="https://www.sec.gov/Archives/edgar/data/1494259/000119312518110054/d556560dex101.htm" TargetMode="External"/><Relationship Id="rId502" Type="http://schemas.openxmlformats.org/officeDocument/2006/relationships/hyperlink" Target="https://www.sec.gov/Archives/edgar/data/1494259/000104746917005904/a2233230zex-10_5.htm" TargetMode="External"/><Relationship Id="rId503" Type="http://schemas.openxmlformats.org/officeDocument/2006/relationships/hyperlink" Target="https://www.sec.gov/Archives/edgar/data/1494259/000104746917005904/a2233230zex-10_6.htm" TargetMode="External"/><Relationship Id="rId504" Type="http://schemas.openxmlformats.org/officeDocument/2006/relationships/hyperlink" Target="https://www.sec.gov/Archives/edgar/data/1494259/000104746917005904/a2233230zex-10_7.htm" TargetMode="External"/><Relationship Id="rId507" Type="http://schemas.openxmlformats.org/officeDocument/2006/relationships/hyperlink" Target="https://www.sec.gov/Archives/edgar/data/1494259/000119312523265747/d569839dex101.htm" TargetMode="External"/><Relationship Id="rId508" Type="http://schemas.openxmlformats.org/officeDocument/2006/relationships/hyperlink" Target="https://www.sec.gov/Archives/edgar/data/1494259/000119312523265747/d569839dex102.htm" TargetMode="External"/><Relationship Id="rId509" Type="http://schemas.openxmlformats.org/officeDocument/2006/relationships/hyperlink" Target="https://www.sec.gov/Archives/edgar/data/1494259/000095017023019676/carg-ex10_1.htm" TargetMode="External"/><Relationship Id="rId510" Type="http://schemas.openxmlformats.org/officeDocument/2006/relationships/hyperlink" Target="https://www.sec.gov/Archives/edgar/data/1494259/000095017024093956/carg-ex10_1.htm" TargetMode="External"/><Relationship Id="rId511" Type="http://schemas.openxmlformats.org/officeDocument/2006/relationships/hyperlink" Target="https://www.sec.gov/Archives/edgar/data/1494259/000104746917005904/a2233230zex-10_8.htm" TargetMode="External"/><Relationship Id="rId512" Type="http://schemas.openxmlformats.org/officeDocument/2006/relationships/hyperlink" Target="https://www.sec.gov/Archives/edgar/data/1494259/000156459020051350/carg-ex102_34.htm" TargetMode="External"/><Relationship Id="rId513" Type="http://schemas.openxmlformats.org/officeDocument/2006/relationships/hyperlink" Target="https://www.sec.gov/Archives/edgar/data/1494259/000156459020051350/carg-ex103_33.htm" TargetMode="External"/><Relationship Id="rId514" Type="http://schemas.openxmlformats.org/officeDocument/2006/relationships/hyperlink" Target="https://www.sec.gov/Archives/edgar/data/1494259/000104746917005904/a2233230zex-10_9.htm" TargetMode="External"/><Relationship Id="rId515" Type="http://schemas.openxmlformats.org/officeDocument/2006/relationships/hyperlink" Target="https://www.sec.gov/Archives/edgar/data/1494259/000104746917005904/a2233230zex-10_10.htm" TargetMode="External"/><Relationship Id="rId516" Type="http://schemas.openxmlformats.org/officeDocument/2006/relationships/hyperlink" Target="https://www.sec.gov/Archives/edgar/data/1494259/000156459019040396/carg-ex101_7.htm" TargetMode="External"/><Relationship Id="rId517" Type="http://schemas.openxmlformats.org/officeDocument/2006/relationships/hyperlink" Target="https://www.sec.gov/Archives/edgar/data/1494259/000156459020051350/carg-ex101_35.htm" TargetMode="External"/><Relationship Id="rId518" Type="http://schemas.openxmlformats.org/officeDocument/2006/relationships/hyperlink" Target="https://www.sec.gov/Archives/edgar/data/1494259/000095017024123371/carg-ex10_1.htm" TargetMode="External"/><Relationship Id="rId519" Type="http://schemas.openxmlformats.org/officeDocument/2006/relationships/hyperlink" Target="https://www.sec.gov/Archives/edgar/data/1494259/000119312518197983/d778651dex101.htm" TargetMode="External"/><Relationship Id="rId520" Type="http://schemas.openxmlformats.org/officeDocument/2006/relationships/hyperlink" Target="https://www.sec.gov/Archives/edgar/data/1494259/000119312519320928/d851940dex101.htm" TargetMode="External"/><Relationship Id="rId521" Type="http://schemas.openxmlformats.org/officeDocument/2006/relationships/hyperlink" Target="https://www.sec.gov/Archives/edgar/data/1494259/000156459020037766/carg-ex103_51.htm" TargetMode="External"/><Relationship Id="rId522" Type="http://schemas.openxmlformats.org/officeDocument/2006/relationships/hyperlink" Target="https://www.sec.gov/Archives/edgar/data/1494259/000095017024056957/carg-ex10_2.htm" TargetMode="External"/><Relationship Id="rId523" Type="http://schemas.openxmlformats.org/officeDocument/2006/relationships/hyperlink" Target="https://www.sec.gov/Archives/edgar/data/1494259/000095017024093956/carg-ex10_2.htm" TargetMode="External"/><Relationship Id="rId524" Type="http://schemas.openxmlformats.org/officeDocument/2006/relationships/hyperlink" Target="https://www.sec.gov/Archives/edgar/data/1494259/000095017022002023/carg-ex10_29.htm" TargetMode="External"/><Relationship Id="rId527" Type="http://schemas.openxmlformats.org/officeDocument/2006/relationships/hyperlink" Target="https://www.sec.gov/Archives/edgar/data/1494259/000095017022023243/carg-ex10_2.htm" TargetMode="External"/><Relationship Id="rId528" Type="http://schemas.openxmlformats.org/officeDocument/2006/relationships/hyperlink" Target="https://www.sec.gov/Archives/edgar/data/1494259/000095017024093956/carg-ex10_3.htm" TargetMode="External"/><Relationship Id="rId529" Type="http://schemas.openxmlformats.org/officeDocument/2006/relationships/hyperlink" Target="https://www.sec.gov/Archives/edgar/data/1494259/000095017022002023/carg-ex10_30.htm" TargetMode="External"/><Relationship Id="rId530" Type="http://schemas.openxmlformats.org/officeDocument/2006/relationships/hyperlink" Target="https://www.sec.gov/Archives/edgar/data/1494259/000095017022008509/carg-ex10_1.htm" TargetMode="External"/><Relationship Id="rId531" Type="http://schemas.openxmlformats.org/officeDocument/2006/relationships/hyperlink" Target="https://www.sec.gov/Archives/edgar/data/1494259/000095017024020157/carg-ex10_31.htm" TargetMode="External"/><Relationship Id="rId532" Type="http://schemas.openxmlformats.org/officeDocument/2006/relationships/hyperlink" Target="https://www.sec.gov/Archives/edgar/data/1494259/000095017024020157/carg-ex10_32.htm" TargetMode="External"/><Relationship Id="rId533" Type="http://schemas.openxmlformats.org/officeDocument/2006/relationships/hyperlink" Target="https://www.sec.gov/Archives/edgar/data/1494259/000095017022002023/carg-ex10_27.htm" TargetMode="External"/><Relationship Id="rId534" Type="http://schemas.openxmlformats.org/officeDocument/2006/relationships/hyperlink" Target="https://www.sec.gov/Archives/edgar/data/1494259/000095017022008509/carg-ex10_5.htm" TargetMode="External"/><Relationship Id="rId535" Type="http://schemas.openxmlformats.org/officeDocument/2006/relationships/hyperlink" Target="https://www.sec.gov/Archives/edgar/data/1494259/000095017022019045/carg-ex10_1.htm" TargetMode="External"/><Relationship Id="rId538" Type="http://schemas.openxmlformats.org/officeDocument/2006/relationships/hyperlink" Target="https://www.sec.gov/Archives/edgar/data/1494259/000095017024020157/carg-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2025-02-20T15:56:38Z</dcterms:created>
  <dcterms:modified xsi:type="dcterms:W3CDTF">2025-02-20T15:56:38Z</dcterms:modified>
</cp:coreProperties>
</file>